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February 27, 2025</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jc w:val="center"/>
              <w:ind w:right="1117"/>
              <w:spacing w:after="0"/>
              <w:rPr>
                <w:sz w:val="20"/>
                <w:szCs w:val="20"/>
                <w:color w:val="auto"/>
              </w:rPr>
            </w:pPr>
            <w:r>
              <w:rPr>
                <w:rFonts w:ascii="Arial" w:cs="Arial" w:eastAsia="Arial" w:hAnsi="Arial"/>
                <w:sz w:val="18"/>
                <w:szCs w:val="18"/>
                <w:b w:val="1"/>
                <w:bCs w:val="1"/>
                <w:color w:val="auto"/>
              </w:rPr>
              <w:t>Delaware</w:t>
            </w:r>
          </w:p>
        </w:tc>
        <w:tc>
          <w:tcPr>
            <w:tcW w:w="5100" w:type="dxa"/>
            <w:vAlign w:val="bottom"/>
          </w:tcPr>
          <w:p>
            <w:pPr>
              <w:jc w:val="right"/>
              <w:ind w:right="1372"/>
              <w:spacing w:after="0"/>
              <w:rPr>
                <w:sz w:val="20"/>
                <w:szCs w:val="20"/>
                <w:color w:val="auto"/>
              </w:rPr>
            </w:pPr>
            <w:r>
              <w:rPr>
                <w:rFonts w:ascii="Arial" w:cs="Arial" w:eastAsia="Arial" w:hAnsi="Arial"/>
                <w:sz w:val="18"/>
                <w:szCs w:val="18"/>
                <w:b w:val="1"/>
                <w:bCs w:val="1"/>
                <w:color w:val="auto"/>
              </w:rPr>
              <w:t>75-1618004</w:t>
            </w:r>
          </w:p>
        </w:tc>
      </w:tr>
      <w:tr>
        <w:trPr>
          <w:trHeight w:val="211"/>
        </w:trPr>
        <w:tc>
          <w:tcPr>
            <w:tcW w:w="5400" w:type="dxa"/>
            <w:vAlign w:val="bottom"/>
          </w:tcPr>
          <w:p>
            <w:pPr>
              <w:jc w:val="center"/>
              <w:ind w:right="1137"/>
              <w:spacing w:after="0"/>
              <w:rPr>
                <w:sz w:val="20"/>
                <w:szCs w:val="20"/>
                <w:color w:val="auto"/>
              </w:rPr>
            </w:pPr>
            <w:r>
              <w:rPr>
                <w:rFonts w:ascii="Arial" w:cs="Arial" w:eastAsia="Arial" w:hAnsi="Arial"/>
                <w:sz w:val="16"/>
                <w:szCs w:val="16"/>
                <w:color w:val="auto"/>
              </w:rPr>
              <w:t>(State or other jurisdiction of incorporation or organization)</w:t>
            </w:r>
          </w:p>
        </w:tc>
        <w:tc>
          <w:tcPr>
            <w:tcW w:w="5100" w:type="dxa"/>
            <w:vAlign w:val="bottom"/>
          </w:tcPr>
          <w:p>
            <w:pPr>
              <w:jc w:val="center"/>
              <w:ind w:left="1132"/>
              <w:spacing w:after="0"/>
              <w:rPr>
                <w:sz w:val="20"/>
                <w:szCs w:val="20"/>
                <w:color w:val="auto"/>
              </w:rPr>
            </w:pPr>
            <w:r>
              <w:rPr>
                <w:rFonts w:ascii="Arial" w:cs="Arial" w:eastAsia="Arial" w:hAnsi="Arial"/>
                <w:sz w:val="16"/>
                <w:szCs w:val="16"/>
                <w:color w:val="auto"/>
              </w:rPr>
              <w:t>(IRS Employer Identification No.)</w:t>
            </w:r>
          </w:p>
        </w:tc>
      </w:tr>
      <w:tr>
        <w:trPr>
          <w:trHeight w:val="229"/>
        </w:trPr>
        <w:tc>
          <w:tcPr>
            <w:tcW w:w="5400" w:type="dxa"/>
            <w:vAlign w:val="bottom"/>
          </w:tcPr>
          <w:p>
            <w:pPr>
              <w:jc w:val="center"/>
              <w:ind w:right="1117"/>
              <w:spacing w:after="0"/>
              <w:rPr>
                <w:sz w:val="20"/>
                <w:szCs w:val="20"/>
                <w:color w:val="auto"/>
              </w:rPr>
            </w:pPr>
            <w:r>
              <w:rPr>
                <w:rFonts w:ascii="Arial" w:cs="Arial" w:eastAsia="Arial" w:hAnsi="Arial"/>
                <w:sz w:val="16"/>
                <w:szCs w:val="16"/>
                <w:color w:val="auto"/>
              </w:rPr>
              <w:t>Address of principal executive offices, including zip code</w:t>
            </w:r>
          </w:p>
        </w:tc>
        <w:tc>
          <w:tcPr>
            <w:tcW w:w="5100" w:type="dxa"/>
            <w:vAlign w:val="bottom"/>
          </w:tcPr>
          <w:p>
            <w:pPr>
              <w:jc w:val="center"/>
              <w:ind w:left="1132"/>
              <w:spacing w:after="0"/>
              <w:rPr>
                <w:sz w:val="20"/>
                <w:szCs w:val="20"/>
                <w:color w:val="auto"/>
              </w:rPr>
            </w:pPr>
            <w:r>
              <w:rPr>
                <w:rFonts w:ascii="Arial" w:cs="Arial" w:eastAsia="Arial" w:hAnsi="Arial"/>
                <w:sz w:val="18"/>
                <w:szCs w:val="18"/>
                <w:b w:val="1"/>
                <w:bCs w:val="1"/>
                <w:color w:val="auto"/>
                <w:w w:val="99"/>
              </w:rPr>
              <w:t>8000 S. Federal Way, Boise, Idaho 83716-9632</w:t>
            </w:r>
          </w:p>
        </w:tc>
      </w:tr>
      <w:tr>
        <w:trPr>
          <w:trHeight w:val="247"/>
        </w:trPr>
        <w:tc>
          <w:tcPr>
            <w:tcW w:w="5400" w:type="dxa"/>
            <w:vAlign w:val="bottom"/>
          </w:tcPr>
          <w:p>
            <w:pPr>
              <w:jc w:val="center"/>
              <w:ind w:right="1117"/>
              <w:spacing w:after="0"/>
              <w:rPr>
                <w:sz w:val="20"/>
                <w:szCs w:val="20"/>
                <w:color w:val="auto"/>
              </w:rPr>
            </w:pPr>
            <w:r>
              <w:rPr>
                <w:rFonts w:ascii="Arial" w:cs="Arial" w:eastAsia="Arial" w:hAnsi="Arial"/>
                <w:sz w:val="16"/>
                <w:szCs w:val="16"/>
                <w:color w:val="auto"/>
              </w:rPr>
              <w:t>Registrant’s telephone number, including area code</w:t>
            </w:r>
          </w:p>
        </w:tc>
        <w:tc>
          <w:tcPr>
            <w:tcW w:w="5100" w:type="dxa"/>
            <w:vAlign w:val="bottom"/>
          </w:tcPr>
          <w:p>
            <w:pPr>
              <w:jc w:val="right"/>
              <w:ind w:right="1232"/>
              <w:spacing w:after="0"/>
              <w:rPr>
                <w:sz w:val="20"/>
                <w:szCs w:val="20"/>
                <w:color w:val="auto"/>
              </w:rPr>
            </w:pPr>
            <w:r>
              <w:rPr>
                <w:rFonts w:ascii="Arial" w:cs="Arial" w:eastAsia="Arial" w:hAnsi="Arial"/>
                <w:sz w:val="18"/>
                <w:szCs w:val="18"/>
                <w:b w:val="1"/>
                <w:bCs w:val="1"/>
                <w:color w:val="auto"/>
              </w:rPr>
              <w:t>(208) 368-4000</w:t>
            </w: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47"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w:t>
      </w:r>
    </w:p>
    <w:p>
      <w:pPr>
        <w:spacing w:after="0" w:line="12" w:lineRule="exact"/>
        <w:rPr>
          <w:sz w:val="24"/>
          <w:szCs w:val="24"/>
          <w:color w:val="auto"/>
        </w:rPr>
      </w:pPr>
    </w:p>
    <w:p>
      <w:pPr>
        <w:ind w:left="20" w:right="200"/>
        <w:spacing w:after="0" w:line="229" w:lineRule="auto"/>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 required to file such reports), and (2) has been subject to such filing requirements for the past 90 days.</w:t>
      </w:r>
    </w:p>
    <w:p>
      <w:pPr>
        <w:spacing w:after="0" w:line="222" w:lineRule="exact"/>
        <w:rPr>
          <w:sz w:val="24"/>
          <w:szCs w:val="24"/>
          <w:color w:val="auto"/>
        </w:rPr>
      </w:pPr>
    </w:p>
    <w:p>
      <w:pPr>
        <w:jc w:val="both"/>
        <w:ind w:left="20" w:right="10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40" w:space="440"/>
            <w:col w:w="1440"/>
          </w:cols>
          <w:pgMar w:left="320" w:top="1033" w:right="359" w:bottom="1440" w:gutter="0" w:footer="0" w:header="0"/>
          <w:type w:val="continuous"/>
        </w:sectPr>
      </w:pPr>
    </w:p>
    <w:p>
      <w:pPr>
        <w:spacing w:after="0" w:line="92" w:lineRule="exact"/>
        <w:rPr>
          <w:sz w:val="24"/>
          <w:szCs w:val="24"/>
          <w:color w:val="auto"/>
        </w:rPr>
      </w:pPr>
    </w:p>
    <w:p>
      <w:pPr>
        <w:ind w:left="20"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300" w:type="dxa"/>
        <w:tblCellMar>
          <w:top w:w="0" w:type="dxa"/>
          <w:left w:w="0" w:type="dxa"/>
          <w:bottom w:w="0" w:type="dxa"/>
          <w:right w:w="0" w:type="dxa"/>
        </w:tblCellMar>
      </w:tblPr>
      <w:tr>
        <w:trPr>
          <w:trHeight w:val="198"/>
        </w:trPr>
        <w:tc>
          <w:tcPr>
            <w:tcW w:w="2080" w:type="dxa"/>
            <w:vAlign w:val="bottom"/>
          </w:tcPr>
          <w:p>
            <w:pPr>
              <w:jc w:val="center"/>
              <w:ind w:right="315"/>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5"/>
              <w:spacing w:after="0"/>
              <w:rPr>
                <w:sz w:val="20"/>
                <w:szCs w:val="20"/>
                <w:color w:val="auto"/>
              </w:rPr>
            </w:pPr>
            <w:r>
              <w:rPr>
                <w:rFonts w:ascii="Arial" w:cs="Arial" w:eastAsia="Arial" w:hAnsi="Arial"/>
                <w:sz w:val="16"/>
                <w:szCs w:val="16"/>
                <w:color w:val="auto"/>
              </w:rPr>
              <w:t>Emerging Growth Company</w:t>
            </w:r>
          </w:p>
        </w:tc>
      </w:tr>
      <w:tr>
        <w:trPr>
          <w:trHeight w:val="303"/>
        </w:trPr>
        <w:tc>
          <w:tcPr>
            <w:tcW w:w="2080" w:type="dxa"/>
            <w:vAlign w:val="bottom"/>
          </w:tcPr>
          <w:p>
            <w:pPr>
              <w:jc w:val="center"/>
              <w:ind w:right="315"/>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9" w:lineRule="exact"/>
        <w:rPr>
          <w:sz w:val="24"/>
          <w:szCs w:val="24"/>
          <w:color w:val="auto"/>
        </w:rPr>
      </w:pPr>
    </w:p>
    <w:p>
      <w:pPr>
        <w:ind w:left="20" w:right="1020"/>
        <w:spacing w:after="0" w:line="21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090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20"/>
          </w:cols>
          <w:pgMar w:left="320" w:top="1033" w:right="359" w:bottom="1440" w:gutter="0" w:footer="0" w:header="0"/>
          <w:type w:val="continuous"/>
        </w:sectPr>
      </w:pPr>
    </w:p>
    <w:p>
      <w:pPr>
        <w:spacing w:after="0" w:line="26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13, 2025 was 1,117,571,525.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3">
            <w:col w:w="9060" w:space="720"/>
            <w:col w:w="500" w:space="360"/>
            <w:col w:w="580"/>
          </w:cols>
          <w:pgMar w:left="320" w:top="10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Comprehensive Income (Loss)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Balance Sheets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Changes in Equity</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Results of Operations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980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44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Risk Factors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911"/>
        </w:trPr>
        <w:tc>
          <w:tcPr>
            <w:tcW w:w="12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109"/>
        </w:trPr>
        <w:tc>
          <w:tcPr>
            <w:tcW w:w="1240" w:type="dxa"/>
            <w:vAlign w:val="bottom"/>
            <w:tcBorders>
              <w:bottom w:val="single" w:sz="8" w:color="9A9A9A"/>
            </w:tcBorders>
          </w:tcPr>
          <w:p>
            <w:pPr>
              <w:spacing w:after="0"/>
              <w:rPr>
                <w:sz w:val="9"/>
                <w:szCs w:val="9"/>
                <w:color w:val="auto"/>
              </w:rPr>
            </w:pPr>
          </w:p>
        </w:tc>
        <w:tc>
          <w:tcPr>
            <w:tcW w:w="85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-307975</wp:posOffset>
            </wp:positionV>
            <wp:extent cx="77978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16256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All period references are to our fiscal periods unless otherwise indicated.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r>
      <w:tr>
        <w:trPr>
          <w:trHeight w:val="175"/>
        </w:trPr>
        <w:tc>
          <w:tcPr>
            <w:tcW w:w="4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w w:val="99"/>
              </w:rPr>
              <w:t>2024</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line="176" w:lineRule="exact"/>
              <w:rPr>
                <w:sz w:val="20"/>
                <w:szCs w:val="20"/>
                <w:color w:val="auto"/>
              </w:rPr>
            </w:pPr>
            <w:r>
              <w:rPr>
                <w:rFonts w:ascii="Arial" w:cs="Arial" w:eastAsia="Arial" w:hAnsi="Arial"/>
                <w:sz w:val="18"/>
                <w:szCs w:val="18"/>
                <w:color w:val="auto"/>
              </w:rPr>
              <w:t>Senior Term Loan A due October 2024, repaid</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2035 Notes</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5.800% Senior Notes due January 2035</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January 2024</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2025</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2025,</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2041 Notes</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3.366% Senior Notes due November 2041</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May 2024</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78"/>
        </w:trPr>
        <w:tc>
          <w:tcPr>
            <w:tcW w:w="46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line="177" w:lineRule="exact"/>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2051 Notes</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3.477% Senior Notes due November 2051</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repaid January 2025</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AI</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Artificial intelligence</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January 2025</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78"/>
        </w:trPr>
        <w:tc>
          <w:tcPr>
            <w:tcW w:w="460" w:type="dxa"/>
            <w:vAlign w:val="bottom"/>
            <w:shd w:val="clear" w:color="auto" w:fill="DBDBDB"/>
          </w:tcPr>
          <w:p>
            <w:pPr>
              <w:jc w:val="right"/>
              <w:spacing w:after="0" w:line="177" w:lineRule="exact"/>
              <w:rPr>
                <w:sz w:val="20"/>
                <w:szCs w:val="20"/>
                <w:color w:val="auto"/>
              </w:rPr>
            </w:pPr>
            <w:r>
              <w:rPr>
                <w:rFonts w:ascii="Arial" w:cs="Arial" w:eastAsia="Arial" w:hAnsi="Arial"/>
                <w:sz w:val="18"/>
                <w:szCs w:val="18"/>
                <w:color w:val="auto"/>
                <w:w w:val="99"/>
              </w:rPr>
              <w:t>2026</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7" w:lineRule="exact"/>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line="177" w:lineRule="exact"/>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CAC</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China’s Cyberspace Administration</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repaid February 2025</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rPr>
                <w:sz w:val="20"/>
                <w:szCs w:val="20"/>
                <w:color w:val="auto"/>
              </w:rPr>
            </w:pPr>
            <w:r>
              <w:rPr>
                <w:rFonts w:ascii="Arial" w:cs="Arial" w:eastAsia="Arial" w:hAnsi="Arial"/>
                <w:sz w:val="18"/>
                <w:szCs w:val="18"/>
                <w:color w:val="auto"/>
              </w:rPr>
              <w:t>CHIPS Act</w:t>
            </w:r>
          </w:p>
        </w:tc>
        <w:tc>
          <w:tcPr>
            <w:tcW w:w="4060" w:type="dxa"/>
            <w:vAlign w:val="bottom"/>
          </w:tcPr>
          <w:p>
            <w:pPr>
              <w:ind w:left="240"/>
              <w:spacing w:after="0"/>
              <w:rPr>
                <w:sz w:val="20"/>
                <w:szCs w:val="20"/>
                <w:color w:val="auto"/>
              </w:rPr>
            </w:pPr>
            <w:r>
              <w:rPr>
                <w:rFonts w:ascii="Arial" w:cs="Arial" w:eastAsia="Arial" w:hAnsi="Arial"/>
                <w:sz w:val="18"/>
                <w:szCs w:val="18"/>
                <w:color w:val="auto"/>
              </w:rPr>
              <w:t>U.S. CHIPS and Science Act of 2022</w:t>
            </w:r>
          </w:p>
        </w:tc>
      </w:tr>
      <w:tr>
        <w:trPr>
          <w:trHeight w:val="229"/>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DDR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Double data rate DRAM</w:t>
            </w:r>
          </w:p>
        </w:tc>
      </w:tr>
      <w:tr>
        <w:trPr>
          <w:trHeight w:val="176"/>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2029</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EBITDA</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and amortization</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EUV</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9"/>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January 2029</w:t>
            </w:r>
          </w:p>
        </w:tc>
        <w:tc>
          <w:tcPr>
            <w:tcW w:w="1560" w:type="dxa"/>
            <w:vAlign w:val="bottom"/>
          </w:tcPr>
          <w:p>
            <w:pPr>
              <w:spacing w:after="0"/>
              <w:rPr>
                <w:sz w:val="20"/>
                <w:szCs w:val="20"/>
                <w:color w:val="auto"/>
              </w:rPr>
            </w:pPr>
            <w:r>
              <w:rPr>
                <w:rFonts w:ascii="Arial" w:cs="Arial" w:eastAsia="Arial" w:hAnsi="Arial"/>
                <w:sz w:val="18"/>
                <w:szCs w:val="18"/>
                <w:color w:val="auto"/>
              </w:rPr>
              <w:t>HBM</w:t>
            </w:r>
          </w:p>
        </w:tc>
        <w:tc>
          <w:tcPr>
            <w:tcW w:w="4060" w:type="dxa"/>
            <w:vAlign w:val="bottom"/>
          </w:tcPr>
          <w:p>
            <w:pPr>
              <w:ind w:left="240"/>
              <w:spacing w:after="0"/>
              <w:rPr>
                <w:sz w:val="20"/>
                <w:szCs w:val="20"/>
                <w:color w:val="auto"/>
              </w:rPr>
            </w:pPr>
            <w:r>
              <w:rPr>
                <w:rFonts w:ascii="Arial" w:cs="Arial" w:eastAsia="Arial" w:hAnsi="Arial"/>
                <w:sz w:val="18"/>
                <w:szCs w:val="18"/>
                <w:color w:val="auto"/>
              </w:rPr>
              <w:t>High-bandwidth memory</w:t>
            </w:r>
          </w:p>
        </w:tc>
      </w:tr>
      <w:tr>
        <w:trPr>
          <w:trHeight w:val="230"/>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175"/>
        </w:trPr>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9"/>
              </w:rPr>
              <w:t>2031</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5.300%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January 2031</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$3.5 billion Revolving Credit Facility due March</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2030</w:t>
            </w:r>
          </w:p>
        </w:tc>
      </w:tr>
      <w:tr>
        <w:trPr>
          <w:trHeight w:val="232"/>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2032</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Green Bonds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2.703%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2032</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2033</w:t>
            </w:r>
          </w:p>
        </w:tc>
        <w:tc>
          <w:tcPr>
            <w:tcW w:w="1560" w:type="dxa"/>
            <w:vAlign w:val="bottom"/>
          </w:tcPr>
          <w:p>
            <w:pPr>
              <w:spacing w:after="0"/>
              <w:rPr>
                <w:sz w:val="20"/>
                <w:szCs w:val="20"/>
                <w:color w:val="auto"/>
              </w:rPr>
            </w:pPr>
            <w:r>
              <w:rPr>
                <w:rFonts w:ascii="Arial" w:cs="Arial" w:eastAsia="Arial" w:hAnsi="Arial"/>
                <w:sz w:val="18"/>
                <w:szCs w:val="18"/>
                <w:color w:val="auto"/>
              </w:rPr>
              <w:t>SSD</w:t>
            </w:r>
          </w:p>
        </w:tc>
        <w:tc>
          <w:tcPr>
            <w:tcW w:w="4060" w:type="dxa"/>
            <w:vAlign w:val="bottom"/>
          </w:tcPr>
          <w:p>
            <w:pPr>
              <w:ind w:left="24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September 2033</w:t>
            </w:r>
          </w:p>
        </w:tc>
        <w:tc>
          <w:tcPr>
            <w:tcW w:w="1560" w:type="dxa"/>
            <w:vAlign w:val="bottom"/>
            <w:shd w:val="clear" w:color="auto" w:fill="DBDBDB"/>
          </w:tcPr>
          <w:p>
            <w:pPr>
              <w:spacing w:after="0"/>
              <w:rPr>
                <w:sz w:val="19"/>
                <w:szCs w:val="19"/>
                <w:color w:val="auto"/>
              </w:rPr>
            </w:pPr>
          </w:p>
        </w:tc>
        <w:tc>
          <w:tcPr>
            <w:tcW w:w="4060" w:type="dxa"/>
            <w:vAlign w:val="bottom"/>
            <w:shd w:val="clear" w:color="auto" w:fill="DBDBDB"/>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3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4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invest in research and development, including the plans to implement EUV lithography; anticipated technological developments; potential change and impact in our effective tax rate; the timing for construction, expansion, and ramping of production for our facilities, including new memory manufacturing fabs in the United States; receipt, timing, and utilization of government incentives and our</w:t>
      </w:r>
    </w:p>
    <w:p>
      <w:pPr>
        <w:spacing w:after="0" w:line="3"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ability to satisfy conditions attached to these incentives; the payment of future cash dividends; market conditions and profitability in our industry; future demand for our products and factors that may impact such demand; DRAM bit shipments in future periods; actions to align</w:t>
      </w:r>
    </w:p>
    <w:p>
      <w:pPr>
        <w:spacing w:after="0" w:line="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NAND supply and the pace of ramp of our new technology node, fab utilization and inventories with industry demand trends; the impact of the Cyberspace Administration of China (“CAC”) decision; capital spending in 2025; the potential impact of business, economic, political, legal and regulatory developments upon our global operations;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374"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27,</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27,</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16,762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10,550</w:t>
            </w:r>
          </w:p>
        </w:tc>
      </w:tr>
      <w:tr>
        <w:trPr>
          <w:trHeight w:val="229"/>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w:t>
            </w:r>
          </w:p>
        </w:tc>
      </w:tr>
      <w:tr>
        <w:trPr>
          <w:trHeight w:val="223"/>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1,044</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57"/>
        </w:trPr>
        <w:tc>
          <w:tcPr>
            <w:tcW w:w="53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(985)</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36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3,453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30"/>
        </w:trPr>
        <w:tc>
          <w:tcPr>
            <w:tcW w:w="5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1,102</w:t>
            </w: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27,</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27,</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(441)</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3,396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85"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31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0"/>
          <w:szCs w:val="10"/>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7,552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24,689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42,528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6,176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7,877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1,262 shares issued and 1,118 outstanding</w:t>
            </w: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(1,253 shares issued and 1,109 outstanding as of August 29, 2024)</w:t>
            </w:r>
          </w:p>
        </w:tc>
        <w:tc>
          <w:tcPr>
            <w:tcW w:w="140" w:type="dxa"/>
            <w:vAlign w:val="bottom"/>
            <w:shd w:val="clear" w:color="auto" w:fill="D1D2D4"/>
          </w:tcPr>
          <w:p>
            <w:pPr>
              <w:spacing w:after="0"/>
              <w:rPr>
                <w:sz w:val="20"/>
                <w:szCs w:val="20"/>
                <w:color w:val="auto"/>
              </w:rPr>
            </w:pPr>
          </w:p>
        </w:tc>
        <w:tc>
          <w:tcPr>
            <w:tcW w:w="130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43,839</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144 shares held (144 shares as of August 29, 2024)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73,053</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Treasury</w:t>
            </w:r>
          </w:p>
        </w:tc>
        <w:tc>
          <w:tcPr>
            <w:tcW w:w="120" w:type="dxa"/>
            <w:vAlign w:val="bottom"/>
          </w:tcPr>
          <w:p>
            <w:pPr>
              <w:spacing w:after="0"/>
              <w:rPr>
                <w:sz w:val="13"/>
                <w:szCs w:val="13"/>
                <w:color w:val="auto"/>
              </w:rPr>
            </w:pPr>
          </w:p>
        </w:tc>
        <w:tc>
          <w:tcPr>
            <w:tcW w:w="13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74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Stock</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Income (Loss)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34"/>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August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12,115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1,870</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720" w:type="dxa"/>
            <w:vAlign w:val="bottom"/>
            <w:tcBorders>
              <w:bottom w:val="single" w:sz="8" w:color="auto"/>
            </w:tcBorders>
            <w:vMerge w:val="continue"/>
            <w:shd w:val="clear" w:color="auto" w:fill="D1D2D4"/>
          </w:tcPr>
          <w:p>
            <w:pPr>
              <w:spacing w:after="0"/>
              <w:rPr>
                <w:sz w:val="20"/>
                <w:szCs w:val="20"/>
                <w:color w:val="auto"/>
              </w:rPr>
            </w:pPr>
          </w:p>
        </w:tc>
        <w:tc>
          <w:tcPr>
            <w:tcW w:w="200" w:type="dxa"/>
            <w:vAlign w:val="bottom"/>
            <w:tcBorders>
              <w:bottom w:val="single" w:sz="8" w:color="auto"/>
            </w:tcBorders>
            <w:shd w:val="clear" w:color="auto" w:fill="D1D2D4"/>
          </w:tcPr>
          <w:p>
            <w:pPr>
              <w:spacing w:after="0"/>
              <w:rPr>
                <w:sz w:val="20"/>
                <w:szCs w:val="20"/>
                <w:color w:val="auto"/>
              </w:rPr>
            </w:pPr>
          </w:p>
        </w:tc>
        <w:tc>
          <w:tcPr>
            <w:tcW w:w="78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136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28, 2024</w:t>
            </w: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rPr>
              <w:t>(7,852)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30"/>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Stock issued under equity compensation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plans</w:t>
            </w:r>
          </w:p>
        </w:tc>
        <w:tc>
          <w:tcPr>
            <w:tcW w:w="96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6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4"/>
        </w:trPr>
        <w:tc>
          <w:tcPr>
            <w:tcW w:w="36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5"/>
        </w:trPr>
        <w:tc>
          <w:tcPr>
            <w:tcW w:w="3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82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60" w:type="dxa"/>
            <w:vAlign w:val="bottom"/>
            <w:vMerge w:val="continue"/>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5"/>
        </w:trPr>
        <w:tc>
          <w:tcPr>
            <w:tcW w:w="3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February 27, 2025</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12,711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43,839</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1D2D4"/>
          </w:tcPr>
          <w:p>
            <w:pPr>
              <w:ind w:left="180"/>
              <w:spacing w:after="0"/>
              <w:rPr>
                <w:sz w:val="20"/>
                <w:szCs w:val="20"/>
                <w:color w:val="auto"/>
              </w:rPr>
            </w:pPr>
            <w:r>
              <w:rPr>
                <w:rFonts w:ascii="Arial" w:cs="Arial" w:eastAsia="Arial" w:hAnsi="Arial"/>
                <w:sz w:val="18"/>
                <w:szCs w:val="18"/>
                <w:color w:val="auto"/>
              </w:rPr>
              <w:t>(7,852)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48,633</w:t>
            </w:r>
          </w:p>
        </w:tc>
        <w:tc>
          <w:tcPr>
            <w:tcW w:w="0" w:type="dxa"/>
            <w:vAlign w:val="bottom"/>
          </w:tcPr>
          <w:p>
            <w:pPr>
              <w:spacing w:after="0"/>
              <w:rPr>
                <w:sz w:val="1"/>
                <w:szCs w:val="1"/>
                <w:color w:val="auto"/>
              </w:rPr>
            </w:pPr>
          </w:p>
        </w:tc>
      </w:tr>
      <w:tr>
        <w:trPr>
          <w:trHeight w:val="20"/>
        </w:trPr>
        <w:tc>
          <w:tcPr>
            <w:tcW w:w="362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880"/>
        <w:spacing w:after="0"/>
        <w:rPr>
          <w:sz w:val="20"/>
          <w:szCs w:val="20"/>
          <w:color w:val="auto"/>
        </w:rPr>
      </w:pPr>
      <w:r>
        <w:rPr>
          <w:sz w:val="1"/>
          <w:szCs w:val="1"/>
          <w:color w:val="auto"/>
        </w:rPr>
        <w:drawing>
          <wp:inline distT="0" distB="0" distL="0" distR="0">
            <wp:extent cx="77978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0"/>
          <w:szCs w:val="10"/>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right="1240"/>
        <w:spacing w:after="0" w:line="271" w:lineRule="auto"/>
        <w:rPr>
          <w:sz w:val="20"/>
          <w:szCs w:val="20"/>
          <w:color w:val="auto"/>
        </w:rPr>
      </w:pPr>
      <w:r>
        <w:rPr>
          <w:rFonts w:ascii="Arial" w:cs="Arial" w:eastAsia="Arial" w:hAnsi="Arial"/>
          <w:sz w:val="18"/>
          <w:szCs w:val="18"/>
          <w:b w:val="1"/>
          <w:bCs w:val="1"/>
          <w:color w:val="auto"/>
        </w:rPr>
        <w:t xml:space="preserve">Balance at August 31, 2023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ind w:left="40" w:right="980"/>
        <w:spacing w:after="0" w:line="271" w:lineRule="auto"/>
        <w:rPr>
          <w:sz w:val="20"/>
          <w:szCs w:val="20"/>
          <w:color w:val="auto"/>
        </w:rPr>
      </w:pPr>
      <w:r>
        <w:rPr>
          <w:rFonts w:ascii="Arial" w:cs="Arial" w:eastAsia="Arial" w:hAnsi="Arial"/>
          <w:sz w:val="18"/>
          <w:szCs w:val="18"/>
          <w:b w:val="1"/>
          <w:bCs w:val="1"/>
          <w:color w:val="auto"/>
        </w:rPr>
        <w:t xml:space="preserve">Balance at November 30, 2023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right="320"/>
        <w:spacing w:after="0" w:line="242" w:lineRule="auto"/>
        <w:rPr>
          <w:sz w:val="20"/>
          <w:szCs w:val="20"/>
          <w:color w:val="auto"/>
        </w:rPr>
      </w:pPr>
      <w:r>
        <w:rPr>
          <w:rFonts w:ascii="Arial" w:cs="Arial" w:eastAsia="Arial" w:hAnsi="Arial"/>
          <w:sz w:val="18"/>
          <w:szCs w:val="18"/>
          <w:color w:val="auto"/>
        </w:rPr>
        <w:t>Stock issued under equity compensation plans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February 29,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1,239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44,120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42,885</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9"/>
        </w:trPr>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43,870</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-2956560</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-2665095</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-2253615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-1842135</wp:posOffset>
            </wp:positionV>
            <wp:extent cx="711517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-1422400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-1130935</wp:posOffset>
            </wp:positionV>
            <wp:extent cx="711517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-719455</wp:posOffset>
            </wp:positionV>
            <wp:extent cx="71151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-187960</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3,453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7,186</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(6,300)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7,563</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8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29, 2024. There have been no changes to our significant accounting policies since our Annual Report on Form 10-K for the year ended August 29, 2024.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29, 2024.</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2025 and 2024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29,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(ASC Topic 280),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expands on existing reportable segment disclosure requirements primarily through enhanced disclosures about significant segment expenses. This ASU will be effective for our annual reporting for 2025 on a retrospective basis. Adoption of this new guidance will result in increased disclosures in the Notes to Consolidated Financial Statements.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December 2023, the FASB issued ASU 2023-09 (ASC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increased disclosures in the Notes to Consolidated Financial Statements.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In November 2024, the FASB issued ASU 2024-03 (ASC Topic 220),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This ASU requires disclosure of certain expenses in the notes to the financial statements. This ASU will be effective for our annual reporting for 2028 on a prospective basis, with retrospective application permitted. Adoption of this new guidance will result in increased disclosures in the Notes to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5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direct the activities of the Lease SPEs that most significantly impact their economic performance and, as such, we do not consolidate them. As of February 27, 2025, we had approximately $1.38 billion of finance lease liabilities and right-of-use assets under these arrangements.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8"/>
              </w:rPr>
              <w:t>As of February 27, 2025</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As of August 29, 2024</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Fair</w:t>
            </w: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10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02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3"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240" w:hanging="252"/>
        <w:spacing w:after="0" w:line="228"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February 27, 2025 or August 29, 2024.</w:t>
      </w:r>
    </w:p>
    <w:p>
      <w:pPr>
        <w:spacing w:after="0" w:line="1" w:lineRule="exact"/>
        <w:rPr>
          <w:rFonts w:ascii="Arial" w:cs="Arial" w:eastAsia="Arial" w:hAnsi="Arial"/>
          <w:sz w:val="23"/>
          <w:szCs w:val="23"/>
          <w:i w:val="1"/>
          <w:iCs w:val="1"/>
          <w:color w:val="auto"/>
          <w:vertAlign w:val="superscript"/>
        </w:rPr>
      </w:pPr>
    </w:p>
    <w:p>
      <w:pPr>
        <w:ind w:left="260" w:right="80" w:hanging="252"/>
        <w:spacing w:after="0" w:line="230"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2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to the amounts included in the table above, we had $196 million and $190 million of non-marketable equity investments without a readily determinable fair value that were included in other noncurrent assets as of February 27, 2025 and August 29, 2024, respectively. For non-marketable investments, we recognized in other non-operating income (expense) a net loss of $31 million for the first six months of 2024. The amounts recognized for the other periods presented were not significant. Our non-marketable equity investments are recorded at fair value on a non-recurring basis and classified as Level 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Government incentives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Inventories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27,</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20,939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75,024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70,813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102,260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(59,732)</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(56,298)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right="440" w:hanging="252"/>
        <w:spacing w:after="0" w:line="229"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 xml:space="preserve">Includes costs related to equipment not placed into service of $2.88 billion as of </w:t>
      </w:r>
      <w:r>
        <w:rPr>
          <w:rFonts w:ascii="Arial" w:cs="Arial" w:eastAsia="Arial" w:hAnsi="Arial"/>
          <w:sz w:val="18"/>
          <w:szCs w:val="18"/>
          <w:color w:val="auto"/>
        </w:rPr>
        <w:t>February 27, 2025</w:t>
      </w:r>
      <w:r>
        <w:rPr>
          <w:rFonts w:ascii="Arial" w:cs="Arial" w:eastAsia="Arial" w:hAnsi="Arial"/>
          <w:sz w:val="18"/>
          <w:szCs w:val="18"/>
          <w:i w:val="1"/>
          <w:iCs w:val="1"/>
          <w:color w:val="auto"/>
        </w:rPr>
        <w:t xml:space="preserve"> and $3.10 billion as of August 29, 2024.</w:t>
      </w:r>
    </w:p>
    <w:p>
      <w:pPr>
        <w:ind w:left="240" w:hanging="232"/>
        <w:spacing w:after="0" w:line="200"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Primarily includes building-related construction and tool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gridSpan w:val="4"/>
          </w:tcPr>
          <w:p>
            <w:pPr>
              <w:ind w:left="120"/>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5360" w:type="dxa"/>
            <w:vAlign w:val="bottom"/>
          </w:tcPr>
          <w:p>
            <w:pPr>
              <w:spacing w:after="0"/>
              <w:rPr>
                <w:sz w:val="20"/>
                <w:szCs w:val="20"/>
                <w:color w:val="auto"/>
              </w:rPr>
            </w:pPr>
            <w:r>
              <w:rPr>
                <w:rFonts w:ascii="Arial" w:cs="Arial" w:eastAsia="Arial" w:hAnsi="Arial"/>
                <w:sz w:val="40"/>
                <w:szCs w:val="40"/>
                <w:b w:val="1"/>
                <w:bCs w:val="1"/>
                <w:color w:val="auto"/>
              </w:rPr>
              <w:t>Leases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536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1"/>
                <w:szCs w:val="21"/>
                <w:color w:val="auto"/>
              </w:rPr>
            </w:pPr>
          </w:p>
        </w:tc>
        <w:tc>
          <w:tcPr>
            <w:tcW w:w="27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c>
          <w:tcPr>
            <w:tcW w:w="20" w:type="dxa"/>
            <w:vAlign w:val="bottom"/>
          </w:tcPr>
          <w:p>
            <w:pPr>
              <w:spacing w:after="0"/>
              <w:rPr>
                <w:sz w:val="15"/>
                <w:szCs w:val="15"/>
                <w:color w:val="auto"/>
              </w:rPr>
            </w:pP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0"/>
                <w:szCs w:val="20"/>
                <w:color w:val="auto"/>
              </w:rPr>
            </w:pP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liability</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30"/>
        </w:trPr>
        <w:tc>
          <w:tcPr>
            <w:tcW w:w="5360" w:type="dxa"/>
            <w:vAlign w:val="bottom"/>
            <w:tcBorders>
              <w:bottom w:val="single" w:sz="8" w:color="D1D2D4"/>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48"/>
        </w:trPr>
        <w:tc>
          <w:tcPr>
            <w:tcW w:w="53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17"/>
                <w:szCs w:val="17"/>
                <w:color w:val="auto"/>
              </w:rPr>
            </w:pPr>
          </w:p>
        </w:tc>
        <w:tc>
          <w:tcPr>
            <w:tcW w:w="1280" w:type="dxa"/>
            <w:vAlign w:val="bottom"/>
            <w:gridSpan w:val="2"/>
          </w:tcPr>
          <w:p>
            <w:pPr>
              <w:jc w:val="right"/>
              <w:ind w:right="90"/>
              <w:spacing w:after="0" w:line="199" w:lineRule="exact"/>
              <w:rPr>
                <w:sz w:val="20"/>
                <w:szCs w:val="20"/>
                <w:color w:val="auto"/>
              </w:rPr>
            </w:pPr>
            <w:r>
              <w:rPr>
                <w:rFonts w:ascii="Arial" w:cs="Arial" w:eastAsia="Arial" w:hAnsi="Arial"/>
                <w:sz w:val="18"/>
                <w:szCs w:val="18"/>
                <w:b w:val="1"/>
                <w:bCs w:val="1"/>
                <w:color w:val="auto"/>
              </w:rPr>
              <w:t>February 27,</w:t>
            </w:r>
          </w:p>
        </w:tc>
        <w:tc>
          <w:tcPr>
            <w:tcW w:w="160" w:type="dxa"/>
            <w:vAlign w:val="bottom"/>
          </w:tcPr>
          <w:p>
            <w:pPr>
              <w:spacing w:after="0"/>
              <w:rPr>
                <w:sz w:val="17"/>
                <w:szCs w:val="17"/>
                <w:color w:val="auto"/>
              </w:rPr>
            </w:pPr>
          </w:p>
        </w:tc>
        <w:tc>
          <w:tcPr>
            <w:tcW w:w="130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gridSpan w:val="2"/>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1D2D4"/>
          </w:tcPr>
          <w:p>
            <w:pPr>
              <w:spacing w:after="0"/>
              <w:rPr>
                <w:sz w:val="19"/>
                <w:szCs w:val="19"/>
                <w:color w:val="auto"/>
              </w:rPr>
            </w:pPr>
          </w:p>
        </w:tc>
        <w:tc>
          <w:tcPr>
            <w:tcW w:w="75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919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1D2D4"/>
          </w:tcPr>
          <w:p>
            <w:pPr>
              <w:spacing w:after="0"/>
              <w:rPr>
                <w:sz w:val="19"/>
                <w:szCs w:val="19"/>
                <w:color w:val="auto"/>
              </w:rPr>
            </w:pPr>
          </w:p>
        </w:tc>
        <w:tc>
          <w:tcPr>
            <w:tcW w:w="75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6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February 27,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20"/>
              <w:spacing w:after="0" w:line="199"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96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2,822</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shd w:val="clear" w:color="auto" w:fill="D1D2D4"/>
          </w:tcPr>
          <w:p>
            <w:pPr>
              <w:spacing w:after="0"/>
              <w:rPr>
                <w:sz w:val="23"/>
                <w:szCs w:val="23"/>
                <w:color w:val="auto"/>
              </w:rPr>
            </w:pPr>
          </w:p>
        </w:tc>
        <w:tc>
          <w:tcPr>
            <w:tcW w:w="960" w:type="dxa"/>
            <w:vAlign w:val="bottom"/>
            <w:shd w:val="clear" w:color="auto" w:fill="D1D2D4"/>
          </w:tcPr>
          <w:p>
            <w:pPr>
              <w:spacing w:after="0"/>
              <w:rPr>
                <w:sz w:val="23"/>
                <w:szCs w:val="23"/>
                <w:color w:val="auto"/>
              </w:rPr>
            </w:pPr>
          </w:p>
        </w:tc>
        <w:tc>
          <w:tcPr>
            <w:tcW w:w="900" w:type="dxa"/>
            <w:vAlign w:val="bottom"/>
            <w:shd w:val="clear" w:color="auto" w:fill="D1D2D4"/>
          </w:tcPr>
          <w:p>
            <w:pPr>
              <w:spacing w:after="0"/>
              <w:rPr>
                <w:sz w:val="23"/>
                <w:szCs w:val="23"/>
                <w:color w:val="auto"/>
              </w:rPr>
            </w:pPr>
          </w:p>
        </w:tc>
        <w:tc>
          <w:tcPr>
            <w:tcW w:w="38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128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96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6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5.11 %</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6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3.57 %</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As of February 27, 2025, maturities of lease liabilities by fiscal year were as follows: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February 27, 2025, excluded obligations consisted of $860 million of finance lease obligations over a weighted-average period of 14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9"/>
              </w:rPr>
              <w:t>As of February 27, 2025</w:t>
            </w:r>
          </w:p>
        </w:tc>
        <w:tc>
          <w:tcPr>
            <w:tcW w:w="240" w:type="dxa"/>
            <w:vAlign w:val="bottom"/>
          </w:tcPr>
          <w:p>
            <w:pPr>
              <w:spacing w:after="0"/>
              <w:rPr>
                <w:sz w:val="18"/>
                <w:szCs w:val="18"/>
                <w:color w:val="auto"/>
              </w:rPr>
            </w:pPr>
          </w:p>
        </w:tc>
        <w:tc>
          <w:tcPr>
            <w:tcW w:w="398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9"/>
              </w:rPr>
              <w:t>As of August 29, 2024</w:t>
            </w:r>
          </w:p>
        </w:tc>
      </w:tr>
      <w:tr>
        <w:trPr>
          <w:trHeight w:val="169"/>
        </w:trPr>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Net Carrying</w:t>
            </w:r>
          </w:p>
        </w:tc>
      </w:tr>
      <w:tr>
        <w:trPr>
          <w:trHeight w:val="243"/>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4"/>
        </w:trPr>
        <w:tc>
          <w:tcPr>
            <w:tcW w:w="2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229"/>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270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In the first six months of 2025 and 2024, we capitalized $42 million and $40 million, respectively, for product and process technology with weighted-average useful lives of 10 years and 9 years, respectively. Amortization expense was $35 million and $ 41 million for the first six months of 2025 and 2024, respectively. Expected amortization expense is $39 million for the remainder of 2025, $61 million for 2026, $56 million for 2027, $54 million for 2028, and $46 million for 2029.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wages, and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and other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r>
      <w:tr>
        <w:trPr>
          <w:trHeight w:val="247"/>
        </w:trPr>
        <w:tc>
          <w:tcPr>
            <w:tcW w:w="14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7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30"/>
        </w:trPr>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30"/>
        </w:trPr>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30"/>
        </w:trPr>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5"/>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-916940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-334010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-951230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As of February 27, 2025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rPr>
              <w:t>As of August 29, 2024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4.185 %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4.27 % $</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2028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5.375 %</w:t>
            </w:r>
          </w:p>
        </w:tc>
        <w:tc>
          <w:tcPr>
            <w:tcW w:w="980" w:type="dxa"/>
            <w:vAlign w:val="bottom"/>
          </w:tcPr>
          <w:p>
            <w:pPr>
              <w:jc w:val="right"/>
              <w:spacing w:after="0"/>
              <w:rPr>
                <w:sz w:val="20"/>
                <w:szCs w:val="20"/>
                <w:color w:val="auto"/>
              </w:rPr>
            </w:pPr>
            <w:r>
              <w:rPr>
                <w:rFonts w:ascii="Arial" w:cs="Arial" w:eastAsia="Arial" w:hAnsi="Arial"/>
                <w:sz w:val="18"/>
                <w:szCs w:val="18"/>
                <w:color w:val="auto"/>
              </w:rPr>
              <w:t>5.52 %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5.445 %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5.48 %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5.300 %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2033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tcPr>
          <w:p>
            <w:pPr>
              <w:jc w:val="right"/>
              <w:spacing w:after="0"/>
              <w:rPr>
                <w:sz w:val="20"/>
                <w:szCs w:val="20"/>
                <w:color w:val="auto"/>
              </w:rPr>
            </w:pPr>
            <w:r>
              <w:rPr>
                <w:rFonts w:ascii="Arial" w:cs="Arial" w:eastAsia="Arial" w:hAnsi="Arial"/>
                <w:sz w:val="18"/>
                <w:szCs w:val="18"/>
                <w:color w:val="auto"/>
              </w:rPr>
              <w:t>6.01 %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2035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5.800 %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tcPr>
          <w:p>
            <w:pPr>
              <w:jc w:val="right"/>
              <w:spacing w:after="0"/>
              <w:rPr>
                <w:sz w:val="20"/>
                <w:szCs w:val="20"/>
                <w:color w:val="auto"/>
              </w:rPr>
            </w:pPr>
            <w:r>
              <w:rPr>
                <w:rFonts w:ascii="Arial" w:cs="Arial" w:eastAsia="Arial" w:hAnsi="Arial"/>
                <w:sz w:val="18"/>
                <w:szCs w:val="18"/>
                <w:color w:val="auto"/>
              </w:rPr>
              <w:t>3.41 %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5.11 %</w:t>
            </w: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2,310</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Activity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financing and prepayment activities in the first six months of 2025:</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Transaction Date</w:t>
            </w:r>
          </w:p>
        </w:tc>
        <w:tc>
          <w:tcPr>
            <w:tcW w:w="120" w:type="dxa"/>
            <w:vAlign w:val="bottom"/>
          </w:tcPr>
          <w:p>
            <w:pPr>
              <w:spacing w:after="0"/>
              <w:rPr>
                <w:sz w:val="15"/>
                <w:szCs w:val="15"/>
                <w:color w:val="auto"/>
              </w:rPr>
            </w:pPr>
          </w:p>
        </w:tc>
        <w:tc>
          <w:tcPr>
            <w:tcW w:w="1300" w:type="dxa"/>
            <w:vAlign w:val="bottom"/>
          </w:tcPr>
          <w:p>
            <w:pPr>
              <w:jc w:val="center"/>
              <w:ind w:right="30"/>
              <w:spacing w:after="0" w:line="183"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0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w w:val="99"/>
              </w:rPr>
              <w:t>(Decrease) in</w:t>
            </w:r>
          </w:p>
        </w:tc>
        <w:tc>
          <w:tcPr>
            <w:tcW w:w="0" w:type="dxa"/>
            <w:vAlign w:val="bottom"/>
          </w:tcPr>
          <w:p>
            <w:pPr>
              <w:spacing w:after="0"/>
              <w:rPr>
                <w:sz w:val="1"/>
                <w:szCs w:val="1"/>
                <w:color w:val="auto"/>
              </w:rPr>
            </w:pPr>
          </w:p>
        </w:tc>
      </w:tr>
      <w:tr>
        <w:trPr>
          <w:trHeight w:val="235"/>
        </w:trPr>
        <w:tc>
          <w:tcPr>
            <w:tcW w:w="5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Cash</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gridSpan w:val="2"/>
            <w:shd w:val="clear" w:color="auto" w:fill="D1D2D4"/>
          </w:tcPr>
          <w:p>
            <w:pPr>
              <w:spacing w:after="0"/>
              <w:rPr>
                <w:sz w:val="20"/>
                <w:szCs w:val="20"/>
                <w:color w:val="auto"/>
              </w:rPr>
            </w:pPr>
            <w:r>
              <w:rPr>
                <w:rFonts w:ascii="Arial" w:cs="Arial" w:eastAsia="Arial" w:hAnsi="Arial"/>
                <w:sz w:val="18"/>
                <w:szCs w:val="18"/>
                <w:b w:val="1"/>
                <w:bCs w:val="1"/>
                <w:color w:val="auto"/>
              </w:rPr>
              <w:t>Issuances</w:t>
            </w:r>
          </w:p>
        </w:tc>
        <w:tc>
          <w:tcPr>
            <w:tcW w:w="3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jc w:val="right"/>
              <w:spacing w:after="0"/>
              <w:rPr>
                <w:sz w:val="20"/>
                <w:szCs w:val="20"/>
                <w:color w:val="auto"/>
              </w:rPr>
            </w:pPr>
            <w:r>
              <w:rPr>
                <w:rFonts w:ascii="Arial" w:cs="Arial" w:eastAsia="Arial" w:hAnsi="Arial"/>
                <w:sz w:val="18"/>
                <w:szCs w:val="18"/>
                <w:color w:val="auto"/>
              </w:rPr>
              <w:t>2035</w:t>
            </w:r>
          </w:p>
        </w:tc>
        <w:tc>
          <w:tcPr>
            <w:tcW w:w="2660" w:type="dxa"/>
            <w:vAlign w:val="bottom"/>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16, 2025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2029</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January 17, 2025</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Prepayments</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February 12, 2025</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540" w:type="dxa"/>
            <w:vAlign w:val="bottom"/>
          </w:tcPr>
          <w:p>
            <w:pPr>
              <w:jc w:val="right"/>
              <w:spacing w:after="0"/>
              <w:rPr>
                <w:sz w:val="20"/>
                <w:szCs w:val="20"/>
                <w:color w:val="auto"/>
              </w:rPr>
            </w:pPr>
            <w:r>
              <w:rPr>
                <w:rFonts w:ascii="Arial" w:cs="Arial" w:eastAsia="Arial" w:hAnsi="Arial"/>
                <w:sz w:val="18"/>
                <w:szCs w:val="18"/>
                <w:color w:val="auto"/>
              </w:rPr>
              <w:t>2026</w:t>
            </w:r>
          </w:p>
        </w:tc>
        <w:tc>
          <w:tcPr>
            <w:tcW w:w="266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17, 2025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30"/>
        </w:trPr>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2027</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January 17, 2025</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2035 Notes</w:t>
      </w:r>
    </w:p>
    <w:p>
      <w:pPr>
        <w:spacing w:after="0" w:line="24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On January 16, 2025, we issued $1.00 billion principal amount of senior unsecured 2035 Notes in a public offering. The 2035 Notes bear interest at a rate of 5.80% per year and will mature on January 15, 2035.</w:t>
      </w:r>
    </w:p>
    <w:p>
      <w:pPr>
        <w:spacing w:after="0" w:line="200" w:lineRule="exact"/>
        <w:rPr>
          <w:sz w:val="20"/>
          <w:szCs w:val="20"/>
          <w:color w:val="auto"/>
        </w:rPr>
      </w:pPr>
    </w:p>
    <w:p>
      <w:pPr>
        <w:spacing w:after="0" w:line="21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Prior to October 15, 2034 (the “Par Call Date”), we may redeem the 2035 Notes, in whole or in part, at a redemption price equal to the greater of (i) 100% of the principal amount of the notes to be redeemed and (ii) the present value of the remaining scheduled payments of principal and interest, plus, in each case, accrued interest. On or after the Par Call Date, we may redeem the 2035 Notes, in whole or in part, at a redemption price equal to 100% of the principal amount of the 2035 Notes to be redeemed plus accrued interest.</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2035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2035 Notes) to (1) create or incur certain liens; (2) enter into certain sale and lease-back transactions with respect to any principal property;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the 2035 Notes, we will be required to offer to repurchase the 2035 Notes at a price equal to 101% of the principal amount plus accrued interest up to the repurchase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2029 Term Loan A</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January 17, 2025, we entered into a term loan agreement and borrowed $1.68 billion in principal amount due January 17, 2029 (the “Term Loan Agreement”). Borrowings under the Term Loan Agreement will generally bear interest at adjusted term SOFR plus an applicable interest rate margin ranging from 0.875% to 1.50%, depending on our corporate credit ratings.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Term Loan Agreement requires us to maintain, on a consolidated basis, a net leverage ratio of total net indebtedness to adjusted EBITDA, as defined in the Term Loan Agreement and calculated as of the last day of each fiscal quarter, not to exceed 3.25 to 1.00, subject to a temporary four fiscal quarter increase in such maximum ratio to 3.75 to 1.00 following certain material acquisitions. Our obligations under the Term Loan Agreement are unsecured.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2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March 12, 2025, we terminated our existing undrawn credit facility and entered into a new five-year unsecured Revolving Credit Facility. Under the Revolving Credit Facility, we can draw up to $3.50 billion which would generally bear interest at a rate equal to adjusted term SOFR plus 0.875% to 1.50%, depending on our corporate credit ratings. Any amounts outstanding under the Revolving Credit Facility would mature on March 12, 2030 and amounts borrowed may be prepaid without penalty.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contains the same net leverage ratio and substantially the same other covenants as the Term Loan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Maturities of Notes Payable and Term Loans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February 27, 2025, maturities of notes payable and term loans by fiscal year were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2025</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2,384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2030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11,541</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invalid to the U.S. Court of Appeals for the Federal Circuit (“Federal Circuit”). On July 30, 2024, the USPTO issued a FWD finding unpatentable all asserted claims of the ‘417 patent. On December 10, 2024, Netlist filed a notice that it will appeal the ruling that the ‘417 patent is invalid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10"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auto"/>
        </w:rPr>
        <w:t>On January 23, 2023, Besang Inc. filed a patent infringement complaint against Micron in the U.S. District Court for the E.D. Tex. The complaint alleges that one U.S. patent is infringed by certain of our 3D NAND and SSD products. The complaint seeks an injunction, damages, attorneys’ fees, and costs.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Micron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MTI and MSS infringed five Chinese patents owned by YMTC by importing, selling, offering for sale, and assisting others to sell certain 3D NAND products and SSDs in China. The complaint seeks an injunction, damages, attorneys’ fees, and costs.</w:t>
      </w:r>
    </w:p>
    <w:p>
      <w:pPr>
        <w:spacing w:after="0" w:line="196"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On October 16, 2024, Palisade Technologies, LLP filed a patent infringement lawsuit against Micron and MSP in the U.S. District Court for the W.D. Tex. The complaint alleges that five U.S. patents are infringed by certain of our DRAM, NAND, 3D NAND, and SSD products. The complaint seeks an injunction, damages, attorneys’ fees, and costs.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Class Action Matters</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9, 2025, a putative class action complaint was filed against Micron and certain individual officers in the U.S. District Court for the Southern District of Florida for alleged violations of the Securities Exchange Act of 1934. The complaint alleges defendants made materially false or misleading statements during a putative class period from September 18, 2024 to December 18, 2024, regarding the demand for Micron's products, particularly NAND and consumer-oriented products. The complaint seeks unspecified compensatory damages, attorneys' fees and costs.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Derivative Matters</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20, 2025, a shareholder derivative complaint was filed by a purported shareholder against certain individual directors and officers of Micron, allegedly on behalf of and for the benefit of Micron, in the U.S. District Court for the District of Idaho. On February 21, 2025, a similar related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class action matter. The complaints seek various unspecified damages allegedly suffered by Micron, restitution, attorneys' fees and costs and other relief, including reforms and improvements to our corporate governance and internal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No shares were repurchased in the first six months of 2025. Through February 27, 2025, we had repurchased an aggregate of $7.19 billion under the authorization. Amounts repurchased are included in treasury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declared and paid dividends of $0.115 per share in the first and second quarters of 2025. On March 20, 2025, our Board of Directors declared a quarterly dividend of $0.115 per share, payable in cash on April 15, 2025, to shareholders of record as of the close of business on March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six months ended February 27, 2025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5"/>
                <w:szCs w:val="15"/>
                <w:color w:val="auto"/>
              </w:rPr>
            </w:pPr>
          </w:p>
        </w:tc>
        <w:tc>
          <w:tcPr>
            <w:tcW w:w="120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660" w:type="dxa"/>
            <w:vAlign w:val="bottom"/>
            <w:gridSpan w:val="4"/>
          </w:tcPr>
          <w:p>
            <w:pPr>
              <w:jc w:val="right"/>
              <w:spacing w:after="0" w:line="189"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5"/>
                <w:szCs w:val="15"/>
                <w:color w:val="auto"/>
              </w:rPr>
            </w:pPr>
          </w:p>
        </w:tc>
        <w:tc>
          <w:tcPr>
            <w:tcW w:w="12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64"/>
        </w:trPr>
        <w:tc>
          <w:tcPr>
            <w:tcW w:w="4580" w:type="dxa"/>
            <w:vAlign w:val="bottom"/>
          </w:tcPr>
          <w:p>
            <w:pPr>
              <w:ind w:left="240"/>
              <w:spacing w:after="0" w:line="164"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00" w:type="dxa"/>
            <w:vAlign w:val="bottom"/>
            <w:vMerge w:val="restart"/>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5"/>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D1D2D4"/>
          </w:tcPr>
          <w:p>
            <w:pPr>
              <w:ind w:left="240"/>
              <w:spacing w:after="0" w:line="183"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5"/>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22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February 27,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As of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17780</wp:posOffset>
            </wp:positionV>
            <wp:extent cx="1834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9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17780</wp:posOffset>
            </wp:positionV>
            <wp:extent cx="1834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tabs>
          <w:tab w:leader="none" w:pos="142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8345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120" w:space="720"/>
            <w:col w:w="2400"/>
          </w:cols>
          <w:pgMar w:left="320" w:top="125"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160" w:val="left"/>
          <w:tab w:leader="none" w:pos="10600" w:val="left"/>
        </w:tabs>
        <w:rPr>
          <w:sz w:val="20"/>
          <w:szCs w:val="20"/>
          <w:color w:val="auto"/>
        </w:rPr>
      </w:pPr>
      <w:r>
        <w:rPr>
          <w:rFonts w:ascii="Arial" w:cs="Arial" w:eastAsia="Arial" w:hAnsi="Arial"/>
          <w:sz w:val="18"/>
          <w:szCs w:val="18"/>
          <w:color w:val="auto"/>
        </w:rPr>
        <w:t>Notes payable and term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11,413 $</w:t>
      </w:r>
      <w:r>
        <w:rPr>
          <w:sz w:val="20"/>
          <w:szCs w:val="20"/>
          <w:color w:val="auto"/>
        </w:rPr>
        <w:tab/>
      </w:r>
      <w:r>
        <w:rPr>
          <w:rFonts w:ascii="Arial" w:cs="Arial" w:eastAsia="Arial" w:hAnsi="Arial"/>
          <w:sz w:val="18"/>
          <w:szCs w:val="18"/>
          <w:color w:val="auto"/>
        </w:rPr>
        <w:t>11,541</w:t>
        <w:tab/>
        <w:t>$</w:t>
      </w:r>
      <w:r>
        <w:rPr>
          <w:sz w:val="20"/>
          <w:szCs w:val="20"/>
          <w:color w:val="auto"/>
        </w:rPr>
        <w:tab/>
      </w:r>
      <w:r>
        <w:rPr>
          <w:rFonts w:ascii="Arial" w:cs="Arial" w:eastAsia="Arial" w:hAnsi="Arial"/>
          <w:sz w:val="18"/>
          <w:szCs w:val="18"/>
          <w:color w:val="auto"/>
        </w:rPr>
        <w:t>11,316 $</w:t>
      </w:r>
      <w:r>
        <w:rPr>
          <w:sz w:val="20"/>
          <w:szCs w:val="20"/>
          <w:color w:val="auto"/>
        </w:rPr>
        <w:tab/>
      </w:r>
      <w:r>
        <w:rPr>
          <w:rFonts w:ascii="Arial" w:cs="Arial" w:eastAsia="Arial" w:hAnsi="Arial"/>
          <w:sz w:val="17"/>
          <w:szCs w:val="17"/>
          <w:color w:val="auto"/>
        </w:rPr>
        <w:t>11,343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750"/>
              <w:spacing w:after="0" w:line="230"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1"/>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(2)</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February 27, 2025</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2,457</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590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2,887</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D1D2D4"/>
            </w:tcBorders>
          </w:tcPr>
          <w:p>
            <w:pPr>
              <w:spacing w:after="0" w:line="20" w:lineRule="exact"/>
              <w:rPr>
                <w:sz w:val="1"/>
                <w:szCs w:val="1"/>
                <w:color w:val="auto"/>
              </w:rPr>
            </w:pPr>
          </w:p>
        </w:tc>
        <w:tc>
          <w:tcPr>
            <w:tcW w:w="1180" w:type="dxa"/>
            <w:vAlign w:val="bottom"/>
            <w:tcBorders>
              <w:bottom w:val="single" w:sz="8" w:color="D1D2D4"/>
            </w:tcBorders>
          </w:tcPr>
          <w:p>
            <w:pPr>
              <w:spacing w:after="0" w:line="20" w:lineRule="exact"/>
              <w:rPr>
                <w:sz w:val="1"/>
                <w:szCs w:val="1"/>
                <w:color w:val="auto"/>
              </w:rPr>
            </w:pPr>
          </w:p>
        </w:tc>
        <w:tc>
          <w:tcPr>
            <w:tcW w:w="12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As of August 29, 2024</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Fair value currency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60" w:right="440" w:hanging="252"/>
        <w:spacing w:after="0" w:line="228" w:lineRule="auto"/>
        <w:tabs>
          <w:tab w:leader="none" w:pos="254"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Forward and swap contracts are measured at fair value based on market-based observable inputs including market spot and forward rates, interest rates, and credit-risk spreads (Level 2).</w:t>
      </w:r>
    </w:p>
    <w:p>
      <w:pPr>
        <w:ind w:left="240" w:hanging="232"/>
        <w:spacing w:after="0" w:line="196"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r>
              <w:rPr>
                <w:rFonts w:ascii="Arial" w:cs="Arial" w:eastAsia="Arial" w:hAnsi="Arial"/>
                <w:sz w:val="18"/>
                <w:szCs w:val="18"/>
                <w:color w:val="auto"/>
              </w:rPr>
              <w:t>The effects of cash flow hedging activities were as follows: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1"/>
                <w:szCs w:val="21"/>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February 27,</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36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Gain (loss) from cash flow hedges in accumulated other</w:t>
            </w:r>
          </w:p>
        </w:tc>
        <w:tc>
          <w:tcPr>
            <w:tcW w:w="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D1D2D4"/>
          </w:tcPr>
          <w:p>
            <w:pPr>
              <w:jc w:val="center"/>
              <w:ind w:left="870"/>
              <w:spacing w:after="0"/>
              <w:rPr>
                <w:sz w:val="20"/>
                <w:szCs w:val="20"/>
                <w:color w:val="auto"/>
              </w:rPr>
            </w:pPr>
            <w:r>
              <w:rPr>
                <w:rFonts w:ascii="Arial" w:cs="Arial" w:eastAsia="Arial" w:hAnsi="Arial"/>
                <w:sz w:val="18"/>
                <w:szCs w:val="18"/>
                <w:color w:val="auto"/>
                <w:w w:val="99"/>
              </w:rPr>
              <w:t>17</w:t>
            </w:r>
          </w:p>
        </w:tc>
        <w:tc>
          <w:tcPr>
            <w:tcW w:w="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1D2D4"/>
          </w:tcPr>
          <w:p>
            <w:pPr>
              <w:spacing w:after="0"/>
              <w:rPr>
                <w:sz w:val="15"/>
                <w:szCs w:val="15"/>
                <w:color w:val="auto"/>
              </w:rPr>
            </w:pPr>
          </w:p>
        </w:tc>
        <w:tc>
          <w:tcPr>
            <w:tcW w:w="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comprehensive income (loss)</w:t>
            </w:r>
          </w:p>
        </w:tc>
        <w:tc>
          <w:tcPr>
            <w:tcW w:w="160" w:type="dxa"/>
            <w:vAlign w:val="bottom"/>
            <w:vMerge w:val="continue"/>
            <w:shd w:val="clear" w:color="auto" w:fill="D1D2D4"/>
          </w:tcPr>
          <w:p>
            <w:pPr>
              <w:spacing w:after="0"/>
              <w:rPr>
                <w:sz w:val="21"/>
                <w:szCs w:val="21"/>
                <w:color w:val="auto"/>
              </w:rPr>
            </w:pPr>
          </w:p>
        </w:tc>
        <w:tc>
          <w:tcPr>
            <w:tcW w:w="1280" w:type="dxa"/>
            <w:vAlign w:val="bottom"/>
            <w:vMerge w:val="continue"/>
            <w:shd w:val="clear" w:color="auto" w:fill="D1D2D4"/>
          </w:tcPr>
          <w:p>
            <w:pPr>
              <w:spacing w:after="0"/>
              <w:rPr>
                <w:sz w:val="21"/>
                <w:szCs w:val="21"/>
                <w:color w:val="auto"/>
              </w:rPr>
            </w:pPr>
          </w:p>
        </w:tc>
        <w:tc>
          <w:tcPr>
            <w:tcW w:w="160" w:type="dxa"/>
            <w:vAlign w:val="bottom"/>
            <w:vMerge w:val="continue"/>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140" w:type="dxa"/>
            <w:vAlign w:val="bottom"/>
            <w:vMerge w:val="continue"/>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140" w:type="dxa"/>
            <w:vAlign w:val="bottom"/>
            <w:vMerge w:val="continue"/>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rPr>
              <w:t>Gain (loss) excluded from effectiveness testing in cost of goods</w:t>
            </w:r>
          </w:p>
        </w:tc>
        <w:tc>
          <w:tcPr>
            <w:tcW w:w="160" w:type="dxa"/>
            <w:vAlign w:val="bottom"/>
          </w:tcPr>
          <w:p>
            <w:pPr>
              <w:spacing w:after="0"/>
              <w:rPr>
                <w:sz w:val="15"/>
                <w:szCs w:val="15"/>
                <w:color w:val="auto"/>
              </w:rPr>
            </w:pPr>
          </w:p>
        </w:tc>
        <w:tc>
          <w:tcPr>
            <w:tcW w:w="1280" w:type="dxa"/>
            <w:vAlign w:val="bottom"/>
            <w:vMerge w:val="restart"/>
          </w:tcPr>
          <w:p>
            <w:pPr>
              <w:jc w:val="center"/>
              <w:ind w:left="830"/>
              <w:spacing w:after="0"/>
              <w:rPr>
                <w:sz w:val="20"/>
                <w:szCs w:val="20"/>
                <w:color w:val="auto"/>
              </w:rPr>
            </w:pPr>
            <w:r>
              <w:rPr>
                <w:rFonts w:ascii="Arial" w:cs="Arial" w:eastAsia="Arial" w:hAnsi="Arial"/>
                <w:sz w:val="18"/>
                <w:szCs w:val="18"/>
                <w:color w:val="auto"/>
                <w:w w:val="99"/>
              </w:rPr>
              <w:t>(27)</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sold</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Gain (loss) reclassified from accumulated other comprehensive</w:t>
            </w:r>
          </w:p>
        </w:tc>
        <w:tc>
          <w:tcPr>
            <w:tcW w:w="160" w:type="dxa"/>
            <w:vAlign w:val="bottom"/>
            <w:shd w:val="clear" w:color="auto" w:fill="D1D2D4"/>
          </w:tcPr>
          <w:p>
            <w:pPr>
              <w:spacing w:after="0"/>
              <w:rPr>
                <w:sz w:val="15"/>
                <w:szCs w:val="15"/>
                <w:color w:val="auto"/>
              </w:rPr>
            </w:pPr>
          </w:p>
        </w:tc>
        <w:tc>
          <w:tcPr>
            <w:tcW w:w="1280" w:type="dxa"/>
            <w:vAlign w:val="bottom"/>
            <w:vMerge w:val="restart"/>
            <w:shd w:val="clear" w:color="auto" w:fill="D1D2D4"/>
          </w:tcPr>
          <w:p>
            <w:pPr>
              <w:jc w:val="center"/>
              <w:ind w:left="830"/>
              <w:spacing w:after="0"/>
              <w:rPr>
                <w:sz w:val="20"/>
                <w:szCs w:val="20"/>
                <w:color w:val="auto"/>
              </w:rPr>
            </w:pPr>
            <w:r>
              <w:rPr>
                <w:rFonts w:ascii="Arial" w:cs="Arial" w:eastAsia="Arial" w:hAnsi="Arial"/>
                <w:sz w:val="18"/>
                <w:szCs w:val="18"/>
                <w:color w:val="auto"/>
                <w:w w:val="99"/>
              </w:rPr>
              <w:t>(34)</w:t>
            </w:r>
          </w:p>
        </w:tc>
        <w:tc>
          <w:tcPr>
            <w:tcW w:w="16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to earnings, primarily to cost of goods sold</w:t>
            </w:r>
          </w:p>
        </w:tc>
        <w:tc>
          <w:tcPr>
            <w:tcW w:w="160" w:type="dxa"/>
            <w:vAlign w:val="bottom"/>
            <w:shd w:val="clear" w:color="auto" w:fill="D1D2D4"/>
          </w:tcPr>
          <w:p>
            <w:pPr>
              <w:spacing w:after="0"/>
              <w:rPr>
                <w:sz w:val="21"/>
                <w:szCs w:val="21"/>
                <w:color w:val="auto"/>
              </w:rPr>
            </w:pPr>
          </w:p>
        </w:tc>
        <w:tc>
          <w:tcPr>
            <w:tcW w:w="1280" w:type="dxa"/>
            <w:vAlign w:val="bottom"/>
            <w:vMerge w:val="continue"/>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30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As of February 27, 2025, we expect to reclassify $102 million of pre-tax losses related to cash flow hedges from accumulated other comprehensive income (loss) into earnings in the next 12 months.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currency forward contracts that generally mature within one year designated as fair value hedges to minimize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exposure to changes in currency exchange rates for non-U.S.-dollar-denominated cash and investments in debt securities. The fair value of our hedged cash and investments in debt securities was $2.43 billion as of February 27, 2025. The changes in the fair values of derivatives designated as fair value hedges and the offsetting changes in the underlying fair values of the hedged items are both recognized in earnings.</w:t>
      </w:r>
    </w:p>
    <w:p>
      <w:pPr>
        <w:spacing w:after="0" w:line="2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recognized gains of $49 million and $145 million for the second quarter and first six months of 2025, respectively, for changes in the fair values of our fair value currency hedges and offsetting losses of $ 42 million and $139 million for the second quarter and first six months of 2025, respectively, for changes in the underlying fair values of the hedged items in other non-operating income (expense). The effects of the fair value currency hedges and the hedged items were not significant for the other periods presented.</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also utilize fixed-to-floating interest rate swaps designated as fair value hedges to minimize certain exposures to changes in the fair value of fixed-rate debt that result from fluctuations in benchmark interest rates. The effects of fair value hedges on our consolidated statements of operations, recognized in interest expense, were not significant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w:t>
      </w:r>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recognized losses of $12 million and $68 million for derivative instruments without hedge accounting designation for the second quarter and first six months of 2025, respectively. The amounts recognized in our consolidated statements of operations for the other periods presented were not significant. We do not use derivative instruments for speculative purposes.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Plans</w:t>
      </w:r>
    </w:p>
    <w:p>
      <w:pPr>
        <w:spacing w:after="0" w:line="25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of February 27, 2025, 57 million shares of our common stock were available for future awards under our equity compensation plans, including 9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3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February 27,</w:t>
            </w: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vMerge w:val="continue"/>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3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100.65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Stock Purchase Plan (“ESPP”)</w:t>
      </w:r>
    </w:p>
    <w:p>
      <w:pPr>
        <w:spacing w:after="0" w:line="24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each six-month ESPP offering period that ended in the second quarter of 2025 and 2024, employees purchased 2 million in each period at a share price of $78.63 and $60.68, respectively.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$118 million and $99 million was capitalized and remained in inventory as of February 27, 2025 and August 29, 2024,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53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ESPP</w:t>
            </w:r>
          </w:p>
        </w:tc>
        <w:tc>
          <w:tcPr>
            <w:tcW w:w="16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1"/>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760"/>
        <w:spacing w:after="0" w:line="287" w:lineRule="auto"/>
        <w:rPr>
          <w:sz w:val="20"/>
          <w:szCs w:val="20"/>
          <w:color w:val="auto"/>
        </w:rPr>
      </w:pPr>
      <w:r>
        <w:rPr>
          <w:rFonts w:ascii="Arial" w:cs="Arial" w:eastAsia="Arial" w:hAnsi="Arial"/>
          <w:sz w:val="18"/>
          <w:szCs w:val="18"/>
          <w:color w:val="auto"/>
        </w:rPr>
        <w:t>As of February 27, 2025, $1.96 billion of total unrecognized compensation costs for unvested awards, before the effect of any future forfeitures, was expected to be recognized through the second quarter of 2029, resulting in a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6,123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12,523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7,585</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NAND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16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5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w:t>
            </w:r>
          </w:p>
        </w:tc>
      </w:tr>
      <w:tr>
        <w:trPr>
          <w:trHeight w:val="21"/>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“Item 1. Financial Statements – Notes to Consolidated Financial Statements – Segment and Other Information” for disclosure of disaggregated revenue by market segment.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February 27, 2025, our future performance obligations beyond one year were $142 million, which included customer prepayments and other contract liabilities.</w:t>
      </w:r>
    </w:p>
    <w:p>
      <w:pPr>
        <w:spacing w:after="0" w:line="20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February 27, 2025 and August 29, 2024, customer prepayments made to secure product supply in future periods and other contract liabilities were $555 million and $907 million, respectively, of which $ 413 million and $766 million were reported in other current liabilities, respectively. The remainder of the customer prepayments and other contract liabilities were in other noncurrent liabilities. Revenue recognized during the first six months of 2025 from the beginning balance as of August 29, 2024 included $365 million from shipments against customer prepayments and other contract liabilities.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February 27, 2025 and August 29, 2024, other current liabilities included $756 million and $718 million, respectively, for estimates of consideration payable to customers including estimates for pricing adjustments and returns.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ind w:left="6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18"/>
                <w:szCs w:val="18"/>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Patent cross-license agreement gain</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536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3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4980" w:type="dxa"/>
            <w:vAlign w:val="bottom"/>
          </w:tcPr>
          <w:p>
            <w:pPr>
              <w:spacing w:after="0"/>
              <w:rPr>
                <w:sz w:val="20"/>
                <w:szCs w:val="20"/>
                <w:color w:val="auto"/>
              </w:rPr>
            </w:pPr>
            <w:r>
              <w:rPr>
                <w:rFonts w:ascii="Arial" w:cs="Arial" w:eastAsia="Arial" w:hAnsi="Arial"/>
                <w:sz w:val="40"/>
                <w:szCs w:val="40"/>
                <w:b w:val="1"/>
                <w:bCs w:val="1"/>
                <w:color w:val="auto"/>
              </w:rPr>
              <w:t>Income Taxes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49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4"/>
          </w:tcPr>
          <w:p>
            <w:pPr>
              <w:ind w:left="740"/>
              <w:spacing w:after="0"/>
              <w:rPr>
                <w:sz w:val="20"/>
                <w:szCs w:val="20"/>
                <w:color w:val="auto"/>
              </w:rPr>
            </w:pPr>
            <w:r>
              <w:rPr>
                <w:rFonts w:ascii="Arial" w:cs="Arial" w:eastAsia="Arial" w:hAnsi="Arial"/>
                <w:sz w:val="18"/>
                <w:szCs w:val="18"/>
                <w:b w:val="1"/>
                <w:bCs w:val="1"/>
                <w:color w:val="auto"/>
              </w:rPr>
              <w:t>Quarter Ended</w:t>
            </w:r>
          </w:p>
        </w:tc>
        <w:tc>
          <w:tcPr>
            <w:tcW w:w="3100" w:type="dxa"/>
            <w:vAlign w:val="bottom"/>
            <w:gridSpan w:val="4"/>
          </w:tcPr>
          <w:p>
            <w:pPr>
              <w:ind w:left="76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49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620" w:type="dxa"/>
            <w:vAlign w:val="bottom"/>
            <w:tcBorders>
              <w:top w:val="single" w:sz="8" w:color="auto"/>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February 27,</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b w:val="1"/>
                <w:bCs w:val="1"/>
                <w:color w:val="auto"/>
              </w:rPr>
              <w:t>February 29,</w:t>
            </w:r>
          </w:p>
        </w:tc>
        <w:tc>
          <w:tcPr>
            <w:tcW w:w="20" w:type="dxa"/>
            <w:vAlign w:val="bottom"/>
          </w:tcPr>
          <w:p>
            <w:pPr>
              <w:spacing w:after="0"/>
              <w:rPr>
                <w:sz w:val="15"/>
                <w:szCs w:val="15"/>
                <w:color w:val="auto"/>
              </w:rPr>
            </w:pPr>
          </w:p>
        </w:tc>
      </w:tr>
      <w:tr>
        <w:trPr>
          <w:trHeight w:val="235"/>
        </w:trPr>
        <w:tc>
          <w:tcPr>
            <w:tcW w:w="4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0"/>
                <w:szCs w:val="20"/>
                <w:color w:val="auto"/>
              </w:rPr>
            </w:pPr>
          </w:p>
        </w:tc>
      </w:tr>
      <w:tr>
        <w:trPr>
          <w:trHeight w:val="34"/>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center"/>
              <w:ind w:left="490"/>
              <w:spacing w:after="0"/>
              <w:rPr>
                <w:sz w:val="20"/>
                <w:szCs w:val="20"/>
                <w:color w:val="auto"/>
              </w:rPr>
            </w:pPr>
            <w:r>
              <w:rPr>
                <w:rFonts w:ascii="Arial" w:cs="Arial" w:eastAsia="Arial" w:hAnsi="Arial"/>
                <w:sz w:val="18"/>
                <w:szCs w:val="18"/>
                <w:color w:val="auto"/>
                <w:w w:val="99"/>
              </w:rPr>
              <w:t>170</w:t>
            </w:r>
          </w:p>
        </w:tc>
        <w:tc>
          <w:tcPr>
            <w:tcW w:w="100" w:type="dxa"/>
            <w:vAlign w:val="bottom"/>
            <w:shd w:val="clear" w:color="auto" w:fill="D1D2D4"/>
          </w:tcPr>
          <w:p>
            <w:pPr>
              <w:spacing w:after="0"/>
              <w:rPr>
                <w:sz w:val="19"/>
                <w:szCs w:val="19"/>
                <w:color w:val="auto"/>
              </w:rPr>
            </w:pPr>
          </w:p>
        </w:tc>
        <w:tc>
          <w:tcPr>
            <w:tcW w:w="1620" w:type="dxa"/>
            <w:vAlign w:val="bottom"/>
            <w:shd w:val="clear" w:color="auto" w:fill="D1D2D4"/>
          </w:tcPr>
          <w:p>
            <w:pPr>
              <w:jc w:val="right"/>
              <w:ind w:right="230"/>
              <w:spacing w:after="0"/>
              <w:rPr>
                <w:sz w:val="20"/>
                <w:szCs w:val="20"/>
                <w:color w:val="auto"/>
              </w:rPr>
            </w:pPr>
            <w:r>
              <w:rPr>
                <w:rFonts w:ascii="Arial" w:cs="Arial" w:eastAsia="Arial" w:hAnsi="Arial"/>
                <w:sz w:val="18"/>
                <w:szCs w:val="18"/>
                <w:color w:val="auto"/>
              </w:rPr>
              <w:t>3,910</w:t>
            </w:r>
          </w:p>
        </w:tc>
        <w:tc>
          <w:tcPr>
            <w:tcW w:w="146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1360" w:type="dxa"/>
            <w:vAlign w:val="bottom"/>
          </w:tcPr>
          <w:p>
            <w:pPr>
              <w:jc w:val="center"/>
              <w:ind w:left="490"/>
              <w:spacing w:after="0"/>
              <w:rPr>
                <w:sz w:val="20"/>
                <w:szCs w:val="20"/>
                <w:color w:val="auto"/>
              </w:rPr>
            </w:pPr>
            <w:r>
              <w:rPr>
                <w:rFonts w:ascii="Arial" w:cs="Arial" w:eastAsia="Arial" w:hAnsi="Arial"/>
                <w:sz w:val="18"/>
                <w:szCs w:val="18"/>
                <w:color w:val="auto"/>
                <w:w w:val="99"/>
              </w:rPr>
              <w:t>622</w:t>
            </w:r>
          </w:p>
        </w:tc>
        <w:tc>
          <w:tcPr>
            <w:tcW w:w="100" w:type="dxa"/>
            <w:vAlign w:val="bottom"/>
          </w:tcPr>
          <w:p>
            <w:pPr>
              <w:spacing w:after="0"/>
              <w:rPr>
                <w:sz w:val="19"/>
                <w:szCs w:val="19"/>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(460)</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10.1 %</w:t>
            </w:r>
          </w:p>
        </w:tc>
        <w:tc>
          <w:tcPr>
            <w:tcW w:w="180" w:type="dxa"/>
            <w:vAlign w:val="bottom"/>
            <w:shd w:val="clear" w:color="auto" w:fill="D1D2D4"/>
          </w:tcPr>
          <w:p>
            <w:pPr>
              <w:spacing w:after="0"/>
              <w:rPr>
                <w:sz w:val="19"/>
                <w:szCs w:val="19"/>
                <w:color w:val="auto"/>
              </w:rPr>
            </w:pPr>
          </w:p>
        </w:tc>
        <w:tc>
          <w:tcPr>
            <w:tcW w:w="1360" w:type="dxa"/>
            <w:vAlign w:val="bottom"/>
            <w:shd w:val="clear" w:color="auto" w:fill="D1D2D4"/>
          </w:tcPr>
          <w:p>
            <w:pPr>
              <w:jc w:val="center"/>
              <w:ind w:left="490"/>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D1D2D4"/>
          </w:tcPr>
          <w:p>
            <w:pPr>
              <w:spacing w:after="0"/>
              <w:rPr>
                <w:sz w:val="19"/>
                <w:szCs w:val="19"/>
                <w:color w:val="auto"/>
              </w:rPr>
            </w:pPr>
          </w:p>
        </w:tc>
        <w:tc>
          <w:tcPr>
            <w:tcW w:w="16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11.8 %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55.7 %</w:t>
            </w:r>
          </w:p>
        </w:tc>
        <w:tc>
          <w:tcPr>
            <w:tcW w:w="20" w:type="dxa"/>
            <w:vAlign w:val="bottom"/>
          </w:tcPr>
          <w:p>
            <w:pPr>
              <w:spacing w:after="0"/>
              <w:rPr>
                <w:sz w:val="19"/>
                <w:szCs w:val="19"/>
                <w:color w:val="auto"/>
              </w:rPr>
            </w:pPr>
          </w:p>
        </w:tc>
      </w:tr>
    </w:tbl>
    <w:p>
      <w:pPr>
        <w:spacing w:after="0" w:line="30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For the first quarter of 2024, our tax expense was based on actual results for jurisdictions where small changes in our projected pre-tax income would have caused significant changes in the estimated annual effective tax rate. Beginning in the second quarter of 2024, we were able to estimate a more reliable annual effective tax rate and reverted to a global annual effective tax rate method for all jurisdictions. Applying this updated rate to our year-to-date earnings resulted in the tax benefit of $622 million recognized in the second quarter of 2024.</w:t>
      </w:r>
    </w:p>
    <w:p>
      <w:pPr>
        <w:spacing w:after="0" w:line="2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change in our effective tax rate for the second quarter of 2025 as compared to the second quarter of 2024 was primarily due to changes in profitability and the aforementioned calculation of our tax expense in the second quarter of 2024. The change in our effective tax rate for the first six months of 2025 as compared to the first six months of 2024 was primarily due to changes in profitability.</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$171 million (benefiting our diluted earnings per share by $0.15) and $ 383 million (benefiting our diluted earnings per share by $0.34) for the second quarter and first six months of 2025, respectively. As a result of the low level of profitability and geographic mix of income, the benefit from tax incentive arrangements was not material for the second quarter and first six months of 2024.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18"/>
                <w:szCs w:val="18"/>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rPr>
              <w:t>February 27,</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29,</w:t>
            </w:r>
          </w:p>
        </w:tc>
      </w:tr>
      <w:tr>
        <w:trPr>
          <w:trHeight w:val="243"/>
        </w:trPr>
        <w:tc>
          <w:tcPr>
            <w:tcW w:w="5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3,453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(441)</w:t>
            </w: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compensation plans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1,102</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60" w:type="dxa"/>
            <w:vAlign w:val="bottom"/>
          </w:tcPr>
          <w:p>
            <w:pPr>
              <w:ind w:left="3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(0.40)</w:t>
            </w:r>
          </w:p>
        </w:tc>
      </w:tr>
    </w:tbl>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9 million and 6 million for the second quarter and first six months of 2025, respectively, and were 4 million and 33 million for the second quarter and first six months of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12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the data center, PC,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ind w:left="340" w:right="62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storage solutions sold into the data center, PC, and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the smartphone and other mobile-device markets.</w:t>
      </w:r>
    </w:p>
    <w:p>
      <w:pPr>
        <w:spacing w:after="0" w:line="9" w:lineRule="exact"/>
        <w:rPr>
          <w:sz w:val="20"/>
          <w:szCs w:val="20"/>
          <w:color w:val="auto"/>
        </w:rPr>
      </w:pPr>
    </w:p>
    <w:p>
      <w:pPr>
        <w:ind w:left="340" w:right="760" w:hanging="323"/>
        <w:spacing w:after="0" w:line="266" w:lineRule="auto"/>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the intelligent edge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industrial, and consumer embedded markets.</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7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27,</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rPr>
              <w:t>February 27,</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b w:val="1"/>
                <w:bCs w:val="1"/>
                <w:color w:val="auto"/>
              </w:rPr>
              <w:t>February 29,</w:t>
            </w:r>
          </w:p>
        </w:tc>
      </w:tr>
      <w:tr>
        <w:trPr>
          <w:trHeight w:val="235"/>
        </w:trPr>
        <w:tc>
          <w:tcPr>
            <w:tcW w:w="5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3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CNBU</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8,959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3,922</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MBU</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2,891</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2,148</w:t>
            </w:r>
          </w:p>
        </w:tc>
      </w:tr>
      <w:tr>
        <w:trPr>
          <w:trHeight w:val="229"/>
        </w:trPr>
        <w:tc>
          <w:tcPr>
            <w:tcW w:w="5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16,762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10,550</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CNBU</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MBU</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360" w:type="dxa"/>
            <w:vAlign w:val="bottom"/>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(1,738)</w:t>
            </w: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987</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360" w:type="dxa"/>
            <w:vAlign w:val="bottom"/>
            <w:tcBorders>
              <w:bottom w:val="single" w:sz="8" w:color="D1D2D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D1D2D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37"/>
        </w:trPr>
        <w:tc>
          <w:tcPr>
            <w:tcW w:w="5360" w:type="dxa"/>
            <w:vAlign w:val="bottom"/>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1280" w:type="dxa"/>
            <w:vAlign w:val="bottom"/>
            <w:tcBorders>
              <w:bottom w:val="single" w:sz="8" w:color="auto"/>
            </w:tcBorders>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spacing w:after="0"/>
              <w:rPr>
                <w:sz w:val="20"/>
                <w:szCs w:val="20"/>
                <w:color w:val="auto"/>
              </w:rPr>
            </w:pPr>
          </w:p>
        </w:tc>
        <w:tc>
          <w:tcPr>
            <w:tcW w:w="14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spacing w:after="0"/>
              <w:rPr>
                <w:sz w:val="20"/>
                <w:szCs w:val="20"/>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670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410"/>
        </w:trPr>
        <w:tc>
          <w:tcPr>
            <w:tcW w:w="9760" w:type="dxa"/>
            <w:vAlign w:val="bottom"/>
            <w:gridSpan w:val="2"/>
          </w:tcPr>
          <w:p>
            <w:pPr>
              <w:spacing w:after="0"/>
              <w:rPr>
                <w:sz w:val="20"/>
                <w:szCs w:val="20"/>
                <w:color w:val="auto"/>
              </w:rPr>
            </w:pPr>
            <w:r>
              <w:rPr>
                <w:rFonts w:ascii="Arial" w:cs="Arial" w:eastAsia="Arial" w:hAnsi="Arial"/>
                <w:sz w:val="18"/>
                <w:szCs w:val="18"/>
                <w:color w:val="auto"/>
              </w:rPr>
              <w:t>Revenue by market segment as a percent of total revenue, rounded to the nearest 5%, is presented in the table below:</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w:t>
            </w:r>
          </w:p>
        </w:tc>
        <w:tc>
          <w:tcPr>
            <w:tcW w:w="4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February 27, 2025 February 29, 2024</w:t>
            </w:r>
          </w:p>
        </w:tc>
      </w:tr>
      <w:tr>
        <w:trPr>
          <w:trHeight w:val="34"/>
        </w:trPr>
        <w:tc>
          <w:tcPr>
            <w:tcW w:w="6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Data center and networking</w:t>
            </w:r>
          </w:p>
        </w:tc>
        <w:tc>
          <w:tcPr>
            <w:tcW w:w="3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55 %</w:t>
            </w:r>
          </w:p>
        </w:tc>
        <w:tc>
          <w:tcPr>
            <w:tcW w:w="14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25 %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Mobile</w:t>
            </w:r>
          </w:p>
        </w:tc>
        <w:tc>
          <w:tcPr>
            <w:tcW w:w="3060" w:type="dxa"/>
            <w:vAlign w:val="bottom"/>
          </w:tcPr>
          <w:p>
            <w:pPr>
              <w:jc w:val="right"/>
              <w:ind w:right="30"/>
              <w:spacing w:after="0"/>
              <w:rPr>
                <w:sz w:val="20"/>
                <w:szCs w:val="20"/>
                <w:color w:val="auto"/>
              </w:rPr>
            </w:pPr>
            <w:r>
              <w:rPr>
                <w:rFonts w:ascii="Arial" w:cs="Arial" w:eastAsia="Arial" w:hAnsi="Arial"/>
                <w:sz w:val="18"/>
                <w:szCs w:val="18"/>
                <w:color w:val="auto"/>
              </w:rPr>
              <w:t>15 %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r>
      <w:tr>
        <w:trPr>
          <w:trHeight w:val="229"/>
        </w:trPr>
        <w:tc>
          <w:tcPr>
            <w:tcW w:w="6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PC, graphics, and other</w:t>
            </w:r>
          </w:p>
        </w:tc>
        <w:tc>
          <w:tcPr>
            <w:tcW w:w="3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15 %</w:t>
            </w:r>
          </w:p>
        </w:tc>
        <w:tc>
          <w:tcPr>
            <w:tcW w:w="14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30 %</w:t>
            </w: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Intelligent edge – automotive, industrial, and consumer embedded</w:t>
            </w:r>
          </w:p>
        </w:tc>
        <w:tc>
          <w:tcPr>
            <w:tcW w:w="306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Revenue from one customer was 15% (primarily included in the CNBU segment) of total revenue for the first six months of 2025. Revenue from one customer was 11% (primarily included in the MBU, EBU and CNBU segments) of total revenue for the first six months of 2024.</w:t>
      </w:r>
    </w:p>
    <w:p>
      <w:pPr>
        <w:spacing w:after="0" w:line="3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CHIPS Act Funding Agreements</w:t>
      </w:r>
    </w:p>
    <w:p>
      <w:pPr>
        <w:spacing w:after="0" w:line="25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On December 9, 2024, we entered into direct funding agreements with the U.S. Department of Commerce for up to $6.1 billion in direct funding pursuant to the CHIPS Act for a planned fab in Boise, Idaho and two planned fabs in Clay, New York.</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Funding will be based on the achievement of construction, tool installation, and wafer production milestones. We retain discretion with respect to capacity and production volume ramp of each project. The agreements contain representations, warranties, and covenants that relate to compliance with requirements for awards provided for in the CHIPS Act. In addition, the agreements include certain events of default and related rights and remedies, including clawbacks related to the failure to complete a project by an agreed upon completion date, violation of CHIPS Act restrictions on certain activities involving foreign countries and entities of concern, and impermissible use or disposition of a project.</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permitted to make customary and ordinary course recurring dividends (and reasonable ordinary course increases thereof) consistent with our past practice. There are restrictions on our payment of special and one-time dividends during the five-year period following the award date of December 9, 2024. Share repurchases are permitted during the first two years of such five-year period up to amounts specified in the funding agreements to help offset the dilutive effects of employee stock compensation or as otherwise permitted by the U.S. Department of Commerce. Share repurchases are not restricted during the final three years of such five-year period if certain financial and other conditions are satisfied.</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may be required to pay upside sharing amounts for a period of up to ten years following the first year in which the cumulative cash flow from a project is positive, if cumulative cash flows from the project exceed a threshold level that is at a significant premium to the baseline projection. The upside sharing amount would equal a modest sharing percentage of the excess cash flows above the threshold level, but not to exceed 75% of award disbursements for a project, after considering any clawbacks or other repayments.</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On December 9, 2024, we also signed a non-binding preliminary memorandum of terms for up to $275 million in direct funding for our fab in Manassas,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August 29, 2024</w:t>
      </w:r>
      <w:r>
        <w:rPr>
          <w:rFonts w:ascii="Arial" w:cs="Arial" w:eastAsia="Arial" w:hAnsi="Arial"/>
          <w:sz w:val="18"/>
          <w:szCs w:val="18"/>
          <w:i w:val="1"/>
          <w:iCs w:val="1"/>
          <w:color w:val="auto"/>
        </w:rPr>
        <w:t>. All period references are to our fiscal periods unless otherwise indicated. Our fiscal year is the 52 or 53-week period ending</w:t>
      </w:r>
      <w:r>
        <w:rPr>
          <w:rFonts w:ascii="Arial" w:cs="Arial" w:eastAsia="Arial" w:hAnsi="Arial"/>
          <w:sz w:val="18"/>
          <w:szCs w:val="18"/>
          <w:color w:val="auto"/>
        </w:rPr>
        <w:t xml:space="preserve"> </w:t>
      </w:r>
      <w:r>
        <w:rPr>
          <w:rFonts w:ascii="Arial" w:cs="Arial" w:eastAsia="Arial" w:hAnsi="Arial"/>
          <w:sz w:val="18"/>
          <w:szCs w:val="18"/>
          <w:i w:val="1"/>
          <w:iCs w:val="1"/>
          <w:color w:val="auto"/>
        </w:rPr>
        <w:t>on the Thursday closest to August 31. Fiscal 2025 and 2024 each contain 52 weeks. All tabular dollar amounts are in millions, except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4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the data center, client PC, graphics, industrial, and automotive markets.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products are non-volatile, re-writeable semiconductor storage devices that provide high-capacity, low-cost storage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second quarter of 2025, DRAM revenue declined slightly from the prior quarter primarily due to customer actions in consumer-oriented markets to reduce inventories, which was partially offset by continued strength in data center markets, particularly for HBM products. Demand for leading-edge DRAM remains strong, driven by HBM and other data center DRAM. We have shifted our supply to meet the strong demand in data center DRAM resulting in a portfolio mix weighted more towards high-growth and less seasonal segments. In 2024 and the first quarter of 2025, we experienced substantial improvements in revenue, pricing, and margins from 2023 reflecting demand growth, driven in part by deployment of AI, which combined with industry-wide supply discipline, resulted in a substantially improved industry supply and demand balance.</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the second quarter of 2025, NAND revenue declined due to lower storage growth by data center customers after several quarters of strong investments and pricing pressure in consumer-oriented markets as customers worked to reduce inventories to align with demand in their end</w:t>
      </w:r>
    </w:p>
    <w:p>
      <w:pPr>
        <w:spacing w:after="0" w:line="1" w:lineRule="exact"/>
        <w:rPr>
          <w:sz w:val="20"/>
          <w:szCs w:val="20"/>
          <w:color w:val="auto"/>
        </w:rPr>
      </w:pPr>
    </w:p>
    <w:p>
      <w:pPr>
        <w:jc w:val="both"/>
        <w:ind w:right="420"/>
        <w:spacing w:after="0" w:line="231" w:lineRule="auto"/>
        <w:rPr>
          <w:sz w:val="20"/>
          <w:szCs w:val="20"/>
          <w:color w:val="auto"/>
        </w:rPr>
      </w:pPr>
      <w:r>
        <w:rPr>
          <w:rFonts w:ascii="Arial" w:cs="Arial" w:eastAsia="Arial" w:hAnsi="Arial"/>
          <w:sz w:val="18"/>
          <w:szCs w:val="18"/>
          <w:color w:val="auto"/>
        </w:rPr>
        <w:t>markets. We continue to prudently manage our NAND supply, including the levels of our capital investment, the pace of ramp of our new technology node, and fab utilization consistent with our demand growth. Throughout 2024, we experienced substantial improvements in pricing and margins for NAND from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Second Quarter</w:t>
            </w:r>
          </w:p>
        </w:tc>
        <w:tc>
          <w:tcPr>
            <w:tcW w:w="166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First Quarter</w:t>
            </w:r>
          </w:p>
        </w:tc>
        <w:tc>
          <w:tcPr>
            <w:tcW w:w="1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Second Quarter</w:t>
            </w:r>
          </w:p>
        </w:tc>
        <w:tc>
          <w:tcPr>
            <w:tcW w:w="640" w:type="dxa"/>
            <w:vAlign w:val="bottom"/>
          </w:tcPr>
          <w:p>
            <w:pPr>
              <w:spacing w:after="0"/>
              <w:rPr>
                <w:sz w:val="20"/>
                <w:szCs w:val="20"/>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8,053</w:t>
            </w:r>
          </w:p>
        </w:tc>
        <w:tc>
          <w:tcPr>
            <w:tcW w:w="2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100 %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28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5,824</w:t>
            </w:r>
          </w:p>
        </w:tc>
        <w:tc>
          <w:tcPr>
            <w:tcW w:w="2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8"/>
              </w:rPr>
              <w:t>16,762</w:t>
            </w:r>
          </w:p>
        </w:tc>
        <w:tc>
          <w:tcPr>
            <w:tcW w:w="300" w:type="dxa"/>
            <w:vAlign w:val="bottom"/>
            <w:shd w:val="clear" w:color="auto" w:fill="D1D2D4"/>
          </w:tcPr>
          <w:p>
            <w:pPr>
              <w:spacing w:after="0"/>
              <w:rPr>
                <w:sz w:val="19"/>
                <w:szCs w:val="19"/>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10,550</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26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63 %</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2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81 %</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10,451</w:t>
            </w:r>
          </w:p>
        </w:tc>
        <w:tc>
          <w:tcPr>
            <w:tcW w:w="300" w:type="dxa"/>
            <w:vAlign w:val="bottom"/>
            <w:tcBorders>
              <w:bottom w:val="single" w:sz="8" w:color="D1D2D4"/>
            </w:tcBorders>
          </w:tcPr>
          <w:p>
            <w:pPr>
              <w:spacing w:after="0"/>
              <w:rPr>
                <w:sz w:val="19"/>
                <w:szCs w:val="19"/>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3"/>
        </w:trPr>
        <w:tc>
          <w:tcPr>
            <w:tcW w:w="25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2,963</w:t>
            </w:r>
          </w:p>
        </w:tc>
        <w:tc>
          <w:tcPr>
            <w:tcW w:w="26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22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6,311</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1,786</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5"/>
        </w:trPr>
        <w:tc>
          <w:tcPr>
            <w:tcW w:w="256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Other operating (income)</w:t>
            </w:r>
          </w:p>
        </w:tc>
        <w:tc>
          <w:tcPr>
            <w:tcW w:w="14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expense, net</w:t>
            </w:r>
          </w:p>
        </w:tc>
        <w:tc>
          <w:tcPr>
            <w:tcW w:w="14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2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560" w:type="dxa"/>
            <w:vAlign w:val="bottom"/>
            <w:shd w:val="clear" w:color="auto" w:fill="D1D2D4"/>
          </w:tcPr>
          <w:p>
            <w:pPr>
              <w:spacing w:after="0"/>
              <w:rPr>
                <w:sz w:val="23"/>
                <w:szCs w:val="23"/>
                <w:color w:val="auto"/>
              </w:rPr>
            </w:pPr>
          </w:p>
        </w:tc>
        <w:tc>
          <w:tcPr>
            <w:tcW w:w="140" w:type="dxa"/>
            <w:vAlign w:val="bottom"/>
            <w:shd w:val="clear" w:color="auto" w:fill="D1D2D4"/>
          </w:tcPr>
          <w:p>
            <w:pPr>
              <w:spacing w:after="0"/>
              <w:rPr>
                <w:sz w:val="23"/>
                <w:szCs w:val="23"/>
                <w:color w:val="auto"/>
              </w:rPr>
            </w:pPr>
          </w:p>
        </w:tc>
        <w:tc>
          <w:tcPr>
            <w:tcW w:w="700" w:type="dxa"/>
            <w:vAlign w:val="bottom"/>
            <w:shd w:val="clear" w:color="auto" w:fill="D1D2D4"/>
          </w:tcPr>
          <w:p>
            <w:pPr>
              <w:spacing w:after="0"/>
              <w:rPr>
                <w:sz w:val="23"/>
                <w:szCs w:val="23"/>
                <w:color w:val="auto"/>
              </w:rPr>
            </w:pPr>
          </w:p>
        </w:tc>
        <w:tc>
          <w:tcPr>
            <w:tcW w:w="260" w:type="dxa"/>
            <w:vAlign w:val="bottom"/>
            <w:shd w:val="clear" w:color="auto" w:fill="D1D2D4"/>
          </w:tcPr>
          <w:p>
            <w:pPr>
              <w:spacing w:after="0"/>
              <w:rPr>
                <w:sz w:val="23"/>
                <w:szCs w:val="23"/>
                <w:color w:val="auto"/>
              </w:rPr>
            </w:pPr>
          </w:p>
        </w:tc>
        <w:tc>
          <w:tcPr>
            <w:tcW w:w="580" w:type="dxa"/>
            <w:vAlign w:val="bottom"/>
            <w:shd w:val="clear" w:color="auto" w:fill="D1D2D4"/>
          </w:tcPr>
          <w:p>
            <w:pPr>
              <w:spacing w:after="0"/>
              <w:rPr>
                <w:sz w:val="23"/>
                <w:szCs w:val="23"/>
                <w:color w:val="auto"/>
              </w:rPr>
            </w:pPr>
          </w:p>
        </w:tc>
        <w:tc>
          <w:tcPr>
            <w:tcW w:w="220" w:type="dxa"/>
            <w:vAlign w:val="bottom"/>
            <w:shd w:val="clear" w:color="auto" w:fill="D1D2D4"/>
          </w:tcPr>
          <w:p>
            <w:pPr>
              <w:spacing w:after="0"/>
              <w:rPr>
                <w:sz w:val="23"/>
                <w:szCs w:val="23"/>
                <w:color w:val="auto"/>
              </w:rPr>
            </w:pPr>
          </w:p>
        </w:tc>
        <w:tc>
          <w:tcPr>
            <w:tcW w:w="62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700" w:type="dxa"/>
            <w:vAlign w:val="bottom"/>
            <w:shd w:val="clear" w:color="auto" w:fill="D1D2D4"/>
          </w:tcPr>
          <w:p>
            <w:pPr>
              <w:spacing w:after="0"/>
              <w:rPr>
                <w:sz w:val="23"/>
                <w:szCs w:val="23"/>
                <w:color w:val="auto"/>
              </w:rPr>
            </w:pPr>
          </w:p>
        </w:tc>
        <w:tc>
          <w:tcPr>
            <w:tcW w:w="26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640" w:type="dxa"/>
            <w:vAlign w:val="bottom"/>
            <w:shd w:val="clear" w:color="auto" w:fill="D1D2D4"/>
          </w:tcPr>
          <w:p>
            <w:pPr>
              <w:spacing w:after="0"/>
              <w:rPr>
                <w:sz w:val="23"/>
                <w:szCs w:val="23"/>
                <w:color w:val="auto"/>
              </w:rPr>
            </w:pPr>
          </w:p>
        </w:tc>
        <w:tc>
          <w:tcPr>
            <w:tcW w:w="300" w:type="dxa"/>
            <w:vAlign w:val="bottom"/>
            <w:shd w:val="clear" w:color="auto" w:fill="D1D2D4"/>
          </w:tcPr>
          <w:p>
            <w:pPr>
              <w:spacing w:after="0"/>
              <w:rPr>
                <w:sz w:val="23"/>
                <w:szCs w:val="23"/>
                <w:color w:val="auto"/>
              </w:rPr>
            </w:pPr>
          </w:p>
        </w:tc>
        <w:tc>
          <w:tcPr>
            <w:tcW w:w="580" w:type="dxa"/>
            <w:vAlign w:val="bottom"/>
            <w:shd w:val="clear" w:color="auto" w:fill="D1D2D4"/>
          </w:tcPr>
          <w:p>
            <w:pPr>
              <w:spacing w:after="0"/>
              <w:rPr>
                <w:sz w:val="23"/>
                <w:szCs w:val="23"/>
                <w:color w:val="auto"/>
              </w:rPr>
            </w:pPr>
          </w:p>
        </w:tc>
        <w:tc>
          <w:tcPr>
            <w:tcW w:w="140" w:type="dxa"/>
            <w:vAlign w:val="bottom"/>
            <w:shd w:val="clear" w:color="auto" w:fill="D1D2D4"/>
          </w:tcPr>
          <w:p>
            <w:pPr>
              <w:spacing w:after="0"/>
              <w:rPr>
                <w:sz w:val="23"/>
                <w:szCs w:val="23"/>
                <w:color w:val="auto"/>
              </w:rPr>
            </w:pPr>
          </w:p>
        </w:tc>
        <w:tc>
          <w:tcPr>
            <w:tcW w:w="66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600" w:type="dxa"/>
            <w:vAlign w:val="bottom"/>
            <w:shd w:val="clear" w:color="auto" w:fill="D1D2D4"/>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Other non-operating income</w:t>
            </w:r>
          </w:p>
        </w:tc>
        <w:tc>
          <w:tcPr>
            <w:tcW w:w="14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(expense), net</w:t>
            </w:r>
          </w:p>
        </w:tc>
        <w:tc>
          <w:tcPr>
            <w:tcW w:w="14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2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Equity in net income (loss) of</w:t>
            </w:r>
          </w:p>
        </w:tc>
        <w:tc>
          <w:tcPr>
            <w:tcW w:w="14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spacing w:after="0"/>
              <w:rPr>
                <w:sz w:val="15"/>
                <w:szCs w:val="15"/>
                <w:color w:val="auto"/>
              </w:rPr>
            </w:pPr>
          </w:p>
        </w:tc>
        <w:tc>
          <w:tcPr>
            <w:tcW w:w="800" w:type="dxa"/>
            <w:vAlign w:val="bottom"/>
            <w:gridSpan w:val="2"/>
            <w:vMerge w:val="restart"/>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D1D2D4"/>
          </w:tcPr>
          <w:p>
            <w:pPr>
              <w:spacing w:after="0"/>
              <w:rPr>
                <w:sz w:val="15"/>
                <w:szCs w:val="15"/>
                <w:color w:val="auto"/>
              </w:rPr>
            </w:pPr>
          </w:p>
        </w:tc>
        <w:tc>
          <w:tcPr>
            <w:tcW w:w="72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equity method investees</w:t>
            </w:r>
          </w:p>
        </w:tc>
        <w:tc>
          <w:tcPr>
            <w:tcW w:w="14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800" w:type="dxa"/>
            <w:vAlign w:val="bottom"/>
            <w:gridSpan w:val="2"/>
            <w:vMerge w:val="continue"/>
            <w:shd w:val="clear" w:color="auto" w:fill="D1D2D4"/>
          </w:tcPr>
          <w:p>
            <w:pPr>
              <w:spacing w:after="0"/>
              <w:rPr>
                <w:sz w:val="20"/>
                <w:szCs w:val="20"/>
                <w:color w:val="auto"/>
              </w:rPr>
            </w:pPr>
          </w:p>
        </w:tc>
        <w:tc>
          <w:tcPr>
            <w:tcW w:w="62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720" w:type="dxa"/>
            <w:vAlign w:val="bottom"/>
            <w:gridSpan w:val="2"/>
            <w:vMerge w:val="continue"/>
            <w:shd w:val="clear" w:color="auto" w:fill="D1D2D4"/>
          </w:tcPr>
          <w:p>
            <w:pPr>
              <w:spacing w:after="0"/>
              <w:rPr>
                <w:sz w:val="20"/>
                <w:szCs w:val="20"/>
                <w:color w:val="auto"/>
              </w:rPr>
            </w:pPr>
          </w:p>
        </w:tc>
        <w:tc>
          <w:tcPr>
            <w:tcW w:w="66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second quarter of 2025 and first six months of 2025 was impacted by the factors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titled “Industry Conditions” above.</w:t>
      </w:r>
    </w:p>
    <w:p>
      <w:pPr>
        <w:spacing w:after="0" w:line="18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Total revenue for the second quarter of 2025 decreased 8% as compared to the first quarter of 2025 primarily due to decreases in sales of both DRAM and NAND products.</w:t>
      </w:r>
    </w:p>
    <w:p>
      <w:pPr>
        <w:spacing w:after="0" w:line="194" w:lineRule="exact"/>
        <w:rPr>
          <w:sz w:val="20"/>
          <w:szCs w:val="20"/>
          <w:color w:val="auto"/>
        </w:rPr>
      </w:pPr>
    </w:p>
    <w:p>
      <w:pPr>
        <w:ind w:left="660" w:right="22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DRAM products decreased 4% primarily due to a high-single-digit percent range decrease in bit shipments, partially offset by a mid-single-digit percent range increase in average selling prices driven by an increased mix of HBM and other data center products.</w:t>
      </w:r>
    </w:p>
    <w:p>
      <w:pPr>
        <w:spacing w:after="0" w:line="1" w:lineRule="exact"/>
        <w:rPr>
          <w:rFonts w:ascii="Arial" w:cs="Arial" w:eastAsia="Arial" w:hAnsi="Arial"/>
          <w:sz w:val="18"/>
          <w:szCs w:val="18"/>
          <w:color w:val="auto"/>
        </w:rPr>
      </w:pPr>
    </w:p>
    <w:p>
      <w:pPr>
        <w:ind w:left="660" w:right="54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NAND products decreased 17% primarily due to a high-teens percent range decrease in average selling prices due to industry conditions and a mix shift to consumer-oriented products, partially offset by modestly higher bit shipments.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Total revenue for the second quarter of 2025 increased 38% as compared to the second quarter of 2024 primarily due to increases in sales of both DRAM and NAND products.</w:t>
      </w:r>
    </w:p>
    <w:p>
      <w:pPr>
        <w:spacing w:after="0" w:line="180" w:lineRule="exact"/>
        <w:rPr>
          <w:sz w:val="20"/>
          <w:szCs w:val="20"/>
          <w:color w:val="auto"/>
        </w:rPr>
      </w:pPr>
    </w:p>
    <w:p>
      <w:pPr>
        <w:ind w:left="660" w:right="5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DRAM products increased 47% primarily due to a mid-50% range increase in average selling prices, partially offset by decreases in bit shipments in the mid-single-digit percent range.</w:t>
      </w:r>
    </w:p>
    <w:p>
      <w:pPr>
        <w:spacing w:after="0" w:line="1"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NAND products increased 18% primarily due to a mid-teens percent range increase in bit shipments and a low-single-digit percent range increase in average selling prices.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Total revenue for the first six months of 2025 increased 59% as compared to the first six months of 2024 due to increases in both DRAM and NAND sales.</w:t>
      </w:r>
    </w:p>
    <w:p>
      <w:pPr>
        <w:spacing w:after="0" w:line="18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DRAM products increased 65% primarily due to a mid-60% range increase in average selling prices.</w:t>
      </w:r>
    </w:p>
    <w:p>
      <w:pPr>
        <w:spacing w:after="0" w:line="27" w:lineRule="exact"/>
        <w:rPr>
          <w:rFonts w:ascii="Arial" w:cs="Arial" w:eastAsia="Arial" w:hAnsi="Arial"/>
          <w:sz w:val="18"/>
          <w:szCs w:val="18"/>
          <w:color w:val="auto"/>
        </w:rPr>
      </w:pPr>
    </w:p>
    <w:p>
      <w:pPr>
        <w:ind w:left="660" w:right="3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NAND products increased 46% primarily due to a low-30% range increase in average selling prices and an approximate 10% increase in bit shipments.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 Our consolidated gross margin percentage decreased to 37% for the second quarter of 2025 from 38% for the first quarter of 2025, primarily due to a decrease in margins for NAND products, partially offset by an improvement in margins for DRAM products. NAND margins declined primarily due to decreases in average selling prices and a mix shift to consumer-oriented products. DRAM margins improved primarily due to an increased mix of HBM and other data center products. Our consolidated gross margin percentage improved to 37% for the second quarter of 2025 from 19% for the second quarter of 2024 and improved to 38% for the first six months of 2025 from 10% for the first six months of 2024. Improvements in our consolidated gross margins for the second quarter and first six months of 2025 as compared to corresponding periods of 2024, were primarily due to increases in average selling prices for both DRAM and NAND, manufacturing cost reductions for NAND, and an increased mix in sales to high-margin cloud products, particularly HBM. Our consolidated gross margin for the second quarter and first six months of 2024 reflected $382 million and $987 million, respectively, of benefit due to lower costs from the sale of inventories written down to their net realizable value in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Second Quarter</w:t>
            </w:r>
          </w:p>
        </w:tc>
        <w:tc>
          <w:tcPr>
            <w:tcW w:w="166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First Quarter</w:t>
            </w:r>
          </w:p>
        </w:tc>
        <w:tc>
          <w:tcPr>
            <w:tcW w:w="15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Borders>
              <w:bottom w:val="single" w:sz="8" w:color="auto"/>
            </w:tcBorders>
          </w:tcPr>
          <w:p>
            <w:pPr>
              <w:spacing w:after="0"/>
              <w:rPr>
                <w:sz w:val="20"/>
                <w:szCs w:val="20"/>
                <w:color w:val="auto"/>
              </w:rPr>
            </w:pPr>
          </w:p>
        </w:tc>
      </w:tr>
      <w:tr>
        <w:trPr>
          <w:trHeight w:val="223"/>
        </w:trPr>
        <w:tc>
          <w:tcPr>
            <w:tcW w:w="2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r>
      <w:tr>
        <w:trPr>
          <w:trHeight w:val="34"/>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4,564</w:t>
            </w:r>
          </w:p>
        </w:tc>
        <w:tc>
          <w:tcPr>
            <w:tcW w:w="32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57 %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4,395</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2,185</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8,959</w:t>
            </w:r>
          </w:p>
        </w:tc>
        <w:tc>
          <w:tcPr>
            <w:tcW w:w="320" w:type="dxa"/>
            <w:vAlign w:val="bottom"/>
            <w:shd w:val="clear" w:color="auto" w:fill="D1D2D4"/>
          </w:tcPr>
          <w:p>
            <w:pPr>
              <w:spacing w:after="0"/>
              <w:rPr>
                <w:sz w:val="19"/>
                <w:szCs w:val="19"/>
                <w:color w:val="auto"/>
              </w:rPr>
            </w:pPr>
          </w:p>
        </w:tc>
        <w:tc>
          <w:tcPr>
            <w:tcW w:w="6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53 %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3,922</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3,123</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1,068</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1,598</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2,595</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2,891</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2,148</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D1D2D4"/>
          </w:tcPr>
          <w:p>
            <w:pPr>
              <w:spacing w:after="0"/>
              <w:rPr>
                <w:sz w:val="19"/>
                <w:szCs w:val="19"/>
                <w:color w:val="auto"/>
              </w:rPr>
            </w:pPr>
          </w:p>
        </w:tc>
        <w:tc>
          <w:tcPr>
            <w:tcW w:w="68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16,762</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10,550</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second quarter of 2025 as compared to the first quarter of 2025 were as follows: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increased 4% primarily due to higher sales of HBM products, which increased more than 50%.</w:t>
      </w:r>
    </w:p>
    <w:p>
      <w:pPr>
        <w:spacing w:after="0" w:line="31" w:lineRule="exact"/>
        <w:rPr>
          <w:rFonts w:ascii="Arial" w:cs="Arial" w:eastAsia="Arial" w:hAnsi="Arial"/>
          <w:sz w:val="18"/>
          <w:szCs w:val="18"/>
          <w:color w:val="auto"/>
        </w:rPr>
      </w:pPr>
    </w:p>
    <w:p>
      <w:pPr>
        <w:ind w:left="660" w:right="400" w:hanging="328"/>
        <w:spacing w:after="0" w:line="234" w:lineRule="auto"/>
        <w:tabs>
          <w:tab w:leader="none" w:pos="635" w:val="left"/>
        </w:tabs>
        <w:numPr>
          <w:ilvl w:val="0"/>
          <w:numId w:val="11"/>
        </w:numPr>
        <w:rPr>
          <w:rFonts w:ascii="Times New Roman" w:cs="Times New Roman" w:eastAsia="Times New Roman" w:hAnsi="Times New Roman"/>
          <w:sz w:val="20"/>
          <w:szCs w:val="20"/>
          <w:color w:val="auto"/>
        </w:rPr>
      </w:pPr>
      <w:r>
        <w:rPr>
          <w:rFonts w:ascii="Arial" w:cs="Arial" w:eastAsia="Arial" w:hAnsi="Arial"/>
          <w:sz w:val="18"/>
          <w:szCs w:val="18"/>
          <w:color w:val="auto"/>
        </w:rPr>
        <w:t>SBU revenue decreased 20% primarily due to lower storage investments by data center customers after several quarters of very strong growth, and overall NAND industry pricing declines.</w:t>
      </w:r>
    </w:p>
    <w:p>
      <w:pPr>
        <w:spacing w:after="0" w:line="1" w:lineRule="exact"/>
        <w:rPr>
          <w:rFonts w:ascii="Times New Roman" w:cs="Times New Roman" w:eastAsia="Times New Roman" w:hAnsi="Times New Roman"/>
          <w:sz w:val="20"/>
          <w:szCs w:val="20"/>
          <w:color w:val="auto"/>
        </w:rPr>
      </w:pPr>
    </w:p>
    <w:p>
      <w:pPr>
        <w:ind w:left="660" w:right="3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decreased 30% primarily due to decreases in bit shipments, as mobile customers managed inventories lower, and declines in average selling prices for both mobile DRAM and NAND.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decreased 3% primarily due to decreases in automotive sales as customers managed inventories lower.</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Changes in revenue for each business unit for the second quarter and the first six months of 2025 as compared to the corresponding periods of 2024 were as follows:</w:t>
      </w:r>
    </w:p>
    <w:p>
      <w:pPr>
        <w:spacing w:after="0" w:line="180" w:lineRule="exact"/>
        <w:rPr>
          <w:sz w:val="20"/>
          <w:szCs w:val="20"/>
          <w:color w:val="auto"/>
        </w:rPr>
      </w:pPr>
    </w:p>
    <w:p>
      <w:pPr>
        <w:ind w:left="660" w:right="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revenue increased 109% and 128%, respectively, primarily due to increases in average selling prices and bit shipments driven by improved demand, particularly in cloud server markets, including HBM.</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revenue increased 54% and 100%, respectively, primarily due to increases in bit shipments and average selling prices for NAND.</w:t>
      </w:r>
    </w:p>
    <w:p>
      <w:pPr>
        <w:ind w:left="660" w:right="4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revenue decreased 33% and 10%, respectively, primarily due to decreases in bit shipments partially offset by increases in DRAM average selling prices.</w:t>
      </w:r>
    </w:p>
    <w:p>
      <w:pPr>
        <w:ind w:left="660" w:right="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revenue decreased 8% and 3%, respectively, primarily due to decreases in DRAM bit shipments and declines in average selling prices for NAND, partially offset by increases in NAND bit shipments.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Second Quarter</w:t>
            </w: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First Quarter</w:t>
            </w:r>
          </w:p>
        </w:tc>
        <w:tc>
          <w:tcPr>
            <w:tcW w:w="17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Second Quarter</w:t>
            </w:r>
          </w:p>
        </w:tc>
        <w:tc>
          <w:tcPr>
            <w:tcW w:w="600" w:type="dxa"/>
            <w:vAlign w:val="bottom"/>
          </w:tcPr>
          <w:p>
            <w:pPr>
              <w:spacing w:after="0"/>
              <w:rPr>
                <w:sz w:val="20"/>
                <w:szCs w:val="20"/>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20"/>
                <w:szCs w:val="20"/>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r>
      <w:tr>
        <w:trPr>
          <w:trHeight w:val="34"/>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2500" w:type="dxa"/>
            <w:vAlign w:val="bottom"/>
            <w:shd w:val="clear" w:color="auto" w:fill="D1D2D4"/>
          </w:tcPr>
          <w:p>
            <w:pPr>
              <w:spacing w:after="0"/>
              <w:rPr>
                <w:sz w:val="20"/>
                <w:szCs w:val="20"/>
                <w:color w:val="auto"/>
              </w:rPr>
            </w:pPr>
            <w:r>
              <w:rPr>
                <w:rFonts w:ascii="Arial" w:cs="Arial" w:eastAsia="Arial" w:hAnsi="Arial"/>
                <w:sz w:val="18"/>
                <w:szCs w:val="18"/>
                <w:color w:val="auto"/>
              </w:rPr>
              <w:t>CNBU</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30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42 %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39 % $</w:t>
            </w:r>
          </w:p>
        </w:tc>
        <w:tc>
          <w:tcPr>
            <w:tcW w:w="7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1 % $</w:t>
            </w: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3,630</w:t>
            </w:r>
          </w:p>
        </w:tc>
        <w:tc>
          <w:tcPr>
            <w:tcW w:w="32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41 %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500" w:type="dxa"/>
            <w:vAlign w:val="bottom"/>
            <w:shd w:val="clear" w:color="auto" w:fill="D1D2D4"/>
          </w:tcPr>
          <w:p>
            <w:pPr>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500" w:type="dxa"/>
            <w:vAlign w:val="bottom"/>
            <w:shd w:val="clear" w:color="auto" w:fill="D1D2D4"/>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c>
          <w:tcPr>
            <w:tcW w:w="22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84 %</w:t>
            </w:r>
          </w:p>
        </w:tc>
        <w:tc>
          <w:tcPr>
            <w:tcW w:w="180" w:type="dxa"/>
            <w:vAlign w:val="bottom"/>
            <w:tcBorders>
              <w:bottom w:val="single" w:sz="8" w:color="auto"/>
            </w:tcBorders>
            <w:shd w:val="clear" w:color="auto" w:fill="D1D2D4"/>
          </w:tcPr>
          <w:p>
            <w:pPr>
              <w:spacing w:after="0"/>
              <w:rPr>
                <w:sz w:val="19"/>
                <w:szCs w:val="19"/>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2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Changes in operating income or loss for each business unit for the second quarter of 2025 as compared to the first quarter of 2025 were as follows:</w:t>
      </w:r>
    </w:p>
    <w:p>
      <w:pPr>
        <w:spacing w:after="0" w:line="18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high-value HBM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income decreased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decreased primarily due to lower bit shipments and declines in average selling prices.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and lower DRAM bit shipments, partially offset by higher NAND bit shipments and manufacturing cost reductions.</w:t>
      </w:r>
    </w:p>
    <w:p>
      <w:pPr>
        <w:spacing w:after="0" w:line="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Changes in operating income or loss for each business unit for the second quarter and the first six months of 2025 as compared to the corresponding periods of 2024 were as follows:</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operating income (loss) improved primarily due to increases in average selling prices and high-value HBM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operating income (loss) improved primarily due to increases in average selling prices and manufacturing cost reductions.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operating income (loss) improved primarily due to increases in DRAM average selling prices and manufacturing cost reductions.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operating income (loss) was relatively unchanged.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R&amp;D expenses for the second quarter of 2025 were relatively unchanged as compared to the first quarter of 2025. R&amp;D expenses for the second quarter and first six months of 2025 increased 8% and 6%, respectively, as compared to the corresponding periods of 2024 primarily due to an increase in employee compensation and subcontractor expense, partially offset by lower volumes of development and prequalification wafers.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second quarter of 2025 were relatively unchanged as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2025. SG&amp;A expenses for the second quarter and first six months of 2025 increased 2% and 6%, respectively, as compared to the corresponding periods of 2024 primarily due to an increase in employee compensation.</w:t>
      </w:r>
    </w:p>
    <w:p>
      <w:pPr>
        <w:spacing w:after="0" w:line="19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(Income) Expense, Net: </w:t>
      </w:r>
      <w:r>
        <w:rPr>
          <w:rFonts w:ascii="Arial" w:cs="Arial" w:eastAsia="Arial" w:hAnsi="Arial"/>
          <w:sz w:val="18"/>
          <w:szCs w:val="18"/>
          <w:color w:val="auto"/>
        </w:rPr>
        <w:t>See “Item 1. Financial Statements – Notes to Consolidated Financial Statements –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Second Quarter</w:t>
            </w: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3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34"/>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9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2,152</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170</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3,910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(985)</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9"/>
                <w:szCs w:val="19"/>
                <w:color w:val="auto"/>
              </w:rPr>
            </w:pPr>
          </w:p>
        </w:tc>
        <w:tc>
          <w:tcPr>
            <w:tcW w:w="1180" w:type="dxa"/>
            <w:vAlign w:val="bottom"/>
          </w:tcPr>
          <w:p>
            <w:pPr>
              <w:jc w:val="center"/>
              <w:ind w:left="310"/>
              <w:spacing w:after="0"/>
              <w:rPr>
                <w:sz w:val="20"/>
                <w:szCs w:val="20"/>
                <w:color w:val="auto"/>
              </w:rPr>
            </w:pPr>
            <w:r>
              <w:rPr>
                <w:rFonts w:ascii="Arial" w:cs="Arial" w:eastAsia="Arial" w:hAnsi="Arial"/>
                <w:sz w:val="18"/>
                <w:szCs w:val="18"/>
                <w:color w:val="auto"/>
                <w:w w:val="99"/>
              </w:rPr>
              <w:t>622</w:t>
            </w:r>
          </w:p>
        </w:tc>
        <w:tc>
          <w:tcPr>
            <w:tcW w:w="3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549</w:t>
            </w:r>
          </w:p>
        </w:tc>
      </w:tr>
      <w:tr>
        <w:trPr>
          <w:trHeight w:val="230"/>
        </w:trPr>
        <w:tc>
          <w:tcPr>
            <w:tcW w:w="3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9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10.1 %</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13.2 %</w:t>
            </w:r>
          </w:p>
        </w:tc>
        <w:tc>
          <w:tcPr>
            <w:tcW w:w="320" w:type="dxa"/>
            <w:vAlign w:val="bottom"/>
            <w:shd w:val="clear" w:color="auto" w:fill="D1D2D4"/>
          </w:tcPr>
          <w:p>
            <w:pPr>
              <w:spacing w:after="0"/>
              <w:rPr>
                <w:sz w:val="19"/>
                <w:szCs w:val="19"/>
                <w:color w:val="auto"/>
              </w:rPr>
            </w:pPr>
          </w:p>
        </w:tc>
        <w:tc>
          <w:tcPr>
            <w:tcW w:w="118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rPr>
              <w:t>(365.9)%</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11.8 %</w:t>
            </w:r>
          </w:p>
        </w:tc>
        <w:tc>
          <w:tcPr>
            <w:tcW w:w="3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55.7 %</w:t>
            </w:r>
          </w:p>
        </w:tc>
      </w:tr>
    </w:tbl>
    <w:p>
      <w:pPr>
        <w:spacing w:after="0" w:line="3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first quarter of 2024, our tax expense was based on actual results for jurisdictions where small changes in our projected pre-tax income would have caused significant changes in the estimated annual effective tax rate. Beginning in the second quarter of 2024, we were able to estimate a more reliable annual effective tax rate and reverted to a global annual effective tax rate method for all jurisdictions. Applying this updated rate to our year-to-date earnings resulted in the tax benefit of $622 million recognized in the second quarter of 2024.</w:t>
      </w:r>
    </w:p>
    <w:p>
      <w:pPr>
        <w:spacing w:after="0" w:line="19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change in our effective tax rate for the second quarter of 2025 as compared to the second quarter of 2024 was primarily due to changes in profitability and the aforementioned calculation of our tax expense in the second quarter of 2024. The change in our effective tax rate for</w:t>
      </w:r>
    </w:p>
    <w:p>
      <w:pPr>
        <w:ind w:right="40"/>
        <w:spacing w:after="0"/>
        <w:rPr>
          <w:sz w:val="20"/>
          <w:szCs w:val="20"/>
          <w:color w:val="auto"/>
        </w:rPr>
      </w:pPr>
      <w:r>
        <w:rPr>
          <w:rFonts w:ascii="Arial" w:cs="Arial" w:eastAsia="Arial" w:hAnsi="Arial"/>
          <w:sz w:val="17"/>
          <w:szCs w:val="17"/>
          <w:color w:val="auto"/>
        </w:rPr>
        <w:t>the first six months of 2025 as compared to the first six months of 2024 was primarily due to changes in profitability. The change in our effective tax rate for the second quarter of 2025 as compared to the first quarter of 2025 was primarily due discrete items related to tax return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filings.</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$171 million (benefiting our diluted earnings per share by $0.15) for the second quarter of 2025, $212 million (benefiting our diluted earnings per share by $0.19) for the first quarter of 2025, and $383 million (benefiting our diluted earnings per share by $0.34) for the first six months of 2025, respectively. As a result of the low level of profitability and geographic mix of income, the benefit from tax incentive arrangements was not material for the periods presented for 2024.</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also continue to monitor for additional guidance and legislative changes to Pillar Two in the jurisdictions where we operate.</w:t>
      </w:r>
    </w:p>
    <w:p>
      <w:pPr>
        <w:spacing w:after="0" w:line="21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related to our operating expenses and other can be found in “Item 1. Financial Statements – Notes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 Equity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$9.59 billion as of February 27, 2025, and $9.15 billion as of August 29, 2024.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February 27, 2025, $2.12 billion of our cash and marketable investments was held by our foreign subsidiaries.</w:t>
      </w:r>
    </w:p>
    <w:p>
      <w:pPr>
        <w:spacing w:after="0" w:line="200" w:lineRule="exact"/>
        <w:rPr>
          <w:sz w:val="20"/>
          <w:szCs w:val="20"/>
          <w:color w:val="auto"/>
        </w:rPr>
      </w:pPr>
    </w:p>
    <w:p>
      <w:pPr>
        <w:spacing w:after="0" w:line="244"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February 27, 2025, $ 2.50 billion was available to draw under our existing credit facility. On March 12, 2025, we terminated our existing undrawn credit facility and entered into a new five-year unsecured Revolving Credit Facility and increased our borrowing capacity. Under the Revolving Credit Facility, we can draw up to $3.50 billion. Funding of certain significant capital projects is also dependent on the receipt of government incentives, which are subject to conditions and may not be obtained.</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2025 for property, plant, and equipment, net of proceeds from government incentives, to be approximately $14 billion. Actual amounts for 2025 will vary depending on market conditions and may vary from quarter to quarter due to the timing of expenditures and proceeds from government incentives. As of February 27, 2025, we had purchase obligations of approximately $1.73 billion for the acquisition of property, plant, and equipment, substantially all of which is expected to be paid within one year. For a description of other contractual obligations, such as leases and debt, see “Item 1. Financial Statements – Notes to Consolidated Financial Statements – Leases,” and “ – Debt.”</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support projected memory demand in the second half of the decade, we will need to add new DRAM wafer capacity. Following the enactment of the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our objective of maintaining stable bit share.</w:t>
      </w:r>
    </w:p>
    <w:p>
      <w:pPr>
        <w:spacing w:after="0" w:line="19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 December 9, 2024, we entered into direct funding agreements with the U.S. Department of Commerce for up to $6.1 billion in direct funding pursuant to the CHIPS Act for a planned fab in Boise, Idaho and two planned fabs in Clay, New York. On December 9, 2024, we also signed a non-binding preliminary memorandum of terms for up to $275 million in direct funding for our fab in Manassas, Virginia. See “Item 1. Financial Statements – Notes to Consolidated Financial Statements – CHIPS Act Funding Agreements.” We elected not to pursue the federal loans previously disclosed as included in the non-binding preliminary memorandum of terms for the Boise, Idaho and Clay, New York fabs.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began enablement of cleanroom space within our existing manufacturing fab in Hiroshima, Japan, that will support</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production of advanced DRAM using EUV lithography. We are expanding our production capacity in Taiwan for DRAM and HBM products to meet rising market demand. We also continue to advance our global back-end assembly and test network in order to support our product</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portfolio and extend our ability to deliver on global customer demand in the future. Construction is progressing on the expansion of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 In January 2025, we broke ground on an HBM advanced packaging facility in Singapore to meaningfully expand our total advanced packaging capacity beginning in calendar 2027.</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February 27,</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2025, we had repurchased an aggregate of $7.19 billion of the authorized amount. See “Item 1. Financial Statements – Notes to Consolidated Financial Statements – Equity” and “Item 1. Financial Statements – Notes to Consolidated Financial Statements – CHIPS Act Funding Agreements.”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20, 2025, our Board of Directors declared a quarterly dividend of $0.115 per share, payable in cash on April 15, 2025, to shareholders of record as of the close of business on March 31, 2025.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expect that our cash and investments, cash flows from operations, expected funding from government incentives,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27,</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29,</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7,186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cash provided by operating activities for the first six months of 2025 as compared to the first six months of 2024 was primarily due to net income in the current year adjusted for non-cash items and the effect of a decrease in receivables, partially offset by a decrease in accounts payable and accrued expenses and a decrease in other current liabilities.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six months of 2025, net cash used for investing activities consisted primarily of $7.26 billion of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property, plant, and equipment; partially offset by $1.03 billion received from government incentives to offset capital expenditures and $58 million of net inflows from maturities, sales, and purchases of available-for-sale securities.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first six months of 2024, net cash used for investing activities consisted primarily of $ 3.18 billion of expenditures for property, plant, and equipment; partially offset by $234 million received from government incentives to offset capital expenditures and $261 million of net inflows from maturities, sales, and purchases of available-for-sale securities.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six months of 2025, net cash used for financing activities consisted primarily of $2.63 billion of repayments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which included the prepayment of the 2026 Notes, 2026 Term Loan A, and 2027 Term Loan A borrowings; and $261 million for payments of dividends to shareholders; partially offset by $1.68 billion of proceeds from the issuance of the 2029 Term Loan A and approximately $1.00 billion of proceeds from the issuance of the 2035 Notes. See “Item 1. Financial Statements – Notes to Consolidated Financial Statements – Debt.”</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first six months of 2024, net cash used for financing activities consisted primarily of $1.10 billion of repayments of debt, which included the prepayment of the 2024 Term Loan A and a portion of the 2025 Term Loan A borrowings; $256 million for payments of dividends to shareholders; and $82 million of payments on equipment purchase contracts; partially offset by approximately $1.00 billion of proceeds from the issuance of the 2031 Notes.</w:t>
      </w:r>
    </w:p>
    <w:p>
      <w:pPr>
        <w:spacing w:after="0" w:line="200" w:lineRule="exact"/>
        <w:rPr>
          <w:sz w:val="20"/>
          <w:szCs w:val="20"/>
          <w:color w:val="auto"/>
        </w:rPr>
      </w:pPr>
    </w:p>
    <w:p>
      <w:pPr>
        <w:spacing w:after="0" w:line="23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3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For a discussion of our critical accounting estimates, see “Part II – Item 7. Management’s Discussion and Analysis of Financial Condition and Results of Operations – Critical Accounting Estimates” of our Annual Report on Form 10-K for the year ended August 29, 2024. There have been no significant changes to our critical accounting estimates since our Annual Report on Form 10-K for the year ended August 29,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“Part I. Financial Information – Item 1. Financial Statements – Notes to Consolidated Financial Statements – Recently Issued Accounting Standards.”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August 29, 2024. There have been no material changes to our market risk during the six months ended February 27,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second quarter of 2025,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a discussion of legal proceedings, see “Part I. Financial Information – Item 1. Financial Statements – Notes to Consolidated Financial Statements – Contingencies” and “Item 1A. Risk Factors” in this Quarterly Report on Form 10-Q.</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or maintaining certain outcomes and the compliance requirements associated with incentives from various governments;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and quality of materials, supplies, electrical power, gas, water, and capital equipment, or dependency on third-party service providers;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downturn or ongoing adverse conditions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dependency on certain customers, including international customers, and end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of our security systems or products, systems failures, interruptions, delays in service, catastrophic events, and resulting interruptions of our systems or those of our customers, suppliers, or business partners;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and outcomes associated with the use and evolution of AI;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sustainability and governance expectations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regulatory and administrative investigations, inquiries,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6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In the past five years, annual percentage changes in DRAM average selling prices have ranged from plus low-teen percentage range to a minus high-40% range. In the past five years, annual percentage changes in NAND average selling prices have ranged from plus low-30% to a minus low-50% range.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0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complexity of our product portfolio, which may impact operational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yield and defect density;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 or advanced packaging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regulatory actions, including tariffs or trade restrictions, or market conditions; and</w:t>
      </w:r>
    </w:p>
    <w:p>
      <w:pPr>
        <w:ind w:left="660" w:right="30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21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may not be able to predict or quickly respond to trends in the dynamics of our markets and our customers or changes in customer demand, which could negatively impact our gross margin. Our inability to prevent deterioration of or improve gross margins could have a material adverse effect on our business, results of operations, or financial condition.</w:t>
      </w:r>
    </w:p>
    <w:p>
      <w:pPr>
        <w:spacing w:after="0" w:line="198"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2024, nearly half of our revenue was from sales to customers who have headquarters located outside the United States, while over 80% of our revenue in 2024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7" w:lineRule="exact"/>
        <w:rPr>
          <w:rFonts w:ascii="Arial" w:cs="Arial" w:eastAsia="Arial" w:hAnsi="Arial"/>
          <w:sz w:val="18"/>
          <w:szCs w:val="18"/>
          <w:color w:val="auto"/>
        </w:rPr>
      </w:pPr>
    </w:p>
    <w:p>
      <w:pPr>
        <w:jc w:val="both"/>
        <w:ind w:left="660" w:right="5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and global tariffs,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market share in foreign jurisdictions resulting from political and regulatory uncertainty regarding possible trade restrictions or other government actions;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2024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5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Sandisk Corporation; Yangtze Memory Technologies Co., Ltd. (“YMTC”); and ChangXin Memory Technologies, Inc. (“CXMT”).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memory and storage market could have a significant adverse impact on our competitive position. We operate in different jurisdictions than our competitors and may be impacted by unfavorable changes in currency exchange rates.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As a result, we face the threat of increasing competition and oversupply due to significant investment in the semiconductor industry by the Chinese government and various state-owned or affiliated entities, such as YMTC and CXMT. In addition, the CAC’s decision that critical information infrastructure operators in China may not purchase Micron products had an adverse impact on our ability to compete effectively in China and elsewhere.</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Recent technologies, such as generative AI models have emerged, and while they have driven increased demand for HBM and other advanced products in the data center and other markets, the long-term trajectory is unknown and associated demand may fluctuate. If we or</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our competitors increase HBM supply at a rate that outpaces HBM demand, conversion of HBM capacity to supply other DRAM products could result in significant supply-demand imbalances. Due to the higher performance and more complex manufacturing process, HBM</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requires a higher number of wafers to produce the same number of bits as conventional DRAM in the same technology node. This could lead to declines in average selling prices for our DRAM products and could materially affect our business. Our product demand forecasts may also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successfully achieve revenue targets for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margins and cash flows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expansions involve several risks including the following:</w:t>
      </w:r>
    </w:p>
    <w:p>
      <w:pPr>
        <w:spacing w:after="0" w:line="252" w:lineRule="exact"/>
        <w:rPr>
          <w:sz w:val="20"/>
          <w:szCs w:val="20"/>
          <w:color w:val="auto"/>
        </w:rPr>
      </w:pPr>
    </w:p>
    <w:p>
      <w:pPr>
        <w:ind w:left="660" w:right="30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unavailability of necessary funding, which may include external sources;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realize expected grants, investment tax credits, and other government incentives, including through the CHIPS Act and other national, international, state, and local grants;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 including the CHIPS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potential restrictions related to environmental and other government regulations or permits;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retain and motivate key talent;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customer demand to utilize our increased capacity.</w:t>
      </w:r>
    </w:p>
    <w:p>
      <w:pPr>
        <w:spacing w:after="0" w:line="2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 frame which could result in delays in the completion of our construction projects and increased costs, including costs to operate these facilities.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including grants, subsidies, loans, and tax arrangements, and typically require us to achieve or maintain certain levels of investment, capital spending, employment, technology deployment or development milestones, construction or production milestones, or research and</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development activities to qualify for such incentives or could restrict us from undertaking certain activities. Failure to achieve such milestones could result in up to all of certain incentives being clawed back.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w:t>
      </w:r>
    </w:p>
    <w:p>
      <w:pPr>
        <w:spacing w:after="0" w:line="20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The awards under the direct funding agreements are subject to various conditions and we may not receive the funding expected on the same terms or at all. We cannot guarantee that we will successfully achieve or maintain</w:t>
      </w:r>
    </w:p>
    <w:p>
      <w:pPr>
        <w:spacing w:after="0" w:line="1"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outcomes or satisfy the compliance requirements to qualify for these incentives or that the granting agencies will provide or continue to provide such funding. See “Part I. Financial Information –Item 1. Financial Statements – Notes to Consolidated Financial Statements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CHIPS Act Funding Agreements.”</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6"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or stop exporting these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or ongoing adverse conditions in regional or worldwide economies may harm our business.</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Downturns or ongoing adverse conditions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210"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certain customers and end markets.</w:t>
      </w:r>
    </w:p>
    <w:p>
      <w:pPr>
        <w:spacing w:after="0" w:line="25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the first six months of 2025, over half of our total revenue came from our top ten customers. On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 Item 1. Financial Statements – Notes to Consolidated Financial Statements – Certain Concentrations.”</w:t>
      </w:r>
    </w:p>
    <w:p>
      <w:pPr>
        <w:spacing w:after="0" w:line="219"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w:t>
      </w:r>
    </w:p>
    <w:p>
      <w:pPr>
        <w:spacing w:after="0" w:line="200" w:lineRule="exact"/>
        <w:rPr>
          <w:sz w:val="20"/>
          <w:szCs w:val="20"/>
          <w:color w:val="auto"/>
        </w:rPr>
      </w:pPr>
    </w:p>
    <w:p>
      <w:pPr>
        <w:spacing w:after="0" w:line="24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Any such event, or the perception it has occurred, may result in significant losses and damage our reputation with customers and suppliers and may expose us to claims, demands, and litigation.</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are breached or attacked, this could harm our business by requiring us to employ additional resources to remediate the errors or defects, and could expose us to litigation, claims, and harm to our reputation.</w:t>
      </w:r>
    </w:p>
    <w:p>
      <w:pPr>
        <w:spacing w:after="0" w:line="2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any of the multiple uncertainties and outcomes associated with the use and evolution of AI.</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AI algorithms or training methodologies may be flawed, and datasets may contain irrelevant, insufficient or biased information, which can cause errors in outputs.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 remain competitive, we must maintain a highly skilled, global workforce and effectively manage succession for key roles. Hiring, retaining, and motivating qualified executives and other skilled talent is critical to our business and competition can be intense. If our total compensation programs, employment benefits, and workplace culture are not viewed as competitive and inclusive, our ability to attract and retain talent could be compromised.</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times, we experience higher levels of attrition and more intense competition for talent across our industry, which can lead to increased compensation costs. To the extent we experience significant attrition and are unable to timely replace employees, we could experience a loss of critical skills and reduced employee morale, potentially resulting in business disruptions, inefficiencies during transitional periods and increased expenses.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business success is dependent on our ability to attract, retain and motivate key talent. Our inability to do so could inhibit our ability to maintain or expand our business operations and may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22"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business due to failure to meet our customers’ sustainability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sustainability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sustainability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00" w:lineRule="exact"/>
        <w:rPr>
          <w:sz w:val="20"/>
          <w:szCs w:val="20"/>
          <w:color w:val="auto"/>
        </w:rPr>
      </w:pPr>
    </w:p>
    <w:p>
      <w:pPr>
        <w:spacing w:after="0" w:line="269"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restructure charges in future periods and may not realize expected savings or other benefits from restructure plans.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Legal, regulatory and administrative investigations, inquiries, proceedings, and claims could have a material adverse effect on our business, results of operations, or financial condition.</w:t>
      </w:r>
    </w:p>
    <w:p>
      <w:pPr>
        <w:spacing w:after="0" w:line="16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may be associated with and subject to litigation, claims, inquiries, investigations, or disputes arising from, or as a result of:</w:t>
      </w:r>
    </w:p>
    <w:p>
      <w:pPr>
        <w:spacing w:after="0" w:line="252" w:lineRule="exact"/>
        <w:rPr>
          <w:sz w:val="20"/>
          <w:szCs w:val="20"/>
          <w:color w:val="auto"/>
        </w:rPr>
      </w:pPr>
    </w:p>
    <w:p>
      <w:pPr>
        <w:ind w:left="660" w:right="52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2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201"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w:t>
      </w:r>
    </w:p>
    <w:p>
      <w:pPr>
        <w:spacing w:after="0" w:line="200" w:lineRule="exact"/>
        <w:rPr>
          <w:sz w:val="20"/>
          <w:szCs w:val="20"/>
          <w:color w:val="auto"/>
        </w:rPr>
      </w:pPr>
    </w:p>
    <w:p>
      <w:pPr>
        <w:spacing w:after="0" w:line="238"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89"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in the United States or abroad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have in the past and could in the future result in new export controls associated with</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products, including those that support or enable AI applications, which could, in turn, restrict future sales of certain products to China or other markets. Such changes may also result in reputational harm to us, the development or adoption of technologies that compete with our</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We do not expect these enacted laws to materially impact our effective tax rate for 2025. On November 27, 2024, Singapore enacted legislation to implement Pillar Two, which will apply to us starting in 2026. While we are still evaluating the impacts, we expect our effective tax rate for 2026 to be in the high-teens percentage range. We also continue to monitor for additional guidance and legislative changes related to Pillar Two in the jurisdictions where we operate.</w:t>
      </w:r>
    </w:p>
    <w:p>
      <w:pPr>
        <w:spacing w:after="0" w:line="208"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4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and evolving laws and regulations relating to cybersecurity, data privacy, and AI impose requirements for information confidentiality, integrity, availability, personal and proprietary data collection, storage, use, sharing, deletion, and AI systems to be appropriately transparent, fair, secure, beneficial, and accountable. Along with these,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remediation costs and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2025 for property, plant, and equipment, net of proceeds from government incentives, to be approximately $14 billion.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February 27, 2025, we had debt with a carrying value of $ 14.36 billion and may incur additional debt. On March 12, 2025, we terminated our $2.50 billion existing undrawn credit facility and entered into a new $3.50 billion Revolving Credit Facility. Our debt obligations could adversely impact us as follows:</w:t>
      </w:r>
    </w:p>
    <w:p>
      <w:pPr>
        <w:spacing w:after="0" w:line="203" w:lineRule="exact"/>
        <w:rPr>
          <w:sz w:val="20"/>
          <w:szCs w:val="20"/>
          <w:color w:val="auto"/>
        </w:rPr>
      </w:pPr>
    </w:p>
    <w:p>
      <w:pPr>
        <w:ind w:left="660" w:right="42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 and reduce our ability to raise funds on favorable terms;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243"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ind w:right="380"/>
        <w:spacing w:after="0" w:line="273"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See “Part I. Financial Information –Item 1. Financial Statements – Notes to Consolidated Financial Statements – CHIPS Act Funding Agreements.” Our expenditures for these share repurchases were $300 million in 2024, $425 million in 2023, $2.43 billion in 2022,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4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 Notes to Consolidated Financial Statements – CHIPS Act Funding Agreements.” During the quarter ended February 27, 2025, we did not repurchase any common stock under the authorization and as of February 27, 2025, $2.81 billion of the authorization remained available for the repurchase of our common stock.</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2025, shares withheld as payment upon the vesting of restricted stock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40" w:type="dxa"/>
            <w:vAlign w:val="bottom"/>
          </w:tcPr>
          <w:p>
            <w:pPr>
              <w:spacing w:after="0"/>
              <w:rPr>
                <w:sz w:val="17"/>
                <w:szCs w:val="17"/>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5"/>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Period</w:t>
            </w: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gridSpan w:val="3"/>
            <w:vMerge w:val="continue"/>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November 29, 2024</w:t>
            </w:r>
          </w:p>
        </w:tc>
        <w:tc>
          <w:tcPr>
            <w:tcW w:w="30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December 26, 2024</w:t>
            </w:r>
          </w:p>
        </w:tc>
        <w:tc>
          <w:tcPr>
            <w:tcW w:w="1460" w:type="dxa"/>
            <w:vAlign w:val="bottom"/>
            <w:gridSpan w:val="2"/>
            <w:shd w:val="clear" w:color="auto" w:fill="D1D2D4"/>
          </w:tcPr>
          <w:p>
            <w:pPr>
              <w:ind w:left="10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ind w:left="18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rPr>
              <w:t>December 27, 2024</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January 23, 2025</w:t>
            </w:r>
          </w:p>
        </w:tc>
        <w:tc>
          <w:tcPr>
            <w:tcW w:w="1320" w:type="dxa"/>
            <w:vAlign w:val="bottom"/>
          </w:tcPr>
          <w:p>
            <w:pPr>
              <w:jc w:val="right"/>
              <w:spacing w:after="0"/>
              <w:rPr>
                <w:sz w:val="20"/>
                <w:szCs w:val="20"/>
                <w:color w:val="auto"/>
              </w:rPr>
            </w:pPr>
            <w:r>
              <w:rPr>
                <w:rFonts w:ascii="Arial" w:cs="Arial" w:eastAsia="Arial" w:hAnsi="Arial"/>
                <w:sz w:val="18"/>
                <w:szCs w:val="18"/>
                <w:color w:val="auto"/>
              </w:rPr>
              <w:t>38,655</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101.76</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January 24, 2025</w:t>
            </w:r>
          </w:p>
        </w:tc>
        <w:tc>
          <w:tcPr>
            <w:tcW w:w="30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February 27, 2025</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D1D2D4"/>
          </w:tcPr>
          <w:p>
            <w:pPr>
              <w:ind w:left="18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38,655</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2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310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directors or officers, as defined in Rule 16a-1(f) of the Exchange Act,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25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7"/>
                <w:szCs w:val="17"/>
                <w:color w:val="auto"/>
              </w:rPr>
            </w:pPr>
          </w:p>
        </w:tc>
        <w:tc>
          <w:tcPr>
            <w:tcW w:w="4680" w:type="dxa"/>
            <w:vAlign w:val="bottom"/>
            <w:gridSpan w:val="32"/>
            <w:vMerge w:val="restart"/>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1820" w:type="dxa"/>
            <w:vAlign w:val="bottom"/>
          </w:tcPr>
          <w:p>
            <w:pPr>
              <w:ind w:left="32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8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2"/>
            <w:vMerge w:val="continue"/>
          </w:tcPr>
          <w:p>
            <w:pPr>
              <w:spacing w:after="0"/>
              <w:rPr>
                <w:sz w:val="20"/>
                <w:szCs w:val="20"/>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10"/>
            <w:shd w:val="clear" w:color="auto" w:fill="D1D2D4"/>
          </w:tcPr>
          <w:p>
            <w:pPr>
              <w:spacing w:after="0" w:line="182" w:lineRule="exact"/>
              <w:rPr>
                <w:rFonts w:ascii="Arial" w:cs="Arial" w:eastAsia="Arial" w:hAnsi="Arial"/>
                <w:sz w:val="18"/>
                <w:szCs w:val="18"/>
                <w:color w:val="auto"/>
                <w:w w:val="99"/>
              </w:rPr>
            </w:pPr>
            <w:hyperlink r:id="rId114">
              <w:r>
                <w:rPr>
                  <w:rFonts w:ascii="Arial" w:cs="Arial" w:eastAsia="Arial" w:hAnsi="Arial"/>
                  <w:sz w:val="18"/>
                  <w:szCs w:val="18"/>
                  <w:color w:val="auto"/>
                  <w:w w:val="99"/>
                </w:rPr>
                <w:t>Restated Certificate of Incorporation of the Registrant</w:t>
              </w:r>
            </w:hyperlink>
          </w:p>
        </w:tc>
        <w:tc>
          <w:tcPr>
            <w:tcW w:w="1280" w:type="dxa"/>
            <w:vAlign w:val="bottom"/>
            <w:tcBorders>
              <w:bottom w:val="single" w:sz="8" w:color="D1D2D4"/>
            </w:tcBorders>
            <w:gridSpan w:val="23"/>
            <w:shd w:val="clear" w:color="auto" w:fill="D1D2D4"/>
          </w:tcPr>
          <w:p>
            <w:pPr>
              <w:spacing w:after="0"/>
              <w:rPr>
                <w:sz w:val="17"/>
                <w:szCs w:val="17"/>
                <w:color w:val="auto"/>
              </w:rPr>
            </w:pPr>
          </w:p>
        </w:tc>
        <w:tc>
          <w:tcPr>
            <w:tcW w:w="1820" w:type="dxa"/>
            <w:vAlign w:val="bottom"/>
            <w:tcBorders>
              <w:bottom w:val="single" w:sz="8" w:color="D1D2D4"/>
            </w:tcBorders>
            <w:shd w:val="clear" w:color="auto" w:fill="D1D2D4"/>
          </w:tcPr>
          <w:p>
            <w:pPr>
              <w:ind w:left="106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540" w:type="dxa"/>
            <w:vAlign w:val="bottom"/>
            <w:gridSpan w:val="33"/>
          </w:tcPr>
          <w:p>
            <w:pPr>
              <w:spacing w:after="0" w:line="189" w:lineRule="exact"/>
              <w:rPr>
                <w:rFonts w:ascii="Arial" w:cs="Arial" w:eastAsia="Arial" w:hAnsi="Arial"/>
                <w:sz w:val="18"/>
                <w:szCs w:val="18"/>
                <w:color w:val="auto"/>
              </w:rPr>
            </w:pPr>
            <w:hyperlink r:id="rId115">
              <w:r>
                <w:rPr>
                  <w:rFonts w:ascii="Arial" w:cs="Arial" w:eastAsia="Arial" w:hAnsi="Arial"/>
                  <w:sz w:val="18"/>
                  <w:szCs w:val="18"/>
                  <w:color w:val="auto"/>
                </w:rPr>
                <w:t>Amended and Restated Bylaws of Registrant as of October 28, 2024</w:t>
              </w:r>
            </w:hyperlink>
          </w:p>
        </w:tc>
        <w:tc>
          <w:tcPr>
            <w:tcW w:w="1820" w:type="dxa"/>
            <w:vAlign w:val="bottom"/>
          </w:tcPr>
          <w:p>
            <w:pPr>
              <w:ind w:left="106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10/30/24</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540" w:type="dxa"/>
            <w:vAlign w:val="bottom"/>
            <w:gridSpan w:val="33"/>
            <w:shd w:val="clear" w:color="auto" w:fill="D1D2D4"/>
          </w:tcPr>
          <w:p>
            <w:pPr>
              <w:spacing w:after="0" w:line="189" w:lineRule="exact"/>
              <w:rPr>
                <w:rFonts w:ascii="Arial" w:cs="Arial" w:eastAsia="Arial" w:hAnsi="Arial"/>
                <w:sz w:val="18"/>
                <w:szCs w:val="18"/>
                <w:color w:val="auto"/>
              </w:rPr>
            </w:pPr>
            <w:hyperlink r:id="rId116">
              <w:r>
                <w:rPr>
                  <w:rFonts w:ascii="Arial" w:cs="Arial" w:eastAsia="Arial" w:hAnsi="Arial"/>
                  <w:sz w:val="18"/>
                  <w:szCs w:val="18"/>
                  <w:color w:val="auto"/>
                </w:rPr>
                <w:t>Ninth Supplemental Indenture, dated as of January 16, 2025, by and</w:t>
              </w:r>
            </w:hyperlink>
          </w:p>
        </w:tc>
        <w:tc>
          <w:tcPr>
            <w:tcW w:w="1820" w:type="dxa"/>
            <w:vAlign w:val="bottom"/>
            <w:shd w:val="clear" w:color="auto" w:fill="D1D2D4"/>
          </w:tcPr>
          <w:p>
            <w:pPr>
              <w:ind w:left="106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80" w:type="dxa"/>
            <w:vAlign w:val="bottom"/>
            <w:tcBorders>
              <w:top w:val="single" w:sz="8" w:color="auto"/>
            </w:tcBorders>
            <w:gridSpan w:val="31"/>
            <w:shd w:val="clear" w:color="auto" w:fill="D1D2D4"/>
          </w:tcPr>
          <w:p>
            <w:pPr>
              <w:spacing w:after="0" w:line="169" w:lineRule="exact"/>
              <w:rPr>
                <w:rFonts w:ascii="Arial" w:cs="Arial" w:eastAsia="Arial" w:hAnsi="Arial"/>
                <w:sz w:val="18"/>
                <w:szCs w:val="18"/>
                <w:color w:val="auto"/>
              </w:rPr>
            </w:pPr>
            <w:hyperlink r:id="rId116">
              <w:r>
                <w:rPr>
                  <w:rFonts w:ascii="Arial" w:cs="Arial" w:eastAsia="Arial" w:hAnsi="Arial"/>
                  <w:sz w:val="18"/>
                  <w:szCs w:val="18"/>
                  <w:color w:val="auto"/>
                </w:rPr>
                <w:t>between Micron Technology, Inc. and U.S. Bank Trust Company,</w:t>
              </w:r>
            </w:hyperlink>
          </w:p>
        </w:tc>
        <w:tc>
          <w:tcPr>
            <w:tcW w:w="60" w:type="dxa"/>
            <w:vAlign w:val="bottom"/>
            <w:tcBorders>
              <w:top w:val="single" w:sz="8" w:color="D1D2D4"/>
            </w:tcBorders>
            <w:gridSpan w:val="2"/>
            <w:shd w:val="clear" w:color="auto" w:fill="D1D2D4"/>
          </w:tcPr>
          <w:p>
            <w:pPr>
              <w:spacing w:after="0"/>
              <w:rPr>
                <w:sz w:val="14"/>
                <w:szCs w:val="14"/>
                <w:color w:val="auto"/>
              </w:rPr>
            </w:pPr>
          </w:p>
        </w:tc>
        <w:tc>
          <w:tcPr>
            <w:tcW w:w="182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5"/>
            <w:shd w:val="clear" w:color="auto" w:fill="D1D2D4"/>
          </w:tcPr>
          <w:p>
            <w:pPr>
              <w:spacing w:after="0" w:line="156" w:lineRule="exact"/>
              <w:rPr>
                <w:rFonts w:ascii="Arial" w:cs="Arial" w:eastAsia="Arial" w:hAnsi="Arial"/>
                <w:sz w:val="18"/>
                <w:szCs w:val="18"/>
                <w:color w:val="auto"/>
                <w:w w:val="99"/>
              </w:rPr>
            </w:pPr>
            <w:hyperlink r:id="rId116">
              <w:r>
                <w:rPr>
                  <w:rFonts w:ascii="Arial" w:cs="Arial" w:eastAsia="Arial" w:hAnsi="Arial"/>
                  <w:sz w:val="18"/>
                  <w:szCs w:val="18"/>
                  <w:color w:val="auto"/>
                  <w:w w:val="99"/>
                </w:rPr>
                <w:t>National Association, as Trustee</w:t>
              </w:r>
            </w:hyperlink>
          </w:p>
        </w:tc>
        <w:tc>
          <w:tcPr>
            <w:tcW w:w="2580" w:type="dxa"/>
            <w:vAlign w:val="bottom"/>
            <w:tcBorders>
              <w:top w:val="single" w:sz="8" w:color="auto"/>
              <w:bottom w:val="single" w:sz="8" w:color="D1D2D4"/>
            </w:tcBorders>
            <w:gridSpan w:val="15"/>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82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40" w:type="dxa"/>
            <w:vAlign w:val="bottom"/>
            <w:gridSpan w:val="33"/>
          </w:tcPr>
          <w:p>
            <w:pPr>
              <w:spacing w:after="0" w:line="189" w:lineRule="exact"/>
              <w:rPr>
                <w:rFonts w:ascii="Arial" w:cs="Arial" w:eastAsia="Arial" w:hAnsi="Arial"/>
                <w:sz w:val="18"/>
                <w:szCs w:val="18"/>
                <w:color w:val="auto"/>
              </w:rPr>
            </w:pPr>
            <w:hyperlink r:id="rId116">
              <w:r>
                <w:rPr>
                  <w:rFonts w:ascii="Arial" w:cs="Arial" w:eastAsia="Arial" w:hAnsi="Arial"/>
                  <w:sz w:val="18"/>
                  <w:szCs w:val="18"/>
                  <w:color w:val="auto"/>
                </w:rPr>
                <w:t>Form of Note for Micron Technology, Inc.’s 5.80% Senior Notes due</w:t>
              </w:r>
            </w:hyperlink>
          </w:p>
        </w:tc>
        <w:tc>
          <w:tcPr>
            <w:tcW w:w="1820" w:type="dxa"/>
            <w:vAlign w:val="bottom"/>
          </w:tcPr>
          <w:p>
            <w:pPr>
              <w:ind w:left="106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20" w:type="dxa"/>
            <w:vAlign w:val="bottom"/>
            <w:tcBorders>
              <w:top w:val="single" w:sz="8" w:color="auto"/>
            </w:tcBorders>
            <w:gridSpan w:val="28"/>
          </w:tcPr>
          <w:p>
            <w:pPr>
              <w:spacing w:after="0" w:line="169" w:lineRule="exact"/>
              <w:rPr>
                <w:rFonts w:ascii="Arial" w:cs="Arial" w:eastAsia="Arial" w:hAnsi="Arial"/>
                <w:sz w:val="18"/>
                <w:szCs w:val="18"/>
                <w:color w:val="auto"/>
              </w:rPr>
            </w:pPr>
            <w:hyperlink r:id="rId116">
              <w:r>
                <w:rPr>
                  <w:rFonts w:ascii="Arial" w:cs="Arial" w:eastAsia="Arial" w:hAnsi="Arial"/>
                  <w:sz w:val="18"/>
                  <w:szCs w:val="18"/>
                  <w:color w:val="auto"/>
                </w:rPr>
                <w:t>2035 (included in Exhibit 4.1)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Term Loan Credit Agreement, dated as of January 17, 2025, by and</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bottom w:val="single" w:sz="8" w:color="D1D2D4"/>
            </w:tcBorders>
            <w:shd w:val="clear" w:color="auto" w:fill="D1D2D4"/>
          </w:tcPr>
          <w:p>
            <w:pPr>
              <w:spacing w:after="0"/>
              <w:rPr>
                <w:sz w:val="14"/>
                <w:szCs w:val="14"/>
                <w:color w:val="auto"/>
              </w:rPr>
            </w:pPr>
          </w:p>
        </w:tc>
        <w:tc>
          <w:tcPr>
            <w:tcW w:w="5240" w:type="dxa"/>
            <w:vAlign w:val="bottom"/>
            <w:tcBorders>
              <w:top w:val="single" w:sz="8" w:color="auto"/>
              <w:bottom w:val="single" w:sz="8" w:color="auto"/>
            </w:tcBorders>
            <w:gridSpan w:val="22"/>
            <w:shd w:val="clear" w:color="auto" w:fill="D1D2D4"/>
          </w:tcPr>
          <w:p>
            <w:pPr>
              <w:spacing w:after="0" w:line="169" w:lineRule="exact"/>
              <w:rPr>
                <w:sz w:val="20"/>
                <w:szCs w:val="20"/>
                <w:color w:val="auto"/>
              </w:rPr>
            </w:pPr>
            <w:r>
              <w:rPr>
                <w:rFonts w:ascii="Arial" w:cs="Arial" w:eastAsia="Arial" w:hAnsi="Arial"/>
                <w:sz w:val="18"/>
                <w:szCs w:val="18"/>
                <w:color w:val="auto"/>
                <w:w w:val="99"/>
              </w:rPr>
              <w:t>among Micron Technology, Inc., as borrower, PNC Bank, National</w:t>
            </w:r>
          </w:p>
        </w:tc>
        <w:tc>
          <w:tcPr>
            <w:tcW w:w="160" w:type="dxa"/>
            <w:vAlign w:val="bottom"/>
            <w:tcBorders>
              <w:top w:val="single" w:sz="8" w:color="auto"/>
              <w:bottom w:val="single" w:sz="8" w:color="D1D2D4"/>
            </w:tcBorders>
            <w:gridSpan w:val="5"/>
            <w:shd w:val="clear" w:color="auto" w:fill="D1D2D4"/>
          </w:tcPr>
          <w:p>
            <w:pPr>
              <w:spacing w:after="0"/>
              <w:rPr>
                <w:sz w:val="14"/>
                <w:szCs w:val="14"/>
                <w:color w:val="auto"/>
              </w:rPr>
            </w:pPr>
          </w:p>
        </w:tc>
        <w:tc>
          <w:tcPr>
            <w:tcW w:w="40" w:type="dxa"/>
            <w:vAlign w:val="bottom"/>
            <w:tcBorders>
              <w:top w:val="single" w:sz="8" w:color="D1D2D4"/>
              <w:bottom w:val="single" w:sz="8" w:color="D1D2D4"/>
            </w:tcBorders>
            <w:gridSpan w:val="2"/>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80" w:type="dxa"/>
            <w:vAlign w:val="bottom"/>
            <w:tcBorders>
              <w:top w:val="single" w:sz="8" w:color="D1D2D4"/>
              <w:bottom w:val="single" w:sz="8" w:color="D1D2D4"/>
            </w:tcBorders>
            <w:gridSpan w:val="3"/>
            <w:shd w:val="clear" w:color="auto" w:fill="D1D2D4"/>
          </w:tcPr>
          <w:p>
            <w:pPr>
              <w:spacing w:after="0"/>
              <w:rPr>
                <w:sz w:val="14"/>
                <w:szCs w:val="14"/>
                <w:color w:val="auto"/>
              </w:rPr>
            </w:pPr>
          </w:p>
        </w:tc>
        <w:tc>
          <w:tcPr>
            <w:tcW w:w="1820" w:type="dxa"/>
            <w:vAlign w:val="bottom"/>
            <w:tcBorders>
              <w:top w:val="single" w:sz="8" w:color="D1D2D4"/>
              <w:bottom w:val="single" w:sz="8" w:color="D1D2D4"/>
            </w:tcBorders>
            <w:shd w:val="clear" w:color="auto" w:fill="D1D2D4"/>
          </w:tcPr>
          <w:p>
            <w:pPr>
              <w:spacing w:after="0"/>
              <w:rPr>
                <w:sz w:val="14"/>
                <w:szCs w:val="14"/>
                <w:color w:val="auto"/>
              </w:rPr>
            </w:pPr>
          </w:p>
        </w:tc>
        <w:tc>
          <w:tcPr>
            <w:tcW w:w="860" w:type="dxa"/>
            <w:vAlign w:val="bottom"/>
            <w:tcBorders>
              <w:top w:val="single" w:sz="8" w:color="D1D2D4"/>
              <w:bottom w:val="single" w:sz="8" w:color="D1D2D4"/>
            </w:tcBorders>
            <w:shd w:val="clear" w:color="auto" w:fill="D1D2D4"/>
          </w:tcPr>
          <w:p>
            <w:pPr>
              <w:spacing w:after="0"/>
              <w:rPr>
                <w:sz w:val="14"/>
                <w:szCs w:val="14"/>
                <w:color w:val="auto"/>
              </w:rPr>
            </w:pPr>
          </w:p>
        </w:tc>
        <w:tc>
          <w:tcPr>
            <w:tcW w:w="1080" w:type="dxa"/>
            <w:vAlign w:val="bottom"/>
            <w:tcBorders>
              <w:top w:val="single" w:sz="8" w:color="D1D2D4"/>
              <w:bottom w:val="single" w:sz="8" w:color="D1D2D4"/>
            </w:tcBorders>
            <w:shd w:val="clear" w:color="auto" w:fill="D1D2D4"/>
          </w:tcPr>
          <w:p>
            <w:pPr>
              <w:spacing w:after="0"/>
              <w:rPr>
                <w:sz w:val="14"/>
                <w:szCs w:val="14"/>
                <w:color w:val="auto"/>
              </w:rPr>
            </w:pPr>
          </w:p>
        </w:tc>
        <w:tc>
          <w:tcPr>
            <w:tcW w:w="960" w:type="dxa"/>
            <w:vAlign w:val="bottom"/>
            <w:tcBorders>
              <w:top w:val="single" w:sz="8" w:color="D1D2D4"/>
              <w:bottom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shd w:val="clear" w:color="auto" w:fill="D1D2D4"/>
          </w:tcPr>
          <w:p>
            <w:pPr>
              <w:spacing w:after="0"/>
              <w:rPr>
                <w:sz w:val="13"/>
                <w:szCs w:val="13"/>
                <w:color w:val="auto"/>
              </w:rPr>
            </w:pPr>
          </w:p>
        </w:tc>
        <w:tc>
          <w:tcPr>
            <w:tcW w:w="5540" w:type="dxa"/>
            <w:vAlign w:val="bottom"/>
            <w:gridSpan w:val="33"/>
            <w:shd w:val="clear" w:color="auto" w:fill="D1D2D4"/>
          </w:tcPr>
          <w:p>
            <w:pPr>
              <w:spacing w:after="0" w:line="156" w:lineRule="exact"/>
              <w:rPr>
                <w:sz w:val="20"/>
                <w:szCs w:val="20"/>
                <w:color w:val="auto"/>
              </w:rPr>
            </w:pPr>
            <w:r>
              <w:rPr>
                <w:rFonts w:ascii="Arial" w:cs="Arial" w:eastAsia="Arial" w:hAnsi="Arial"/>
                <w:sz w:val="18"/>
                <w:szCs w:val="18"/>
                <w:color w:val="auto"/>
              </w:rPr>
              <w:t>Association, as administrative agent, the other agents party thereto,</w:t>
            </w:r>
          </w:p>
        </w:tc>
        <w:tc>
          <w:tcPr>
            <w:tcW w:w="182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4720" w:type="dxa"/>
            <w:vAlign w:val="bottom"/>
            <w:tcBorders>
              <w:top w:val="single" w:sz="8" w:color="auto"/>
              <w:bottom w:val="single" w:sz="8" w:color="auto"/>
            </w:tcBorders>
            <w:gridSpan w:val="15"/>
            <w:shd w:val="clear" w:color="auto" w:fill="D1D2D4"/>
          </w:tcPr>
          <w:p>
            <w:pPr>
              <w:spacing w:after="0" w:line="156" w:lineRule="exact"/>
              <w:rPr>
                <w:sz w:val="20"/>
                <w:szCs w:val="20"/>
                <w:color w:val="auto"/>
              </w:rPr>
            </w:pPr>
            <w:r>
              <w:rPr>
                <w:rFonts w:ascii="Arial" w:cs="Arial" w:eastAsia="Arial" w:hAnsi="Arial"/>
                <w:sz w:val="18"/>
                <w:szCs w:val="18"/>
                <w:color w:val="auto"/>
                <w:w w:val="99"/>
              </w:rPr>
              <w:t>and each financial institution party from time to time thereto</w:t>
            </w:r>
          </w:p>
        </w:tc>
        <w:tc>
          <w:tcPr>
            <w:tcW w:w="660" w:type="dxa"/>
            <w:vAlign w:val="bottom"/>
            <w:tcBorders>
              <w:top w:val="single" w:sz="8" w:color="auto"/>
              <w:bottom w:val="single" w:sz="8" w:color="D1D2D4"/>
            </w:tcBorders>
            <w:gridSpan w:val="11"/>
            <w:shd w:val="clear" w:color="auto" w:fill="D1D2D4"/>
          </w:tcPr>
          <w:p>
            <w:pPr>
              <w:spacing w:after="0"/>
              <w:rPr>
                <w:sz w:val="15"/>
                <w:szCs w:val="15"/>
                <w:color w:val="auto"/>
              </w:rPr>
            </w:pPr>
          </w:p>
        </w:tc>
        <w:tc>
          <w:tcPr>
            <w:tcW w:w="6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82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540" w:type="dxa"/>
            <w:vAlign w:val="bottom"/>
            <w:gridSpan w:val="33"/>
          </w:tcPr>
          <w:p>
            <w:pPr>
              <w:spacing w:after="0" w:line="189" w:lineRule="exact"/>
              <w:rPr>
                <w:sz w:val="20"/>
                <w:szCs w:val="20"/>
                <w:color w:val="auto"/>
              </w:rPr>
            </w:pPr>
            <w:r>
              <w:rPr>
                <w:rFonts w:ascii="Arial" w:cs="Arial" w:eastAsia="Arial" w:hAnsi="Arial"/>
                <w:sz w:val="18"/>
                <w:szCs w:val="18"/>
                <w:color w:val="auto"/>
              </w:rPr>
              <w:t>2025 Equity Incentive Plan</w:t>
            </w:r>
          </w:p>
        </w:tc>
        <w:tc>
          <w:tcPr>
            <w:tcW w:w="182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w:t>
            </w:r>
          </w:p>
        </w:tc>
        <w:tc>
          <w:tcPr>
            <w:tcW w:w="5540" w:type="dxa"/>
            <w:vAlign w:val="bottom"/>
            <w:gridSpan w:val="33"/>
            <w:shd w:val="clear" w:color="auto" w:fill="D1D2D4"/>
          </w:tcPr>
          <w:p>
            <w:pPr>
              <w:spacing w:after="0" w:line="189" w:lineRule="exact"/>
              <w:rPr>
                <w:rFonts w:ascii="Arial" w:cs="Arial" w:eastAsia="Arial" w:hAnsi="Arial"/>
                <w:sz w:val="18"/>
                <w:szCs w:val="18"/>
                <w:color w:val="auto"/>
              </w:rPr>
            </w:pPr>
            <w:hyperlink r:id="rId117">
              <w:r>
                <w:rPr>
                  <w:rFonts w:ascii="Arial" w:cs="Arial" w:eastAsia="Arial" w:hAnsi="Arial"/>
                  <w:sz w:val="18"/>
                  <w:szCs w:val="18"/>
                  <w:color w:val="auto"/>
                </w:rPr>
                <w:t>2025 Equity Incentive Plan Forms of Agreement and Terms and</w:t>
              </w:r>
            </w:hyperlink>
          </w:p>
        </w:tc>
        <w:tc>
          <w:tcPr>
            <w:tcW w:w="1820" w:type="dxa"/>
            <w:vAlign w:val="bottom"/>
            <w:shd w:val="clear" w:color="auto" w:fill="D1D2D4"/>
          </w:tcPr>
          <w:p>
            <w:pPr>
              <w:ind w:left="1060"/>
              <w:spacing w:after="0" w:line="189" w:lineRule="exact"/>
              <w:rPr>
                <w:sz w:val="20"/>
                <w:szCs w:val="20"/>
                <w:color w:val="auto"/>
              </w:rPr>
            </w:pPr>
            <w:r>
              <w:rPr>
                <w:rFonts w:ascii="Arial" w:cs="Arial" w:eastAsia="Arial" w:hAnsi="Arial"/>
                <w:sz w:val="18"/>
                <w:szCs w:val="18"/>
                <w:color w:val="auto"/>
              </w:rPr>
              <w:t>S-8</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99.2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auto"/>
              <w:bottom w:val="single" w:sz="8" w:color="auto"/>
            </w:tcBorders>
            <w:shd w:val="clear" w:color="auto" w:fill="D1D2D4"/>
          </w:tcPr>
          <w:p>
            <w:pPr>
              <w:spacing w:after="0" w:line="169" w:lineRule="exact"/>
              <w:rPr>
                <w:rFonts w:ascii="Arial" w:cs="Arial" w:eastAsia="Arial" w:hAnsi="Arial"/>
                <w:sz w:val="18"/>
                <w:szCs w:val="18"/>
                <w:color w:val="auto"/>
                <w:w w:val="98"/>
              </w:rPr>
            </w:pPr>
            <w:hyperlink r:id="rId117">
              <w:r>
                <w:rPr>
                  <w:rFonts w:ascii="Arial" w:cs="Arial" w:eastAsia="Arial" w:hAnsi="Arial"/>
                  <w:sz w:val="18"/>
                  <w:szCs w:val="18"/>
                  <w:color w:val="auto"/>
                  <w:w w:val="98"/>
                </w:rPr>
                <w:t>Conditions</w:t>
              </w:r>
            </w:hyperlink>
          </w:p>
        </w:tc>
        <w:tc>
          <w:tcPr>
            <w:tcW w:w="4220" w:type="dxa"/>
            <w:vAlign w:val="bottom"/>
            <w:tcBorders>
              <w:top w:val="single" w:sz="8" w:color="auto"/>
              <w:bottom w:val="single" w:sz="8" w:color="D1D2D4"/>
            </w:tcBorders>
            <w:gridSpan w:val="17"/>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2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40" w:type="dxa"/>
            <w:vAlign w:val="bottom"/>
            <w:tcBorders>
              <w:top w:val="single" w:sz="8" w:color="D1D2D4"/>
              <w:bottom w:val="single" w:sz="8" w:color="D1D2D4"/>
            </w:tcBorders>
            <w:gridSpan w:val="4"/>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8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182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40" w:type="dxa"/>
            <w:vAlign w:val="bottom"/>
            <w:gridSpan w:val="33"/>
          </w:tcPr>
          <w:p>
            <w:pPr>
              <w:spacing w:after="0" w:line="189" w:lineRule="exact"/>
              <w:rPr>
                <w:sz w:val="20"/>
                <w:szCs w:val="20"/>
                <w:color w:val="auto"/>
              </w:rPr>
            </w:pPr>
            <w:r>
              <w:rPr>
                <w:rFonts w:ascii="Arial" w:cs="Arial" w:eastAsia="Arial" w:hAnsi="Arial"/>
                <w:sz w:val="18"/>
                <w:szCs w:val="18"/>
                <w:color w:val="auto"/>
              </w:rPr>
              <w:t>2007 Equity Incentive Plan Forms of Agreement and Terms and</w:t>
            </w:r>
          </w:p>
        </w:tc>
        <w:tc>
          <w:tcPr>
            <w:tcW w:w="182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060" w:type="dxa"/>
            <w:vAlign w:val="bottom"/>
            <w:tcBorders>
              <w:top w:val="single" w:sz="8" w:color="auto"/>
            </w:tcBorders>
            <w:gridSpan w:val="17"/>
          </w:tcPr>
          <w:p>
            <w:pPr>
              <w:spacing w:after="0" w:line="169" w:lineRule="exact"/>
              <w:rPr>
                <w:sz w:val="20"/>
                <w:szCs w:val="20"/>
                <w:color w:val="auto"/>
              </w:rPr>
            </w:pPr>
            <w:r>
              <w:rPr>
                <w:rFonts w:ascii="Arial" w:cs="Arial" w:eastAsia="Arial" w:hAnsi="Arial"/>
                <w:sz w:val="18"/>
                <w:szCs w:val="18"/>
                <w:color w:val="auto"/>
              </w:rPr>
              <w:t>Conditions</w:t>
            </w: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10.5*</w:t>
            </w:r>
          </w:p>
        </w:tc>
        <w:tc>
          <w:tcPr>
            <w:tcW w:w="2820" w:type="dxa"/>
            <w:vAlign w:val="bottom"/>
            <w:tcBorders>
              <w:bottom w:val="single" w:sz="8" w:color="auto"/>
            </w:tcBorders>
            <w:gridSpan w:val="7"/>
            <w:shd w:val="clear" w:color="auto" w:fill="D1D2D4"/>
          </w:tcPr>
          <w:p>
            <w:pPr>
              <w:spacing w:after="0" w:line="189" w:lineRule="exact"/>
              <w:rPr>
                <w:sz w:val="20"/>
                <w:szCs w:val="20"/>
                <w:color w:val="auto"/>
              </w:rPr>
            </w:pPr>
            <w:r>
              <w:rPr>
                <w:rFonts w:ascii="Arial" w:cs="Arial" w:eastAsia="Arial" w:hAnsi="Arial"/>
                <w:sz w:val="18"/>
                <w:szCs w:val="18"/>
                <w:color w:val="auto"/>
                <w:w w:val="99"/>
              </w:rPr>
              <w:t>Form of Indemnification Agreement</w:t>
            </w:r>
          </w:p>
        </w:tc>
        <w:tc>
          <w:tcPr>
            <w:tcW w:w="2720" w:type="dxa"/>
            <w:vAlign w:val="bottom"/>
            <w:tcBorders>
              <w:bottom w:val="single" w:sz="8" w:color="D1D2D4"/>
            </w:tcBorders>
            <w:gridSpan w:val="26"/>
            <w:shd w:val="clear" w:color="auto" w:fill="D1D2D4"/>
          </w:tcPr>
          <w:p>
            <w:pPr>
              <w:spacing w:after="0"/>
              <w:rPr>
                <w:sz w:val="18"/>
                <w:szCs w:val="18"/>
                <w:color w:val="auto"/>
              </w:rPr>
            </w:pPr>
          </w:p>
        </w:tc>
        <w:tc>
          <w:tcPr>
            <w:tcW w:w="1820" w:type="dxa"/>
            <w:vAlign w:val="bottom"/>
            <w:tcBorders>
              <w:bottom w:val="single" w:sz="8" w:color="D1D2D4"/>
            </w:tcBorders>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5540" w:type="dxa"/>
            <w:vAlign w:val="bottom"/>
            <w:gridSpan w:val="33"/>
          </w:tcPr>
          <w:p>
            <w:pPr>
              <w:spacing w:after="0" w:line="189" w:lineRule="exact"/>
              <w:rPr>
                <w:sz w:val="20"/>
                <w:szCs w:val="20"/>
                <w:color w:val="auto"/>
              </w:rPr>
            </w:pPr>
            <w:r>
              <w:rPr>
                <w:rFonts w:ascii="Arial" w:cs="Arial" w:eastAsia="Arial" w:hAnsi="Arial"/>
                <w:sz w:val="18"/>
                <w:szCs w:val="18"/>
                <w:color w:val="auto"/>
              </w:rPr>
              <w:t>2025 Director Compensation Plan</w:t>
            </w:r>
          </w:p>
        </w:tc>
        <w:tc>
          <w:tcPr>
            <w:tcW w:w="182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10.7^</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Direct Funding Agreement, dated December 9, 2024, by and</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4820" w:type="dxa"/>
            <w:vAlign w:val="bottom"/>
            <w:tcBorders>
              <w:top w:val="single" w:sz="8" w:color="auto"/>
              <w:right w:val="single" w:sz="8" w:color="D1D2D4"/>
            </w:tcBorders>
            <w:gridSpan w:val="16"/>
            <w:shd w:val="clear" w:color="auto" w:fill="D1D2D4"/>
          </w:tcPr>
          <w:p>
            <w:pPr>
              <w:spacing w:after="0" w:line="169" w:lineRule="exact"/>
              <w:rPr>
                <w:sz w:val="20"/>
                <w:szCs w:val="20"/>
                <w:color w:val="auto"/>
              </w:rPr>
            </w:pPr>
            <w:r>
              <w:rPr>
                <w:rFonts w:ascii="Arial" w:cs="Arial" w:eastAsia="Arial" w:hAnsi="Arial"/>
                <w:sz w:val="18"/>
                <w:szCs w:val="18"/>
                <w:color w:val="auto"/>
                <w:w w:val="98"/>
              </w:rPr>
              <w:t>between Micron Idaho Semiconductor Manufacturing (Triton)</w:t>
            </w:r>
          </w:p>
        </w:tc>
        <w:tc>
          <w:tcPr>
            <w:tcW w:w="720" w:type="dxa"/>
            <w:vAlign w:val="bottom"/>
            <w:tcBorders>
              <w:top w:val="single" w:sz="8" w:color="D1D2D4"/>
            </w:tcBorders>
            <w:gridSpan w:val="17"/>
            <w:shd w:val="clear" w:color="auto" w:fill="D1D2D4"/>
          </w:tcPr>
          <w:p>
            <w:pPr>
              <w:ind w:left="60"/>
              <w:spacing w:after="0" w:line="169" w:lineRule="exact"/>
              <w:rPr>
                <w:sz w:val="20"/>
                <w:szCs w:val="20"/>
                <w:color w:val="auto"/>
              </w:rPr>
            </w:pPr>
            <w:r>
              <w:rPr>
                <w:rFonts w:ascii="Arial" w:cs="Arial" w:eastAsia="Arial" w:hAnsi="Arial"/>
                <w:sz w:val="18"/>
                <w:szCs w:val="18"/>
                <w:color w:val="auto"/>
              </w:rPr>
              <w:t>LLC</w:t>
            </w:r>
          </w:p>
        </w:tc>
        <w:tc>
          <w:tcPr>
            <w:tcW w:w="182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220" w:type="dxa"/>
            <w:vAlign w:val="bottom"/>
            <w:tcBorders>
              <w:top w:val="single" w:sz="8" w:color="auto"/>
            </w:tcBorders>
            <w:gridSpan w:val="21"/>
            <w:shd w:val="clear" w:color="auto" w:fill="D1D2D4"/>
          </w:tcPr>
          <w:p>
            <w:pPr>
              <w:spacing w:after="0" w:line="156" w:lineRule="exact"/>
              <w:rPr>
                <w:sz w:val="20"/>
                <w:szCs w:val="20"/>
                <w:color w:val="auto"/>
              </w:rPr>
            </w:pPr>
            <w:r>
              <w:rPr>
                <w:rFonts w:ascii="Arial" w:cs="Arial" w:eastAsia="Arial" w:hAnsi="Arial"/>
                <w:sz w:val="18"/>
                <w:szCs w:val="18"/>
                <w:color w:val="auto"/>
              </w:rPr>
              <w:t>and U.S. Department of Commerce</w:t>
            </w: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40" w:type="dxa"/>
            <w:vAlign w:val="bottom"/>
            <w:tcBorders>
              <w:top w:val="single" w:sz="8" w:color="D1D2D4"/>
            </w:tcBorders>
            <w:gridSpan w:val="4"/>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gridSpan w:val="3"/>
            <w:shd w:val="clear" w:color="auto" w:fill="D1D2D4"/>
          </w:tcPr>
          <w:p>
            <w:pPr>
              <w:spacing w:after="0"/>
              <w:rPr>
                <w:sz w:val="13"/>
                <w:szCs w:val="13"/>
                <w:color w:val="auto"/>
              </w:rPr>
            </w:pPr>
          </w:p>
        </w:tc>
        <w:tc>
          <w:tcPr>
            <w:tcW w:w="182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2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82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10.8^</w:t>
            </w:r>
          </w:p>
        </w:tc>
        <w:tc>
          <w:tcPr>
            <w:tcW w:w="5540" w:type="dxa"/>
            <w:vAlign w:val="bottom"/>
            <w:gridSpan w:val="33"/>
          </w:tcPr>
          <w:p>
            <w:pPr>
              <w:spacing w:after="0" w:line="189" w:lineRule="exact"/>
              <w:rPr>
                <w:sz w:val="20"/>
                <w:szCs w:val="20"/>
                <w:color w:val="auto"/>
              </w:rPr>
            </w:pPr>
            <w:r>
              <w:rPr>
                <w:rFonts w:ascii="Arial" w:cs="Arial" w:eastAsia="Arial" w:hAnsi="Arial"/>
                <w:sz w:val="18"/>
                <w:szCs w:val="18"/>
                <w:color w:val="auto"/>
              </w:rPr>
              <w:t>Direct Funding Agreement, dated December 9, 2024, by and</w:t>
            </w:r>
          </w:p>
        </w:tc>
        <w:tc>
          <w:tcPr>
            <w:tcW w:w="182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80" w:type="dxa"/>
            <w:vAlign w:val="bottom"/>
            <w:gridSpan w:val="4"/>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5540" w:type="dxa"/>
            <w:vAlign w:val="bottom"/>
            <w:gridSpan w:val="33"/>
          </w:tcPr>
          <w:p>
            <w:pPr>
              <w:spacing w:after="0" w:line="169" w:lineRule="exact"/>
              <w:rPr>
                <w:sz w:val="20"/>
                <w:szCs w:val="20"/>
                <w:color w:val="auto"/>
              </w:rPr>
            </w:pPr>
            <w:r>
              <w:rPr>
                <w:rFonts w:ascii="Arial" w:cs="Arial" w:eastAsia="Arial" w:hAnsi="Arial"/>
                <w:sz w:val="18"/>
                <w:szCs w:val="18"/>
                <w:color w:val="auto"/>
              </w:rPr>
              <w:t>between Micron New York Semiconductor Manufacturing LLC and</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260" w:type="dxa"/>
            <w:vAlign w:val="bottom"/>
            <w:tcBorders>
              <w:top w:val="single" w:sz="8" w:color="auto"/>
            </w:tcBorders>
            <w:gridSpan w:val="23"/>
          </w:tcPr>
          <w:p>
            <w:pPr>
              <w:spacing w:after="0" w:line="156" w:lineRule="exact"/>
              <w:rPr>
                <w:sz w:val="20"/>
                <w:szCs w:val="20"/>
                <w:color w:val="auto"/>
              </w:rPr>
            </w:pPr>
            <w:r>
              <w:rPr>
                <w:rFonts w:ascii="Arial" w:cs="Arial" w:eastAsia="Arial" w:hAnsi="Arial"/>
                <w:sz w:val="18"/>
                <w:szCs w:val="18"/>
                <w:color w:val="auto"/>
              </w:rPr>
              <w:t>U.S. Department of Commerce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10.9</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Guarantee and Equity Contribution Agreement, by and between</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4820" w:type="dxa"/>
            <w:vAlign w:val="bottom"/>
            <w:tcBorders>
              <w:top w:val="single" w:sz="8" w:color="auto"/>
              <w:bottom w:val="single" w:sz="8" w:color="auto"/>
              <w:right w:val="single" w:sz="8" w:color="D1D2D4"/>
            </w:tcBorders>
            <w:gridSpan w:val="16"/>
            <w:shd w:val="clear" w:color="auto" w:fill="D1D2D4"/>
          </w:tcPr>
          <w:p>
            <w:pPr>
              <w:spacing w:after="0" w:line="169" w:lineRule="exact"/>
              <w:rPr>
                <w:sz w:val="20"/>
                <w:szCs w:val="20"/>
                <w:color w:val="auto"/>
              </w:rPr>
            </w:pPr>
            <w:r>
              <w:rPr>
                <w:rFonts w:ascii="Arial" w:cs="Arial" w:eastAsia="Arial" w:hAnsi="Arial"/>
                <w:sz w:val="18"/>
                <w:szCs w:val="18"/>
                <w:color w:val="auto"/>
                <w:w w:val="99"/>
              </w:rPr>
              <w:t>Micron Technology, Inc. and U.S. Department of Commerce</w:t>
            </w:r>
          </w:p>
        </w:tc>
        <w:tc>
          <w:tcPr>
            <w:tcW w:w="280" w:type="dxa"/>
            <w:vAlign w:val="bottom"/>
            <w:tcBorders>
              <w:top w:val="single" w:sz="8" w:color="auto"/>
              <w:bottom w:val="single" w:sz="8" w:color="D1D2D4"/>
            </w:tcBorders>
            <w:gridSpan w:val="3"/>
            <w:shd w:val="clear" w:color="auto" w:fill="D1D2D4"/>
          </w:tcPr>
          <w:p>
            <w:pPr>
              <w:spacing w:after="0"/>
              <w:rPr>
                <w:sz w:val="16"/>
                <w:szCs w:val="16"/>
                <w:color w:val="auto"/>
              </w:rPr>
            </w:pPr>
          </w:p>
        </w:tc>
        <w:tc>
          <w:tcPr>
            <w:tcW w:w="14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4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40" w:type="dxa"/>
            <w:vAlign w:val="bottom"/>
            <w:tcBorders>
              <w:top w:val="single" w:sz="8" w:color="D1D2D4"/>
              <w:bottom w:val="single" w:sz="8" w:color="D1D2D4"/>
            </w:tcBorders>
            <w:gridSpan w:val="4"/>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8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182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7360" w:type="dxa"/>
            <w:vAlign w:val="bottom"/>
            <w:gridSpan w:val="34"/>
          </w:tcPr>
          <w:p>
            <w:pPr>
              <w:spacing w:after="0" w:line="189" w:lineRule="exact"/>
              <w:rPr>
                <w:sz w:val="20"/>
                <w:szCs w:val="20"/>
                <w:color w:val="auto"/>
              </w:rPr>
            </w:pPr>
            <w:r>
              <w:rPr>
                <w:rFonts w:ascii="Arial" w:cs="Arial" w:eastAsia="Arial" w:hAnsi="Arial"/>
                <w:sz w:val="18"/>
                <w:szCs w:val="18"/>
                <w:color w:val="auto"/>
              </w:rPr>
              <w:t>Credit Agreement, dated as of March 12, 2025, by and among Micron 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580" w:type="dxa"/>
            <w:vAlign w:val="bottom"/>
            <w:tcBorders>
              <w:top w:val="single" w:sz="8" w:color="auto"/>
              <w:bottom w:val="single" w:sz="8" w:color="auto"/>
            </w:tcBorders>
            <w:gridSpan w:val="14"/>
          </w:tcPr>
          <w:p>
            <w:pPr>
              <w:spacing w:after="0" w:line="169" w:lineRule="exact"/>
              <w:rPr>
                <w:sz w:val="20"/>
                <w:szCs w:val="20"/>
                <w:color w:val="auto"/>
              </w:rPr>
            </w:pPr>
            <w:r>
              <w:rPr>
                <w:rFonts w:ascii="Arial" w:cs="Arial" w:eastAsia="Arial" w:hAnsi="Arial"/>
                <w:sz w:val="18"/>
                <w:szCs w:val="18"/>
                <w:color w:val="auto"/>
                <w:w w:val="98"/>
              </w:rPr>
              <w:t>Technology, Inc., as borrower, HSBC Bank USA, National</w:t>
            </w:r>
          </w:p>
        </w:tc>
        <w:tc>
          <w:tcPr>
            <w:tcW w:w="960" w:type="dxa"/>
            <w:vAlign w:val="bottom"/>
            <w:tcBorders>
              <w:top w:val="single" w:sz="8" w:color="auto"/>
            </w:tcBorders>
            <w:gridSpan w:val="19"/>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540" w:type="dxa"/>
            <w:vAlign w:val="bottom"/>
            <w:gridSpan w:val="33"/>
          </w:tcPr>
          <w:p>
            <w:pPr>
              <w:spacing w:after="0" w:line="156" w:lineRule="exact"/>
              <w:rPr>
                <w:sz w:val="20"/>
                <w:szCs w:val="20"/>
                <w:color w:val="auto"/>
              </w:rPr>
            </w:pPr>
            <w:r>
              <w:rPr>
                <w:rFonts w:ascii="Arial" w:cs="Arial" w:eastAsia="Arial" w:hAnsi="Arial"/>
                <w:sz w:val="18"/>
                <w:szCs w:val="18"/>
                <w:color w:val="auto"/>
              </w:rPr>
              <w:t>Association, as administrative agent, the other agents party thereto,</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380" w:type="dxa"/>
            <w:vAlign w:val="bottom"/>
            <w:tcBorders>
              <w:top w:val="single" w:sz="8" w:color="auto"/>
            </w:tcBorders>
            <w:gridSpan w:val="26"/>
          </w:tcPr>
          <w:p>
            <w:pPr>
              <w:spacing w:after="0" w:line="156" w:lineRule="exact"/>
              <w:rPr>
                <w:sz w:val="20"/>
                <w:szCs w:val="20"/>
                <w:color w:val="auto"/>
              </w:rPr>
            </w:pPr>
            <w:r>
              <w:rPr>
                <w:rFonts w:ascii="Arial" w:cs="Arial" w:eastAsia="Arial" w:hAnsi="Arial"/>
                <w:sz w:val="18"/>
                <w:szCs w:val="18"/>
                <w:color w:val="auto"/>
              </w:rPr>
              <w:t>and each financial institution party from time to time thereto</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10.11^</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Amendment No. 1 to Direct Funding Agreement, dated December 9,</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40" w:type="dxa"/>
            <w:vAlign w:val="bottom"/>
            <w:tcBorders>
              <w:top w:val="single" w:sz="8" w:color="auto"/>
            </w:tcBorders>
            <w:gridSpan w:val="29"/>
            <w:shd w:val="clear" w:color="auto" w:fill="D1D2D4"/>
          </w:tcPr>
          <w:p>
            <w:pPr>
              <w:spacing w:after="0" w:line="169" w:lineRule="exact"/>
              <w:rPr>
                <w:sz w:val="20"/>
                <w:szCs w:val="20"/>
                <w:color w:val="auto"/>
              </w:rPr>
            </w:pPr>
            <w:r>
              <w:rPr>
                <w:rFonts w:ascii="Arial" w:cs="Arial" w:eastAsia="Arial" w:hAnsi="Arial"/>
                <w:sz w:val="18"/>
                <w:szCs w:val="18"/>
                <w:color w:val="auto"/>
              </w:rPr>
              <w:t>2024, by and between Micron Idaho Semiconductor Manufacturing</w:t>
            </w:r>
          </w:p>
        </w:tc>
        <w:tc>
          <w:tcPr>
            <w:tcW w:w="20" w:type="dxa"/>
            <w:vAlign w:val="bottom"/>
            <w:tcBorders>
              <w:top w:val="single" w:sz="8" w:color="D1D2D4"/>
            </w:tcBorders>
            <w:shd w:val="clear" w:color="auto" w:fill="D1D2D4"/>
          </w:tcPr>
          <w:p>
            <w:pPr>
              <w:spacing w:after="0"/>
              <w:rPr>
                <w:sz w:val="14"/>
                <w:szCs w:val="14"/>
                <w:color w:val="auto"/>
              </w:rPr>
            </w:pPr>
          </w:p>
        </w:tc>
        <w:tc>
          <w:tcPr>
            <w:tcW w:w="80" w:type="dxa"/>
            <w:vAlign w:val="bottom"/>
            <w:tcBorders>
              <w:top w:val="single" w:sz="8" w:color="D1D2D4"/>
            </w:tcBorders>
            <w:gridSpan w:val="3"/>
            <w:shd w:val="clear" w:color="auto" w:fill="D1D2D4"/>
          </w:tcPr>
          <w:p>
            <w:pPr>
              <w:spacing w:after="0"/>
              <w:rPr>
                <w:sz w:val="14"/>
                <w:szCs w:val="14"/>
                <w:color w:val="auto"/>
              </w:rPr>
            </w:pPr>
          </w:p>
        </w:tc>
        <w:tc>
          <w:tcPr>
            <w:tcW w:w="182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300" w:type="dxa"/>
            <w:vAlign w:val="bottom"/>
            <w:tcBorders>
              <w:top w:val="single" w:sz="8" w:color="auto"/>
            </w:tcBorders>
            <w:gridSpan w:val="25"/>
            <w:shd w:val="clear" w:color="auto" w:fill="D1D2D4"/>
          </w:tcPr>
          <w:p>
            <w:pPr>
              <w:spacing w:after="0" w:line="156" w:lineRule="exact"/>
              <w:rPr>
                <w:sz w:val="20"/>
                <w:szCs w:val="20"/>
                <w:color w:val="auto"/>
              </w:rPr>
            </w:pPr>
            <w:r>
              <w:rPr>
                <w:rFonts w:ascii="Arial" w:cs="Arial" w:eastAsia="Arial" w:hAnsi="Arial"/>
                <w:sz w:val="18"/>
                <w:szCs w:val="18"/>
                <w:color w:val="auto"/>
              </w:rPr>
              <w:t>(Triton) LLC and U.S. Department of Commerce</w:t>
            </w:r>
          </w:p>
        </w:tc>
        <w:tc>
          <w:tcPr>
            <w:tcW w:w="160" w:type="dxa"/>
            <w:vAlign w:val="bottom"/>
            <w:tcBorders>
              <w:top w:val="single" w:sz="8" w:color="D1D2D4"/>
            </w:tcBorders>
            <w:gridSpan w:val="5"/>
            <w:shd w:val="clear" w:color="auto" w:fill="D1D2D4"/>
          </w:tcPr>
          <w:p>
            <w:pPr>
              <w:spacing w:after="0"/>
              <w:rPr>
                <w:sz w:val="13"/>
                <w:szCs w:val="13"/>
                <w:color w:val="auto"/>
              </w:rPr>
            </w:pPr>
          </w:p>
        </w:tc>
        <w:tc>
          <w:tcPr>
            <w:tcW w:w="80" w:type="dxa"/>
            <w:vAlign w:val="bottom"/>
            <w:tcBorders>
              <w:top w:val="single" w:sz="8" w:color="D1D2D4"/>
            </w:tcBorders>
            <w:gridSpan w:val="3"/>
            <w:shd w:val="clear" w:color="auto" w:fill="D1D2D4"/>
          </w:tcPr>
          <w:p>
            <w:pPr>
              <w:spacing w:after="0"/>
              <w:rPr>
                <w:sz w:val="13"/>
                <w:szCs w:val="13"/>
                <w:color w:val="auto"/>
              </w:rPr>
            </w:pPr>
          </w:p>
        </w:tc>
        <w:tc>
          <w:tcPr>
            <w:tcW w:w="182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auto"/>
            </w:tcBorders>
            <w:shd w:val="clear" w:color="auto" w:fill="D1D2D4"/>
          </w:tcPr>
          <w:p>
            <w:pPr>
              <w:spacing w:after="0" w:line="20" w:lineRule="exact"/>
              <w:rPr>
                <w:sz w:val="1"/>
                <w:szCs w:val="1"/>
                <w:color w:val="auto"/>
              </w:rPr>
            </w:pPr>
          </w:p>
        </w:tc>
        <w:tc>
          <w:tcPr>
            <w:tcW w:w="12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82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10.12^</w:t>
            </w:r>
          </w:p>
        </w:tc>
        <w:tc>
          <w:tcPr>
            <w:tcW w:w="5540" w:type="dxa"/>
            <w:vAlign w:val="bottom"/>
            <w:gridSpan w:val="33"/>
          </w:tcPr>
          <w:p>
            <w:pPr>
              <w:spacing w:after="0" w:line="189" w:lineRule="exact"/>
              <w:rPr>
                <w:sz w:val="20"/>
                <w:szCs w:val="20"/>
                <w:color w:val="auto"/>
              </w:rPr>
            </w:pPr>
            <w:r>
              <w:rPr>
                <w:rFonts w:ascii="Arial" w:cs="Arial" w:eastAsia="Arial" w:hAnsi="Arial"/>
                <w:sz w:val="18"/>
                <w:szCs w:val="18"/>
                <w:color w:val="auto"/>
              </w:rPr>
              <w:t>Amendment No. 1 to Direct Funding Agreement, dated December 9,</w:t>
            </w:r>
          </w:p>
        </w:tc>
        <w:tc>
          <w:tcPr>
            <w:tcW w:w="182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30"/>
          </w:tcPr>
          <w:p>
            <w:pPr>
              <w:spacing w:after="0" w:line="169" w:lineRule="exact"/>
              <w:rPr>
                <w:sz w:val="20"/>
                <w:szCs w:val="20"/>
                <w:color w:val="auto"/>
              </w:rPr>
            </w:pPr>
            <w:r>
              <w:rPr>
                <w:rFonts w:ascii="Arial" w:cs="Arial" w:eastAsia="Arial" w:hAnsi="Arial"/>
                <w:sz w:val="18"/>
                <w:szCs w:val="18"/>
                <w:color w:val="auto"/>
              </w:rPr>
              <w:t>2024, by and between Micron New York Semiconductor</w:t>
            </w:r>
          </w:p>
        </w:tc>
        <w:tc>
          <w:tcPr>
            <w:tcW w:w="80" w:type="dxa"/>
            <w:vAlign w:val="bottom"/>
            <w:gridSpan w:val="3"/>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20" w:type="dxa"/>
            <w:vAlign w:val="bottom"/>
            <w:tcBorders>
              <w:top w:val="single" w:sz="8" w:color="auto"/>
            </w:tcBorders>
            <w:gridSpan w:val="13"/>
          </w:tcPr>
          <w:p>
            <w:pPr>
              <w:spacing w:after="0" w:line="156" w:lineRule="exact"/>
              <w:rPr>
                <w:sz w:val="20"/>
                <w:szCs w:val="20"/>
                <w:color w:val="auto"/>
              </w:rPr>
            </w:pPr>
            <w:r>
              <w:rPr>
                <w:rFonts w:ascii="Arial" w:cs="Arial" w:eastAsia="Arial" w:hAnsi="Arial"/>
                <w:sz w:val="18"/>
                <w:szCs w:val="18"/>
                <w:color w:val="auto"/>
              </w:rPr>
              <w:t>Manufacturing LLC and U.S. Department of Commerce</w:t>
            </w:r>
          </w:p>
        </w:tc>
        <w:tc>
          <w:tcPr>
            <w:tcW w:w="82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9"/>
          </w:tcPr>
          <w:p>
            <w:pPr>
              <w:spacing w:after="0"/>
              <w:rPr>
                <w:sz w:val="13"/>
                <w:szCs w:val="13"/>
                <w:color w:val="auto"/>
              </w:rPr>
            </w:pP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60" w:type="dxa"/>
            <w:vAlign w:val="bottom"/>
            <w:tcBorders>
              <w:top w:val="single" w:sz="8" w:color="D1D2D4"/>
            </w:tcBorders>
            <w:gridSpan w:val="22"/>
          </w:tcPr>
          <w:p>
            <w:pPr>
              <w:spacing w:after="0"/>
              <w:rPr>
                <w:sz w:val="16"/>
                <w:szCs w:val="16"/>
                <w:color w:val="auto"/>
              </w:rPr>
            </w:pPr>
          </w:p>
        </w:tc>
        <w:tc>
          <w:tcPr>
            <w:tcW w:w="1820" w:type="dxa"/>
            <w:vAlign w:val="bottom"/>
            <w:tcBorders>
              <w:top w:val="single" w:sz="8" w:color="D1D2D4"/>
            </w:tcBorders>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40" w:type="dxa"/>
            <w:vAlign w:val="bottom"/>
            <w:gridSpan w:val="33"/>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82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24"/>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60" w:type="dxa"/>
            <w:vAlign w:val="bottom"/>
            <w:tcBorders>
              <w:top w:val="single" w:sz="8" w:color="D1D2D4"/>
            </w:tcBorders>
            <w:gridSpan w:val="9"/>
          </w:tcPr>
          <w:p>
            <w:pPr>
              <w:spacing w:after="0"/>
              <w:rPr>
                <w:sz w:val="16"/>
                <w:szCs w:val="16"/>
                <w:color w:val="auto"/>
              </w:rPr>
            </w:pPr>
          </w:p>
        </w:tc>
        <w:tc>
          <w:tcPr>
            <w:tcW w:w="1820" w:type="dxa"/>
            <w:vAlign w:val="bottom"/>
            <w:tcBorders>
              <w:top w:val="single" w:sz="8" w:color="D1D2D4"/>
            </w:tcBorders>
          </w:tcPr>
          <w:p>
            <w:pPr>
              <w:ind w:left="40"/>
              <w:spacing w:after="0" w:line="189" w:lineRule="exact"/>
              <w:rPr>
                <w:sz w:val="20"/>
                <w:szCs w:val="20"/>
                <w:color w:val="auto"/>
              </w:rPr>
            </w:pPr>
            <w:r>
              <w:rPr>
                <w:rFonts w:ascii="Arial" w:cs="Arial" w:eastAsia="Arial" w:hAnsi="Arial"/>
                <w:sz w:val="18"/>
                <w:szCs w:val="18"/>
                <w:color w:val="auto"/>
              </w:rPr>
              <w:t>X</w:t>
            </w: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540" w:type="dxa"/>
            <w:vAlign w:val="bottom"/>
            <w:gridSpan w:val="33"/>
            <w:shd w:val="clear" w:color="auto" w:fill="D1D2D4"/>
          </w:tcPr>
          <w:p>
            <w:pPr>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820" w:type="dxa"/>
            <w:vAlign w:val="bottom"/>
            <w:shd w:val="clear" w:color="auto" w:fill="D1D2D4"/>
          </w:tcPr>
          <w:p>
            <w:pPr>
              <w:ind w:left="40"/>
              <w:spacing w:after="0" w:line="183"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shd w:val="clear" w:color="auto" w:fill="D1D2D4"/>
          </w:tcPr>
          <w:p>
            <w:pPr>
              <w:spacing w:after="0"/>
              <w:rPr>
                <w:sz w:val="15"/>
                <w:szCs w:val="15"/>
                <w:color w:val="auto"/>
              </w:rPr>
            </w:pPr>
          </w:p>
        </w:tc>
        <w:tc>
          <w:tcPr>
            <w:tcW w:w="5540" w:type="dxa"/>
            <w:vAlign w:val="bottom"/>
            <w:gridSpan w:val="33"/>
            <w:shd w:val="clear" w:color="auto" w:fill="D1D2D4"/>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8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540" w:type="dxa"/>
            <w:vAlign w:val="bottom"/>
            <w:gridSpan w:val="33"/>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8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54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c>
          <w:tcPr>
            <w:tcW w:w="1820" w:type="dxa"/>
            <w:vAlign w:val="bottom"/>
          </w:tcPr>
          <w:p>
            <w:pPr>
              <w:ind w:left="4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40" w:type="dxa"/>
            <w:vAlign w:val="bottom"/>
            <w:gridSpan w:val="33"/>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82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540" w:type="dxa"/>
            <w:vAlign w:val="bottom"/>
            <w:gridSpan w:val="3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820" w:type="dxa"/>
            <w:vAlign w:val="bottom"/>
          </w:tcPr>
          <w:p>
            <w:pPr>
              <w:ind w:left="4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40" w:type="dxa"/>
            <w:vAlign w:val="bottom"/>
            <w:gridSpan w:val="33"/>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82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540" w:type="dxa"/>
            <w:vAlign w:val="bottom"/>
            <w:gridSpan w:val="3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820" w:type="dxa"/>
            <w:vAlign w:val="bottom"/>
          </w:tcPr>
          <w:p>
            <w:pPr>
              <w:ind w:left="4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540" w:type="dxa"/>
            <w:vAlign w:val="bottom"/>
            <w:gridSpan w:val="33"/>
            <w:shd w:val="clear" w:color="auto" w:fill="D1D2D4"/>
          </w:tcPr>
          <w:p>
            <w:pPr>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820" w:type="dxa"/>
            <w:vAlign w:val="bottom"/>
            <w:shd w:val="clear" w:color="auto" w:fill="D1D2D4"/>
          </w:tcPr>
          <w:p>
            <w:pPr>
              <w:ind w:left="40"/>
              <w:spacing w:after="0" w:line="183"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D1D2D4"/>
          </w:tcPr>
          <w:p>
            <w:pPr>
              <w:spacing w:after="0"/>
              <w:rPr>
                <w:sz w:val="20"/>
                <w:szCs w:val="20"/>
                <w:color w:val="auto"/>
              </w:rPr>
            </w:pPr>
          </w:p>
        </w:tc>
        <w:tc>
          <w:tcPr>
            <w:tcW w:w="5540" w:type="dxa"/>
            <w:vAlign w:val="bottom"/>
            <w:gridSpan w:val="33"/>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820" w:type="dxa"/>
            <w:vAlign w:val="bottom"/>
            <w:shd w:val="clear" w:color="auto" w:fill="D1D2D4"/>
          </w:tcPr>
          <w:p>
            <w:pPr>
              <w:spacing w:after="0"/>
              <w:rPr>
                <w:sz w:val="20"/>
                <w:szCs w:val="20"/>
                <w:color w:val="auto"/>
              </w:rPr>
            </w:pPr>
          </w:p>
        </w:tc>
        <w:tc>
          <w:tcPr>
            <w:tcW w:w="860" w:type="dxa"/>
            <w:vAlign w:val="bottom"/>
            <w:shd w:val="clear" w:color="auto" w:fill="D1D2D4"/>
          </w:tcPr>
          <w:p>
            <w:pPr>
              <w:spacing w:after="0"/>
              <w:rPr>
                <w:sz w:val="20"/>
                <w:szCs w:val="20"/>
                <w:color w:val="auto"/>
              </w:rPr>
            </w:pPr>
          </w:p>
        </w:tc>
        <w:tc>
          <w:tcPr>
            <w:tcW w:w="1080" w:type="dxa"/>
            <w:vAlign w:val="bottom"/>
            <w:shd w:val="clear" w:color="auto" w:fill="D1D2D4"/>
          </w:tcPr>
          <w:p>
            <w:pPr>
              <w:spacing w:after="0"/>
              <w:rPr>
                <w:sz w:val="20"/>
                <w:szCs w:val="20"/>
                <w:color w:val="auto"/>
              </w:rPr>
            </w:pPr>
          </w:p>
        </w:tc>
        <w:tc>
          <w:tcPr>
            <w:tcW w:w="9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 | 2025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8"/>
        <w:spacing w:after="0" w:line="268" w:lineRule="auto"/>
        <w:tabs>
          <w:tab w:leader="none" w:pos="1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780"/>
        <w:spacing w:after="0"/>
        <w:rPr>
          <w:sz w:val="20"/>
          <w:szCs w:val="20"/>
          <w:color w:val="auto"/>
        </w:rPr>
      </w:pPr>
      <w:r>
        <w:rPr>
          <w:sz w:val="1"/>
          <w:szCs w:val="1"/>
          <w:color w:val="auto"/>
        </w:rPr>
        <w:drawing>
          <wp:inline distT="0" distB="0" distL="0" distR="0">
            <wp:extent cx="780415" cy="1631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3"/>
          <w:szCs w:val="13"/>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61 | 2025 Q2 10-Q</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708025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TERM LOAN CREDIT AGREEMENT</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among</w:t>
      </w:r>
    </w:p>
    <w:p>
      <w:pPr>
        <w:spacing w:after="0" w:line="2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MICRON TECHNOLOGY, INC.,</w:t>
      </w:r>
    </w:p>
    <w:p>
      <w:pPr>
        <w:spacing w:after="0" w:line="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as Borrower</w:t>
      </w:r>
    </w:p>
    <w:p>
      <w:pPr>
        <w:spacing w:after="0" w:line="2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Dated as of January 17, 2025</w:t>
      </w:r>
    </w:p>
    <w:p>
      <w:pPr>
        <w:spacing w:after="0" w:line="229" w:lineRule="exact"/>
        <w:rPr>
          <w:sz w:val="20"/>
          <w:szCs w:val="20"/>
          <w:color w:val="auto"/>
        </w:rPr>
      </w:pPr>
    </w:p>
    <w:p>
      <w:pPr>
        <w:jc w:val="center"/>
        <w:ind w:right="160"/>
        <w:spacing w:after="0" w:line="267" w:lineRule="auto"/>
        <w:rPr>
          <w:sz w:val="20"/>
          <w:szCs w:val="20"/>
          <w:color w:val="auto"/>
        </w:rPr>
      </w:pPr>
      <w:r>
        <w:rPr>
          <w:rFonts w:ascii="Times New Roman" w:cs="Times New Roman" w:eastAsia="Times New Roman" w:hAnsi="Times New Roman"/>
          <w:sz w:val="19"/>
          <w:szCs w:val="19"/>
          <w:color w:val="auto"/>
        </w:rPr>
        <w:t>BNP PARIBAS, CANADIAN IMPERIAL BANK OF COMMERCE, NEW YORK BRANCH, DBS BANK LTD., MANUFACTURERS AND TRADERS TRUST COMPANY, OVERSEA-CHINESE BANKING CORPORATION LIMITED, NEW YORK AGENCY and</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TRUIST BANK,</w:t>
      </w:r>
    </w:p>
    <w:p>
      <w:pPr>
        <w:spacing w:after="0" w:line="2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PNC CAPITAL MARKETS LLC,</w:t>
      </w:r>
    </w:p>
    <w:p>
      <w:pPr>
        <w:spacing w:after="0" w:line="2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as Sole Bookrunner</w:t>
      </w:r>
    </w:p>
    <w:p>
      <w:pPr>
        <w:spacing w:after="0" w:line="229" w:lineRule="exact"/>
        <w:rPr>
          <w:sz w:val="20"/>
          <w:szCs w:val="20"/>
          <w:color w:val="auto"/>
        </w:rPr>
      </w:pPr>
    </w:p>
    <w:p>
      <w:pPr>
        <w:jc w:val="center"/>
        <w:ind w:right="160"/>
        <w:spacing w:after="0" w:line="261" w:lineRule="auto"/>
        <w:rPr>
          <w:sz w:val="20"/>
          <w:szCs w:val="20"/>
          <w:color w:val="auto"/>
        </w:rPr>
      </w:pPr>
      <w:r>
        <w:rPr>
          <w:rFonts w:ascii="Times New Roman" w:cs="Times New Roman" w:eastAsia="Times New Roman" w:hAnsi="Times New Roman"/>
          <w:sz w:val="20"/>
          <w:szCs w:val="20"/>
          <w:color w:val="auto"/>
        </w:rPr>
        <w:t>PNC CAPITAL MARKETS LLC, BNP PARIBAS SECURITIES CORP., CANADIAN IMPERIAL BANK OF COMMERCE, NEW YORK BRANCH, DBS BANK LTD., MANUFACTURERS AND TRADERS TRUST COMPANY, OVERSEA-CHINESE BANKING CORPORATION LIMITED, NEW YORK AGENCY and TRUIST SECURITIES, INC.,</w:t>
      </w:r>
    </w:p>
    <w:p>
      <w:pPr>
        <w:spacing w:after="0" w:line="1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31115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19"/>
                <w:szCs w:val="19"/>
                <w:color w:val="auto"/>
              </w:rPr>
            </w:pPr>
          </w:p>
        </w:tc>
        <w:tc>
          <w:tcPr>
            <w:tcW w:w="146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0000FF"/>
              </w:rPr>
              <w:t>Defined Terms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248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0000FF"/>
                <w:w w:val="99"/>
              </w:rPr>
              <w:t>Other Definitional Provisions</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1820" w:type="dxa"/>
            <w:vAlign w:val="bottom"/>
            <w:gridSpan w:val="17"/>
          </w:tcPr>
          <w:p>
            <w:pPr>
              <w:ind w:left="100"/>
              <w:spacing w:after="0" w:line="223" w:lineRule="exact"/>
              <w:rPr>
                <w:sz w:val="20"/>
                <w:szCs w:val="20"/>
                <w:color w:val="auto"/>
              </w:rPr>
            </w:pPr>
            <w:r>
              <w:rPr>
                <w:rFonts w:ascii="Times New Roman" w:cs="Times New Roman" w:eastAsia="Times New Roman" w:hAnsi="Times New Roman"/>
                <w:sz w:val="20"/>
                <w:szCs w:val="20"/>
                <w:color w:val="0000FF"/>
              </w:rPr>
              <w:t>Delivery of Notices</w:t>
            </w:r>
          </w:p>
        </w:tc>
        <w:tc>
          <w:tcPr>
            <w:tcW w:w="2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10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0000FF"/>
              </w:rPr>
              <w:t>Divisions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9"/>
              </w:rPr>
              <w:t>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45"/>
        </w:trPr>
        <w:tc>
          <w:tcPr>
            <w:tcW w:w="250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color w:val="0000FF"/>
              </w:rPr>
              <w:t>SECTION 2 THE CREDITS</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182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0000FF"/>
              </w:rPr>
              <w:t>Term Commitments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10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0000FF"/>
                <w:w w:val="96"/>
              </w:rPr>
              <w:t>Term Loans</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3900" w:type="dxa"/>
            <w:vAlign w:val="bottom"/>
            <w:gridSpan w:val="32"/>
          </w:tcPr>
          <w:p>
            <w:pPr>
              <w:ind w:left="100"/>
              <w:spacing w:after="0" w:line="223" w:lineRule="exact"/>
              <w:rPr>
                <w:sz w:val="20"/>
                <w:szCs w:val="20"/>
                <w:color w:val="auto"/>
              </w:rPr>
            </w:pPr>
            <w:r>
              <w:rPr>
                <w:rFonts w:ascii="Times New Roman" w:cs="Times New Roman" w:eastAsia="Times New Roman" w:hAnsi="Times New Roman"/>
                <w:sz w:val="20"/>
                <w:szCs w:val="20"/>
                <w:color w:val="0000FF"/>
              </w:rPr>
              <w:t xml:space="preserve">Requests for Term Loan Borrowings  </w:t>
            </w:r>
            <w:r>
              <w:rPr>
                <w:rFonts w:ascii="Times New Roman" w:cs="Times New Roman" w:eastAsia="Times New Roman" w:hAnsi="Times New Roman"/>
                <w:sz w:val="20"/>
                <w:szCs w:val="20"/>
                <w:color w:val="000000"/>
              </w:rPr>
              <w:t>26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10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0000FF"/>
              </w:rPr>
              <w:t>[Reserved]</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2900" w:type="dxa"/>
            <w:vAlign w:val="bottom"/>
            <w:gridSpan w:val="28"/>
          </w:tcPr>
          <w:p>
            <w:pPr>
              <w:ind w:left="100"/>
              <w:spacing w:after="0"/>
              <w:rPr>
                <w:sz w:val="20"/>
                <w:szCs w:val="20"/>
                <w:color w:val="auto"/>
              </w:rPr>
            </w:pPr>
            <w:r>
              <w:rPr>
                <w:rFonts w:ascii="Times New Roman" w:cs="Times New Roman" w:eastAsia="Times New Roman" w:hAnsi="Times New Roman"/>
                <w:sz w:val="20"/>
                <w:szCs w:val="20"/>
                <w:color w:val="0000FF"/>
                <w:w w:val="98"/>
              </w:rPr>
              <w:t>Funding of Term Loan Borrowings</w:t>
            </w:r>
          </w:p>
        </w:tc>
        <w:tc>
          <w:tcPr>
            <w:tcW w:w="80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4100" w:type="dxa"/>
            <w:vAlign w:val="bottom"/>
            <w:gridSpan w:val="33"/>
          </w:tcPr>
          <w:p>
            <w:pPr>
              <w:ind w:left="100"/>
              <w:spacing w:after="0" w:line="223" w:lineRule="exact"/>
              <w:rPr>
                <w:sz w:val="20"/>
                <w:szCs w:val="20"/>
                <w:color w:val="auto"/>
              </w:rPr>
            </w:pPr>
            <w:r>
              <w:rPr>
                <w:rFonts w:ascii="Times New Roman" w:cs="Times New Roman" w:eastAsia="Times New Roman" w:hAnsi="Times New Roman"/>
                <w:sz w:val="20"/>
                <w:szCs w:val="20"/>
                <w:color w:val="0000FF"/>
                <w:w w:val="97"/>
              </w:rPr>
              <w:t>Termination and Reduction of Term Commitments</w:t>
            </w:r>
          </w:p>
        </w:tc>
        <w:tc>
          <w:tcPr>
            <w:tcW w:w="4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3900" w:type="dxa"/>
            <w:vAlign w:val="bottom"/>
            <w:gridSpan w:val="32"/>
          </w:tcPr>
          <w:p>
            <w:pPr>
              <w:ind w:left="100"/>
              <w:spacing w:after="0"/>
              <w:rPr>
                <w:sz w:val="20"/>
                <w:szCs w:val="20"/>
                <w:color w:val="auto"/>
              </w:rPr>
            </w:pPr>
            <w:r>
              <w:rPr>
                <w:rFonts w:ascii="Times New Roman" w:cs="Times New Roman" w:eastAsia="Times New Roman" w:hAnsi="Times New Roman"/>
                <w:sz w:val="20"/>
                <w:szCs w:val="20"/>
                <w:color w:val="0000FF"/>
              </w:rPr>
              <w:t>Repayment of Term Loans; Evidence of Debt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28</w:t>
            </w: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19"/>
                <w:szCs w:val="19"/>
                <w:color w:val="auto"/>
              </w:rPr>
            </w:pPr>
          </w:p>
        </w:tc>
        <w:tc>
          <w:tcPr>
            <w:tcW w:w="2900" w:type="dxa"/>
            <w:vAlign w:val="bottom"/>
            <w:gridSpan w:val="28"/>
          </w:tcPr>
          <w:p>
            <w:pPr>
              <w:ind w:left="100"/>
              <w:spacing w:after="0" w:line="223" w:lineRule="exact"/>
              <w:rPr>
                <w:sz w:val="20"/>
                <w:szCs w:val="20"/>
                <w:color w:val="auto"/>
              </w:rPr>
            </w:pPr>
            <w:r>
              <w:rPr>
                <w:rFonts w:ascii="Times New Roman" w:cs="Times New Roman" w:eastAsia="Times New Roman" w:hAnsi="Times New Roman"/>
                <w:sz w:val="20"/>
                <w:szCs w:val="20"/>
                <w:color w:val="0000FF"/>
              </w:rPr>
              <w:t>Interest Rates and Payment Dates</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28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20"/>
                <w:szCs w:val="20"/>
                <w:color w:val="auto"/>
              </w:rPr>
            </w:pPr>
          </w:p>
        </w:tc>
        <w:tc>
          <w:tcPr>
            <w:tcW w:w="2900" w:type="dxa"/>
            <w:vAlign w:val="bottom"/>
            <w:gridSpan w:val="28"/>
          </w:tcPr>
          <w:p>
            <w:pPr>
              <w:ind w:left="100"/>
              <w:spacing w:after="0"/>
              <w:rPr>
                <w:sz w:val="20"/>
                <w:szCs w:val="20"/>
                <w:color w:val="auto"/>
              </w:rPr>
            </w:pPr>
            <w:r>
              <w:rPr>
                <w:rFonts w:ascii="Times New Roman" w:cs="Times New Roman" w:eastAsia="Times New Roman" w:hAnsi="Times New Roman"/>
                <w:sz w:val="20"/>
                <w:szCs w:val="20"/>
                <w:color w:val="0000FF"/>
              </w:rPr>
              <w:t>Computation of Interest and Fees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29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0000FF"/>
              </w:rPr>
              <w:t>Benchmark Replacement Setting</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0000FF"/>
              </w:rPr>
              <w:t>Prepayment of Term Loans</w:t>
            </w:r>
          </w:p>
        </w:tc>
        <w:tc>
          <w:tcPr>
            <w:tcW w:w="2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30"/>
          </w:tcPr>
          <w:p>
            <w:pPr>
              <w:ind w:left="20"/>
              <w:spacing w:after="0"/>
              <w:rPr>
                <w:sz w:val="20"/>
                <w:szCs w:val="20"/>
                <w:color w:val="auto"/>
              </w:rPr>
            </w:pPr>
            <w:r>
              <w:rPr>
                <w:rFonts w:ascii="Times New Roman" w:cs="Times New Roman" w:eastAsia="Times New Roman" w:hAnsi="Times New Roman"/>
                <w:sz w:val="20"/>
                <w:szCs w:val="20"/>
                <w:color w:val="0000FF"/>
              </w:rPr>
              <w:t xml:space="preserve">Conversion and Continuation Options  </w:t>
            </w:r>
            <w:r>
              <w:rPr>
                <w:rFonts w:ascii="Times New Roman" w:cs="Times New Roman" w:eastAsia="Times New Roman" w:hAnsi="Times New Roman"/>
                <w:sz w:val="20"/>
                <w:szCs w:val="20"/>
                <w:color w:val="000000"/>
              </w:rPr>
              <w:t>32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30"/>
          </w:tcPr>
          <w:p>
            <w:pPr>
              <w:ind w:left="20"/>
              <w:spacing w:after="0" w:line="223" w:lineRule="exact"/>
              <w:rPr>
                <w:sz w:val="20"/>
                <w:szCs w:val="20"/>
                <w:color w:val="auto"/>
              </w:rPr>
            </w:pPr>
            <w:r>
              <w:rPr>
                <w:rFonts w:ascii="Times New Roman" w:cs="Times New Roman" w:eastAsia="Times New Roman" w:hAnsi="Times New Roman"/>
                <w:sz w:val="20"/>
                <w:szCs w:val="20"/>
                <w:color w:val="0000FF"/>
                <w:w w:val="97"/>
              </w:rPr>
              <w:t>Limitations on Adjusted Term SOFR Tranches</w:t>
            </w:r>
          </w:p>
        </w:tc>
        <w:tc>
          <w:tcPr>
            <w:tcW w:w="600" w:type="dxa"/>
            <w:vAlign w:val="bottom"/>
            <w:gridSpan w:val="2"/>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32</w:t>
            </w: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3280" w:type="dxa"/>
            <w:vAlign w:val="bottom"/>
            <w:gridSpan w:val="30"/>
          </w:tcPr>
          <w:p>
            <w:pPr>
              <w:jc w:val="center"/>
              <w:ind w:right="38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14.</w:t>
            </w:r>
            <w:r>
              <w:rPr>
                <w:rFonts w:ascii="Times New Roman" w:cs="Times New Roman" w:eastAsia="Times New Roman" w:hAnsi="Times New Roman"/>
                <w:sz w:val="20"/>
                <w:szCs w:val="20"/>
                <w:color w:val="0000FF"/>
              </w:rPr>
              <w:t xml:space="preserve">  Pro Rata Treatment, etc.  </w:t>
            </w:r>
            <w:r>
              <w:rPr>
                <w:rFonts w:ascii="Times New Roman" w:cs="Times New Roman" w:eastAsia="Times New Roman" w:hAnsi="Times New Roman"/>
                <w:sz w:val="20"/>
                <w:szCs w:val="20"/>
                <w:color w:val="000000"/>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19"/>
          </w:tcPr>
          <w:p>
            <w:pPr>
              <w:ind w:left="20"/>
              <w:spacing w:after="0" w:line="223" w:lineRule="exact"/>
              <w:rPr>
                <w:sz w:val="20"/>
                <w:szCs w:val="20"/>
                <w:color w:val="auto"/>
              </w:rPr>
            </w:pPr>
            <w:r>
              <w:rPr>
                <w:rFonts w:ascii="Times New Roman" w:cs="Times New Roman" w:eastAsia="Times New Roman" w:hAnsi="Times New Roman"/>
                <w:sz w:val="20"/>
                <w:szCs w:val="20"/>
                <w:color w:val="0000FF"/>
              </w:rPr>
              <w:t>Requirements of Law</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33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Taxes</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000FF"/>
              </w:rPr>
              <w:t>Indemnity</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2"/>
          </w:tcPr>
          <w:p>
            <w:pPr>
              <w:ind w:left="20"/>
              <w:spacing w:after="0" w:line="223" w:lineRule="exact"/>
              <w:rPr>
                <w:sz w:val="20"/>
                <w:szCs w:val="20"/>
                <w:color w:val="auto"/>
              </w:rPr>
            </w:pPr>
            <w:r>
              <w:rPr>
                <w:rFonts w:ascii="Times New Roman" w:cs="Times New Roman" w:eastAsia="Times New Roman" w:hAnsi="Times New Roman"/>
                <w:sz w:val="20"/>
                <w:szCs w:val="20"/>
                <w:color w:val="0000FF"/>
              </w:rPr>
              <w:t>Change of Lending Office</w:t>
            </w:r>
          </w:p>
        </w:tc>
        <w:tc>
          <w:tcPr>
            <w:tcW w:w="2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000FF"/>
              </w:rPr>
              <w:t xml:space="preserve">Fees  </w:t>
            </w:r>
            <w:r>
              <w:rPr>
                <w:rFonts w:ascii="Times New Roman" w:cs="Times New Roman" w:eastAsia="Times New Roman" w:hAnsi="Times New Roman"/>
                <w:sz w:val="20"/>
                <w:szCs w:val="20"/>
                <w:color w:val="000000"/>
              </w:rPr>
              <w:t>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12"/>
          </w:tcPr>
          <w:p>
            <w:pPr>
              <w:ind w:left="20"/>
              <w:spacing w:after="0" w:line="223" w:lineRule="exact"/>
              <w:rPr>
                <w:sz w:val="20"/>
                <w:szCs w:val="20"/>
                <w:color w:val="auto"/>
              </w:rPr>
            </w:pPr>
            <w:r>
              <w:rPr>
                <w:rFonts w:ascii="Times New Roman" w:cs="Times New Roman" w:eastAsia="Times New Roman" w:hAnsi="Times New Roman"/>
                <w:sz w:val="20"/>
                <w:szCs w:val="20"/>
                <w:color w:val="0000FF"/>
              </w:rPr>
              <w:t>Nature of Fees</w:t>
            </w:r>
          </w:p>
        </w:tc>
        <w:tc>
          <w:tcPr>
            <w:tcW w:w="3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000FF"/>
              </w:rPr>
              <w:t>Incremental Facilities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39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0000FF"/>
              </w:rPr>
              <w:t xml:space="preserve">Replacement of Lenders  </w:t>
            </w:r>
            <w:r>
              <w:rPr>
                <w:rFonts w:ascii="Times New Roman" w:cs="Times New Roman" w:eastAsia="Times New Roman" w:hAnsi="Times New Roman"/>
                <w:sz w:val="20"/>
                <w:szCs w:val="20"/>
                <w:color w:val="000000"/>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0"/>
                <w:szCs w:val="20"/>
                <w:color w:val="0000FF"/>
              </w:rPr>
              <w:t>Defaulting Lenders</w:t>
            </w:r>
          </w:p>
        </w:tc>
        <w:tc>
          <w:tcPr>
            <w:tcW w:w="3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44"/>
        </w:trPr>
        <w:tc>
          <w:tcPr>
            <w:tcW w:w="494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0000FF"/>
                <w:w w:val="98"/>
              </w:rPr>
              <w:t>SECTION 3 REPRESENTATIONS AND WARRANTIES</w:t>
            </w:r>
          </w:p>
        </w:tc>
        <w:tc>
          <w:tcPr>
            <w:tcW w:w="60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41</w:t>
            </w:r>
          </w:p>
        </w:tc>
      </w:tr>
      <w:tr>
        <w:trPr>
          <w:trHeight w:val="318"/>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900" w:type="dxa"/>
            <w:vAlign w:val="bottom"/>
            <w:tcBorders>
              <w:top w:val="single" w:sz="8" w:color="0000FF"/>
            </w:tcBorders>
            <w:gridSpan w:val="28"/>
          </w:tcPr>
          <w:p>
            <w:pPr>
              <w:ind w:left="100"/>
              <w:spacing w:after="0"/>
              <w:rPr>
                <w:sz w:val="20"/>
                <w:szCs w:val="20"/>
                <w:color w:val="auto"/>
              </w:rPr>
            </w:pPr>
            <w:r>
              <w:rPr>
                <w:rFonts w:ascii="Times New Roman" w:cs="Times New Roman" w:eastAsia="Times New Roman" w:hAnsi="Times New Roman"/>
                <w:sz w:val="20"/>
                <w:szCs w:val="20"/>
                <w:color w:val="0000FF"/>
              </w:rPr>
              <w:t>Existence; Compliance with Law</w:t>
            </w:r>
          </w:p>
        </w:tc>
        <w:tc>
          <w:tcPr>
            <w:tcW w:w="300" w:type="dxa"/>
            <w:vAlign w:val="bottom"/>
            <w:tcBorders>
              <w:top w:val="single" w:sz="8" w:color="0000FF"/>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41</w:t>
            </w:r>
          </w:p>
        </w:tc>
        <w:tc>
          <w:tcPr>
            <w:tcW w:w="5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4100" w:type="dxa"/>
            <w:vAlign w:val="bottom"/>
            <w:gridSpan w:val="33"/>
          </w:tcPr>
          <w:p>
            <w:pPr>
              <w:ind w:left="100"/>
              <w:spacing w:after="0"/>
              <w:rPr>
                <w:sz w:val="20"/>
                <w:szCs w:val="20"/>
                <w:color w:val="auto"/>
              </w:rPr>
            </w:pPr>
            <w:r>
              <w:rPr>
                <w:rFonts w:ascii="Times New Roman" w:cs="Times New Roman" w:eastAsia="Times New Roman" w:hAnsi="Times New Roman"/>
                <w:sz w:val="20"/>
                <w:szCs w:val="20"/>
                <w:color w:val="0000FF"/>
              </w:rPr>
              <w:t>Power; Authorizations; Enforceable Obligations</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41</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182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0000FF"/>
              </w:rPr>
              <w:t xml:space="preserve">No Legal Bar  </w:t>
            </w:r>
            <w:r>
              <w:rPr>
                <w:rFonts w:ascii="Times New Roman" w:cs="Times New Roman" w:eastAsia="Times New Roman" w:hAnsi="Times New Roman"/>
                <w:sz w:val="20"/>
                <w:szCs w:val="20"/>
                <w:color w:val="000000"/>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19"/>
                <w:szCs w:val="19"/>
                <w:color w:val="auto"/>
              </w:rPr>
            </w:pPr>
          </w:p>
        </w:tc>
        <w:tc>
          <w:tcPr>
            <w:tcW w:w="2120" w:type="dxa"/>
            <w:vAlign w:val="bottom"/>
            <w:gridSpan w:val="21"/>
          </w:tcPr>
          <w:p>
            <w:pPr>
              <w:ind w:left="100"/>
              <w:spacing w:after="0" w:line="223" w:lineRule="exact"/>
              <w:rPr>
                <w:sz w:val="20"/>
                <w:szCs w:val="20"/>
                <w:color w:val="auto"/>
              </w:rPr>
            </w:pPr>
            <w:r>
              <w:rPr>
                <w:rFonts w:ascii="Times New Roman" w:cs="Times New Roman" w:eastAsia="Times New Roman" w:hAnsi="Times New Roman"/>
                <w:sz w:val="20"/>
                <w:szCs w:val="20"/>
                <w:color w:val="0000FF"/>
                <w:w w:val="99"/>
              </w:rPr>
              <w:t>Accuracy of Information</w:t>
            </w:r>
          </w:p>
        </w:tc>
        <w:tc>
          <w:tcPr>
            <w:tcW w:w="3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248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0000FF"/>
              </w:rPr>
              <w:t>No Material Adverse Effect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1820" w:type="dxa"/>
            <w:vAlign w:val="bottom"/>
            <w:gridSpan w:val="17"/>
          </w:tcPr>
          <w:p>
            <w:pPr>
              <w:ind w:left="100"/>
              <w:spacing w:after="0" w:line="223" w:lineRule="exact"/>
              <w:rPr>
                <w:sz w:val="20"/>
                <w:szCs w:val="20"/>
                <w:color w:val="auto"/>
              </w:rPr>
            </w:pPr>
            <w:r>
              <w:rPr>
                <w:rFonts w:ascii="Times New Roman" w:cs="Times New Roman" w:eastAsia="Times New Roman" w:hAnsi="Times New Roman"/>
                <w:sz w:val="20"/>
                <w:szCs w:val="20"/>
                <w:color w:val="0000FF"/>
                <w:w w:val="99"/>
              </w:rPr>
              <w:t>Title to Assets; Liens</w:t>
            </w:r>
          </w:p>
        </w:tc>
        <w:tc>
          <w:tcPr>
            <w:tcW w:w="460" w:type="dxa"/>
            <w:vAlign w:val="bottom"/>
            <w:gridSpan w:val="5"/>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182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0000FF"/>
              </w:rPr>
              <w:t>Intellectual Property</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20"/>
                <w:szCs w:val="20"/>
                <w:color w:val="auto"/>
              </w:rPr>
            </w:pPr>
          </w:p>
        </w:tc>
        <w:tc>
          <w:tcPr>
            <w:tcW w:w="146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0000FF"/>
              </w:rPr>
              <w:t>Use of Proceeds</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19"/>
                <w:szCs w:val="19"/>
                <w:color w:val="auto"/>
              </w:rPr>
            </w:pPr>
          </w:p>
        </w:tc>
        <w:tc>
          <w:tcPr>
            <w:tcW w:w="1060" w:type="dxa"/>
            <w:vAlign w:val="bottom"/>
            <w:gridSpan w:val="10"/>
          </w:tcPr>
          <w:p>
            <w:pPr>
              <w:ind w:left="100"/>
              <w:spacing w:after="0" w:line="223" w:lineRule="exact"/>
              <w:rPr>
                <w:sz w:val="20"/>
                <w:szCs w:val="20"/>
                <w:color w:val="auto"/>
              </w:rPr>
            </w:pPr>
            <w:r>
              <w:rPr>
                <w:rFonts w:ascii="Times New Roman" w:cs="Times New Roman" w:eastAsia="Times New Roman" w:hAnsi="Times New Roman"/>
                <w:sz w:val="20"/>
                <w:szCs w:val="20"/>
                <w:color w:val="0000FF"/>
              </w:rPr>
              <w:t>Litigation</w:t>
            </w: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000FF"/>
                <w:w w:val="98"/>
              </w:rPr>
              <w:t>Federal Reserve Regulations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19"/>
                <w:szCs w:val="19"/>
                <w:color w:val="auto"/>
              </w:rPr>
            </w:pPr>
          </w:p>
        </w:tc>
        <w:tc>
          <w:tcPr>
            <w:tcW w:w="960" w:type="dxa"/>
            <w:vAlign w:val="bottom"/>
            <w:gridSpan w:val="9"/>
          </w:tcPr>
          <w:p>
            <w:pPr>
              <w:ind w:left="80"/>
              <w:spacing w:after="0" w:line="223" w:lineRule="exact"/>
              <w:rPr>
                <w:sz w:val="20"/>
                <w:szCs w:val="20"/>
                <w:color w:val="auto"/>
              </w:rPr>
            </w:pPr>
            <w:r>
              <w:rPr>
                <w:rFonts w:ascii="Times New Roman" w:cs="Times New Roman" w:eastAsia="Times New Roman" w:hAnsi="Times New Roman"/>
                <w:sz w:val="20"/>
                <w:szCs w:val="20"/>
                <w:color w:val="0000FF"/>
              </w:rPr>
              <w:t>Solvency</w:t>
            </w:r>
          </w:p>
        </w:tc>
        <w:tc>
          <w:tcPr>
            <w:tcW w:w="3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Taxes</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w w:val="93"/>
              </w:rPr>
              <w:t>ERISA</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940" w:type="dxa"/>
            <w:vAlign w:val="bottom"/>
            <w:gridSpan w:val="2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30"/>
          </w:tcPr>
          <w:p>
            <w:pPr>
              <w:ind w:left="20"/>
              <w:spacing w:after="0" w:line="223" w:lineRule="exact"/>
              <w:rPr>
                <w:sz w:val="20"/>
                <w:szCs w:val="20"/>
                <w:color w:val="auto"/>
              </w:rPr>
            </w:pPr>
            <w:r>
              <w:rPr>
                <w:rFonts w:ascii="Times New Roman" w:cs="Times New Roman" w:eastAsia="Times New Roman" w:hAnsi="Times New Roman"/>
                <w:sz w:val="20"/>
                <w:szCs w:val="20"/>
                <w:color w:val="0000FF"/>
              </w:rPr>
              <w:t>Environmental Matters; Hazardous Material</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43</w:t>
            </w:r>
          </w:p>
        </w:tc>
        <w:tc>
          <w:tcPr>
            <w:tcW w:w="4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1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gridSpan w:val="36"/>
          </w:tcPr>
          <w:p>
            <w:pPr>
              <w:ind w:left="20"/>
              <w:spacing w:after="0"/>
              <w:rPr>
                <w:sz w:val="20"/>
                <w:szCs w:val="20"/>
                <w:color w:val="auto"/>
              </w:rPr>
            </w:pPr>
            <w:r>
              <w:rPr>
                <w:rFonts w:ascii="Times New Roman" w:cs="Times New Roman" w:eastAsia="Times New Roman" w:hAnsi="Times New Roman"/>
                <w:sz w:val="20"/>
                <w:szCs w:val="20"/>
                <w:color w:val="0000FF"/>
              </w:rPr>
              <w:t>Investment Company Act; Other Regulations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0"/>
        </w:trPr>
        <w:tc>
          <w:tcPr>
            <w:tcW w:w="9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0000FF"/>
              </w:rPr>
              <w:t>Labor Matters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32"/>
          </w:tcPr>
          <w:p>
            <w:pPr>
              <w:ind w:left="20"/>
              <w:spacing w:after="0" w:line="223" w:lineRule="exact"/>
              <w:rPr>
                <w:sz w:val="20"/>
                <w:szCs w:val="20"/>
                <w:color w:val="auto"/>
              </w:rPr>
            </w:pPr>
            <w:r>
              <w:rPr>
                <w:rFonts w:ascii="Times New Roman" w:cs="Times New Roman" w:eastAsia="Times New Roman" w:hAnsi="Times New Roman"/>
                <w:sz w:val="20"/>
                <w:szCs w:val="20"/>
                <w:color w:val="0000FF"/>
              </w:rPr>
              <w:t>Anti-Corruption Laws and Sanctions</w:t>
            </w:r>
          </w:p>
        </w:tc>
        <w:tc>
          <w:tcPr>
            <w:tcW w:w="3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9"/>
          </w:tcPr>
          <w:p>
            <w:pPr>
              <w:ind w:left="20"/>
              <w:spacing w:after="0"/>
              <w:rPr>
                <w:sz w:val="20"/>
                <w:szCs w:val="20"/>
                <w:color w:val="auto"/>
              </w:rPr>
            </w:pPr>
            <w:r>
              <w:rPr>
                <w:rFonts w:ascii="Times New Roman" w:cs="Times New Roman" w:eastAsia="Times New Roman" w:hAnsi="Times New Roman"/>
                <w:sz w:val="20"/>
                <w:szCs w:val="20"/>
                <w:color w:val="0000FF"/>
              </w:rPr>
              <w:t>Affected Financial Institutions</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w w:val="79"/>
              </w:rPr>
              <w:t>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ind w:left="20"/>
              <w:spacing w:after="0" w:line="223" w:lineRule="exact"/>
              <w:rPr>
                <w:sz w:val="20"/>
                <w:szCs w:val="20"/>
                <w:color w:val="auto"/>
              </w:rPr>
            </w:pPr>
            <w:r>
              <w:rPr>
                <w:rFonts w:ascii="Times New Roman" w:cs="Times New Roman" w:eastAsia="Times New Roman" w:hAnsi="Times New Roman"/>
                <w:sz w:val="20"/>
                <w:szCs w:val="20"/>
                <w:color w:val="0000FF"/>
              </w:rPr>
              <w:t>Disclosure</w:t>
            </w:r>
          </w:p>
        </w:tc>
        <w:tc>
          <w:tcPr>
            <w:tcW w:w="32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0000FF"/>
              </w:rPr>
              <w:t>ERISA Event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5"/>
        </w:trPr>
        <w:tc>
          <w:tcPr>
            <w:tcW w:w="3880" w:type="dxa"/>
            <w:vAlign w:val="bottom"/>
            <w:gridSpan w:val="34"/>
          </w:tcPr>
          <w:p>
            <w:pPr>
              <w:spacing w:after="0"/>
              <w:rPr>
                <w:sz w:val="20"/>
                <w:szCs w:val="20"/>
                <w:color w:val="auto"/>
              </w:rPr>
            </w:pPr>
            <w:r>
              <w:rPr>
                <w:rFonts w:ascii="Times New Roman" w:cs="Times New Roman" w:eastAsia="Times New Roman" w:hAnsi="Times New Roman"/>
                <w:sz w:val="20"/>
                <w:szCs w:val="20"/>
                <w:b w:val="1"/>
                <w:bCs w:val="1"/>
                <w:color w:val="0000FF"/>
              </w:rPr>
              <w:t>SECTION 4 CONDITIONS PRECEDENT</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44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8"/>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4.</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580" w:type="dxa"/>
            <w:vAlign w:val="bottom"/>
            <w:tcBorders>
              <w:top w:val="single" w:sz="8" w:color="0000FF"/>
            </w:tcBorders>
            <w:gridSpan w:val="26"/>
          </w:tcPr>
          <w:p>
            <w:pPr>
              <w:ind w:left="100"/>
              <w:spacing w:after="0"/>
              <w:rPr>
                <w:sz w:val="20"/>
                <w:szCs w:val="20"/>
                <w:color w:val="auto"/>
              </w:rPr>
            </w:pPr>
            <w:r>
              <w:rPr>
                <w:rFonts w:ascii="Times New Roman" w:cs="Times New Roman" w:eastAsia="Times New Roman" w:hAnsi="Times New Roman"/>
                <w:sz w:val="20"/>
                <w:szCs w:val="20"/>
                <w:color w:val="0000FF"/>
                <w:w w:val="99"/>
              </w:rPr>
              <w:t>Conditions to the Closing Date</w:t>
            </w:r>
          </w:p>
        </w:tc>
        <w:tc>
          <w:tcPr>
            <w:tcW w:w="40" w:type="dxa"/>
            <w:vAlign w:val="bottom"/>
            <w:tcBorders>
              <w:top w:val="single" w:sz="8" w:color="0000FF"/>
            </w:tcBorders>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4.</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168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0000FF"/>
              </w:rPr>
              <w:t>Each Credit Event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3880" w:type="dxa"/>
            <w:vAlign w:val="bottom"/>
            <w:gridSpan w:val="34"/>
          </w:tcPr>
          <w:p>
            <w:pPr>
              <w:spacing w:after="0"/>
              <w:rPr>
                <w:sz w:val="20"/>
                <w:szCs w:val="20"/>
                <w:color w:val="auto"/>
              </w:rPr>
            </w:pPr>
            <w:r>
              <w:rPr>
                <w:rFonts w:ascii="Times New Roman" w:cs="Times New Roman" w:eastAsia="Times New Roman" w:hAnsi="Times New Roman"/>
                <w:sz w:val="20"/>
                <w:szCs w:val="20"/>
                <w:b w:val="1"/>
                <w:bCs w:val="1"/>
                <w:color w:val="0000FF"/>
              </w:rPr>
              <w:t>SECTION 5 AFFIRMATIVE COVENANTS</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gridSpan w:val="20"/>
          </w:tcPr>
          <w:p>
            <w:pPr>
              <w:ind w:left="100"/>
              <w:spacing w:after="0"/>
              <w:rPr>
                <w:sz w:val="20"/>
                <w:szCs w:val="20"/>
                <w:color w:val="auto"/>
              </w:rPr>
            </w:pPr>
            <w:r>
              <w:rPr>
                <w:rFonts w:ascii="Times New Roman" w:cs="Times New Roman" w:eastAsia="Times New Roman" w:hAnsi="Times New Roman"/>
                <w:sz w:val="20"/>
                <w:szCs w:val="20"/>
                <w:color w:val="0000FF"/>
                <w:w w:val="98"/>
              </w:rPr>
              <w:t>Financial Statements, etc</w:t>
            </w:r>
          </w:p>
        </w:tc>
        <w:tc>
          <w:tcPr>
            <w:tcW w:w="4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3940" w:type="dxa"/>
            <w:vAlign w:val="bottom"/>
            <w:gridSpan w:val="38"/>
          </w:tcPr>
          <w:p>
            <w:pPr>
              <w:ind w:left="100"/>
              <w:spacing w:after="0"/>
              <w:rPr>
                <w:sz w:val="20"/>
                <w:szCs w:val="20"/>
                <w:color w:val="auto"/>
              </w:rPr>
            </w:pPr>
            <w:r>
              <w:rPr>
                <w:rFonts w:ascii="Times New Roman" w:cs="Times New Roman" w:eastAsia="Times New Roman" w:hAnsi="Times New Roman"/>
                <w:sz w:val="20"/>
                <w:szCs w:val="20"/>
                <w:color w:val="0000FF"/>
              </w:rPr>
              <w:t xml:space="preserve">Compliance Certificate; Reporting  </w:t>
            </w:r>
            <w:r>
              <w:rPr>
                <w:rFonts w:ascii="Times New Roman" w:cs="Times New Roman" w:eastAsia="Times New Roman" w:hAnsi="Times New Roman"/>
                <w:sz w:val="20"/>
                <w:szCs w:val="20"/>
                <w:color w:val="000000"/>
              </w:rPr>
              <w:t>46</w:t>
            </w:r>
          </w:p>
        </w:tc>
        <w:tc>
          <w:tcPr>
            <w:tcW w:w="30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2320" w:type="dxa"/>
            <w:vAlign w:val="bottom"/>
            <w:gridSpan w:val="23"/>
          </w:tcPr>
          <w:p>
            <w:pPr>
              <w:ind w:left="100"/>
              <w:spacing w:after="0" w:line="223" w:lineRule="exact"/>
              <w:rPr>
                <w:sz w:val="20"/>
                <w:szCs w:val="20"/>
                <w:color w:val="auto"/>
              </w:rPr>
            </w:pPr>
            <w:r>
              <w:rPr>
                <w:rFonts w:ascii="Times New Roman" w:cs="Times New Roman" w:eastAsia="Times New Roman" w:hAnsi="Times New Roman"/>
                <w:sz w:val="20"/>
                <w:szCs w:val="20"/>
                <w:color w:val="0000FF"/>
              </w:rPr>
              <w:t>Maintenance of Existence</w:t>
            </w:r>
          </w:p>
        </w:tc>
        <w:tc>
          <w:tcPr>
            <w:tcW w:w="2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w w:val="89"/>
              </w:rPr>
              <w:t>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23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0000FF"/>
              </w:rPr>
              <w:t>Maintenance of Insurance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89"/>
              </w:rPr>
              <w:t>46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19"/>
                <w:szCs w:val="19"/>
                <w:color w:val="auto"/>
              </w:rPr>
            </w:pPr>
          </w:p>
        </w:tc>
        <w:tc>
          <w:tcPr>
            <w:tcW w:w="1400" w:type="dxa"/>
            <w:vAlign w:val="bottom"/>
            <w:gridSpan w:val="12"/>
          </w:tcPr>
          <w:p>
            <w:pPr>
              <w:ind w:left="100"/>
              <w:spacing w:after="0" w:line="223" w:lineRule="exact"/>
              <w:rPr>
                <w:sz w:val="20"/>
                <w:szCs w:val="20"/>
                <w:color w:val="auto"/>
              </w:rPr>
            </w:pPr>
            <w:r>
              <w:rPr>
                <w:rFonts w:ascii="Times New Roman" w:cs="Times New Roman" w:eastAsia="Times New Roman" w:hAnsi="Times New Roman"/>
                <w:sz w:val="20"/>
                <w:szCs w:val="20"/>
                <w:color w:val="0000FF"/>
                <w:w w:val="98"/>
              </w:rPr>
              <w:t>Use of Proceeds</w:t>
            </w:r>
          </w:p>
        </w:tc>
        <w:tc>
          <w:tcPr>
            <w:tcW w:w="400" w:type="dxa"/>
            <w:vAlign w:val="bottom"/>
            <w:gridSpan w:val="5"/>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194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0000FF"/>
                <w:w w:val="98"/>
              </w:rPr>
              <w:t>Compliance with Laws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23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0000FF"/>
                <w:w w:val="99"/>
              </w:rPr>
              <w:t>Designation of Subsidiaries</w:t>
            </w:r>
          </w:p>
        </w:tc>
        <w:tc>
          <w:tcPr>
            <w:tcW w:w="4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362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0000FF"/>
              </w:rPr>
              <w:t>SECTION 6 NEGATIVE COVENANTS</w:t>
            </w:r>
          </w:p>
        </w:tc>
        <w:tc>
          <w:tcPr>
            <w:tcW w:w="2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89"/>
              </w:rPr>
              <w:t>47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320" w:type="dxa"/>
            <w:vAlign w:val="bottom"/>
            <w:tcBorders>
              <w:top w:val="single" w:sz="8" w:color="0000FF"/>
            </w:tcBorders>
            <w:gridSpan w:val="23"/>
          </w:tcPr>
          <w:p>
            <w:pPr>
              <w:ind w:left="100"/>
              <w:spacing w:after="0"/>
              <w:rPr>
                <w:sz w:val="20"/>
                <w:szCs w:val="20"/>
                <w:color w:val="auto"/>
              </w:rPr>
            </w:pPr>
            <w:r>
              <w:rPr>
                <w:rFonts w:ascii="Times New Roman" w:cs="Times New Roman" w:eastAsia="Times New Roman" w:hAnsi="Times New Roman"/>
                <w:sz w:val="20"/>
                <w:szCs w:val="20"/>
                <w:color w:val="0000FF"/>
              </w:rPr>
              <w:t>Limitation on Indebtedness</w:t>
            </w:r>
          </w:p>
        </w:tc>
        <w:tc>
          <w:tcPr>
            <w:tcW w:w="60" w:type="dxa"/>
            <w:vAlign w:val="bottom"/>
            <w:tcBorders>
              <w:top w:val="single" w:sz="8" w:color="0000FF"/>
            </w:tcBorders>
          </w:tcPr>
          <w:p>
            <w:pPr>
              <w:spacing w:after="0"/>
              <w:rPr>
                <w:sz w:val="24"/>
                <w:szCs w:val="24"/>
                <w:color w:val="auto"/>
              </w:rPr>
            </w:pPr>
          </w:p>
        </w:tc>
        <w:tc>
          <w:tcPr>
            <w:tcW w:w="2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89"/>
              </w:rPr>
              <w:t>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19"/>
                <w:szCs w:val="19"/>
                <w:color w:val="auto"/>
              </w:rPr>
            </w:pPr>
          </w:p>
        </w:tc>
        <w:tc>
          <w:tcPr>
            <w:tcW w:w="1680" w:type="dxa"/>
            <w:vAlign w:val="bottom"/>
            <w:gridSpan w:val="15"/>
          </w:tcPr>
          <w:p>
            <w:pPr>
              <w:ind w:left="100"/>
              <w:spacing w:after="0" w:line="223" w:lineRule="exact"/>
              <w:rPr>
                <w:sz w:val="20"/>
                <w:szCs w:val="20"/>
                <w:color w:val="auto"/>
              </w:rPr>
            </w:pPr>
            <w:r>
              <w:rPr>
                <w:rFonts w:ascii="Times New Roman" w:cs="Times New Roman" w:eastAsia="Times New Roman" w:hAnsi="Times New Roman"/>
                <w:sz w:val="20"/>
                <w:szCs w:val="20"/>
                <w:color w:val="0000FF"/>
                <w:w w:val="98"/>
              </w:rPr>
              <w:t>Limitation on Liens</w:t>
            </w:r>
          </w:p>
        </w:tc>
        <w:tc>
          <w:tcPr>
            <w:tcW w:w="3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3940" w:type="dxa"/>
            <w:vAlign w:val="bottom"/>
            <w:gridSpan w:val="38"/>
          </w:tcPr>
          <w:p>
            <w:pPr>
              <w:ind w:left="100"/>
              <w:spacing w:after="0"/>
              <w:rPr>
                <w:sz w:val="20"/>
                <w:szCs w:val="20"/>
                <w:color w:val="auto"/>
              </w:rPr>
            </w:pPr>
            <w:r>
              <w:rPr>
                <w:rFonts w:ascii="Times New Roman" w:cs="Times New Roman" w:eastAsia="Times New Roman" w:hAnsi="Times New Roman"/>
                <w:sz w:val="20"/>
                <w:szCs w:val="20"/>
                <w:color w:val="0000FF"/>
              </w:rPr>
              <w:t xml:space="preserve">Merger, Consolidation, or Sale of Assets  </w:t>
            </w:r>
            <w:r>
              <w:rPr>
                <w:rFonts w:ascii="Times New Roman" w:cs="Times New Roman" w:eastAsia="Times New Roman" w:hAnsi="Times New Roman"/>
                <w:sz w:val="20"/>
                <w:szCs w:val="20"/>
                <w:color w:val="000000"/>
              </w:rPr>
              <w:t>49</w:t>
            </w: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19"/>
                <w:szCs w:val="19"/>
                <w:color w:val="auto"/>
              </w:rPr>
            </w:pPr>
          </w:p>
        </w:tc>
        <w:tc>
          <w:tcPr>
            <w:tcW w:w="3940" w:type="dxa"/>
            <w:vAlign w:val="bottom"/>
            <w:gridSpan w:val="38"/>
          </w:tcPr>
          <w:p>
            <w:pPr>
              <w:ind w:left="100"/>
              <w:spacing w:after="0" w:line="223" w:lineRule="exact"/>
              <w:rPr>
                <w:sz w:val="20"/>
                <w:szCs w:val="20"/>
                <w:color w:val="auto"/>
              </w:rPr>
            </w:pPr>
            <w:r>
              <w:rPr>
                <w:rFonts w:ascii="Times New Roman" w:cs="Times New Roman" w:eastAsia="Times New Roman" w:hAnsi="Times New Roman"/>
                <w:sz w:val="20"/>
                <w:szCs w:val="20"/>
                <w:color w:val="0000FF"/>
              </w:rPr>
              <w:t>Limitation on Sale and Leaseback Transactions</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49</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318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0000FF"/>
              </w:rPr>
              <w:t>Anti-Corruption Laws and Sanctions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50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168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0000FF"/>
                <w:w w:val="99"/>
              </w:rPr>
              <w:t>Financial Covenant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3360" w:type="dxa"/>
            <w:vAlign w:val="bottom"/>
            <w:gridSpan w:val="26"/>
          </w:tcPr>
          <w:p>
            <w:pPr>
              <w:spacing w:after="0"/>
              <w:rPr>
                <w:sz w:val="20"/>
                <w:szCs w:val="20"/>
                <w:color w:val="auto"/>
              </w:rPr>
            </w:pPr>
            <w:r>
              <w:rPr>
                <w:rFonts w:ascii="Times New Roman" w:cs="Times New Roman" w:eastAsia="Times New Roman" w:hAnsi="Times New Roman"/>
                <w:sz w:val="20"/>
                <w:szCs w:val="20"/>
                <w:b w:val="1"/>
                <w:bCs w:val="1"/>
                <w:color w:val="0000FF"/>
              </w:rPr>
              <w:t>SECTION 7 EVENTS OF DEFAULT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89"/>
              </w:rPr>
              <w:t>51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7.</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15"/>
          </w:tcPr>
          <w:p>
            <w:pPr>
              <w:ind w:left="100"/>
              <w:spacing w:after="0"/>
              <w:rPr>
                <w:sz w:val="20"/>
                <w:szCs w:val="20"/>
                <w:color w:val="auto"/>
              </w:rPr>
            </w:pPr>
            <w:r>
              <w:rPr>
                <w:rFonts w:ascii="Times New Roman" w:cs="Times New Roman" w:eastAsia="Times New Roman" w:hAnsi="Times New Roman"/>
                <w:sz w:val="20"/>
                <w:szCs w:val="20"/>
                <w:color w:val="0000FF"/>
              </w:rPr>
              <w:t>Events of Default</w:t>
            </w:r>
          </w:p>
        </w:tc>
        <w:tc>
          <w:tcPr>
            <w:tcW w:w="26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89"/>
              </w:rPr>
              <w:t>51</w:t>
            </w: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2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b w:val="1"/>
                <w:bCs w:val="1"/>
                <w:color w:val="0000FF"/>
                <w:w w:val="98"/>
              </w:rPr>
              <w:t>SECTION 8 THE AGENTS</w:t>
            </w:r>
          </w:p>
        </w:tc>
        <w:tc>
          <w:tcPr>
            <w:tcW w:w="60" w:type="dxa"/>
            <w:vAlign w:val="bottom"/>
            <w:gridSpan w:val="2"/>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116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0000FF"/>
                <w:w w:val="98"/>
              </w:rPr>
              <w:t>Appointment</w:t>
            </w: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1940" w:type="dxa"/>
            <w:vAlign w:val="bottom"/>
            <w:gridSpan w:val="18"/>
          </w:tcPr>
          <w:p>
            <w:pPr>
              <w:ind w:left="100"/>
              <w:spacing w:after="0"/>
              <w:rPr>
                <w:sz w:val="20"/>
                <w:szCs w:val="20"/>
                <w:color w:val="auto"/>
              </w:rPr>
            </w:pPr>
            <w:r>
              <w:rPr>
                <w:rFonts w:ascii="Times New Roman" w:cs="Times New Roman" w:eastAsia="Times New Roman" w:hAnsi="Times New Roman"/>
                <w:sz w:val="20"/>
                <w:szCs w:val="20"/>
                <w:color w:val="0000FF"/>
              </w:rPr>
              <w:t>Delegation of Duties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89"/>
              </w:rPr>
              <w:t>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2100" w:type="dxa"/>
            <w:vAlign w:val="bottom"/>
            <w:gridSpan w:val="20"/>
          </w:tcPr>
          <w:p>
            <w:pPr>
              <w:ind w:left="100"/>
              <w:spacing w:after="0" w:line="223" w:lineRule="exact"/>
              <w:rPr>
                <w:sz w:val="20"/>
                <w:szCs w:val="20"/>
                <w:color w:val="auto"/>
              </w:rPr>
            </w:pPr>
            <w:r>
              <w:rPr>
                <w:rFonts w:ascii="Times New Roman" w:cs="Times New Roman" w:eastAsia="Times New Roman" w:hAnsi="Times New Roman"/>
                <w:sz w:val="20"/>
                <w:szCs w:val="20"/>
                <w:color w:val="0000FF"/>
              </w:rPr>
              <w:t>Exculpatory Provisions</w:t>
            </w:r>
          </w:p>
        </w:tc>
        <w:tc>
          <w:tcPr>
            <w:tcW w:w="2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53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318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0000FF"/>
              </w:rPr>
              <w:t>Reliance by the Administrative Agent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19"/>
                <w:szCs w:val="19"/>
                <w:color w:val="auto"/>
              </w:rPr>
            </w:pPr>
          </w:p>
        </w:tc>
        <w:tc>
          <w:tcPr>
            <w:tcW w:w="1680" w:type="dxa"/>
            <w:vAlign w:val="bottom"/>
            <w:gridSpan w:val="15"/>
          </w:tcPr>
          <w:p>
            <w:pPr>
              <w:ind w:left="100"/>
              <w:spacing w:after="0" w:line="223" w:lineRule="exact"/>
              <w:rPr>
                <w:sz w:val="20"/>
                <w:szCs w:val="20"/>
                <w:color w:val="auto"/>
              </w:rPr>
            </w:pPr>
            <w:r>
              <w:rPr>
                <w:rFonts w:ascii="Times New Roman" w:cs="Times New Roman" w:eastAsia="Times New Roman" w:hAnsi="Times New Roman"/>
                <w:sz w:val="20"/>
                <w:szCs w:val="20"/>
                <w:color w:val="0000FF"/>
              </w:rPr>
              <w:t>Notice of Default</w:t>
            </w:r>
          </w:p>
        </w:tc>
        <w:tc>
          <w:tcPr>
            <w:tcW w:w="26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89"/>
              </w:rPr>
              <w:t>54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3940" w:type="dxa"/>
            <w:vAlign w:val="bottom"/>
            <w:gridSpan w:val="38"/>
          </w:tcPr>
          <w:p>
            <w:pPr>
              <w:ind w:left="100"/>
              <w:spacing w:after="0"/>
              <w:rPr>
                <w:sz w:val="20"/>
                <w:szCs w:val="20"/>
                <w:color w:val="auto"/>
              </w:rPr>
            </w:pPr>
            <w:r>
              <w:rPr>
                <w:rFonts w:ascii="Times New Roman" w:cs="Times New Roman" w:eastAsia="Times New Roman" w:hAnsi="Times New Roman"/>
                <w:sz w:val="20"/>
                <w:szCs w:val="20"/>
                <w:color w:val="0000FF"/>
              </w:rPr>
              <w:t>Non-Reliance on the Agent and Other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1400" w:type="dxa"/>
            <w:vAlign w:val="bottom"/>
            <w:gridSpan w:val="12"/>
          </w:tcPr>
          <w:p>
            <w:pPr>
              <w:ind w:left="100"/>
              <w:spacing w:after="0"/>
              <w:rPr>
                <w:sz w:val="20"/>
                <w:szCs w:val="20"/>
                <w:color w:val="auto"/>
              </w:rPr>
            </w:pPr>
            <w:r>
              <w:rPr>
                <w:rFonts w:ascii="Times New Roman" w:cs="Times New Roman" w:eastAsia="Times New Roman" w:hAnsi="Times New Roman"/>
                <w:sz w:val="20"/>
                <w:szCs w:val="20"/>
                <w:color w:val="0000FF"/>
              </w:rPr>
              <w:t>Indemnification</w:t>
            </w:r>
          </w:p>
        </w:tc>
        <w:tc>
          <w:tcPr>
            <w:tcW w:w="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19"/>
                <w:szCs w:val="19"/>
                <w:color w:val="auto"/>
              </w:rPr>
            </w:pPr>
          </w:p>
        </w:tc>
        <w:tc>
          <w:tcPr>
            <w:tcW w:w="2840" w:type="dxa"/>
            <w:vAlign w:val="bottom"/>
            <w:gridSpan w:val="31"/>
          </w:tcPr>
          <w:p>
            <w:pPr>
              <w:ind w:left="100"/>
              <w:spacing w:after="0" w:line="223" w:lineRule="exact"/>
              <w:rPr>
                <w:sz w:val="20"/>
                <w:szCs w:val="20"/>
                <w:color w:val="auto"/>
              </w:rPr>
            </w:pPr>
            <w:r>
              <w:rPr>
                <w:rFonts w:ascii="Times New Roman" w:cs="Times New Roman" w:eastAsia="Times New Roman" w:hAnsi="Times New Roman"/>
                <w:sz w:val="20"/>
                <w:szCs w:val="20"/>
                <w:color w:val="0000FF"/>
              </w:rPr>
              <w:t>Agent in Its Individual Capacity</w:t>
            </w:r>
          </w:p>
        </w:tc>
        <w:tc>
          <w:tcPr>
            <w:tcW w:w="2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89"/>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20"/>
                <w:szCs w:val="20"/>
                <w:color w:val="auto"/>
              </w:rPr>
            </w:pPr>
          </w:p>
        </w:tc>
        <w:tc>
          <w:tcPr>
            <w:tcW w:w="2840" w:type="dxa"/>
            <w:vAlign w:val="bottom"/>
            <w:gridSpan w:val="31"/>
          </w:tcPr>
          <w:p>
            <w:pPr>
              <w:ind w:left="100"/>
              <w:spacing w:after="0"/>
              <w:rPr>
                <w:sz w:val="20"/>
                <w:szCs w:val="20"/>
                <w:color w:val="auto"/>
              </w:rPr>
            </w:pPr>
            <w:r>
              <w:rPr>
                <w:rFonts w:ascii="Times New Roman" w:cs="Times New Roman" w:eastAsia="Times New Roman" w:hAnsi="Times New Roman"/>
                <w:sz w:val="20"/>
                <w:szCs w:val="20"/>
                <w:color w:val="0000FF"/>
              </w:rPr>
              <w:t>Successor Administrative Agent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80" w:type="dxa"/>
            <w:vAlign w:val="bottom"/>
            <w:tcBorders>
              <w:top w:val="single" w:sz="8" w:color="0000FF"/>
            </w:tcBorders>
            <w:gridSpan w:val="5"/>
          </w:tcPr>
          <w:p>
            <w:pPr>
              <w:ind w:left="20"/>
              <w:spacing w:after="0" w:line="223" w:lineRule="exact"/>
              <w:rPr>
                <w:sz w:val="20"/>
                <w:szCs w:val="20"/>
                <w:color w:val="auto"/>
              </w:rPr>
            </w:pPr>
            <w:r>
              <w:rPr>
                <w:rFonts w:ascii="Times New Roman" w:cs="Times New Roman" w:eastAsia="Times New Roman" w:hAnsi="Times New Roman"/>
                <w:sz w:val="20"/>
                <w:szCs w:val="20"/>
                <w:color w:val="0000FF"/>
              </w:rPr>
              <w:t>Payments</w:t>
            </w:r>
          </w:p>
        </w:tc>
        <w:tc>
          <w:tcPr>
            <w:tcW w:w="200" w:type="dxa"/>
            <w:vAlign w:val="bottom"/>
            <w:tcBorders>
              <w:top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56</w:t>
            </w: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20"/>
                <w:szCs w:val="20"/>
                <w:color w:val="auto"/>
              </w:rPr>
            </w:pPr>
          </w:p>
        </w:tc>
        <w:tc>
          <w:tcPr>
            <w:tcW w:w="130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0000FF"/>
              </w:rPr>
              <w:t>Other Terms.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gridSpan w:val="1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36"/>
          </w:tcPr>
          <w:p>
            <w:pPr>
              <w:ind w:left="20"/>
              <w:spacing w:after="0"/>
              <w:rPr>
                <w:sz w:val="20"/>
                <w:szCs w:val="20"/>
                <w:color w:val="auto"/>
              </w:rPr>
            </w:pPr>
            <w:r>
              <w:rPr>
                <w:rFonts w:ascii="Times New Roman" w:cs="Times New Roman" w:eastAsia="Times New Roman" w:hAnsi="Times New Roman"/>
                <w:sz w:val="20"/>
                <w:szCs w:val="20"/>
                <w:color w:val="0000FF"/>
              </w:rPr>
              <w:t xml:space="preserve">Enforcement by the Administrative Agent  </w:t>
            </w:r>
            <w:r>
              <w:rPr>
                <w:rFonts w:ascii="Times New Roman" w:cs="Times New Roman" w:eastAsia="Times New Roman" w:hAnsi="Times New Roman"/>
                <w:sz w:val="20"/>
                <w:szCs w:val="20"/>
                <w:color w:val="000000"/>
              </w:rPr>
              <w:t>58</w:t>
            </w: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13"/>
          </w:tcPr>
          <w:p>
            <w:pPr>
              <w:ind w:left="20"/>
              <w:spacing w:after="0" w:line="223" w:lineRule="exact"/>
              <w:rPr>
                <w:sz w:val="20"/>
                <w:szCs w:val="20"/>
                <w:color w:val="auto"/>
              </w:rPr>
            </w:pPr>
            <w:r>
              <w:rPr>
                <w:rFonts w:ascii="Times New Roman" w:cs="Times New Roman" w:eastAsia="Times New Roman" w:hAnsi="Times New Roman"/>
                <w:sz w:val="20"/>
                <w:szCs w:val="20"/>
                <w:color w:val="0000FF"/>
              </w:rPr>
              <w:t>Withholding Tax</w:t>
            </w:r>
          </w:p>
        </w:tc>
        <w:tc>
          <w:tcPr>
            <w:tcW w:w="26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18"/>
          </w:tcPr>
          <w:p>
            <w:pPr>
              <w:ind w:left="20"/>
              <w:spacing w:after="0"/>
              <w:rPr>
                <w:sz w:val="20"/>
                <w:szCs w:val="20"/>
                <w:color w:val="auto"/>
              </w:rPr>
            </w:pPr>
            <w:r>
              <w:rPr>
                <w:rFonts w:ascii="Times New Roman" w:cs="Times New Roman" w:eastAsia="Times New Roman" w:hAnsi="Times New Roman"/>
                <w:sz w:val="20"/>
                <w:szCs w:val="20"/>
                <w:color w:val="0000FF"/>
              </w:rPr>
              <w:t>Certain ERISA Matters</w:t>
            </w:r>
          </w:p>
        </w:tc>
        <w:tc>
          <w:tcPr>
            <w:tcW w:w="440" w:type="dxa"/>
            <w:vAlign w:val="bottom"/>
            <w:gridSpan w:val="5"/>
          </w:tcPr>
          <w:p>
            <w:pPr>
              <w:jc w:val="right"/>
              <w:ind w:right="1"/>
              <w:spacing w:after="0"/>
              <w:rPr>
                <w:sz w:val="20"/>
                <w:szCs w:val="20"/>
                <w:color w:val="auto"/>
              </w:rPr>
            </w:pPr>
            <w:r>
              <w:rPr>
                <w:rFonts w:ascii="Times New Roman" w:cs="Times New Roman" w:eastAsia="Times New Roman" w:hAnsi="Times New Roman"/>
                <w:sz w:val="20"/>
                <w:szCs w:val="20"/>
                <w:color w:val="auto"/>
              </w:rPr>
              <w:t>58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0" w:type="dxa"/>
            <w:vAlign w:val="bottom"/>
            <w:gridSpan w:val="1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31"/>
        </w:trPr>
        <w:tc>
          <w:tcPr>
            <w:tcW w:w="28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b w:val="1"/>
                <w:bCs w:val="1"/>
                <w:color w:val="0000FF"/>
                <w:w w:val="98"/>
              </w:rPr>
              <w:t>SECTION 9 MISCELLANEOUS</w:t>
            </w:r>
          </w:p>
        </w:tc>
        <w:tc>
          <w:tcPr>
            <w:tcW w:w="140" w:type="dxa"/>
            <w:vAlign w:val="bottom"/>
          </w:tcPr>
          <w:p>
            <w:pPr>
              <w:spacing w:after="0"/>
              <w:rPr>
                <w:sz w:val="24"/>
                <w:szCs w:val="24"/>
                <w:color w:val="auto"/>
              </w:rPr>
            </w:pP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59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23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0000FF"/>
              </w:rPr>
              <w:t>Amendments and Waivers</w:t>
            </w: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89"/>
              </w:rPr>
              <w:t>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395" w:right="1440" w:bottom="1440" w:gutter="0" w:footer="0" w:header="0"/>
        </w:sectPr>
      </w:pPr>
    </w:p>
    <w:bookmarkStart w:id="64" w:name="page65"/>
    <w:bookmarkEnd w:id="64"/>
    <w:tbl>
      <w:tblPr>
        <w:tblLayout w:type="fixed"/>
        <w:tblInd w:w="6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19"/>
                <w:szCs w:val="19"/>
                <w:color w:val="auto"/>
              </w:rPr>
            </w:pPr>
          </w:p>
        </w:tc>
        <w:tc>
          <w:tcPr>
            <w:tcW w:w="11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0000FF"/>
              </w:rPr>
              <w:t xml:space="preserve">Notices  </w:t>
            </w:r>
            <w:r>
              <w:rPr>
                <w:rFonts w:ascii="Times New Roman" w:cs="Times New Roman" w:eastAsia="Times New Roman" w:hAnsi="Times New Roman"/>
                <w:sz w:val="20"/>
                <w:szCs w:val="20"/>
                <w:color w:val="000000"/>
              </w:rPr>
              <w:t>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300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0000FF"/>
              </w:rPr>
              <w:t>No Waiver; Cumulative Remedies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89"/>
              </w:rPr>
              <w:t>62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19"/>
                <w:szCs w:val="19"/>
                <w:color w:val="auto"/>
              </w:rPr>
            </w:pPr>
          </w:p>
        </w:tc>
        <w:tc>
          <w:tcPr>
            <w:tcW w:w="6600" w:type="dxa"/>
            <w:vAlign w:val="bottom"/>
            <w:gridSpan w:val="22"/>
          </w:tcPr>
          <w:p>
            <w:pPr>
              <w:ind w:left="100"/>
              <w:spacing w:after="0" w:line="223" w:lineRule="exact"/>
              <w:rPr>
                <w:sz w:val="20"/>
                <w:szCs w:val="20"/>
                <w:color w:val="auto"/>
              </w:rPr>
            </w:pPr>
            <w:r>
              <w:rPr>
                <w:rFonts w:ascii="Times New Roman" w:cs="Times New Roman" w:eastAsia="Times New Roman" w:hAnsi="Times New Roman"/>
                <w:sz w:val="20"/>
                <w:szCs w:val="20"/>
                <w:color w:val="0000FF"/>
              </w:rPr>
              <w:t xml:space="preserve">Survival of Representations and Warranties  </w:t>
            </w:r>
            <w:r>
              <w:rPr>
                <w:rFonts w:ascii="Times New Roman" w:cs="Times New Roman" w:eastAsia="Times New Roman" w:hAnsi="Times New Roman"/>
                <w:sz w:val="20"/>
                <w:szCs w:val="20"/>
                <w:color w:val="000000"/>
              </w:rPr>
              <w:t>62</w:t>
            </w: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186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0000FF"/>
              </w:rPr>
              <w:t>Payment of Expenses</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63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3260" w:type="dxa"/>
            <w:vAlign w:val="bottom"/>
            <w:gridSpan w:val="19"/>
          </w:tcPr>
          <w:p>
            <w:pPr>
              <w:ind w:left="100"/>
              <w:spacing w:after="0" w:line="223" w:lineRule="exact"/>
              <w:rPr>
                <w:sz w:val="20"/>
                <w:szCs w:val="20"/>
                <w:color w:val="auto"/>
              </w:rPr>
            </w:pPr>
            <w:r>
              <w:rPr>
                <w:rFonts w:ascii="Times New Roman" w:cs="Times New Roman" w:eastAsia="Times New Roman" w:hAnsi="Times New Roman"/>
                <w:sz w:val="20"/>
                <w:szCs w:val="20"/>
                <w:color w:val="0000FF"/>
              </w:rPr>
              <w:t>Successors and Assigns; Participations</w:t>
            </w:r>
          </w:p>
        </w:tc>
        <w:tc>
          <w:tcPr>
            <w:tcW w:w="2960" w:type="dxa"/>
            <w:vAlign w:val="bottom"/>
            <w:gridSpan w:val="2"/>
          </w:tcPr>
          <w:p>
            <w:pPr>
              <w:jc w:val="right"/>
              <w:ind w:right="2660"/>
              <w:spacing w:after="0" w:line="223" w:lineRule="exact"/>
              <w:rPr>
                <w:sz w:val="20"/>
                <w:szCs w:val="20"/>
                <w:color w:val="auto"/>
              </w:rPr>
            </w:pPr>
            <w:r>
              <w:rPr>
                <w:rFonts w:ascii="Times New Roman" w:cs="Times New Roman" w:eastAsia="Times New Roman" w:hAnsi="Times New Roman"/>
                <w:sz w:val="20"/>
                <w:szCs w:val="20"/>
                <w:color w:val="auto"/>
              </w:rPr>
              <w:t>64</w:t>
            </w:r>
          </w:p>
        </w:tc>
        <w:tc>
          <w:tcPr>
            <w:tcW w:w="380" w:type="dxa"/>
            <w:vAlign w:val="bottom"/>
          </w:tcPr>
          <w:p>
            <w:pPr>
              <w:spacing w:after="0"/>
              <w:rPr>
                <w:sz w:val="19"/>
                <w:szCs w:val="19"/>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186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0000FF"/>
              </w:rPr>
              <w:t>Adjustments; Setoff</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67</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20"/>
                <w:szCs w:val="20"/>
                <w:color w:val="auto"/>
              </w:rPr>
            </w:pPr>
          </w:p>
        </w:tc>
        <w:tc>
          <w:tcPr>
            <w:tcW w:w="11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0000FF"/>
              </w:rPr>
              <w:t>Counterparts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19"/>
                <w:szCs w:val="19"/>
                <w:color w:val="auto"/>
              </w:rPr>
            </w:pPr>
          </w:p>
        </w:tc>
        <w:tc>
          <w:tcPr>
            <w:tcW w:w="1180" w:type="dxa"/>
            <w:vAlign w:val="bottom"/>
            <w:gridSpan w:val="6"/>
          </w:tcPr>
          <w:p>
            <w:pPr>
              <w:ind w:left="100"/>
              <w:spacing w:after="0" w:line="223" w:lineRule="exact"/>
              <w:rPr>
                <w:sz w:val="20"/>
                <w:szCs w:val="20"/>
                <w:color w:val="auto"/>
              </w:rPr>
            </w:pPr>
            <w:r>
              <w:rPr>
                <w:rFonts w:ascii="Times New Roman" w:cs="Times New Roman" w:eastAsia="Times New Roman" w:hAnsi="Times New Roman"/>
                <w:sz w:val="20"/>
                <w:szCs w:val="20"/>
                <w:color w:val="0000FF"/>
              </w:rPr>
              <w:t>Severability</w:t>
            </w:r>
          </w:p>
        </w:tc>
        <w:tc>
          <w:tcPr>
            <w:tcW w:w="500" w:type="dxa"/>
            <w:vAlign w:val="bottom"/>
            <w:gridSpan w:val="2"/>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Integration</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9"/>
          </w:tcPr>
          <w:p>
            <w:pPr>
              <w:spacing w:after="0" w:line="223" w:lineRule="exact"/>
              <w:rPr>
                <w:sz w:val="20"/>
                <w:szCs w:val="20"/>
                <w:color w:val="auto"/>
              </w:rPr>
            </w:pPr>
            <w:r>
              <w:rPr>
                <w:rFonts w:ascii="Times New Roman" w:cs="Times New Roman" w:eastAsia="Times New Roman" w:hAnsi="Times New Roman"/>
                <w:sz w:val="20"/>
                <w:szCs w:val="20"/>
                <w:color w:val="0000FF"/>
                <w:w w:val="97"/>
              </w:rPr>
              <w:t>GOVERNING LAW</w:t>
            </w:r>
          </w:p>
        </w:tc>
        <w:tc>
          <w:tcPr>
            <w:tcW w:w="680" w:type="dxa"/>
            <w:vAlign w:val="bottom"/>
            <w:gridSpan w:val="2"/>
          </w:tcPr>
          <w:p>
            <w:pPr>
              <w:jc w:val="right"/>
              <w:ind w:right="300"/>
              <w:spacing w:after="0" w:line="223" w:lineRule="exact"/>
              <w:rPr>
                <w:sz w:val="20"/>
                <w:szCs w:val="20"/>
                <w:color w:val="auto"/>
              </w:rPr>
            </w:pPr>
            <w:r>
              <w:rPr>
                <w:rFonts w:ascii="Times New Roman" w:cs="Times New Roman" w:eastAsia="Times New Roman" w:hAnsi="Times New Roman"/>
                <w:sz w:val="20"/>
                <w:szCs w:val="20"/>
                <w:color w:val="auto"/>
              </w:rPr>
              <w:t>68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000FF"/>
              </w:rPr>
              <w:t>Submission To Jurisdiction;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Acknowledgements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14"/>
          </w:tcPr>
          <w:p>
            <w:pPr>
              <w:ind w:left="20"/>
              <w:spacing w:after="0" w:line="223" w:lineRule="exact"/>
              <w:rPr>
                <w:sz w:val="20"/>
                <w:szCs w:val="20"/>
                <w:color w:val="auto"/>
              </w:rPr>
            </w:pPr>
            <w:r>
              <w:rPr>
                <w:rFonts w:ascii="Times New Roman" w:cs="Times New Roman" w:eastAsia="Times New Roman" w:hAnsi="Times New Roman"/>
                <w:sz w:val="20"/>
                <w:szCs w:val="20"/>
                <w:color w:val="0000FF"/>
                <w:w w:val="98"/>
              </w:rPr>
              <w:t>Guarantors; Release of Guarantors.</w:t>
            </w:r>
          </w:p>
        </w:tc>
        <w:tc>
          <w:tcPr>
            <w:tcW w:w="540" w:type="dxa"/>
            <w:vAlign w:val="bottom"/>
            <w:gridSpan w:val="4"/>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 xml:space="preserve">Confidentiality  </w:t>
            </w:r>
            <w:r>
              <w:rPr>
                <w:rFonts w:ascii="Times New Roman" w:cs="Times New Roman" w:eastAsia="Times New Roman" w:hAnsi="Times New Roman"/>
                <w:sz w:val="20"/>
                <w:szCs w:val="20"/>
                <w:color w:val="000000"/>
              </w:rPr>
              <w:t>70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14"/>
          </w:tcPr>
          <w:p>
            <w:pPr>
              <w:ind w:left="20"/>
              <w:spacing w:after="0" w:line="223" w:lineRule="exact"/>
              <w:rPr>
                <w:sz w:val="20"/>
                <w:szCs w:val="20"/>
                <w:color w:val="auto"/>
              </w:rPr>
            </w:pPr>
            <w:r>
              <w:rPr>
                <w:rFonts w:ascii="Times New Roman" w:cs="Times New Roman" w:eastAsia="Times New Roman" w:hAnsi="Times New Roman"/>
                <w:sz w:val="20"/>
                <w:szCs w:val="20"/>
                <w:color w:val="0000FF"/>
              </w:rPr>
              <w:t xml:space="preserve">WAIVERS OF JURY TRIAL  </w:t>
            </w:r>
            <w:r>
              <w:rPr>
                <w:rFonts w:ascii="Times New Roman" w:cs="Times New Roman" w:eastAsia="Times New Roman" w:hAnsi="Times New Roman"/>
                <w:sz w:val="20"/>
                <w:szCs w:val="20"/>
                <w:color w:val="000000"/>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Patriot Act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0000FF"/>
              </w:rPr>
              <w:t>No Fiduciary Duty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20" w:type="dxa"/>
            <w:vAlign w:val="bottom"/>
            <w:gridSpan w:val="20"/>
          </w:tcPr>
          <w:p>
            <w:pPr>
              <w:ind w:left="20"/>
              <w:spacing w:after="0" w:line="223" w:lineRule="exact"/>
              <w:rPr>
                <w:sz w:val="20"/>
                <w:szCs w:val="20"/>
                <w:color w:val="auto"/>
              </w:rPr>
            </w:pPr>
            <w:r>
              <w:rPr>
                <w:rFonts w:ascii="Times New Roman" w:cs="Times New Roman" w:eastAsia="Times New Roman" w:hAnsi="Times New Roman"/>
                <w:sz w:val="20"/>
                <w:szCs w:val="20"/>
                <w:color w:val="0000FF"/>
                <w:w w:val="99"/>
              </w:rPr>
              <w:t xml:space="preserve">Acknowledgement and Consent to Bail-In of Affected Financial Institutions  </w:t>
            </w:r>
            <w:r>
              <w:rPr>
                <w:rFonts w:ascii="Times New Roman" w:cs="Times New Roman" w:eastAsia="Times New Roman" w:hAnsi="Times New Roman"/>
                <w:sz w:val="20"/>
                <w:szCs w:val="20"/>
                <w:color w:val="000000"/>
                <w:w w:val="99"/>
              </w:rPr>
              <w:t>72</w:t>
            </w: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9"/>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000FF"/>
              </w:rPr>
              <w:t xml:space="preserve">Interest Rate Limitations  </w:t>
            </w:r>
            <w:r>
              <w:rPr>
                <w:rFonts w:ascii="Times New Roman" w:cs="Times New Roman" w:eastAsia="Times New Roman" w:hAnsi="Times New Roman"/>
                <w:sz w:val="20"/>
                <w:szCs w:val="20"/>
                <w:color w:val="000000"/>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9"/>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3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17"/>
          </w:tcPr>
          <w:p>
            <w:pPr>
              <w:ind w:left="20"/>
              <w:spacing w:after="0" w:line="223" w:lineRule="exact"/>
              <w:rPr>
                <w:sz w:val="20"/>
                <w:szCs w:val="20"/>
                <w:color w:val="auto"/>
              </w:rPr>
            </w:pPr>
            <w:r>
              <w:rPr>
                <w:rFonts w:ascii="Times New Roman" w:cs="Times New Roman" w:eastAsia="Times New Roman" w:hAnsi="Times New Roman"/>
                <w:sz w:val="20"/>
                <w:szCs w:val="20"/>
                <w:color w:val="0000FF"/>
                <w:w w:val="98"/>
              </w:rPr>
              <w:t>Existing Term Loan Credit Agreement</w:t>
            </w:r>
          </w:p>
        </w:tc>
        <w:tc>
          <w:tcPr>
            <w:tcW w:w="2960" w:type="dxa"/>
            <w:vAlign w:val="bottom"/>
            <w:gridSpan w:val="2"/>
          </w:tcPr>
          <w:p>
            <w:pPr>
              <w:jc w:val="right"/>
              <w:ind w:right="2580"/>
              <w:spacing w:after="0" w:line="223" w:lineRule="exact"/>
              <w:rPr>
                <w:sz w:val="20"/>
                <w:szCs w:val="20"/>
                <w:color w:val="auto"/>
              </w:rPr>
            </w:pPr>
            <w:r>
              <w:rPr>
                <w:rFonts w:ascii="Times New Roman" w:cs="Times New Roman" w:eastAsia="Times New Roman" w:hAnsi="Times New Roman"/>
                <w:sz w:val="20"/>
                <w:szCs w:val="20"/>
                <w:color w:val="auto"/>
              </w:rPr>
              <w:t>72</w:t>
            </w:r>
          </w:p>
        </w:tc>
        <w:tc>
          <w:tcPr>
            <w:tcW w:w="380" w:type="dxa"/>
            <w:vAlign w:val="bottom"/>
          </w:tcPr>
          <w:p>
            <w:pPr>
              <w:spacing w:after="0"/>
              <w:rPr>
                <w:sz w:val="19"/>
                <w:szCs w:val="19"/>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112" w:lineRule="exact"/>
        <w:rPr>
          <w:sz w:val="20"/>
          <w:szCs w:val="20"/>
          <w:color w:val="auto"/>
        </w:rPr>
      </w:pPr>
    </w:p>
    <w:p>
      <w:pPr>
        <w:ind w:left="340"/>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1.1</w:t>
      </w:r>
      <w:r>
        <w:rPr>
          <w:sz w:val="20"/>
          <w:szCs w:val="20"/>
          <w:color w:val="auto"/>
        </w:rPr>
        <w:tab/>
      </w:r>
      <w:r>
        <w:rPr>
          <w:rFonts w:ascii="Times New Roman" w:cs="Times New Roman" w:eastAsia="Times New Roman" w:hAnsi="Times New Roman"/>
          <w:sz w:val="19"/>
          <w:szCs w:val="19"/>
          <w:color w:val="auto"/>
        </w:rPr>
        <w:t>Term Commitment Amounts</w:t>
      </w:r>
    </w:p>
    <w:p>
      <w:pPr>
        <w:spacing w:after="0" w:line="28" w:lineRule="exact"/>
        <w:rPr>
          <w:sz w:val="20"/>
          <w:szCs w:val="20"/>
          <w:color w:val="auto"/>
        </w:rPr>
      </w:pPr>
    </w:p>
    <w:p>
      <w:pPr>
        <w:ind w:left="340"/>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1.2</w:t>
      </w:r>
      <w:r>
        <w:rPr>
          <w:sz w:val="20"/>
          <w:szCs w:val="20"/>
          <w:color w:val="auto"/>
        </w:rPr>
        <w:tab/>
      </w:r>
      <w:r>
        <w:rPr>
          <w:rFonts w:ascii="Times New Roman" w:cs="Times New Roman" w:eastAsia="Times New Roman" w:hAnsi="Times New Roman"/>
          <w:sz w:val="19"/>
          <w:szCs w:val="19"/>
          <w:color w:val="auto"/>
        </w:rPr>
        <w:t>Unrestricted Subsidiaries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12"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Closing Certificate for the Borrower</w:t>
      </w:r>
    </w:p>
    <w:p>
      <w:pPr>
        <w:spacing w:after="0" w:line="28"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Borrowing Request</w:t>
      </w:r>
    </w:p>
    <w:p>
      <w:pPr>
        <w:spacing w:after="0" w:line="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6"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Assignment and Acceptance</w:t>
      </w:r>
    </w:p>
    <w:p>
      <w:pPr>
        <w:spacing w:after="0" w:line="13" w:lineRule="exact"/>
        <w:rPr>
          <w:sz w:val="20"/>
          <w:szCs w:val="20"/>
          <w:color w:val="auto"/>
        </w:rPr>
      </w:pPr>
    </w:p>
    <w:p>
      <w:pPr>
        <w:ind w:left="1500" w:right="30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E-1</w:t>
        <w:tab/>
        <w:t>Form of United States Tax Compliance Certificate (For Non-U.S. Lenders That Are Not Partnerships For U.S. Federal Income Tax Purposes)</w:t>
      </w:r>
    </w:p>
    <w:p>
      <w:pPr>
        <w:spacing w:after="0" w:line="1" w:lineRule="exact"/>
        <w:rPr>
          <w:sz w:val="20"/>
          <w:szCs w:val="20"/>
          <w:color w:val="auto"/>
        </w:rPr>
      </w:pPr>
    </w:p>
    <w:p>
      <w:pPr>
        <w:ind w:left="150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E-2</w:t>
        <w:tab/>
        <w:t>Form of United States Tax Compliance Certificate (For Non-U.S. Lenders That Are Partnerships For U.S. Federal Income Tax Purposes)</w:t>
      </w:r>
    </w:p>
    <w:p>
      <w:pPr>
        <w:spacing w:after="0" w:line="1" w:lineRule="exact"/>
        <w:rPr>
          <w:sz w:val="20"/>
          <w:szCs w:val="20"/>
          <w:color w:val="auto"/>
        </w:rPr>
      </w:pPr>
    </w:p>
    <w:p>
      <w:pPr>
        <w:ind w:left="1500" w:hanging="1943"/>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Exhibit E-3</w:t>
        <w:tab/>
        <w:t>Form of United States Tax Compliance Certificate (For Non-U.S. Participants That Are Not Partnerships For U.S. Federal Income Tax Purposes)</w:t>
      </w:r>
    </w:p>
    <w:p>
      <w:pPr>
        <w:ind w:left="1500" w:right="34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E-4</w:t>
        <w:tab/>
        <w:t>Form of United States Tax Compliance Certificate (For Non-U.S. Participants That Are Partnerships For U.S. Federal Income Tax Purposes)</w:t>
      </w:r>
    </w:p>
    <w:p>
      <w:pPr>
        <w:spacing w:after="0" w:line="1" w:lineRule="exact"/>
        <w:rPr>
          <w:sz w:val="20"/>
          <w:szCs w:val="20"/>
          <w:color w:val="auto"/>
        </w:rPr>
      </w:pPr>
    </w:p>
    <w:p>
      <w:pPr>
        <w:ind w:left="340"/>
        <w:spacing w:after="0"/>
        <w:tabs>
          <w:tab w:leader="none" w:pos="130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Notice of Continuation/Conversion</w:t>
      </w:r>
    </w:p>
    <w:p>
      <w:pPr>
        <w:spacing w:after="0" w:line="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Form of Acceptance and Prepayment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160"/>
          </w:cols>
          <w:pgMar w:left="320" w:top="1395" w:right="419" w:bottom="1440" w:gutter="0" w:footer="0" w:header="0"/>
        </w:sectPr>
      </w:pPr>
    </w:p>
    <w:bookmarkStart w:id="65" w:name="page66"/>
    <w:bookmarkEnd w:id="65"/>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THIS TERM LOAN CREDIT AGREEMENT, dated as of January 17, 2025, among MICRON TECHNOLOGY,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PNC BANK, NATIONAL ASSOCIATION (“</w:t>
      </w:r>
      <w:r>
        <w:rPr>
          <w:rFonts w:ascii="Times New Roman" w:cs="Times New Roman" w:eastAsia="Times New Roman" w:hAnsi="Times New Roman"/>
          <w:sz w:val="20"/>
          <w:szCs w:val="20"/>
          <w:u w:val="single" w:color="auto"/>
          <w:color w:val="auto"/>
        </w:rPr>
        <w:t>PNCB</w:t>
      </w:r>
      <w:r>
        <w:rPr>
          <w:rFonts w:ascii="Times New Roman" w:cs="Times New Roman" w:eastAsia="Times New Roman" w:hAnsi="Times New Roman"/>
          <w:sz w:val="20"/>
          <w:szCs w:val="20"/>
          <w:color w:val="auto"/>
        </w:rPr>
        <w:t>”), as administrative agent (in such capacity and including any successors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other agents party hereto and each of the financial institutions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00" w:firstLine="648"/>
        <w:spacing w:after="0" w:line="310" w:lineRule="auto"/>
        <w:rPr>
          <w:sz w:val="20"/>
          <w:szCs w:val="20"/>
          <w:color w:val="auto"/>
        </w:rPr>
      </w:pPr>
      <w:r>
        <w:rPr>
          <w:rFonts w:ascii="Times New Roman" w:cs="Times New Roman" w:eastAsia="Times New Roman" w:hAnsi="Times New Roman"/>
          <w:sz w:val="19"/>
          <w:szCs w:val="19"/>
          <w:color w:val="auto"/>
        </w:rPr>
        <w:t>WHEREAS, the Borrower intends to use the Term Loans to refinance amounts outstanding under the Existing Term Loan Credit Agreement and for general corporate purposes, including working capital, capital expenditures and to pay related fees and expenses.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hereby agree as follows:</w:t>
      </w:r>
    </w:p>
    <w:p>
      <w:pPr>
        <w:spacing w:after="0" w:line="19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010000"/>
        </w:rPr>
        <w:t>Section 1</w:t>
      </w:r>
    </w:p>
    <w:p>
      <w:pPr>
        <w:ind w:left="51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shall have the meanings specified below:</w:t>
      </w:r>
    </w:p>
    <w:p>
      <w:pPr>
        <w:spacing w:after="0" w:line="20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xml:space="preserve">”: for purposes of any calculation, the rate per annum equal to (a) Term SOFR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Adjusted Term SOFR as so determined shall ever be less than the Floor, then Adjusted Term SOFR shall be deemed to be the Floor.</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the meaning set forth in the preamble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meaning set forth in the preamble to this Agreement.</w:t>
      </w:r>
    </w:p>
    <w:p>
      <w:pPr>
        <w:spacing w:after="0" w:line="229"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this Term Loan Credit Agreement, as the same may be amended, restated, amended and restated, supplemented or otherwise modified from time to time.</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81"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all applicable provisions of constitutions, laws, statutes, ordinances, rules, treaties, regulations, permits, licenses, approvals, interpretations and orders of Governmental Authorities and all orders and decrees of all courts and arbitrators.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for any day, with respect to any SOFR Loan or any Base Rate Loan, as the case may be, the applicable rate per annum set forth below under the caption “Adjusted Term SOFR Spread” or “Base Rate Spread”, as the case may be, corresponding to the applicable Corporate Ratings from the Rating Agencies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1212215</wp:posOffset>
            </wp:positionV>
            <wp:extent cx="6686550" cy="254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686550" cy="2545715"/>
                    </a:xfrm>
                    <a:prstGeom prst="rect">
                      <a:avLst/>
                    </a:prstGeom>
                    <a:noFill/>
                  </pic:spPr>
                </pic:pic>
              </a:graphicData>
            </a:graphic>
          </wp:anchor>
        </w:drawing>
      </w:r>
    </w:p>
    <w:p>
      <w:pPr>
        <w:spacing w:after="0" w:line="28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Term Loans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0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Pricing Level</w:t>
            </w:r>
          </w:p>
        </w:tc>
        <w:tc>
          <w:tcPr>
            <w:tcW w:w="27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Corporate Ratings</w:t>
            </w:r>
          </w:p>
        </w:tc>
        <w:tc>
          <w:tcPr>
            <w:tcW w:w="2380" w:type="dxa"/>
            <w:vAlign w:val="bottom"/>
            <w:tcBorders>
              <w:top w:val="single" w:sz="8" w:color="auto"/>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Adjusted Term SOFR</w:t>
            </w:r>
          </w:p>
        </w:tc>
        <w:tc>
          <w:tcPr>
            <w:tcW w:w="3120" w:type="dxa"/>
            <w:vAlign w:val="bottom"/>
            <w:tcBorders>
              <w:top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Base Rate Spread</w:t>
            </w:r>
          </w:p>
        </w:tc>
        <w:tc>
          <w:tcPr>
            <w:tcW w:w="0" w:type="dxa"/>
            <w:vAlign w:val="bottom"/>
          </w:tcPr>
          <w:p>
            <w:pPr>
              <w:spacing w:after="0"/>
              <w:rPr>
                <w:sz w:val="1"/>
                <w:szCs w:val="1"/>
                <w:color w:val="auto"/>
              </w:rPr>
            </w:pPr>
          </w:p>
        </w:tc>
      </w:tr>
      <w:tr>
        <w:trPr>
          <w:trHeight w:val="262"/>
        </w:trPr>
        <w:tc>
          <w:tcPr>
            <w:tcW w:w="2300" w:type="dxa"/>
            <w:vAlign w:val="bottom"/>
            <w:tcBorders>
              <w:right w:val="single" w:sz="8" w:color="auto"/>
            </w:tcBorders>
          </w:tcPr>
          <w:p>
            <w:pPr>
              <w:spacing w:after="0"/>
              <w:rPr>
                <w:sz w:val="22"/>
                <w:szCs w:val="22"/>
                <w:color w:val="auto"/>
              </w:rPr>
            </w:pPr>
          </w:p>
        </w:tc>
        <w:tc>
          <w:tcPr>
            <w:tcW w:w="274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Spread</w:t>
            </w:r>
          </w:p>
        </w:tc>
        <w:tc>
          <w:tcPr>
            <w:tcW w:w="3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Level 1</w:t>
            </w:r>
          </w:p>
        </w:tc>
        <w:tc>
          <w:tcPr>
            <w:tcW w:w="274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w w:val="98"/>
              </w:rPr>
              <w:t>≥ A- / A3 / A-</w:t>
            </w:r>
          </w:p>
        </w:tc>
        <w:tc>
          <w:tcPr>
            <w:tcW w:w="2380" w:type="dxa"/>
            <w:vAlign w:val="bottom"/>
            <w:tcBorders>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0.875%</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Level 2</w:t>
            </w:r>
          </w:p>
        </w:tc>
        <w:tc>
          <w:tcPr>
            <w:tcW w:w="274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w w:val="98"/>
              </w:rPr>
              <w:t>BBB+ / Baa1 / BBB+</w:t>
            </w:r>
          </w:p>
        </w:tc>
        <w:tc>
          <w:tcPr>
            <w:tcW w:w="2380" w:type="dxa"/>
            <w:vAlign w:val="bottom"/>
            <w:tcBorders>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1.000%</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20"/>
                <w:szCs w:val="20"/>
                <w:color w:val="auto"/>
              </w:rPr>
              <w:t>0.000%</w:t>
            </w: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Level 3</w:t>
            </w:r>
          </w:p>
        </w:tc>
        <w:tc>
          <w:tcPr>
            <w:tcW w:w="274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BBB / Baa2 / BBB</w:t>
            </w:r>
          </w:p>
        </w:tc>
        <w:tc>
          <w:tcPr>
            <w:tcW w:w="2380" w:type="dxa"/>
            <w:vAlign w:val="bottom"/>
            <w:tcBorders>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1.125%</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20"/>
                <w:szCs w:val="20"/>
                <w:color w:val="auto"/>
              </w:rPr>
              <w:t>0.125%</w:t>
            </w: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3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Level 4</w:t>
            </w:r>
          </w:p>
        </w:tc>
        <w:tc>
          <w:tcPr>
            <w:tcW w:w="274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w w:val="99"/>
              </w:rPr>
              <w:t>BBB- / Baa3 / BBB-</w:t>
            </w:r>
          </w:p>
        </w:tc>
        <w:tc>
          <w:tcPr>
            <w:tcW w:w="2380" w:type="dxa"/>
            <w:vAlign w:val="bottom"/>
            <w:tcBorders>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1.250%</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20"/>
                <w:szCs w:val="20"/>
                <w:color w:val="auto"/>
              </w:rPr>
              <w:t>0.250%</w:t>
            </w: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300" w:type="dxa"/>
            <w:vAlign w:val="bottom"/>
            <w:tcBorders>
              <w:bottom w:val="single" w:sz="8" w:color="auto"/>
              <w:right w:val="single" w:sz="8" w:color="auto"/>
            </w:tcBorders>
          </w:tcPr>
          <w:p>
            <w:pPr>
              <w:spacing w:after="0"/>
              <w:rPr>
                <w:sz w:val="12"/>
                <w:szCs w:val="12"/>
                <w:color w:val="auto"/>
              </w:rPr>
            </w:pPr>
          </w:p>
        </w:tc>
        <w:tc>
          <w:tcPr>
            <w:tcW w:w="274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Level 5</w:t>
            </w:r>
          </w:p>
        </w:tc>
        <w:tc>
          <w:tcPr>
            <w:tcW w:w="274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9"/>
              </w:rPr>
              <w:t>≤ BB+ / Ba1 / BB+</w:t>
            </w:r>
          </w:p>
        </w:tc>
        <w:tc>
          <w:tcPr>
            <w:tcW w:w="2380" w:type="dxa"/>
            <w:vAlign w:val="bottom"/>
            <w:tcBorders>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1.500%</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20"/>
                <w:szCs w:val="20"/>
                <w:color w:val="auto"/>
              </w:rPr>
              <w:t>0.500%</w:t>
            </w:r>
          </w:p>
        </w:tc>
        <w:tc>
          <w:tcPr>
            <w:tcW w:w="0" w:type="dxa"/>
            <w:vAlign w:val="bottom"/>
          </w:tcPr>
          <w:p>
            <w:pPr>
              <w:spacing w:after="0"/>
              <w:rPr>
                <w:sz w:val="1"/>
                <w:szCs w:val="1"/>
                <w:color w:val="auto"/>
              </w:rPr>
            </w:pPr>
          </w:p>
        </w:tc>
      </w:tr>
      <w:tr>
        <w:trPr>
          <w:trHeight w:val="229"/>
        </w:trPr>
        <w:tc>
          <w:tcPr>
            <w:tcW w:w="230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vMerge w:val="continue"/>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30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For purposes of the foregoing, (i) if only one Corporate Rating is in effect, the Applicable Margin shall be determined by reference to such available Corporate Rating, (ii)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6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Each change in the Applicable Margin shall apply during the period commencing on the effective date of such change and ending on the date immediately preceding the effective date of the next Corporate Rating change.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Communication</w:t>
      </w:r>
      <w:r>
        <w:rPr>
          <w:rFonts w:ascii="Times New Roman" w:cs="Times New Roman" w:eastAsia="Times New Roman" w:hAnsi="Times New Roman"/>
          <w:sz w:val="20"/>
          <w:szCs w:val="20"/>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9.6(b)(ii)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the Joint Lead Arrangers.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9.6(b)(i)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7" w:name="page68"/>
    <w:bookmarkEnd w:id="67"/>
    <w:p>
      <w:pPr>
        <w:ind w:right="7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an assignment and acceptance entered into by a Lender and an Assignee and accepted by the Administrative Agent to the extent required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4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7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the United States Bankruptcy Code, codified as Title 11, U.S. Code §101-1330, as amended.</w:t>
      </w:r>
    </w:p>
    <w:p>
      <w:pPr>
        <w:spacing w:after="0" w:line="229"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for any day, a fluctuating per annum rate of interest equal to the highest of (i) the Overnight Bank Funding Rate, plus 0.5%, (ii) the Prime Rate, and (iii) the Daily Simple SOFR, plus 1.00%, so long as Daily Simple SOFR is offered, ascertainable and not unlawful;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Section 2.10 to the extent any such determination affects the calculation of the Base Rate, the definition hereof shall be calculated without reference to clause (iii) until the circumstances giving rise to such event no longer exist.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Term Loans the rate of interest applicable to which is based upon the Base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Borrowing</w:t>
      </w:r>
      <w:r>
        <w:rPr>
          <w:rFonts w:ascii="Times New Roman" w:cs="Times New Roman" w:eastAsia="Times New Roman" w:hAnsi="Times New Roman"/>
          <w:sz w:val="20"/>
          <w:szCs w:val="20"/>
          <w:color w:val="auto"/>
        </w:rPr>
        <w:t>”: a Borrowing of Term Loans that are Base Rate Loans.</w:t>
      </w:r>
    </w:p>
    <w:p>
      <w:pPr>
        <w:spacing w:after="0" w:line="216"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initially, the Term SOFR Reference Rate; provided that if a Benchmark Transition Event has occurred with respect to the Term SOFR Reference Rate or the then-current Benchmark,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8" w:name="page69"/>
    <w:bookmarkEnd w:id="68"/>
    <w:p>
      <w:pPr>
        <w:ind w:right="680"/>
        <w:spacing w:after="0" w:line="283" w:lineRule="auto"/>
        <w:rPr>
          <w:sz w:val="20"/>
          <w:szCs w:val="20"/>
          <w:color w:val="auto"/>
        </w:rPr>
      </w:pPr>
      <w:r>
        <w:rPr>
          <w:rFonts w:ascii="Times New Roman" w:cs="Times New Roman" w:eastAsia="Times New Roman" w:hAnsi="Times New Roman"/>
          <w:sz w:val="20"/>
          <w:szCs w:val="20"/>
          <w:color w:val="auto"/>
        </w:rPr>
        <w:t xml:space="preserve">“Benchmark”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229" w:lineRule="exact"/>
        <w:rPr>
          <w:sz w:val="20"/>
          <w:szCs w:val="20"/>
          <w:color w:val="auto"/>
        </w:rPr>
      </w:pPr>
    </w:p>
    <w:p>
      <w:pPr>
        <w:ind w:left="1300" w:hanging="320"/>
        <w:spacing w:after="0" w:line="254" w:lineRule="auto"/>
        <w:tabs>
          <w:tab w:leader="none" w:pos="129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7" w:lineRule="exact"/>
        <w:rPr>
          <w:rFonts w:ascii="Times New Roman" w:cs="Times New Roman" w:eastAsia="Times New Roman" w:hAnsi="Times New Roman"/>
          <w:sz w:val="20"/>
          <w:szCs w:val="20"/>
          <w:color w:val="auto"/>
        </w:rPr>
      </w:pPr>
    </w:p>
    <w:p>
      <w:pPr>
        <w:ind w:left="1300" w:right="180" w:hanging="320"/>
        <w:spacing w:after="0" w:line="270" w:lineRule="auto"/>
        <w:tabs>
          <w:tab w:leader="none" w:pos="128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69" w:name="page70"/>
    <w:bookmarkEnd w:id="69"/>
    <w:p>
      <w:pPr>
        <w:ind w:left="1300" w:right="100" w:hanging="320"/>
        <w:spacing w:after="0" w:line="253" w:lineRule="auto"/>
        <w:tabs>
          <w:tab w:leader="none" w:pos="129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ind w:left="1300" w:hanging="320"/>
        <w:spacing w:after="0" w:line="266" w:lineRule="auto"/>
        <w:tabs>
          <w:tab w:leader="none" w:pos="128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FRB,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2" w:lineRule="exact"/>
        <w:rPr>
          <w:rFonts w:ascii="Times New Roman" w:cs="Times New Roman" w:eastAsia="Times New Roman" w:hAnsi="Times New Roman"/>
          <w:sz w:val="19"/>
          <w:szCs w:val="19"/>
          <w:color w:val="auto"/>
        </w:rPr>
      </w:pPr>
    </w:p>
    <w:p>
      <w:pPr>
        <w:ind w:left="1300" w:hanging="320"/>
        <w:spacing w:after="0" w:line="261" w:lineRule="auto"/>
        <w:tabs>
          <w:tab w:leader="none" w:pos="129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1"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 certification regarding beneficial ownership as required by the Beneficial Ownership Regulation.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31 C.F.R. § 1010.230.</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1413"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otherwise for purposes of Title I of ERISA or Section 4975 of the Code) the assets of any such “employee benefit plan” or “plan”.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the board of directors of the Borrower or any committee thereof duly authorized to act on behalf of such board.</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meaning set forth in the preamble to this Agreement.</w:t>
      </w:r>
    </w:p>
    <w:p>
      <w:pPr>
        <w:spacing w:after="0" w:line="216"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Term Loans of the same Type, made, converted or continued on the same date and, in the case of SOFR Loans, as to which a single Interest Period is in effect.</w:t>
      </w:r>
    </w:p>
    <w:p>
      <w:pPr>
        <w:spacing w:after="0" w:line="16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the Business Day specified in a Borrowing Request as a date on which the Borrower requests the making of Term Loans hereunder.</w:t>
      </w:r>
    </w:p>
    <w:p>
      <w:pPr>
        <w:spacing w:after="0" w:line="17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a request by the Borrower for a Borrowing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approved by the Administrative Agent.</w:t>
      </w:r>
    </w:p>
    <w:p>
      <w:pPr>
        <w:spacing w:after="0" w:line="173" w:lineRule="exact"/>
        <w:rPr>
          <w:sz w:val="20"/>
          <w:szCs w:val="20"/>
          <w:color w:val="auto"/>
        </w:rPr>
      </w:pPr>
    </w:p>
    <w:p>
      <w:pPr>
        <w:ind w:right="200"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any day other than a Saturday or Sunday or a legal holiday on which banking institutions in the City of New York are authorized by law, regulation or executive order to remain closed; provided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5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200" w:lineRule="exact"/>
        <w:rPr>
          <w:sz w:val="20"/>
          <w:szCs w:val="20"/>
          <w:color w:val="auto"/>
        </w:rPr>
      </w:pPr>
    </w:p>
    <w:p>
      <w:pPr>
        <w:spacing w:after="0" w:line="20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w:t>
      </w:r>
    </w:p>
    <w:p>
      <w:pPr>
        <w:spacing w:after="0" w:line="1" w:lineRule="exact"/>
        <w:rPr>
          <w:sz w:val="20"/>
          <w:szCs w:val="20"/>
          <w:color w:val="auto"/>
        </w:rPr>
      </w:pPr>
    </w:p>
    <w:p>
      <w:pPr>
        <w:ind w:right="680" w:firstLine="8"/>
        <w:spacing w:after="0" w:line="253" w:lineRule="auto"/>
        <w:tabs>
          <w:tab w:leader="none" w:pos="34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following that transaction no “person” or “group” (other than a holding company satisfying the requirements of this sentence) is the beneficial owner, directly or indirectly, of more than 50% of the Voting Stock of such holding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any charge, expense, cost, accrual or reserve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13" w:right="359" w:bottom="1440" w:gutter="0" w:footer="0" w:header="0"/>
        </w:sectPr>
      </w:pPr>
    </w:p>
    <w:bookmarkStart w:id="71" w:name="page72"/>
    <w:bookmarkEnd w:id="71"/>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the date on which the conditions precedent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have been satisfied or waived, which date is January 17, 2025.</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Letter</w:t>
      </w:r>
      <w:r>
        <w:rPr>
          <w:rFonts w:ascii="Times New Roman" w:cs="Times New Roman" w:eastAsia="Times New Roman" w:hAnsi="Times New Roman"/>
          <w:sz w:val="20"/>
          <w:szCs w:val="20"/>
          <w:color w:val="auto"/>
        </w:rPr>
        <w:t>”: that certain commitment letter dated December 17, 2024 among the Borrower, PNC Capital Markets LLC and PNC Bank, National Association.</w:t>
      </w:r>
    </w:p>
    <w:p>
      <w:pPr>
        <w:spacing w:after="0" w:line="173"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Commonly Controlled Entity</w:t>
      </w:r>
      <w:r>
        <w:rPr>
          <w:rFonts w:ascii="Times New Roman" w:cs="Times New Roman" w:eastAsia="Times New Roman" w:hAnsi="Times New Roman"/>
          <w:sz w:val="20"/>
          <w:szCs w:val="20"/>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a compliance certificate to be delivered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w:t>
      </w:r>
    </w:p>
    <w:p>
      <w:pPr>
        <w:spacing w:after="0" w:line="2" w:lineRule="exact"/>
        <w:rPr>
          <w:sz w:val="20"/>
          <w:szCs w:val="20"/>
          <w:color w:val="auto"/>
        </w:rPr>
      </w:pPr>
    </w:p>
    <w:p>
      <w:pPr>
        <w:ind w:right="20" w:firstLine="8"/>
        <w:spacing w:after="0" w:line="251" w:lineRule="auto"/>
        <w:tabs>
          <w:tab w:leader="none" w:pos="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13" w:right="359" w:bottom="1440" w:gutter="0" w:footer="0" w:header="0"/>
        </w:sectPr>
      </w:pPr>
    </w:p>
    <w:bookmarkStart w:id="72" w:name="page73"/>
    <w:bookmarkEnd w:id="72"/>
    <w:p>
      <w:pPr>
        <w:ind w:right="20"/>
        <w:spacing w:after="0" w:line="252" w:lineRule="auto"/>
        <w:rPr>
          <w:sz w:val="20"/>
          <w:szCs w:val="20"/>
          <w:color w:val="auto"/>
        </w:rPr>
      </w:pPr>
      <w:r>
        <w:rPr>
          <w:rFonts w:ascii="Times New Roman" w:cs="Times New Roman" w:eastAsia="Times New Roman" w:hAnsi="Times New Roman"/>
          <w:sz w:val="20"/>
          <w:szCs w:val="20"/>
          <w:color w:val="auto"/>
        </w:rPr>
        <w:t xml:space="preserve">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Income Tax Expense</w:t>
      </w:r>
      <w:r>
        <w:rPr>
          <w:rFonts w:ascii="Times New Roman" w:cs="Times New Roman" w:eastAsia="Times New Roman" w:hAnsi="Times New Roman"/>
          <w:sz w:val="20"/>
          <w:szCs w:val="20"/>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 (b) interest income of such Person and its Consolidated Subsidiaries for such period determined on a consolidated basis in accordance with GAAP.</w:t>
      </w:r>
    </w:p>
    <w:p>
      <w:pPr>
        <w:spacing w:after="0" w:line="196"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73" w:name="page74"/>
    <w:bookmarkEnd w:id="73"/>
    <w:p>
      <w:pPr>
        <w:ind w:right="760"/>
        <w:spacing w:after="0" w:line="283" w:lineRule="auto"/>
        <w:rPr>
          <w:sz w:val="20"/>
          <w:szCs w:val="20"/>
          <w:color w:val="auto"/>
        </w:rPr>
      </w:pPr>
      <w:r>
        <w:rPr>
          <w:rFonts w:ascii="Times New Roman" w:cs="Times New Roman" w:eastAsia="Times New Roman" w:hAnsi="Times New Roman"/>
          <w:sz w:val="20"/>
          <w:szCs w:val="20"/>
          <w:color w:val="auto"/>
        </w:rPr>
        <w:t>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146"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Tangible Assets</w:t>
      </w:r>
      <w:r>
        <w:rPr>
          <w:rFonts w:ascii="Times New Roman" w:cs="Times New Roman" w:eastAsia="Times New Roman" w:hAnsi="Times New Roman"/>
          <w:sz w:val="20"/>
          <w:szCs w:val="20"/>
          <w:color w:val="auto"/>
        </w:rPr>
        <w:t>”: with respect to any Person, the total amount of assets of such Person and its Consolidated Subsidiaries after deducting therefrom (a) all current liabilities of such Person and its Consolidated Subsidiaries (excluding (i)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Non-cash Charges</w:t>
      </w:r>
      <w:r>
        <w:rPr>
          <w:rFonts w:ascii="Times New Roman" w:cs="Times New Roman" w:eastAsia="Times New Roman" w:hAnsi="Times New Roman"/>
          <w:sz w:val="20"/>
          <w:szCs w:val="20"/>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79"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Subsidiaries</w:t>
      </w:r>
      <w:r>
        <w:rPr>
          <w:rFonts w:ascii="Times New Roman" w:cs="Times New Roman" w:eastAsia="Times New Roman" w:hAnsi="Times New Roman"/>
          <w:sz w:val="20"/>
          <w:szCs w:val="20"/>
          <w:color w:val="auto"/>
        </w:rPr>
        <w:t>”: as of any date of determination and with respect to any Person, those Subsidiaries of that Person whose financial data is, in accordance with GAAP, reflected in that Person’s consolidated financial statements.</w:t>
      </w:r>
    </w:p>
    <w:p>
      <w:pPr>
        <w:spacing w:after="0" w:line="146"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46"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6" w:lineRule="exact"/>
        <w:rPr>
          <w:sz w:val="20"/>
          <w:szCs w:val="20"/>
          <w:color w:val="auto"/>
        </w:rPr>
      </w:pPr>
    </w:p>
    <w:p>
      <w:pPr>
        <w:ind w:right="6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Licenses</w:t>
      </w:r>
      <w:r>
        <w:rPr>
          <w:rFonts w:ascii="Times New Roman" w:cs="Times New Roman" w:eastAsia="Times New Roman" w:hAnsi="Times New Roman"/>
          <w:sz w:val="20"/>
          <w:szCs w:val="20"/>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1"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Rating</w:t>
      </w:r>
      <w:r>
        <w:rPr>
          <w:rFonts w:ascii="Times New Roman" w:cs="Times New Roman" w:eastAsia="Times New Roman" w:hAnsi="Times New Roman"/>
          <w:sz w:val="20"/>
          <w:szCs w:val="20"/>
          <w:color w:val="auto"/>
        </w:rPr>
        <w:t>”: the Borrower’s “corporate rating” or “corporate family rating” from S&amp;P or Moody’s or Fitch, respectively, including any successor term for such rating adopted by such rating agency.</w:t>
      </w:r>
    </w:p>
    <w:p>
      <w:pPr>
        <w:spacing w:after="0" w:line="17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Co-Syndication Agents</w:t>
      </w:r>
      <w:r>
        <w:rPr>
          <w:rFonts w:ascii="Times New Roman" w:cs="Times New Roman" w:eastAsia="Times New Roman" w:hAnsi="Times New Roman"/>
          <w:sz w:val="20"/>
          <w:szCs w:val="20"/>
          <w:color w:val="auto"/>
        </w:rPr>
        <w:t>”: BNP Paribas, Canadian Imperial Bank of Commerce, New York Branch, DBS Bank Ltd., Manufacturers and Traders Trust Company, Oversea-Chinese Banking Corporation Limited, New York Agency and Truist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00"/>
          </w:cols>
          <w:pgMar w:left="320" w:top="1413" w:right="379" w:bottom="1440" w:gutter="0" w:footer="0" w:header="0"/>
        </w:sectPr>
      </w:pPr>
    </w:p>
    <w:bookmarkStart w:id="74" w:name="page75"/>
    <w:bookmarkEnd w:id="74"/>
    <w:p>
      <w:pPr>
        <w:ind w:right="12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that is two Business Days prior to (i) such SOFR Rate Day if such SOFR Rate Day is a Business Day or (ii) the Business Day immediately preceding such SOFR Rate Day if such SOFR Rate Day is not a Business Day, in each case, as such SOFR is published by the NYFRB (or a successor administrator of the secured overnight financing rate) on the website of the NYFRB, at http://www.newyorkfed.org, or any successor source identified by the NYFRB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by 5:00 p.m. (New York City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three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83"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1" w:lineRule="exact"/>
        <w:rPr>
          <w:sz w:val="20"/>
          <w:szCs w:val="20"/>
          <w:color w:val="auto"/>
        </w:rPr>
      </w:pPr>
    </w:p>
    <w:p>
      <w:pPr>
        <w:ind w:right="5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whether or not any requirement for the giving of notice, the expiration of applicable cure or grace periods, or both, has been satisfied.</w:t>
      </w:r>
    </w:p>
    <w:p>
      <w:pPr>
        <w:spacing w:after="0" w:line="14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to (i) fund all or any portion of its Term Loans within one Business Day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20"/>
          <w:szCs w:val="20"/>
          <w:color w:val="auto"/>
        </w:rPr>
        <w:t xml:space="preserve">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2.23(b)</w:t>
      </w:r>
      <w:r>
        <w:rPr>
          <w:rFonts w:ascii="Times New Roman" w:cs="Times New Roman" w:eastAsia="Times New Roman" w:hAnsi="Times New Roman"/>
          <w:sz w:val="20"/>
          <w:szCs w:val="20"/>
          <w:color w:val="auto"/>
        </w:rPr>
        <w:t>) upon delivery of written notice of such determination to the Borrower and each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dollars in lawful currency of the United States.</w:t>
      </w:r>
    </w:p>
    <w:p>
      <w:pPr>
        <w:spacing w:after="0" w:line="229"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29"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72" w:lineRule="exact"/>
        <w:rPr>
          <w:sz w:val="20"/>
          <w:szCs w:val="20"/>
          <w:color w:val="auto"/>
        </w:rPr>
      </w:pPr>
    </w:p>
    <w:p>
      <w:pPr>
        <w:ind w:righ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all Capital Stock and all warrants or options with respect to, or other rights to purchase, Capital Stock, but excluding Indebtedness convertible into or exchangeable for equity.</w:t>
      </w:r>
    </w:p>
    <w:p>
      <w:pPr>
        <w:spacing w:after="0" w:line="146"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Employee Retirement Income Security Act of 1974, as amended from time to time, and the regulations promulgated and rulings issued thereunder.</w:t>
      </w:r>
    </w:p>
    <w:p>
      <w:pPr>
        <w:spacing w:after="0" w:line="14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(a) any Reportable Event with respect to a Plan;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Commonly Controlled Entities of any liability under Title IV of ERISA with respect to the termination of any Plan; (e) the receipt by the Borrower or any Commonly Controlled Entity from the PBGC or a plan administrator of any notice relating to an intention to terminate any Plan or Plans or to appoint a trustee to administer any Plan; (f) the incurrence by the Borrower or any of its Commonly Controlled Entity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to which the Borrower or any Commonly Controlled Entity has any liability is, or is expected to be, Insolvent.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13" w:right="35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8.10(d)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8.10(d)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7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59"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Exchange Act of 1934, as amended, or any successor statute or statutes thereto.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those Taxes referenced in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2.16(a)(v)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Term Loan Credit Agreement</w:t>
      </w:r>
      <w:r>
        <w:rPr>
          <w:rFonts w:ascii="Times New Roman" w:cs="Times New Roman" w:eastAsia="Times New Roman" w:hAnsi="Times New Roman"/>
          <w:sz w:val="20"/>
          <w:szCs w:val="20"/>
          <w:color w:val="auto"/>
        </w:rPr>
        <w:t>”: the Credit Agreement, dated as of November 3, 2022 (as amended by that certain Incremental Amendment No. 1, dated as of January 5, 2023 and that certain Amendment No. 2, dated as of March 27, 2023) among the Borrower, the lenders party thereto from time to time and Wells Fargo Bank, National Association, as administrative agent.</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for any day the rate per annum (based on a year of 360 days and actual days elapsed and rounded upward to the nearest 1/100 of 1% announced by the NYFRB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Federal Reserve Bank (or its successor) does not announce such rate on any day, the “Federal Funds Effective Rate” for such day shall be the Effective Federal Funds Rate for the last day on which such rate was announced. Notwithstanding the foregoing, if the Federal Funds Effective Rate as determined under any method above would be less than zero percent (0.00%), such rate shall be deemed to be zero percent (0.00%) for purposes of this Agreement.</w:t>
      </w:r>
    </w:p>
    <w:p>
      <w:pPr>
        <w:spacing w:after="0" w:line="19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that (a) certain fee letter dated December 17, 2024 among the Borrower, PNC Capital Markets LLC and PNC Bank, National Association and (b) certain arranger fee letter dated January 17, 2025 among the Borrower, BNP Paribas Securities Corp., Canadian Imperial Bank of Commerce, New York Branch, DBS Bank Ltd., Manufacturers and Traders Trust Company, Oversea-Chinese Banking Corporation Limited, New York Agency and Truist Securities, Inc..</w:t>
      </w:r>
    </w:p>
    <w:p>
      <w:pPr>
        <w:spacing w:after="0" w:line="172"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collectively, the fees pursuant to the Commitment Letter, Fee Letters and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fees referred to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and any other fees payable by any Loan Party pursuant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13" w:right="37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a rate of interest equal to 0.00%.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the Chief Financial Officer, Principal Accounting Officer, Controller or Treasurer of the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Fitch, Inc. and any successor to its rating agency business.</w:t>
      </w:r>
    </w:p>
    <w:p>
      <w:pPr>
        <w:spacing w:after="0" w:line="229"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with respect to any Person, any Subsidiary of such Person other than one that is organized or existing under the laws of the United States, any state thereof or the District of Columbia.</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the Board of Governors of the Federal Reserve System of the United States or any Governmental Authority which succeeds to the powers and functions thereof.</w:t>
      </w:r>
    </w:p>
    <w:p>
      <w:pPr>
        <w:spacing w:after="0" w:line="146"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46"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61"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xml:space="preserve">”: any obligation, contingent or otherwise, of any Person directly or indirectly guaranteeing any Indebtedness of any 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83" w:lineRule="exact"/>
        <w:rPr>
          <w:sz w:val="20"/>
          <w:szCs w:val="20"/>
          <w:color w:val="auto"/>
        </w:rPr>
      </w:pPr>
    </w:p>
    <w:p>
      <w:pPr>
        <w:ind w:right="280" w:firstLine="656"/>
        <w:spacing w:after="0" w:line="268" w:lineRule="auto"/>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61"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Assumption Amendment</w:t>
      </w:r>
      <w:r>
        <w:rPr>
          <w:rFonts w:ascii="Times New Roman" w:cs="Times New Roman" w:eastAsia="Times New Roman" w:hAnsi="Times New Roman"/>
          <w:sz w:val="20"/>
          <w:szCs w:val="20"/>
          <w:color w:val="auto"/>
        </w:rPr>
        <w:t xml:space="preserve">”: an Incremental Assumption Amendment in form and substance reasonably satisfactory to the Administrative Agent and the Borrower, among the Borrower, the Administrative Agent and each Incremental Term Lender amending this Agreement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a Lender with an Incremental Term Loan Commitment or an outstanding Incremental Term Loan.</w:t>
      </w:r>
    </w:p>
    <w:p>
      <w:pPr>
        <w:spacing w:after="0" w:line="229"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the commitment of any Lender, established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to make Incremental Term Loans to the Borrower.</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term loans made by one or more Lenders to the Borrower pursuant to an Incremental Assumption Amendment. Incremental Term Loans may be made in the form of additional Term Loans.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amount of any Indebtedness outstanding as of any date will be:</w:t>
      </w:r>
    </w:p>
    <w:p>
      <w:pPr>
        <w:spacing w:after="0" w:line="197"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accreted value of the Indebtedness, in the case of any Indebtedness that does not require the current payment of</w:t>
      </w:r>
    </w:p>
    <w:p>
      <w:pPr>
        <w:ind w:left="660"/>
        <w:spacing w:after="0"/>
        <w:rPr>
          <w:sz w:val="20"/>
          <w:szCs w:val="20"/>
          <w:color w:val="auto"/>
        </w:rPr>
      </w:pPr>
      <w:r>
        <w:rPr>
          <w:rFonts w:ascii="Times New Roman" w:cs="Times New Roman" w:eastAsia="Times New Roman" w:hAnsi="Times New Roman"/>
          <w:sz w:val="20"/>
          <w:szCs w:val="20"/>
          <w:color w:val="auto"/>
        </w:rPr>
        <w:t>interest;</w:t>
      </w:r>
    </w:p>
    <w:p>
      <w:pPr>
        <w:spacing w:after="0" w:line="167"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principal amount of the Indebtedness, in the case of any other Indebtedness;</w:t>
      </w:r>
    </w:p>
    <w:p>
      <w:pPr>
        <w:spacing w:after="0" w:line="188" w:lineRule="exact"/>
        <w:rPr>
          <w:rFonts w:ascii="Times New Roman" w:cs="Times New Roman" w:eastAsia="Times New Roman" w:hAnsi="Times New Roman"/>
          <w:sz w:val="20"/>
          <w:szCs w:val="20"/>
          <w:color w:val="010000"/>
        </w:rPr>
      </w:pPr>
    </w:p>
    <w:p>
      <w:pPr>
        <w:ind w:left="660" w:right="120" w:firstLine="644"/>
        <w:spacing w:after="0" w:line="237" w:lineRule="auto"/>
        <w:tabs>
          <w:tab w:leader="none" w:pos="1944"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49" w:lineRule="exact"/>
        <w:rPr>
          <w:rFonts w:ascii="Times New Roman" w:cs="Times New Roman" w:eastAsia="Times New Roman" w:hAnsi="Times New Roman"/>
          <w:sz w:val="19"/>
          <w:szCs w:val="19"/>
          <w:color w:val="010000"/>
        </w:rPr>
      </w:pPr>
    </w:p>
    <w:p>
      <w:pPr>
        <w:ind w:left="660" w:right="40" w:firstLine="644"/>
        <w:spacing w:after="0" w:line="222" w:lineRule="auto"/>
        <w:tabs>
          <w:tab w:leader="none" w:pos="194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respect of any Indebtedness of another Person Guaranteed by the specified Person or one or more of such Persons, the lesser of: (a) 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61" w:lineRule="exact"/>
        <w:rPr>
          <w:rFonts w:ascii="Times New Roman" w:cs="Times New Roman" w:eastAsia="Times New Roman" w:hAnsi="Times New Roman"/>
          <w:sz w:val="20"/>
          <w:szCs w:val="20"/>
          <w:color w:val="010000"/>
        </w:rPr>
      </w:pPr>
    </w:p>
    <w:p>
      <w:pPr>
        <w:ind w:left="660" w:right="280" w:firstLine="644"/>
        <w:spacing w:after="0" w:line="226" w:lineRule="auto"/>
        <w:tabs>
          <w:tab w:leader="none" w:pos="194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the definition of Permitted Liens or the inclusion of Attributable Debt in any calculation of Indebtedness shall not create any implication that any such obligations constitute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w:t>
      </w:r>
      <w:r>
        <w:rPr>
          <w:rFonts w:ascii="Times New Roman" w:cs="Times New Roman" w:eastAsia="Times New Roman" w:hAnsi="Times New Roman"/>
          <w:sz w:val="20"/>
          <w:szCs w:val="20"/>
          <w:color w:val="auto"/>
        </w:rPr>
        <w:t>”: with respect to any Multiemployer Plan, the condition that such Plan is insolvent within the meaning of Section 4245 of ERISA.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Insolvent</w:t>
      </w:r>
      <w:r>
        <w:rPr>
          <w:rFonts w:ascii="Times New Roman" w:cs="Times New Roman" w:eastAsia="Times New Roman" w:hAnsi="Times New Roman"/>
          <w:sz w:val="20"/>
          <w:szCs w:val="20"/>
          <w:color w:val="auto"/>
        </w:rPr>
        <w:t>”: pertaining to a condition of Insolvency.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72"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(a) as to any Base Rate Loan, the last Business Day of each March, June, September and December to occur while such Base Rate Loan is outstanding and the final maturity date of such Base Rate Loan, (b) as to any SOFR Loan having an Interest Period of three months or less, the last day of such Interest Period, (c) as to any SOFR Loan having an Interest Period longer than three months, each day that is three months, or a whole multiple thereof, after the first day of such Interest Period and the last day of such Interest Period and (d) as to any SOFR Loan, the date of any repayment or prepayment made in respect thereof.</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as to any SOFR Loan, the period commencing on the date such SOFR Loan is disbursed or converted to or continued as a SOFR Loan and ending on the date one (1), three (3) or six (6) months thereafter, in each case as selected by the Borrower in its irrevocable notice to the Administrative Agent; provided that, all of the foregoing provisions relating to Interest Periods are subject to the following:</w:t>
      </w:r>
    </w:p>
    <w:p>
      <w:pPr>
        <w:spacing w:after="0" w:line="186" w:lineRule="exact"/>
        <w:rPr>
          <w:sz w:val="20"/>
          <w:szCs w:val="20"/>
          <w:color w:val="auto"/>
        </w:rPr>
      </w:pPr>
    </w:p>
    <w:p>
      <w:pPr>
        <w:jc w:val="both"/>
        <w:ind w:left="1300" w:right="860" w:hanging="320"/>
        <w:spacing w:after="0" w:line="261" w:lineRule="auto"/>
        <w:tabs>
          <w:tab w:leader="none" w:pos="12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67" w:lineRule="exact"/>
        <w:rPr>
          <w:rFonts w:ascii="Times New Roman" w:cs="Times New Roman" w:eastAsia="Times New Roman" w:hAnsi="Times New Roman"/>
          <w:sz w:val="20"/>
          <w:szCs w:val="20"/>
          <w:color w:val="auto"/>
        </w:rPr>
      </w:pPr>
    </w:p>
    <w:p>
      <w:pPr>
        <w:ind w:left="1300" w:right="20" w:hanging="320"/>
        <w:spacing w:after="0" w:line="258" w:lineRule="auto"/>
        <w:tabs>
          <w:tab w:leader="none" w:pos="12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85" w:lineRule="exact"/>
        <w:rPr>
          <w:rFonts w:ascii="Times New Roman" w:cs="Times New Roman" w:eastAsia="Times New Roman" w:hAnsi="Times New Roman"/>
          <w:sz w:val="20"/>
          <w:szCs w:val="20"/>
          <w:color w:val="auto"/>
        </w:rPr>
      </w:pPr>
    </w:p>
    <w:p>
      <w:pPr>
        <w:ind w:left="1300" w:hanging="320"/>
        <w:spacing w:after="0" w:line="261" w:lineRule="auto"/>
        <w:tabs>
          <w:tab w:leader="none" w:pos="12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Term Loan Maturity Date; and</w:t>
      </w:r>
    </w:p>
    <w:p>
      <w:pPr>
        <w:spacing w:after="0" w:line="215" w:lineRule="exact"/>
        <w:rPr>
          <w:rFonts w:ascii="Times New Roman" w:cs="Times New Roman" w:eastAsia="Times New Roman" w:hAnsi="Times New Roman"/>
          <w:sz w:val="20"/>
          <w:szCs w:val="20"/>
          <w:color w:val="auto"/>
        </w:rPr>
      </w:pPr>
    </w:p>
    <w:p>
      <w:pPr>
        <w:ind w:left="1300" w:right="360" w:hanging="320"/>
        <w:spacing w:after="0" w:line="283" w:lineRule="auto"/>
        <w:tabs>
          <w:tab w:leader="none" w:pos="12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xml:space="preserve"> shall be available for specification in any irrevocable notice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00"/>
          </w:cols>
          <w:pgMar w:left="320" w:top="1413" w:right="379" w:bottom="1440" w:gutter="0" w:footer="0" w:header="0"/>
        </w:sectPr>
      </w:pPr>
    </w:p>
    <w:bookmarkStart w:id="80" w:name="page81"/>
    <w:bookmarkEnd w:id="80"/>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92"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Debt</w:t>
      </w:r>
      <w:r>
        <w:rPr>
          <w:rFonts w:ascii="Times New Roman" w:cs="Times New Roman" w:eastAsia="Times New Roman" w:hAnsi="Times New Roman"/>
          <w:sz w:val="20"/>
          <w:szCs w:val="20"/>
          <w:color w:val="auto"/>
        </w:rPr>
        <w:t>”: long-term and short-term bonds, bills, notes and other debt obligations with any “investment grade” rating from any of Moody’s, S&amp;P or Fitch.</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Lead Arrangers</w:t>
      </w:r>
      <w:r>
        <w:rPr>
          <w:rFonts w:ascii="Times New Roman" w:cs="Times New Roman" w:eastAsia="Times New Roman" w:hAnsi="Times New Roman"/>
          <w:sz w:val="20"/>
          <w:szCs w:val="20"/>
          <w:color w:val="auto"/>
        </w:rPr>
        <w:t>”: PNC Capital Markets LLC, BNP Paribas Securities Corp., Canadian Imperial Bank of Commerce, New York Branch, DBS Bank Ltd., Manufacturers and Traders Trust Company, Oversea-Chinese Banking Corporation Limited, New York Agency and Truist Securities, Inc..</w:t>
      </w:r>
    </w:p>
    <w:p>
      <w:pPr>
        <w:spacing w:after="0" w:line="181"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with respect to any Person, any partnership, corporation or other entity in which up to and including 50% of the Equity Interests is owned, directly or indirectly, by such Person and/or one or more of its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meaning set forth in the preamble to this Agreement.</w:t>
      </w:r>
    </w:p>
    <w:p>
      <w:pPr>
        <w:spacing w:after="0" w:line="225"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any lien, security interest, mortgage, charge or similar encumbrance,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either (i) any legal or equitable encumbrances deemed to exist by reason of a negative pledge or (ii) an operating lease or a non-exclusive license be deemed to constitute a Lien.</w:t>
      </w:r>
    </w:p>
    <w:p>
      <w:pPr>
        <w:spacing w:after="0" w:line="16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this Agreement, any Subsidiary Guaranty, each Incremental Assumption Amendment and, after execution and delivery thereof pursuant to the terms of this Agreement, each Note, and any amendment, waiver, supplement or other modification to any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the Borrower and any Guarantors.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Materials of Environmental Concern</w:t>
      </w:r>
      <w:r>
        <w:rPr>
          <w:rFonts w:ascii="Times New Roman" w:cs="Times New Roman" w:eastAsia="Times New Roman" w:hAnsi="Times New Roman"/>
          <w:sz w:val="20"/>
          <w:szCs w:val="20"/>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13" w:right="359" w:bottom="1440" w:gutter="0" w:footer="0" w:header="0"/>
        </w:sectPr>
      </w:pPr>
    </w:p>
    <w:bookmarkStart w:id="81" w:name="page82"/>
    <w:bookmarkEnd w:id="81"/>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Facility Amount</w:t>
      </w:r>
      <w:r>
        <w:rPr>
          <w:rFonts w:ascii="Times New Roman" w:cs="Times New Roman" w:eastAsia="Times New Roman" w:hAnsi="Times New Roman"/>
          <w:sz w:val="20"/>
          <w:szCs w:val="20"/>
          <w:color w:val="auto"/>
        </w:rPr>
        <w:t>”: at any time, the excess, if any, of (a) $2,433,500,000 minus (b) the aggregate amount of Term Loans outstanding under this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at any date of determination, the most recently completed four fiscal quarters of the Borrower for which financial statements have been filed with the SEC.</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Moody’s Investors Service, Inc. and any successor to its rating agency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a Plan that is a multiemployer plan as defined in Section 4001(a)(3) of ERISA.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Non-Excluded Taxes</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collective reference to any promissory note evidencing Term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the Federal Reserve Bank of New York.</w:t>
      </w:r>
    </w:p>
    <w:p>
      <w:pPr>
        <w:spacing w:after="0" w:line="216"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the Term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8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9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Bank Funding Rate</w:t>
      </w:r>
      <w:r>
        <w:rPr>
          <w:rFonts w:ascii="Times New Roman" w:cs="Times New Roman" w:eastAsia="Times New Roman" w:hAnsi="Times New Roman"/>
          <w:sz w:val="19"/>
          <w:szCs w:val="19"/>
          <w:color w:val="auto"/>
        </w:rPr>
        <w:t xml:space="preserve">”: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such rate shall at any time, for any reason, no longer exist, a comparable replacement rate determined by the Administrative Agent at such time (which determination shall be conclusive absent manifest error).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13" w:right="359" w:bottom="1440" w:gutter="0" w:footer="0" w:header="0"/>
        </w:sectPr>
      </w:pPr>
    </w:p>
    <w:bookmarkStart w:id="82" w:name="page83"/>
    <w:bookmarkEnd w:id="82"/>
    <w:p>
      <w:pPr>
        <w:ind w:right="180"/>
        <w:spacing w:after="0" w:line="310" w:lineRule="auto"/>
        <w:rPr>
          <w:sz w:val="20"/>
          <w:szCs w:val="20"/>
          <w:color w:val="auto"/>
        </w:rPr>
      </w:pPr>
      <w:r>
        <w:rPr>
          <w:rFonts w:ascii="Times New Roman" w:cs="Times New Roman" w:eastAsia="Times New Roman" w:hAnsi="Times New Roman"/>
          <w:sz w:val="19"/>
          <w:szCs w:val="19"/>
          <w:color w:val="auto"/>
        </w:rPr>
        <w:t>Overnight Bank Funding Rate determined as above would be less than zero, then such rate shall be deemed to be zero. Such rate of interest charged shall be adjusted as of each Business Day based on changes in the Overnight Bank Funding Rate without notice to the Borrower.</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580" w:firstLine="648"/>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45"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w:t>
      </w:r>
      <w:r>
        <w:rPr>
          <w:rFonts w:ascii="Times New Roman" w:cs="Times New Roman" w:eastAsia="Times New Roman" w:hAnsi="Times New Roman"/>
          <w:sz w:val="20"/>
          <w:szCs w:val="20"/>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USA Patriot Act, Title III of Pub. L. 107-56, signed into law on October 26, 2001,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the Pension Benefit Guaranty Corporation established pursuant to Subtitle A of Title IV of ERISA (or any successor).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1940" w:hanging="636"/>
        <w:spacing w:after="0"/>
        <w:tabs>
          <w:tab w:leader="none" w:pos="194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existing as of the Closing Date or arising thereafter pursuant to related agreements existing as of the Closing</w:t>
      </w:r>
    </w:p>
    <w:p>
      <w:pPr>
        <w:ind w:left="660"/>
        <w:spacing w:after="0"/>
        <w:rPr>
          <w:sz w:val="20"/>
          <w:szCs w:val="20"/>
          <w:color w:val="auto"/>
        </w:rPr>
      </w:pPr>
      <w:r>
        <w:rPr>
          <w:rFonts w:ascii="Times New Roman" w:cs="Times New Roman" w:eastAsia="Times New Roman" w:hAnsi="Times New Roman"/>
          <w:sz w:val="20"/>
          <w:szCs w:val="20"/>
          <w:color w:val="auto"/>
        </w:rPr>
        <w:t>Date;</w:t>
      </w:r>
    </w:p>
    <w:p>
      <w:pPr>
        <w:spacing w:after="0" w:line="167" w:lineRule="exact"/>
        <w:rPr>
          <w:sz w:val="20"/>
          <w:szCs w:val="20"/>
          <w:color w:val="auto"/>
        </w:rPr>
      </w:pPr>
    </w:p>
    <w:p>
      <w:pPr>
        <w:ind w:left="660" w:firstLine="644"/>
        <w:spacing w:after="0" w:line="224" w:lineRule="auto"/>
        <w:tabs>
          <w:tab w:leader="none" w:pos="1944" w:val="left"/>
        </w:tabs>
        <w:numPr>
          <w:ilvl w:val="0"/>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Liens shall be given (or given pursuant to firm commitment financing arrangements obtained within such period) by the time of or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2" w:lineRule="exact"/>
        <w:rPr>
          <w:rFonts w:ascii="Times New Roman" w:cs="Times New Roman" w:eastAsia="Times New Roman" w:hAnsi="Times New Roman"/>
          <w:sz w:val="19"/>
          <w:szCs w:val="19"/>
          <w:color w:val="010000"/>
        </w:rPr>
      </w:pPr>
    </w:p>
    <w:p>
      <w:pPr>
        <w:ind w:left="660" w:firstLine="644"/>
        <w:spacing w:after="0" w:line="216" w:lineRule="auto"/>
        <w:tabs>
          <w:tab w:leader="none" w:pos="1944"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extend to other assets of the Borrower or its other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00"/>
          </w:cols>
          <w:pgMar w:left="320" w:top="1413" w:right="379" w:bottom="1440" w:gutter="0" w:footer="0" w:header="0"/>
        </w:sectPr>
      </w:pPr>
    </w:p>
    <w:bookmarkStart w:id="83" w:name="page84"/>
    <w:bookmarkEnd w:id="83"/>
    <w:p>
      <w:pPr>
        <w:ind w:left="520" w:right="80" w:firstLine="644"/>
        <w:spacing w:after="0" w:line="215" w:lineRule="auto"/>
        <w:tabs>
          <w:tab w:leader="none" w:pos="180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each of the preceding clauses (a) and (b), such Liens do not extend to other assets of the Borrower or its other Restricted Subsidiaries;</w:t>
      </w:r>
    </w:p>
    <w:p>
      <w:pPr>
        <w:spacing w:after="0" w:line="164" w:lineRule="exact"/>
        <w:rPr>
          <w:rFonts w:ascii="Times New Roman" w:cs="Times New Roman" w:eastAsia="Times New Roman" w:hAnsi="Times New Roman"/>
          <w:sz w:val="20"/>
          <w:szCs w:val="20"/>
          <w:color w:val="010000"/>
        </w:rPr>
      </w:pPr>
    </w:p>
    <w:p>
      <w:pPr>
        <w:ind w:left="520" w:right="60" w:firstLine="644"/>
        <w:spacing w:after="0" w:line="226" w:lineRule="auto"/>
        <w:tabs>
          <w:tab w:leader="none" w:pos="180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the Borrower or a Restricted Subsidiary of the Borrower;</w:t>
      </w:r>
    </w:p>
    <w:p>
      <w:pPr>
        <w:spacing w:after="0" w:line="175" w:lineRule="exact"/>
        <w:rPr>
          <w:rFonts w:ascii="Times New Roman" w:cs="Times New Roman" w:eastAsia="Times New Roman" w:hAnsi="Times New Roman"/>
          <w:sz w:val="20"/>
          <w:szCs w:val="20"/>
          <w:color w:val="010000"/>
        </w:rPr>
      </w:pPr>
    </w:p>
    <w:p>
      <w:pPr>
        <w:ind w:left="520" w:right="20" w:firstLine="644"/>
        <w:spacing w:after="0" w:line="222" w:lineRule="auto"/>
        <w:tabs>
          <w:tab w:leader="none" w:pos="180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61" w:lineRule="exact"/>
        <w:rPr>
          <w:rFonts w:ascii="Times New Roman" w:cs="Times New Roman" w:eastAsia="Times New Roman" w:hAnsi="Times New Roman"/>
          <w:sz w:val="20"/>
          <w:szCs w:val="20"/>
          <w:color w:val="010000"/>
        </w:rPr>
      </w:pPr>
    </w:p>
    <w:p>
      <w:pPr>
        <w:ind w:left="520" w:right="160" w:firstLine="644"/>
        <w:spacing w:after="0" w:line="222" w:lineRule="auto"/>
        <w:tabs>
          <w:tab w:leader="none" w:pos="180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48" w:lineRule="exact"/>
        <w:rPr>
          <w:rFonts w:ascii="Times New Roman" w:cs="Times New Roman" w:eastAsia="Times New Roman" w:hAnsi="Times New Roman"/>
          <w:sz w:val="20"/>
          <w:szCs w:val="20"/>
          <w:color w:val="010000"/>
        </w:rPr>
      </w:pPr>
    </w:p>
    <w:p>
      <w:pPr>
        <w:ind w:left="520" w:right="60" w:firstLine="644"/>
        <w:spacing w:after="0" w:line="218" w:lineRule="auto"/>
        <w:tabs>
          <w:tab w:leader="none" w:pos="180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0" w:lineRule="exact"/>
        <w:rPr>
          <w:rFonts w:ascii="Times New Roman" w:cs="Times New Roman" w:eastAsia="Times New Roman" w:hAnsi="Times New Roman"/>
          <w:sz w:val="20"/>
          <w:szCs w:val="20"/>
          <w:color w:val="010000"/>
        </w:rPr>
      </w:pPr>
    </w:p>
    <w:p>
      <w:pPr>
        <w:ind w:left="520" w:firstLine="644"/>
        <w:spacing w:after="0" w:line="222" w:lineRule="auto"/>
        <w:tabs>
          <w:tab w:leader="none" w:pos="1808"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1" w:lineRule="exact"/>
        <w:rPr>
          <w:rFonts w:ascii="Times New Roman" w:cs="Times New Roman" w:eastAsia="Times New Roman" w:hAnsi="Times New Roman"/>
          <w:sz w:val="20"/>
          <w:szCs w:val="20"/>
          <w:color w:val="010000"/>
        </w:rPr>
      </w:pPr>
    </w:p>
    <w:p>
      <w:pPr>
        <w:jc w:val="both"/>
        <w:ind w:left="520" w:right="160" w:firstLine="644"/>
        <w:spacing w:after="0" w:line="226" w:lineRule="auto"/>
        <w:tabs>
          <w:tab w:leader="none" w:pos="1801"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60" w:lineRule="exact"/>
        <w:rPr>
          <w:rFonts w:ascii="Times New Roman" w:cs="Times New Roman" w:eastAsia="Times New Roman" w:hAnsi="Times New Roman"/>
          <w:sz w:val="20"/>
          <w:szCs w:val="20"/>
          <w:color w:val="010000"/>
        </w:rPr>
      </w:pPr>
    </w:p>
    <w:p>
      <w:pPr>
        <w:ind w:left="520" w:right="160" w:firstLine="644"/>
        <w:spacing w:after="0" w:line="226" w:lineRule="auto"/>
        <w:tabs>
          <w:tab w:leader="none" w:pos="1808"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and consisting of, deposits made by the Borrower to discharge or defease any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80"/>
          </w:cols>
          <w:pgMar w:left="460" w:top="1399" w:right="359" w:bottom="1440" w:gutter="0" w:footer="0" w:header="0"/>
        </w:sectPr>
      </w:pPr>
    </w:p>
    <w:bookmarkStart w:id="84" w:name="page85"/>
    <w:bookmarkEnd w:id="84"/>
    <w:p>
      <w:pPr>
        <w:ind w:left="660" w:right="340" w:firstLine="644"/>
        <w:spacing w:after="0" w:line="226" w:lineRule="auto"/>
        <w:tabs>
          <w:tab w:leader="none" w:pos="1948"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60" w:lineRule="exact"/>
        <w:rPr>
          <w:rFonts w:ascii="Times New Roman" w:cs="Times New Roman" w:eastAsia="Times New Roman" w:hAnsi="Times New Roman"/>
          <w:sz w:val="20"/>
          <w:szCs w:val="20"/>
          <w:color w:val="010000"/>
        </w:rPr>
      </w:pPr>
    </w:p>
    <w:p>
      <w:pPr>
        <w:ind w:left="660" w:right="180" w:firstLine="644"/>
        <w:spacing w:after="0"/>
        <w:tabs>
          <w:tab w:leader="none" w:pos="1948"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47" w:lineRule="exact"/>
        <w:rPr>
          <w:rFonts w:ascii="Times New Roman" w:cs="Times New Roman" w:eastAsia="Times New Roman" w:hAnsi="Times New Roman"/>
          <w:sz w:val="20"/>
          <w:szCs w:val="20"/>
          <w:color w:val="010000"/>
        </w:rPr>
      </w:pPr>
    </w:p>
    <w:p>
      <w:pPr>
        <w:ind w:left="660" w:right="260" w:firstLine="644"/>
        <w:spacing w:after="0"/>
        <w:tabs>
          <w:tab w:leader="none" w:pos="1948"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61" w:lineRule="exact"/>
        <w:rPr>
          <w:rFonts w:ascii="Times New Roman" w:cs="Times New Roman" w:eastAsia="Times New Roman" w:hAnsi="Times New Roman"/>
          <w:sz w:val="20"/>
          <w:szCs w:val="20"/>
          <w:color w:val="010000"/>
        </w:rPr>
      </w:pPr>
    </w:p>
    <w:p>
      <w:pPr>
        <w:ind w:left="660" w:right="180" w:firstLine="644"/>
        <w:spacing w:after="0" w:line="215" w:lineRule="auto"/>
        <w:tabs>
          <w:tab w:leader="none" w:pos="1948"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21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3"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 time.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the main banking office of the Administrative Agent in Pittsburgh, Pennsylvania.</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with respect to any Person, all of such Person’s interests in any kind of property, assets (including the capital stock in and other securities of any other Person) or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399" w:right="359" w:bottom="1440" w:gutter="0" w:footer="0" w:header="0"/>
        </w:sectPr>
      </w:pPr>
    </w:p>
    <w:bookmarkStart w:id="85" w:name="page86"/>
    <w:bookmarkEnd w:id="85"/>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Net Leverage Ratio immediately prior to such Qualified Acquisition and (y) the Total Net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each of Moody’s, S&amp;P and Fitch.</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the FRB or the NYFRB, or a committee officially endorsed or convened by the FRB or the NYFRB, or any successor thereto.</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Regulation U of the FRB as in effect from time to time.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Persons</w:t>
      </w:r>
      <w:r>
        <w:rPr>
          <w:rFonts w:ascii="Times New Roman" w:cs="Times New Roman" w:eastAsia="Times New Roman" w:hAnsi="Times New Roman"/>
          <w:sz w:val="20"/>
          <w:szCs w:val="20"/>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jc w:val="both"/>
        <w:ind w:right="1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any of the events set forth in Section 4043(c) of ERISA, other than those events as to which the thirty (30) day notice period is waived under any regulation promulgated by the PBGC.</w:t>
      </w:r>
    </w:p>
    <w:p>
      <w:pPr>
        <w:spacing w:after="0" w:line="173"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at any time, Lenders holding more than 50% of the aggregate unpaid principal amount of the Term Loans then outstanding and unused Term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whenever there are one or more Defaulting Lenders, the total outstanding Term Loans and unused Term Commitments of each Defaulting Lender shall be excluded for purposes of making any determination of Required Lenders.</w:t>
      </w:r>
    </w:p>
    <w:p>
      <w:pPr>
        <w:spacing w:after="0" w:line="17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9" w:right="339" w:bottom="1440" w:gutter="0" w:footer="0" w:header="0"/>
        </w:sectPr>
      </w:pPr>
    </w:p>
    <w:bookmarkStart w:id="86" w:name="page87"/>
    <w:bookmarkEnd w:id="86"/>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the chief executive officer, any president, any vice president, the chief financial officer, the treasurer, any assistant treasurer, the secretary or any assistant secretary of the Borrower.</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 (i), any Voting Stock owned by a Subsidiary of the Borrower that is not a Restricted Subsidiary based on the foregoing clause shall be excluded.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Standard &amp; Poor’s Ratings Services, and any successor to its rating agency business.</w:t>
      </w:r>
    </w:p>
    <w:p>
      <w:pPr>
        <w:spacing w:after="0" w:line="2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at any time, a country, region or territory which is itself the subject or target of any Sanctions (at the time of this Agreement, the so-called Donetsk People’s Republic, the so-called Luhansk People’s Republic, the non-governmental controlled regions of Kherson and Zaporizhzhia, and the Crimea regions of Ukraine, Cuba, Iran, North Korea and Syria).</w:t>
      </w:r>
    </w:p>
    <w:p>
      <w:pPr>
        <w:spacing w:after="0" w:line="181"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HM Treasury of the United Kingdom, the Hong Kong Monetary Authority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Canada, any European Union member state or HM Treasury of the United Kingdom.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Securities Act of 1933, as amended, or any successor statute or statutes thereto.</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xml:space="preserve">”: any Subsidiary that is a “significant subsidiary” of the Borrower as defined under clauses (1) or (2) of Rule 1-02(w) of Regulation S-X under the Exchange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references to “10 percent” in clauses (1) and (2) of such definition shall be replaced with “20 percent”.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Single Employer Plan</w:t>
      </w:r>
      <w:r>
        <w:rPr>
          <w:rFonts w:ascii="Times New Roman" w:cs="Times New Roman" w:eastAsia="Times New Roman" w:hAnsi="Times New Roman"/>
          <w:sz w:val="20"/>
          <w:szCs w:val="20"/>
          <w:color w:val="auto"/>
        </w:rPr>
        <w:t>”: any Plan that is covered by Title IV of ERISA, but that is not a Multiemployer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the NYFRB (or a successor administrator of the secured overnight financing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in the definition of “Daily Simple SOFR”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00"/>
          </w:cols>
          <w:pgMar w:left="320" w:top="1413" w:right="37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Term Loans the rate of interest applicable to which is based upon the Adjusted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in the definition of “Daily Simple SOFR”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Maturity</w:t>
      </w:r>
      <w:r>
        <w:rPr>
          <w:rFonts w:ascii="Times New Roman" w:cs="Times New Roman" w:eastAsia="Times New Roman" w:hAnsi="Times New Roman"/>
          <w:sz w:val="20"/>
          <w:szCs w:val="20"/>
          <w:color w:val="auto"/>
        </w:rPr>
        <w:t>”: January 17, 2029.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with respect to any specified Person:</w:t>
      </w:r>
    </w:p>
    <w:p>
      <w:pPr>
        <w:spacing w:after="0" w:line="202" w:lineRule="exact"/>
        <w:rPr>
          <w:sz w:val="20"/>
          <w:szCs w:val="20"/>
          <w:color w:val="auto"/>
        </w:rPr>
      </w:pPr>
    </w:p>
    <w:p>
      <w:pPr>
        <w:ind w:left="660" w:right="180" w:firstLine="644"/>
        <w:spacing w:after="0" w:line="220" w:lineRule="auto"/>
        <w:tabs>
          <w:tab w:leader="none" w:pos="194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47" w:lineRule="exact"/>
        <w:rPr>
          <w:rFonts w:ascii="Times New Roman" w:cs="Times New Roman" w:eastAsia="Times New Roman" w:hAnsi="Times New Roman"/>
          <w:sz w:val="20"/>
          <w:szCs w:val="20"/>
          <w:color w:val="010000"/>
        </w:rPr>
      </w:pPr>
    </w:p>
    <w:p>
      <w:pPr>
        <w:ind w:left="660" w:right="140" w:firstLine="644"/>
        <w:spacing w:after="0" w:line="230" w:lineRule="auto"/>
        <w:tabs>
          <w:tab w:leader="none" w:pos="194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2" w:lineRule="exact"/>
        <w:rPr>
          <w:sz w:val="20"/>
          <w:szCs w:val="20"/>
          <w:color w:val="auto"/>
        </w:rPr>
      </w:pPr>
    </w:p>
    <w:p>
      <w:pPr>
        <w:ind w:right="4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Guaranty</w:t>
      </w:r>
      <w:r>
        <w:rPr>
          <w:rFonts w:ascii="Times New Roman" w:cs="Times New Roman" w:eastAsia="Times New Roman" w:hAnsi="Times New Roman"/>
          <w:sz w:val="19"/>
          <w:szCs w:val="19"/>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38"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with respect to each Lender, the obligation of such Lender, if any, to make a Term Loan in an aggregate principal amount not to exceed the amount set forth opposite its name on Schedule 1.1 annexed hereto under the heading “Term Commitment Amounts”.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a Lender with an outstanding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20"/>
          </w:cols>
          <w:pgMar w:left="320" w:top="1413" w:right="359" w:bottom="1440" w:gutter="0" w:footer="0" w:header="0"/>
        </w:sectPr>
      </w:pPr>
    </w:p>
    <w:bookmarkStart w:id="88" w:name="page89"/>
    <w:bookmarkEnd w:id="88"/>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Unless the context shall otherwise require, the term “Term Loans” shall include any Incremental Term Loans.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the earlier to occur of (a) the Stated Maturity and (b) the acceleration of the Term Loans.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Percentage</w:t>
      </w:r>
      <w:r>
        <w:rPr>
          <w:rFonts w:ascii="Times New Roman" w:cs="Times New Roman" w:eastAsia="Times New Roman" w:hAnsi="Times New Roman"/>
          <w:sz w:val="20"/>
          <w:szCs w:val="20"/>
          <w:color w:val="auto"/>
        </w:rPr>
        <w:t>”: as to any Lender at any time, the percentage which such Lender’s Term Commitment then constitutes of the aggregate Term Commitments (or, at any time after the making of the Term Loans on the Closing Date, the percentage which the aggregate principal amount of such Lender’s Term Loans then outstanding constitutes of the aggregate principal amount of all Term Loans then outstanding).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a percentage equal to 0.00% per annum.</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CME Group Benchmark Administration Limited (CBA) (or a successor administrator of the Term SOFR Reference Rate selected by the Administrative Agent in its reasonable discretion).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22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for any calculation with respect to a SOFR Loan,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20"/>
          <w:szCs w:val="20"/>
          <w:u w:val="single" w:color="auto"/>
          <w:color w:val="auto"/>
        </w:rPr>
        <w:t>Term SOFR Determination Date</w:t>
      </w:r>
      <w:r>
        <w:rPr>
          <w:rFonts w:ascii="Times New Roman" w:cs="Times New Roman" w:eastAsia="Times New Roman" w:hAnsi="Times New Roman"/>
          <w:sz w:val="20"/>
          <w:szCs w:val="20"/>
          <w:color w:val="auto"/>
        </w:rPr>
        <w:t>”) that is two (2) Business Days prior to the first day of such Interest Period. If the Term SOFR Reference Rate for the applicable tenor has not been published or replaced with a Benchmark Replacement by 5:00 p.m. (New York City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Floor, then the Term SOFR Rate shall be deemed to be the Floor. The Term SOFR Rate shall be adjusted automatically without notice to the Borrower on and as of the first day of each Interest Period.</w:t>
      </w:r>
    </w:p>
    <w:p>
      <w:pPr>
        <w:spacing w:after="0" w:line="19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as of the date of determination thereof, the ratio of (a) Indebtedness of the Borrower and its Consolidated Subsidiaries as of such date minus the Unrestricted Cash, Cash Equivalent and Marketable Securities Amount as of such date, to (b) Consolidated EBITDA of the Borrower for such Measurement Period.</w:t>
      </w:r>
    </w:p>
    <w:p>
      <w:pPr>
        <w:spacing w:after="0" w:line="181" w:lineRule="exact"/>
        <w:rPr>
          <w:sz w:val="20"/>
          <w:szCs w:val="20"/>
          <w:color w:val="auto"/>
        </w:rPr>
      </w:pPr>
    </w:p>
    <w:p>
      <w:pPr>
        <w:ind w:right="140"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Trademarks</w:t>
      </w:r>
      <w:r>
        <w:rPr>
          <w:rFonts w:ascii="Times New Roman" w:cs="Times New Roman" w:eastAsia="Times New Roman" w:hAnsi="Times New Roman"/>
          <w:sz w:val="19"/>
          <w:szCs w:val="19"/>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75"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w:t>
      </w:r>
      <w:r>
        <w:rPr>
          <w:rFonts w:ascii="Times New Roman" w:cs="Times New Roman" w:eastAsia="Times New Roman" w:hAnsi="Times New Roman"/>
          <w:sz w:val="20"/>
          <w:szCs w:val="20"/>
          <w:color w:val="auto"/>
        </w:rPr>
        <w:t>”: any agreement, whether written or oral, providing for the grant by or to Borrower or any Guarantor of any right to use any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any Assignee or Participant.</w:t>
      </w:r>
    </w:p>
    <w:p>
      <w:pPr>
        <w:spacing w:after="0" w:line="229"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Term Loan or Borrowing, refers to whether the rate of interest on such Term Loan, or on the Term Loans comprising such Borrowing, is determined by reference to the Base Rate or Adjusted Term SOFR.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the Uniform Commercial Code as in effect from time to time in the State of New York.</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60"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the United States of America.</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Cash Equivalent and Marketable Securities Amount</w:t>
      </w:r>
      <w:r>
        <w:rPr>
          <w:rFonts w:ascii="Times New Roman" w:cs="Times New Roman" w:eastAsia="Times New Roman" w:hAnsi="Times New Roman"/>
          <w:sz w:val="20"/>
          <w:szCs w:val="20"/>
          <w:color w:val="auto"/>
        </w:rPr>
        <w:t>”: as of the date of determination thereof, 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(1) any Subsidiary of the Borrower listed on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xml:space="preserve">, (2) any Subsidiary of the Borrower designated by the Borrower as an Unrestricted Subsidiary pursuant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subsequent to the Closing Date, until such Person ceases to be an Unrestricted Subsidiary of the Borrower in accordance with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and (3) any Subsidiary of an Unrestricted Subsidiary.</w:t>
      </w:r>
    </w:p>
    <w:p>
      <w:pPr>
        <w:spacing w:after="0" w:line="18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xml:space="preserve">”: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in each case, such day is also a Business Day.</w:t>
      </w:r>
    </w:p>
    <w:p>
      <w:pPr>
        <w:spacing w:after="0" w:line="187" w:lineRule="exact"/>
        <w:rPr>
          <w:sz w:val="20"/>
          <w:szCs w:val="20"/>
          <w:color w:val="auto"/>
        </w:rPr>
      </w:pPr>
    </w:p>
    <w:p>
      <w:pPr>
        <w:ind w:right="46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2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90" w:name="page91"/>
    <w:bookmarkEnd w:id="90"/>
    <w:p>
      <w:pPr>
        <w:ind w:right="140"/>
        <w:spacing w:after="0" w:line="283" w:lineRule="auto"/>
        <w:rPr>
          <w:sz w:val="20"/>
          <w:szCs w:val="20"/>
          <w:color w:val="auto"/>
        </w:rPr>
      </w:pPr>
      <w:r>
        <w:rPr>
          <w:rFonts w:ascii="Times New Roman" w:cs="Times New Roman" w:eastAsia="Times New Roman" w:hAnsi="Times New Roman"/>
          <w:sz w:val="20"/>
          <w:szCs w:val="20"/>
          <w:color w:val="auto"/>
        </w:rPr>
        <w:t>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Other Definitional Provisions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340" w:firstLine="656"/>
        <w:spacing w:after="0"/>
        <w:tabs>
          <w:tab w:leader="none" w:pos="128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47" w:lineRule="exact"/>
        <w:rPr>
          <w:rFonts w:ascii="Times New Roman" w:cs="Times New Roman" w:eastAsia="Times New Roman" w:hAnsi="Times New Roman"/>
          <w:sz w:val="20"/>
          <w:szCs w:val="20"/>
          <w:color w:val="auto"/>
        </w:rPr>
      </w:pPr>
    </w:p>
    <w:p>
      <w:pPr>
        <w:ind w:right="40" w:firstLine="656"/>
        <w:spacing w:after="0" w:line="216" w:lineRule="auto"/>
        <w:tabs>
          <w:tab w:leader="none" w:pos="12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62" w:lineRule="exact"/>
        <w:rPr>
          <w:rFonts w:ascii="Times New Roman" w:cs="Times New Roman" w:eastAsia="Times New Roman" w:hAnsi="Times New Roman"/>
          <w:sz w:val="20"/>
          <w:szCs w:val="20"/>
          <w:color w:val="auto"/>
        </w:rPr>
      </w:pPr>
    </w:p>
    <w:p>
      <w:pPr>
        <w:ind w:right="140" w:firstLine="656"/>
        <w:spacing w:after="0" w:line="226" w:lineRule="auto"/>
        <w:tabs>
          <w:tab w:leader="none" w:pos="128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60" w:lineRule="exact"/>
        <w:rPr>
          <w:rFonts w:ascii="Times New Roman" w:cs="Times New Roman" w:eastAsia="Times New Roman" w:hAnsi="Times New Roman"/>
          <w:sz w:val="20"/>
          <w:szCs w:val="20"/>
          <w:color w:val="auto"/>
        </w:rPr>
      </w:pPr>
    </w:p>
    <w:p>
      <w:pPr>
        <w:ind w:right="180" w:firstLine="656"/>
        <w:spacing w:after="0" w:line="222" w:lineRule="auto"/>
        <w:tabs>
          <w:tab w:leader="none" w:pos="12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otherwise provided herein, all terms of an accounting or financial nature shall be construed in accordance with GAAP.</w:t>
      </w:r>
    </w:p>
    <w:p>
      <w:pPr>
        <w:spacing w:after="0" w:line="229"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Delivery of Notices</w:t>
      </w:r>
      <w:r>
        <w:rPr>
          <w:rFonts w:ascii="Times New Roman" w:cs="Times New Roman" w:eastAsia="Times New Roman" w:hAnsi="Times New Roman"/>
          <w:sz w:val="20"/>
          <w:szCs w:val="20"/>
          <w:color w:val="auto"/>
        </w:rPr>
        <w:t>. Any reference to a delivery or notice date that is not a Business Day shall be deemed to mean the next succeeding day that is a Business Day.</w:t>
      </w:r>
    </w:p>
    <w:p>
      <w:pPr>
        <w:spacing w:after="0" w:line="161"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w:t>
      </w:r>
    </w:p>
    <w:p>
      <w:pPr>
        <w:spacing w:after="0" w:line="211" w:lineRule="auto"/>
        <w:rPr>
          <w:sz w:val="20"/>
          <w:szCs w:val="20"/>
          <w:color w:val="auto"/>
        </w:rPr>
      </w:pPr>
      <w:r>
        <w:rPr>
          <w:rFonts w:ascii="Times New Roman" w:cs="Times New Roman" w:eastAsia="Times New Roman" w:hAnsi="Times New Roman"/>
          <w:sz w:val="20"/>
          <w:szCs w:val="20"/>
          <w:color w:val="auto"/>
        </w:rPr>
        <w:t>asset, right, obligation or liability of a different Person, then it shall be deemed to have been transferred from the original Person to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subsequent Person, and (b) if any new Person comes into existence, such new Person shall be deemed to have been organized on the first date of its existence by the holders of its Equity Interests at such time.</w:t>
      </w:r>
    </w:p>
    <w:p>
      <w:pPr>
        <w:spacing w:after="0" w:line="15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010000"/>
        </w:rPr>
        <w:t>Section 2</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Term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69" w:lineRule="auto"/>
        <w:tabs>
          <w:tab w:leader="none" w:pos="171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Lender severally agrees to make term loans in Dollars (a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to the Borrower on the Closing Date in an amount equal to the amount of the Term Commitment of such Lender.</w:t>
      </w:r>
    </w:p>
    <w:p>
      <w:pPr>
        <w:spacing w:after="0" w:line="173"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The Term Loans may from time to time be SOFR Loans or Base Rate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20"/>
          </w:cols>
          <w:pgMar w:left="320" w:top="1413" w:right="359" w:bottom="1440" w:gutter="0" w:footer="0" w:header="0"/>
        </w:sectPr>
      </w:pPr>
    </w:p>
    <w:bookmarkStart w:id="91" w:name="page92"/>
    <w:bookmarkEnd w:id="9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Each Lender at its option may make any SOFR Loan by causing any domestic or foreign branch or Affiliate of</w:t>
      </w:r>
    </w:p>
    <w:p>
      <w:pPr>
        <w:ind w:right="100"/>
        <w:spacing w:after="0" w:line="221" w:lineRule="auto"/>
        <w:rPr>
          <w:sz w:val="20"/>
          <w:szCs w:val="20"/>
          <w:color w:val="auto"/>
        </w:rPr>
      </w:pPr>
      <w:r>
        <w:rPr>
          <w:rFonts w:ascii="Times New Roman" w:cs="Times New Roman" w:eastAsia="Times New Roman" w:hAnsi="Times New Roman"/>
          <w:sz w:val="20"/>
          <w:szCs w:val="20"/>
          <w:color w:val="auto"/>
        </w:rPr>
        <w:t xml:space="preserve">such Lender to make such Term Loan by designating such branch or Affiliate as its lending office;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Term Loan in accordance with the terms of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Requests for Term Loan Borrowings</w:t>
      </w:r>
      <w:r>
        <w:rPr>
          <w:rFonts w:ascii="Times New Roman" w:cs="Times New Roman" w:eastAsia="Times New Roman" w:hAnsi="Times New Roman"/>
          <w:sz w:val="19"/>
          <w:szCs w:val="19"/>
          <w:color w:val="auto"/>
        </w:rPr>
        <w:t>. The Borrower shall give the Administrative Agent irrevocable notice substantially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(which notice must be received by the Administrative Agent (a) in the case of a SOFR Borrowing, not later than 1:00 p.m., New York City time three (3) Business Days prior to the proposed Borrowing, or (b) in the case of a Base Rate Borrowing, not</w:t>
      </w:r>
    </w:p>
    <w:p>
      <w:pPr>
        <w:spacing w:after="0" w:line="211" w:lineRule="auto"/>
        <w:rPr>
          <w:sz w:val="20"/>
          <w:szCs w:val="20"/>
          <w:color w:val="auto"/>
        </w:rPr>
      </w:pPr>
      <w:r>
        <w:rPr>
          <w:rFonts w:ascii="Times New Roman" w:cs="Times New Roman" w:eastAsia="Times New Roman" w:hAnsi="Times New Roman"/>
          <w:sz w:val="20"/>
          <w:szCs w:val="20"/>
          <w:color w:val="auto"/>
        </w:rPr>
        <w:t>later than 12:00 p.m., New York City time, on the date of the proposed Borrowing (which shall be a Business Day)) requesting that the</w:t>
      </w:r>
    </w:p>
    <w:p>
      <w:pPr>
        <w:ind w:right="160"/>
        <w:spacing w:after="0" w:line="221" w:lineRule="auto"/>
        <w:rPr>
          <w:sz w:val="20"/>
          <w:szCs w:val="20"/>
          <w:color w:val="auto"/>
        </w:rPr>
      </w:pPr>
      <w:r>
        <w:rPr>
          <w:rFonts w:ascii="Times New Roman" w:cs="Times New Roman" w:eastAsia="Times New Roman" w:hAnsi="Times New Roman"/>
          <w:sz w:val="20"/>
          <w:szCs w:val="20"/>
          <w:color w:val="auto"/>
        </w:rPr>
        <w:t>applicable Lenders make the Term Loans on the requested Borrowing Date. Each such Borrowing Request shall be irrevocable and shall be signed by a Responsible Officer of the Borrower. Each such Borrowing Request shall specify the following information:</w:t>
      </w:r>
    </w:p>
    <w:p>
      <w:pPr>
        <w:spacing w:after="0" w:line="175" w:lineRule="exact"/>
        <w:rPr>
          <w:sz w:val="20"/>
          <w:szCs w:val="20"/>
          <w:color w:val="auto"/>
        </w:rPr>
      </w:pPr>
    </w:p>
    <w:p>
      <w:pPr>
        <w:ind w:left="1540" w:hanging="236"/>
        <w:spacing w:after="0"/>
        <w:tabs>
          <w:tab w:leader="none" w:pos="1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202"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Date;</w:t>
      </w:r>
    </w:p>
    <w:p>
      <w:pPr>
        <w:spacing w:after="0" w:line="20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Base Rate Borrowing or a SOFR Borrowing;</w:t>
      </w:r>
    </w:p>
    <w:p>
      <w:pPr>
        <w:spacing w:after="0" w:line="215" w:lineRule="exact"/>
        <w:rPr>
          <w:rFonts w:ascii="Times New Roman" w:cs="Times New Roman" w:eastAsia="Times New Roman" w:hAnsi="Times New Roman"/>
          <w:sz w:val="20"/>
          <w:szCs w:val="20"/>
          <w:color w:val="auto"/>
        </w:rPr>
      </w:pPr>
    </w:p>
    <w:p>
      <w:pPr>
        <w:ind w:left="1300" w:right="1020" w:firstLine="4"/>
        <w:spacing w:after="0" w:line="269" w:lineRule="auto"/>
        <w:tabs>
          <w:tab w:leader="none" w:pos="163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SOFR Borrowing, the initial Interest Period to be applicable thereto, which shall be a period contemplated by the definition of the term “Interest Period”; and</w:t>
      </w:r>
    </w:p>
    <w:p>
      <w:pPr>
        <w:spacing w:after="0" w:line="159" w:lineRule="exact"/>
        <w:rPr>
          <w:rFonts w:ascii="Times New Roman" w:cs="Times New Roman" w:eastAsia="Times New Roman" w:hAnsi="Times New Roman"/>
          <w:sz w:val="20"/>
          <w:szCs w:val="20"/>
          <w:color w:val="auto"/>
        </w:rPr>
      </w:pPr>
    </w:p>
    <w:p>
      <w:pPr>
        <w:ind w:left="1300" w:right="480" w:firstLine="4"/>
        <w:spacing w:after="0" w:line="269" w:lineRule="auto"/>
        <w:tabs>
          <w:tab w:leader="none" w:pos="15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If no election as to the Type of Term Loan Borrowing is specified, then the requested Term Loan Borrowing shall be a Base Rate Borrowing. If no Interest Period is specified with respect to any requested Adjusted Term SOFR Term Loan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Term Loan to be made as part of the requested Borrowing.</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Funding of Term Loan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7"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each Term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Term Loans available to the Borrower by promptly crediting the amounts so received, in like funds, to an account of the Borrower maintained at a financial institution reasonably acceptable to the Administrative Agent and designated by the Borrower in the applicable Borrowing Request.</w:t>
      </w:r>
    </w:p>
    <w:p>
      <w:pPr>
        <w:spacing w:after="0" w:line="161" w:lineRule="exact"/>
        <w:rPr>
          <w:rFonts w:ascii="Times New Roman" w:cs="Times New Roman" w:eastAsia="Times New Roman" w:hAnsi="Times New Roman"/>
          <w:sz w:val="20"/>
          <w:szCs w:val="20"/>
          <w:color w:val="auto"/>
        </w:rPr>
      </w:pPr>
    </w:p>
    <w:p>
      <w:pPr>
        <w:ind w:firstLine="656"/>
        <w:spacing w:after="0" w:line="215"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that such Lender will not make available to the Administrative Agent such Lender’s Term Loan to be made as part of the requested Borrowing, the Administrative Agent may assume that such Lender has made such Term Loan available on such date in accordance with paragraph (a) of this Section and may, in reliance upon such assumption, make available to the Borrower a corresponding amount. In such event, if a Lender has not in fact made its Term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00"/>
          </w:cols>
          <w:pgMar w:left="320" w:top="1394"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Administrative Agent in accordance with banking industry rules on interbank compensation or (ii) in the case of the Borrower, the interest</w:t>
      </w:r>
    </w:p>
    <w:p>
      <w:pPr>
        <w:ind w:right="340"/>
        <w:spacing w:after="0" w:line="221" w:lineRule="auto"/>
        <w:rPr>
          <w:sz w:val="20"/>
          <w:szCs w:val="20"/>
          <w:color w:val="auto"/>
        </w:rPr>
      </w:pPr>
      <w:r>
        <w:rPr>
          <w:rFonts w:ascii="Times New Roman" w:cs="Times New Roman" w:eastAsia="Times New Roman" w:hAnsi="Times New Roman"/>
          <w:sz w:val="20"/>
          <w:szCs w:val="20"/>
          <w:color w:val="auto"/>
        </w:rPr>
        <w:t>rate applicable to Base Rate Loans. If such Lender pays such amount to the Administrative Agent, then such amount shall constitute such Lender’s Term Loan included in such Borrowing.</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Termination and Reduction of Term Commitments</w:t>
      </w:r>
      <w:r>
        <w:rPr>
          <w:rFonts w:ascii="Times New Roman" w:cs="Times New Roman" w:eastAsia="Times New Roman" w:hAnsi="Times New Roman"/>
          <w:sz w:val="19"/>
          <w:szCs w:val="19"/>
          <w:color w:val="auto"/>
        </w:rPr>
        <w:t>. Unless previously terminated, the Term Commitments (other than any</w:t>
      </w:r>
    </w:p>
    <w:p>
      <w:pPr>
        <w:ind w:right="20"/>
        <w:spacing w:after="0" w:line="221" w:lineRule="auto"/>
        <w:rPr>
          <w:sz w:val="20"/>
          <w:szCs w:val="20"/>
          <w:color w:val="auto"/>
        </w:rPr>
      </w:pPr>
      <w:r>
        <w:rPr>
          <w:rFonts w:ascii="Times New Roman" w:cs="Times New Roman" w:eastAsia="Times New Roman" w:hAnsi="Times New Roman"/>
          <w:sz w:val="20"/>
          <w:szCs w:val="20"/>
          <w:color w:val="auto"/>
        </w:rPr>
        <w:t>Incremental Term Loan Commitments) shall terminate upon the making of the Term Loans on the Closing Date. Any Incremental Term Loan Commitment shall terminate as provided in the applicable Incremental Assumption Amendment.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Repayment of Term Loans; 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420" w:firstLine="656"/>
        <w:spacing w:after="0" w:line="233"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unconditionally promises to pay the Administrative Agent for the account of each Lender the then unpaid principal amount of each Term Loan made by such Lender on the Term Loan Maturity Date.</w:t>
      </w:r>
    </w:p>
    <w:p>
      <w:pPr>
        <w:spacing w:after="0" w:line="160" w:lineRule="exact"/>
        <w:rPr>
          <w:rFonts w:ascii="Times New Roman" w:cs="Times New Roman" w:eastAsia="Times New Roman" w:hAnsi="Times New Roman"/>
          <w:sz w:val="20"/>
          <w:szCs w:val="20"/>
          <w:color w:val="auto"/>
        </w:rPr>
      </w:pPr>
    </w:p>
    <w:p>
      <w:pPr>
        <w:ind w:right="260" w:firstLine="656"/>
        <w:spacing w:after="0" w:line="226" w:lineRule="auto"/>
        <w:tabs>
          <w:tab w:leader="none" w:pos="1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160" w:lineRule="exact"/>
        <w:rPr>
          <w:rFonts w:ascii="Times New Roman" w:cs="Times New Roman" w:eastAsia="Times New Roman" w:hAnsi="Times New Roman"/>
          <w:sz w:val="20"/>
          <w:szCs w:val="20"/>
          <w:color w:val="auto"/>
        </w:rPr>
      </w:pPr>
    </w:p>
    <w:p>
      <w:pPr>
        <w:ind w:right="160" w:firstLine="656"/>
        <w:spacing w:after="0" w:line="222"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in respect of this Agreement, record in the Register, with separate sub-accounts for each Lender, (i) the amount and Borrowing Date of each Term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61" w:lineRule="exact"/>
        <w:rPr>
          <w:rFonts w:ascii="Times New Roman" w:cs="Times New Roman" w:eastAsia="Times New Roman" w:hAnsi="Times New Roman"/>
          <w:sz w:val="20"/>
          <w:szCs w:val="20"/>
          <w:color w:val="auto"/>
        </w:rPr>
      </w:pPr>
    </w:p>
    <w:p>
      <w:pPr>
        <w:ind w:right="40" w:firstLine="656"/>
        <w:spacing w:after="0" w:line="217" w:lineRule="auto"/>
        <w:tabs>
          <w:tab w:leader="none" w:pos="1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Register and the accounts of each Lender maintained pursuant to </w:t>
      </w:r>
      <w:r>
        <w:rPr>
          <w:rFonts w:ascii="Times New Roman" w:cs="Times New Roman" w:eastAsia="Times New Roman" w:hAnsi="Times New Roman"/>
          <w:sz w:val="20"/>
          <w:szCs w:val="20"/>
          <w:u w:val="single" w:color="auto"/>
          <w:color w:val="auto"/>
        </w:rPr>
        <w:t>Sections 2.7(b)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to the extent permitted by applicable law, be prima facie evidence of the existence and amounts of the obligations of the Borrower therein recorded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61" w:lineRule="exact"/>
        <w:rPr>
          <w:rFonts w:ascii="Times New Roman" w:cs="Times New Roman" w:eastAsia="Times New Roman" w:hAnsi="Times New Roman"/>
          <w:sz w:val="20"/>
          <w:szCs w:val="20"/>
          <w:color w:val="auto"/>
        </w:rPr>
      </w:pPr>
    </w:p>
    <w:p>
      <w:pPr>
        <w:ind w:right="140" w:firstLine="656"/>
        <w:spacing w:after="0" w:line="226"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Term Loans in form and substance reasonably satisfactory to the Lender and the Borrower.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Interest Rates and Payment Dates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tabs>
          <w:tab w:leader="none" w:pos="12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SOFR Loan shall bear interest for each day during each Interest Period with respect thereto at a rate per annum equal to Adjusted Term SOFR determined for such Interest Period plus the Applicable Margin.</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Base Rate Loan shall bear interest at a rate per annum equal to the Base Rate from time to time plus the Applicable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w:t>
      </w:r>
    </w:p>
    <w:p>
      <w:pPr>
        <w:spacing w:after="0" w:line="166" w:lineRule="exact"/>
        <w:rPr>
          <w:rFonts w:ascii="Times New Roman" w:cs="Times New Roman" w:eastAsia="Times New Roman" w:hAnsi="Times New Roman"/>
          <w:sz w:val="20"/>
          <w:szCs w:val="20"/>
          <w:color w:val="auto"/>
        </w:rPr>
      </w:pPr>
    </w:p>
    <w:p>
      <w:pPr>
        <w:ind w:firstLine="656"/>
        <w:spacing w:after="0" w:line="226" w:lineRule="auto"/>
        <w:tabs>
          <w:tab w:leader="none" w:pos="128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upon the occurrence and during the continuance of an Event of Default under </w:t>
      </w:r>
      <w:r>
        <w:rPr>
          <w:rFonts w:ascii="Times New Roman" w:cs="Times New Roman" w:eastAsia="Times New Roman" w:hAnsi="Times New Roman"/>
          <w:sz w:val="19"/>
          <w:szCs w:val="19"/>
          <w:u w:val="single" w:color="auto"/>
          <w:color w:val="auto"/>
        </w:rPr>
        <w:t>Section 7.1(a)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at any time after the date on which any principal amount of any Term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Term Loan, the rate of interest that otherwise would be applicable to such Term Loan plus 2% per annum and (ii) in the case of overdue interest, fees, and other monetary Obligations, the rate then applicable to Base Rate Loans plus 2%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20"/>
          </w:cols>
          <w:pgMar w:left="320" w:top="1394" w:right="359" w:bottom="1440" w:gutter="0" w:footer="0" w:header="0"/>
        </w:sectPr>
      </w:pPr>
    </w:p>
    <w:bookmarkStart w:id="93" w:name="page94"/>
    <w:bookmarkEnd w:id="93"/>
    <w:p>
      <w:pPr>
        <w:ind w:left="1292" w:hanging="644"/>
        <w:spacing w:after="0"/>
        <w:tabs>
          <w:tab w:leader="none" w:pos="129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paragraph</w:t>
      </w:r>
    </w:p>
    <w:p>
      <w:pPr>
        <w:ind w:left="272" w:hanging="272"/>
        <w:spacing w:after="0"/>
        <w:tabs>
          <w:tab w:leader="none" w:pos="27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shall be payable from time to time on demand.</w:t>
      </w:r>
    </w:p>
    <w:p>
      <w:pPr>
        <w:spacing w:after="0" w:line="153" w:lineRule="exact"/>
        <w:rPr>
          <w:rFonts w:ascii="Times New Roman" w:cs="Times New Roman" w:eastAsia="Times New Roman" w:hAnsi="Times New Roman"/>
          <w:sz w:val="20"/>
          <w:szCs w:val="20"/>
          <w:color w:val="auto"/>
        </w:rPr>
      </w:pPr>
    </w:p>
    <w:p>
      <w:pPr>
        <w:jc w:val="both"/>
        <w:ind w:left="-8" w:right="180" w:firstLine="656"/>
        <w:spacing w:after="0" w:line="220" w:lineRule="auto"/>
        <w:tabs>
          <w:tab w:leader="none" w:pos="127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61"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8" w:firstLine="656"/>
        <w:spacing w:after="0" w:line="230" w:lineRule="auto"/>
        <w:tabs>
          <w:tab w:leader="none" w:pos="127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and fees payable pursuant hereto shall be calculated on the basis of a 360-day year for the actual days elapsed, except that, with respect to Base Rate Loans, the interest thereon shall be calculated on the basis of a 365- (or 366-, as the case may be) day year for the actual days elapsed. The Administrative Agent shall as soon as practicable notify the Borrower and the Lenders of each determination of Adjusted Term SOFR. Any change in the interest rate on a Term Loan resulting from a change in the Base Rate or Adjusted Term SOFR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47" w:lineRule="exact"/>
        <w:rPr>
          <w:rFonts w:ascii="Times New Roman" w:cs="Times New Roman" w:eastAsia="Times New Roman" w:hAnsi="Times New Roman"/>
          <w:sz w:val="19"/>
          <w:szCs w:val="19"/>
          <w:color w:val="auto"/>
        </w:rPr>
      </w:pPr>
    </w:p>
    <w:p>
      <w:pPr>
        <w:ind w:left="-8" w:right="460" w:firstLine="656"/>
        <w:spacing w:after="0"/>
        <w:tabs>
          <w:tab w:leader="none" w:pos="127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61" w:lineRule="exact"/>
        <w:rPr>
          <w:rFonts w:ascii="Times New Roman" w:cs="Times New Roman" w:eastAsia="Times New Roman" w:hAnsi="Times New Roman"/>
          <w:sz w:val="20"/>
          <w:szCs w:val="20"/>
          <w:color w:val="auto"/>
        </w:rPr>
      </w:pPr>
    </w:p>
    <w:p>
      <w:pPr>
        <w:ind w:left="-8" w:right="60" w:firstLine="656"/>
        <w:spacing w:after="0" w:line="217" w:lineRule="auto"/>
        <w:tabs>
          <w:tab w:leader="none" w:pos="12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restatement of public disclosure, inaccuracy in any certificate delivered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162"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8" w:right="20" w:firstLine="656"/>
        <w:spacing w:after="0" w:line="210" w:lineRule="auto"/>
        <w:tabs>
          <w:tab w:leader="none" w:pos="127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 Affecting Benchmark Availability</w:t>
      </w:r>
      <w:r>
        <w:rPr>
          <w:rFonts w:ascii="Times New Roman" w:cs="Times New Roman" w:eastAsia="Times New Roman" w:hAnsi="Times New Roman"/>
          <w:sz w:val="20"/>
          <w:szCs w:val="20"/>
          <w:color w:val="auto"/>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prior to the first day of such Interest Period or (ii) the Required Lenders shall determine in good faith (which determination shall be conclusive and binding absent manifest error) that Adjusted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32"/>
          </w:cols>
          <w:pgMar w:left="328" w:top="1394" w:right="339" w:bottom="1440" w:gutter="0" w:footer="0" w:header="0"/>
        </w:sectPr>
      </w:pPr>
    </w:p>
    <w:bookmarkStart w:id="94" w:name="page95"/>
    <w:bookmarkEnd w:id="94"/>
    <w:p>
      <w:pPr>
        <w:ind w:left="-140" w:firstLine="656"/>
        <w:spacing w:after="0" w:line="209"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Laws Affecting SOFR Availability</w:t>
      </w:r>
      <w:r>
        <w:rPr>
          <w:rFonts w:ascii="Times New Roman" w:cs="Times New Roman" w:eastAsia="Times New Roman" w:hAnsi="Times New Roman"/>
          <w:sz w:val="20"/>
          <w:szCs w:val="20"/>
          <w:color w:val="auto"/>
        </w:rPr>
        <w:t xml:space="preserve">.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the Administrative Agent shall promptly give notice to the Borrower and the other Lenders (an “Illegality Notice”).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2.17.</w:t>
      </w:r>
    </w:p>
    <w:p>
      <w:pPr>
        <w:spacing w:after="0" w:line="175" w:lineRule="exact"/>
        <w:rPr>
          <w:rFonts w:ascii="Times New Roman" w:cs="Times New Roman" w:eastAsia="Times New Roman" w:hAnsi="Times New Roman"/>
          <w:sz w:val="20"/>
          <w:szCs w:val="20"/>
          <w:color w:val="auto"/>
        </w:rPr>
      </w:pPr>
    </w:p>
    <w:p>
      <w:pPr>
        <w:ind w:left="-140" w:right="60" w:firstLine="656"/>
        <w:spacing w:after="0" w:line="208" w:lineRule="auto"/>
        <w:tabs>
          <w:tab w:leader="none" w:pos="114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47" w:lineRule="exact"/>
        <w:rPr>
          <w:rFonts w:ascii="Times New Roman" w:cs="Times New Roman" w:eastAsia="Times New Roman" w:hAnsi="Times New Roman"/>
          <w:sz w:val="20"/>
          <w:szCs w:val="20"/>
          <w:color w:val="auto"/>
        </w:rPr>
      </w:pPr>
    </w:p>
    <w:p>
      <w:pPr>
        <w:ind w:left="-140" w:right="80" w:firstLine="656"/>
        <w:spacing w:after="0" w:line="222" w:lineRule="auto"/>
        <w:tabs>
          <w:tab w:leader="none" w:pos="1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1" w:lineRule="exact"/>
        <w:rPr>
          <w:rFonts w:ascii="Times New Roman" w:cs="Times New Roman" w:eastAsia="Times New Roman" w:hAnsi="Times New Roman"/>
          <w:sz w:val="20"/>
          <w:szCs w:val="20"/>
          <w:color w:val="auto"/>
        </w:rPr>
      </w:pPr>
    </w:p>
    <w:p>
      <w:pPr>
        <w:ind w:left="-140" w:right="40" w:firstLine="656"/>
        <w:spacing w:after="0" w:line="224" w:lineRule="auto"/>
        <w:tabs>
          <w:tab w:leader="none" w:pos="1195"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9"/>
          <w:szCs w:val="19"/>
          <w:u w:val="single" w:color="auto"/>
          <w:color w:val="auto"/>
        </w:rPr>
        <w:t>Section 2.10(f) and (y) the commencement of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left="-140" w:right="180" w:firstLine="656"/>
        <w:spacing w:after="0" w:line="222" w:lineRule="auto"/>
        <w:tabs>
          <w:tab w:leader="none" w:pos="120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00"/>
          </w:cols>
          <w:pgMar w:left="460" w:top="1399" w:right="339" w:bottom="1440" w:gutter="0" w:footer="0" w:header="0"/>
        </w:sectPr>
      </w:pPr>
    </w:p>
    <w:bookmarkStart w:id="95" w:name="page96"/>
    <w:bookmarkEnd w:id="95"/>
    <w:p>
      <w:pPr>
        <w:ind w:right="100" w:firstLine="8"/>
        <w:spacing w:after="0" w:line="215" w:lineRule="auto"/>
        <w:tabs>
          <w:tab w:leader="none" w:pos="2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7" w:lineRule="exact"/>
        <w:rPr>
          <w:rFonts w:ascii="Times New Roman" w:cs="Times New Roman" w:eastAsia="Times New Roman" w:hAnsi="Times New Roman"/>
          <w:sz w:val="20"/>
          <w:szCs w:val="20"/>
          <w:color w:val="auto"/>
        </w:rPr>
      </w:pPr>
    </w:p>
    <w:p>
      <w:pPr>
        <w:ind w:firstLine="656"/>
        <w:spacing w:after="0" w:line="226" w:lineRule="auto"/>
        <w:tabs>
          <w:tab w:leader="none" w:pos="1284"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6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Prepayment of Term Loans</w:t>
      </w:r>
      <w:r>
        <w:rPr>
          <w:rFonts w:ascii="Times New Roman" w:cs="Times New Roman" w:eastAsia="Times New Roman" w:hAnsi="Times New Roman"/>
          <w:sz w:val="19"/>
          <w:szCs w:val="19"/>
          <w:color w:val="auto"/>
        </w:rPr>
        <w:t>. Subject to the provisos below, the Borrower may at any time and from time to time prepay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Term Loans, in whole or in part, without premium or penalty, upon irrevocable notice, which shall be in substantially the firm attached hereto as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delivered to the Administrative Agent prior to 10:00 A.M., New York City time on the same Business Day, which notice shall</w:t>
      </w:r>
    </w:p>
    <w:p>
      <w:pPr>
        <w:ind w:right="220"/>
        <w:spacing w:after="0" w:line="215" w:lineRule="auto"/>
        <w:rPr>
          <w:sz w:val="20"/>
          <w:szCs w:val="20"/>
          <w:color w:val="auto"/>
        </w:rPr>
      </w:pPr>
      <w:r>
        <w:rPr>
          <w:rFonts w:ascii="Times New Roman" w:cs="Times New Roman" w:eastAsia="Times New Roman" w:hAnsi="Times New Roman"/>
          <w:sz w:val="19"/>
          <w:szCs w:val="19"/>
          <w:color w:val="auto"/>
        </w:rPr>
        <w:t xml:space="preserve">specify the date and amount of prepayment and whether the prepayment is of SOFR Loans or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SOFR Loan is prepaid on any day other than the last day of the Interest Period applicable thereto, the Borrower shall also pay any amounts owing</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Upon receipt of any such notice of prepayment, the Administrative Agent shall notify each relevant Lender thereof</w:t>
      </w:r>
    </w:p>
    <w:p>
      <w:pPr>
        <w:ind w:right="240"/>
        <w:spacing w:after="0" w:line="215" w:lineRule="auto"/>
        <w:rPr>
          <w:sz w:val="20"/>
          <w:szCs w:val="20"/>
          <w:color w:val="auto"/>
        </w:rPr>
      </w:pPr>
      <w:r>
        <w:rPr>
          <w:rFonts w:ascii="Times New Roman" w:cs="Times New Roman" w:eastAsia="Times New Roman" w:hAnsi="Times New Roman"/>
          <w:sz w:val="19"/>
          <w:szCs w:val="19"/>
          <w:color w:val="auto"/>
        </w:rPr>
        <w:t>on the date of receipt of such notice. If any such notice is given, the amount specified in such notice shall be due and payable on the date specified therein, together with (except in the case of prepayments of Term Loans maintained as Base Rate Loans) accrued interest to such</w:t>
      </w:r>
    </w:p>
    <w:p>
      <w:pPr>
        <w:spacing w:after="0" w:line="211" w:lineRule="auto"/>
        <w:rPr>
          <w:sz w:val="20"/>
          <w:szCs w:val="20"/>
          <w:color w:val="auto"/>
        </w:rPr>
      </w:pPr>
      <w:r>
        <w:rPr>
          <w:rFonts w:ascii="Times New Roman" w:cs="Times New Roman" w:eastAsia="Times New Roman" w:hAnsi="Times New Roman"/>
          <w:sz w:val="20"/>
          <w:szCs w:val="20"/>
          <w:color w:val="auto"/>
        </w:rPr>
        <w:t>date on the amount prepaid. Partial prepayments shall be in an aggregate principal amount of $1,000,000 or a whole multiple of $1,000,000</w:t>
      </w:r>
    </w:p>
    <w:p>
      <w:pPr>
        <w:ind w:right="180"/>
        <w:spacing w:after="0" w:line="215" w:lineRule="auto"/>
        <w:rPr>
          <w:sz w:val="20"/>
          <w:szCs w:val="20"/>
          <w:color w:val="auto"/>
        </w:rPr>
      </w:pPr>
      <w:r>
        <w:rPr>
          <w:rFonts w:ascii="Times New Roman" w:cs="Times New Roman" w:eastAsia="Times New Roman" w:hAnsi="Times New Roman"/>
          <w:sz w:val="19"/>
          <w:szCs w:val="19"/>
          <w:color w:val="auto"/>
        </w:rPr>
        <w:t xml:space="preserve">in excess thereof (or, if less, the then outstanding principal amount of Term Loans). The application of any prepayment pursuant to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first, to Base Rate Loans of the respective Lenders (and of the respective tranche, if there are multiple tranches)</w:t>
      </w:r>
    </w:p>
    <w:p>
      <w:pPr>
        <w:spacing w:after="0" w:line="222" w:lineRule="auto"/>
        <w:rPr>
          <w:sz w:val="20"/>
          <w:szCs w:val="20"/>
          <w:color w:val="auto"/>
        </w:rPr>
      </w:pPr>
      <w:r>
        <w:rPr>
          <w:rFonts w:ascii="Times New Roman" w:cs="Times New Roman" w:eastAsia="Times New Roman" w:hAnsi="Times New Roman"/>
          <w:sz w:val="19"/>
          <w:szCs w:val="19"/>
          <w:color w:val="auto"/>
        </w:rPr>
        <w:t>and, second, to SOFR Loans of the respective Lenders (and of the respective tranche, if there are multiple tranches). A notice of prepayment</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of all outstanding Term Loans pursuant to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may state that such notice is conditioned upon the effectiveness of other credit facilities, securities offerings or other transactions, the proceeds of which will be used to refinance in full this Agreement, in which case such</w:t>
      </w:r>
    </w:p>
    <w:p>
      <w:pPr>
        <w:ind w:right="60"/>
        <w:spacing w:after="0" w:line="228" w:lineRule="auto"/>
        <w:rPr>
          <w:sz w:val="20"/>
          <w:szCs w:val="20"/>
          <w:color w:val="auto"/>
        </w:rPr>
      </w:pPr>
      <w:r>
        <w:rPr>
          <w:rFonts w:ascii="Times New Roman" w:cs="Times New Roman" w:eastAsia="Times New Roman" w:hAnsi="Times New Roman"/>
          <w:sz w:val="20"/>
          <w:szCs w:val="20"/>
          <w:color w:val="auto"/>
        </w:rPr>
        <w:t>notice may be revoked by the Borrower (by notice to the Administrative Agent on or prior to the specified effective date) if such condition is not satisfied.</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Conversion and Continuation Options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13" w:lineRule="auto"/>
        <w:tabs>
          <w:tab w:leader="none" w:pos="12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convert SOFR Loans to Base Rate Loans by giving the Administrative Agent prior irrevocable notice, in substantially the form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of such election no later than 12:00 Noon, New York City time, on the Business Day preceding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Base Rate Loans to SOFR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Base Rate Loan may be converted into a SOFR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20"/>
          </w:cols>
          <w:pgMar w:left="320" w:top="1399" w:right="359" w:bottom="1440" w:gutter="0" w:footer="0" w:header="0"/>
        </w:sectPr>
      </w:pPr>
    </w:p>
    <w:bookmarkStart w:id="96" w:name="page97"/>
    <w:bookmarkEnd w:id="96"/>
    <w:p>
      <w:pPr>
        <w:ind w:firstLine="656"/>
        <w:spacing w:after="0" w:line="218" w:lineRule="auto"/>
        <w:tabs>
          <w:tab w:leader="none" w:pos="128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final sentence of this Section 2.12(b), any SOFR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in accordance with the applicable provisions of the term “Interest Period”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length of the next Interest Period to be applicable to such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SOFR Loan may be continued as such when any Event of Default has occurred and is continuing and the Administrative Agent has or the Required Lenders have determined in its or their sole discretion not to permit such continuations,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Borrower shall fail to give any required notice as described above in this paragraph or if such continuation is not permitted pursuant to the preceding proviso such SOFR Loans shall be automatically converted to Base Rate Loans on the last day of such then expiring Interest Period. Upon receipt of any such notice, the Administrative Agent shall promptly notify each relevant Lender thereof. The Borrower may provide in a Borrowing Request that, for each Interest Period ending on and after the Closing Date that the Borrower elects for the then outstanding principal amount of the Term Loans to be automatically continued for an Interest Period of one month and such Borrowing Request shall constitute notice of continuation as required under this Section 2.12(b); provided that (i) the Borrower agrees that if prior to the time of any such continuation any Event of Default has occurred and is continuing or will (immediately after giving effect to such continuation) occur and be continuing, it will immediately notify the Administrative Agent and</w:t>
      </w:r>
    </w:p>
    <w:p>
      <w:pPr>
        <w:spacing w:after="0" w:line="11" w:lineRule="exact"/>
        <w:rPr>
          <w:rFonts w:ascii="Times New Roman" w:cs="Times New Roman" w:eastAsia="Times New Roman" w:hAnsi="Times New Roman"/>
          <w:sz w:val="19"/>
          <w:szCs w:val="19"/>
          <w:color w:val="auto"/>
        </w:rPr>
      </w:pPr>
    </w:p>
    <w:p>
      <w:pPr>
        <w:ind w:left="300" w:hanging="292"/>
        <w:spacing w:after="0" w:line="211" w:lineRule="auto"/>
        <w:tabs>
          <w:tab w:leader="none" w:pos="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time of any such automatic continuation, unless the Administrative Agent receives written notice to the contrary from the</w:t>
      </w:r>
    </w:p>
    <w:p>
      <w:pPr>
        <w:spacing w:after="0"/>
        <w:rPr>
          <w:sz w:val="20"/>
          <w:szCs w:val="20"/>
          <w:color w:val="auto"/>
        </w:rPr>
      </w:pPr>
      <w:r>
        <w:rPr>
          <w:rFonts w:ascii="Times New Roman" w:cs="Times New Roman" w:eastAsia="Times New Roman" w:hAnsi="Times New Roman"/>
          <w:sz w:val="20"/>
          <w:szCs w:val="20"/>
          <w:color w:val="auto"/>
        </w:rPr>
        <w:t>Borrower, the Borrower shall be deemed to certify that no Event of Default has occurred or is continuing.</w:t>
      </w:r>
    </w:p>
    <w:p>
      <w:pPr>
        <w:spacing w:after="0" w:line="167"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Limitations on Adjusted Term SOFR Tranches</w:t>
      </w:r>
      <w:r>
        <w:rPr>
          <w:rFonts w:ascii="Times New Roman" w:cs="Times New Roman" w:eastAsia="Times New Roman" w:hAnsi="Times New Roman"/>
          <w:sz w:val="20"/>
          <w:szCs w:val="20"/>
          <w:color w:val="auto"/>
        </w:rPr>
        <w:t>. Notwithstanding anything to the contrary in this Agreement, all borrowings, conversions and continuations of SOFR Loans and all selections of Interest Periods shall be in such amounts and be made pursuant to such</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elections so that no more than ten different Interest Periods of Term Loans be outstanding at any one time (unless a greater number of Interest Periods is permitted by the Administrative Agent).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Pro Rata Treatment, etc.</w:t>
      </w:r>
    </w:p>
    <w:p>
      <w:pPr>
        <w:spacing w:after="0" w:line="170"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the Term Loan Borrowing on the Closing Date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w:t>
      </w:r>
    </w:p>
    <w:p>
      <w:pPr>
        <w:spacing w:after="0" w:line="166" w:lineRule="exact"/>
        <w:rPr>
          <w:rFonts w:ascii="Times New Roman" w:cs="Times New Roman" w:eastAsia="Times New Roman" w:hAnsi="Times New Roman"/>
          <w:sz w:val="20"/>
          <w:szCs w:val="20"/>
          <w:color w:val="auto"/>
        </w:rPr>
      </w:pPr>
    </w:p>
    <w:p>
      <w:pPr>
        <w:jc w:val="both"/>
        <w:ind w:right="80" w:firstLine="656"/>
        <w:spacing w:after="0" w:line="226" w:lineRule="auto"/>
        <w:tabs>
          <w:tab w:leader="none" w:pos="12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each payment (including each prepayment) by the Borrower on account of principal or interest of the Term Loans shall be made pro rata according to the respective outstanding principal amounts of such Term Loans then held by the applicable Lenders.</w:t>
      </w:r>
    </w:p>
    <w:p>
      <w:pPr>
        <w:spacing w:after="0" w:line="160" w:lineRule="exact"/>
        <w:rPr>
          <w:rFonts w:ascii="Times New Roman" w:cs="Times New Roman" w:eastAsia="Times New Roman" w:hAnsi="Times New Roman"/>
          <w:sz w:val="20"/>
          <w:szCs w:val="20"/>
          <w:color w:val="auto"/>
        </w:rPr>
      </w:pPr>
    </w:p>
    <w:p>
      <w:pPr>
        <w:ind w:right="20" w:firstLine="656"/>
        <w:spacing w:after="0" w:line="216"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Term Loan hereunder shall accrue from and including the date of such Term Loan to but excluding the date on which such Term Loan is paid in full.</w:t>
      </w:r>
    </w:p>
    <w:p>
      <w:pPr>
        <w:spacing w:after="0" w:line="162" w:lineRule="exact"/>
        <w:rPr>
          <w:rFonts w:ascii="Times New Roman" w:cs="Times New Roman" w:eastAsia="Times New Roman" w:hAnsi="Times New Roman"/>
          <w:sz w:val="20"/>
          <w:szCs w:val="20"/>
          <w:color w:val="auto"/>
        </w:rPr>
      </w:pPr>
    </w:p>
    <w:p>
      <w:pPr>
        <w:ind w:right="20" w:firstLine="656"/>
        <w:spacing w:after="0" w:line="215" w:lineRule="auto"/>
        <w:tabs>
          <w:tab w:leader="none" w:pos="12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9" w:right="339" w:bottom="1440" w:gutter="0" w:footer="0" w:header="0"/>
        </w:sectPr>
      </w:pPr>
    </w:p>
    <w:bookmarkStart w:id="97" w:name="page98"/>
    <w:bookmarkEnd w:id="9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60" w:firstLine="656"/>
        <w:spacing w:after="0" w:line="215"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50" w:lineRule="exact"/>
        <w:rPr>
          <w:rFonts w:ascii="Times New Roman" w:cs="Times New Roman" w:eastAsia="Times New Roman" w:hAnsi="Times New Roman"/>
          <w:sz w:val="20"/>
          <w:szCs w:val="20"/>
          <w:color w:val="auto"/>
        </w:rPr>
      </w:pPr>
    </w:p>
    <w:p>
      <w:pPr>
        <w:ind w:left="660" w:right="780" w:firstLine="644"/>
        <w:spacing w:after="0" w:line="230" w:lineRule="auto"/>
        <w:tabs>
          <w:tab w:leader="none" w:pos="195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subject the Administrative Agent, any Lender to any Tax of any kind whatsoever with respect to this Agreement or any SOFR Loan made by it (except for Non-Excluded Taxes or Other Taxes covered by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any Excluded Taxes); or</w:t>
      </w:r>
    </w:p>
    <w:p>
      <w:pPr>
        <w:spacing w:after="0" w:line="148" w:lineRule="exact"/>
        <w:rPr>
          <w:rFonts w:ascii="Times New Roman" w:cs="Times New Roman" w:eastAsia="Times New Roman" w:hAnsi="Times New Roman"/>
          <w:sz w:val="20"/>
          <w:szCs w:val="20"/>
          <w:color w:val="auto"/>
        </w:rPr>
      </w:pPr>
    </w:p>
    <w:p>
      <w:pPr>
        <w:ind w:left="660" w:right="40" w:firstLine="644"/>
        <w:spacing w:after="0" w:line="244" w:lineRule="auto"/>
        <w:tabs>
          <w:tab w:leader="none" w:pos="195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Adjusted Term SOFR; or</w:t>
      </w:r>
    </w:p>
    <w:p>
      <w:pPr>
        <w:spacing w:after="0" w:line="157" w:lineRule="exact"/>
        <w:rPr>
          <w:rFonts w:ascii="Times New Roman" w:cs="Times New Roman" w:eastAsia="Times New Roman" w:hAnsi="Times New Roman"/>
          <w:sz w:val="19"/>
          <w:szCs w:val="19"/>
          <w:color w:val="auto"/>
        </w:rPr>
      </w:pPr>
    </w:p>
    <w:p>
      <w:pPr>
        <w:ind w:right="400" w:firstLine="1304"/>
        <w:spacing w:after="0" w:line="310" w:lineRule="auto"/>
        <w:tabs>
          <w:tab w:leader="none" w:pos="1642"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on any such Lender or the interbank market (by reasons of such Lender’s participation in the interbank market) any other condition, cost or expense (other than Taxes) affecting this Agreement or Term Loans made by such Lender;</w:t>
      </w:r>
    </w:p>
    <w:p>
      <w:pPr>
        <w:spacing w:after="0" w:line="15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and the result of any of the foregoing is to increase the cost to such Lender, by an amount that such Lender deems to be material, of making, converting into, continuing or maintaining SOFR Loans,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spacing w:after="0" w:line="143" w:lineRule="exact"/>
        <w:rPr>
          <w:sz w:val="20"/>
          <w:szCs w:val="20"/>
          <w:color w:val="auto"/>
        </w:rPr>
      </w:pPr>
    </w:p>
    <w:p>
      <w:pPr>
        <w:ind w:firstLine="656"/>
        <w:spacing w:after="0" w:line="225" w:lineRule="auto"/>
        <w:tabs>
          <w:tab w:leader="none" w:pos="1284"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requirements)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54" w:lineRule="exact"/>
        <w:rPr>
          <w:rFonts w:ascii="Times New Roman" w:cs="Times New Roman" w:eastAsia="Times New Roman" w:hAnsi="Times New Roman"/>
          <w:sz w:val="19"/>
          <w:szCs w:val="19"/>
          <w:color w:val="auto"/>
        </w:rPr>
      </w:pPr>
    </w:p>
    <w:p>
      <w:pPr>
        <w:ind w:right="60" w:firstLine="656"/>
        <w:spacing w:after="0" w:line="215"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as to any additional amounts payable pursuant to this Section submitted by any Lender to the Borrower (with a copy to the Administrative Agent) shall be conclusive in the absence of manifest error. Notwithstanding anything to the contrary in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Borrower shall not be required to compensate any Lender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any amounts incurred more than 180 days prior to the date that such Lender notifies the Borrower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survive the termination of this Agreement and the payment of the Term Loans and all other amounts payable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20"/>
          </w:cols>
          <w:pgMar w:left="320" w:top="1399" w:right="359" w:bottom="1440" w:gutter="0" w:footer="0" w:header="0"/>
        </w:sectPr>
      </w:pPr>
    </w:p>
    <w:bookmarkStart w:id="98" w:name="page99"/>
    <w:bookmarkEnd w:id="9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56"/>
        <w:spacing w:after="0" w:line="229" w:lineRule="auto"/>
        <w:tabs>
          <w:tab w:leader="none" w:pos="1286"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hereof, any U.S. federal withholding tax except (A) to the extent such withholding tax results from a change in a Requirement of Law either after the recipient became a party hereto or after it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 xml:space="preserve">; (iv) any withholding Tax that is attributable to the recipient’s failure to comply with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hereof; and (v) any withholding Taxes imposed pursuant to FATCA. If any such non-excluded Taxes (“</w:t>
      </w:r>
      <w:r>
        <w:rPr>
          <w:rFonts w:ascii="Times New Roman" w:cs="Times New Roman" w:eastAsia="Times New Roman" w:hAnsi="Times New Roman"/>
          <w:sz w:val="19"/>
          <w:szCs w:val="19"/>
          <w:u w:val="single" w:color="auto"/>
          <w:color w:val="auto"/>
        </w:rPr>
        <w:t>Non-Excluded Taxes</w:t>
      </w:r>
      <w:r>
        <w:rPr>
          <w:rFonts w:ascii="Times New Roman" w:cs="Times New Roman" w:eastAsia="Times New Roman" w:hAnsi="Times New Roman"/>
          <w:sz w:val="19"/>
          <w:szCs w:val="19"/>
          <w:color w:val="auto"/>
        </w:rPr>
        <w:t>”)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w:t>
      </w:r>
    </w:p>
    <w:p>
      <w:pPr>
        <w:spacing w:after="0" w:line="16" w:lineRule="exact"/>
        <w:rPr>
          <w:rFonts w:ascii="Times New Roman" w:cs="Times New Roman" w:eastAsia="Times New Roman" w:hAnsi="Times New Roman"/>
          <w:sz w:val="19"/>
          <w:szCs w:val="19"/>
          <w:color w:val="auto"/>
        </w:rPr>
      </w:pPr>
    </w:p>
    <w:p>
      <w:pPr>
        <w:ind w:right="6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162"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 xml:space="preserve">, unless the Administrative Agent or a Lender gives notice to the applicable Loan Party that such Loan Party is obligated to pay an amount under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79" w:lineRule="exact"/>
        <w:rPr>
          <w:rFonts w:ascii="Times New Roman" w:cs="Times New Roman" w:eastAsia="Times New Roman" w:hAnsi="Times New Roman"/>
          <w:sz w:val="20"/>
          <w:szCs w:val="20"/>
          <w:color w:val="auto"/>
        </w:rPr>
      </w:pPr>
    </w:p>
    <w:p>
      <w:pPr>
        <w:ind w:right="160" w:firstLine="656"/>
        <w:spacing w:after="0" w:line="233"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relevant Loan Party shall timely pay any Other Taxes to the relevant Governmental Authority in accordance with applicable law.</w:t>
      </w:r>
    </w:p>
    <w:p>
      <w:pPr>
        <w:spacing w:after="0" w:line="160" w:lineRule="exact"/>
        <w:rPr>
          <w:rFonts w:ascii="Times New Roman" w:cs="Times New Roman" w:eastAsia="Times New Roman" w:hAnsi="Times New Roman"/>
          <w:sz w:val="20"/>
          <w:szCs w:val="20"/>
          <w:color w:val="auto"/>
        </w:rPr>
      </w:pPr>
    </w:p>
    <w:p>
      <w:pPr>
        <w:ind w:right="100" w:firstLine="656"/>
        <w:spacing w:after="0" w:line="226"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Taxes are payable by a Loan Party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and for any reasonable expenses arising therefrom or with respect thereto, that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payable by the Administrative Agent or any Lender, whether or not such Non-Excluded Taxes or Other Taxes were correctly or legally</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imposed or asserted by the relevant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obligated to indemnify the Administrative Agent or any Lender for any penalties, interest or expenses relating to Non-Excluded Taxes or Other Taxes to the extent that</w:t>
      </w:r>
    </w:p>
    <w:p>
      <w:pPr>
        <w:spacing w:after="0" w:line="222" w:lineRule="auto"/>
        <w:rPr>
          <w:sz w:val="20"/>
          <w:szCs w:val="20"/>
          <w:color w:val="auto"/>
        </w:rPr>
      </w:pPr>
      <w:r>
        <w:rPr>
          <w:rFonts w:ascii="Times New Roman" w:cs="Times New Roman" w:eastAsia="Times New Roman" w:hAnsi="Times New Roman"/>
          <w:sz w:val="19"/>
          <w:szCs w:val="19"/>
          <w:color w:val="auto"/>
        </w:rPr>
        <w:t>such penalties, interest or expenses are found by a final and nonappealable decision of a court of competent jurisdiction to have resulted from</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party’s gross negligence or willful misconduct. A certificate as to the amount of such payment or liability delivered to the Borrower by a Lender (with a copy to the Administrative Agent), or by the Administrative Agent on its own behalf or on behalf of a Lender,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conclusive absent manifest error.</w:t>
      </w:r>
    </w:p>
    <w:p>
      <w:pPr>
        <w:spacing w:after="0" w:line="167" w:lineRule="exact"/>
        <w:rPr>
          <w:sz w:val="20"/>
          <w:szCs w:val="20"/>
          <w:color w:val="auto"/>
        </w:rPr>
      </w:pPr>
    </w:p>
    <w:p>
      <w:pPr>
        <w:ind w:right="40" w:firstLine="656"/>
        <w:spacing w:after="0" w:line="220" w:lineRule="auto"/>
        <w:tabs>
          <w:tab w:leader="none" w:pos="129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6" w:lineRule="exact"/>
        <w:rPr>
          <w:sz w:val="20"/>
          <w:szCs w:val="20"/>
          <w:color w:val="auto"/>
        </w:rPr>
      </w:pPr>
    </w:p>
    <w:p>
      <w:pPr>
        <w:ind w:left="660" w:right="60" w:firstLine="644"/>
        <w:spacing w:after="0" w:line="222" w:lineRule="auto"/>
        <w:tabs>
          <w:tab w:leader="none" w:pos="195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48" w:lineRule="exact"/>
        <w:rPr>
          <w:rFonts w:ascii="Times New Roman" w:cs="Times New Roman" w:eastAsia="Times New Roman" w:hAnsi="Times New Roman"/>
          <w:sz w:val="20"/>
          <w:szCs w:val="20"/>
          <w:color w:val="auto"/>
        </w:rPr>
      </w:pPr>
    </w:p>
    <w:p>
      <w:pPr>
        <w:ind w:left="660" w:right="140" w:firstLine="644"/>
        <w:spacing w:after="0" w:line="230" w:lineRule="auto"/>
        <w:tabs>
          <w:tab w:leader="none" w:pos="195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48" w:lineRule="exact"/>
        <w:rPr>
          <w:rFonts w:ascii="Times New Roman" w:cs="Times New Roman" w:eastAsia="Times New Roman" w:hAnsi="Times New Roman"/>
          <w:sz w:val="20"/>
          <w:szCs w:val="20"/>
          <w:color w:val="auto"/>
        </w:rPr>
      </w:pPr>
    </w:p>
    <w:p>
      <w:pPr>
        <w:ind w:left="1300" w:right="380" w:firstLine="652"/>
        <w:spacing w:after="0" w:line="266" w:lineRule="auto"/>
        <w:tabs>
          <w:tab w:leader="none" w:pos="2587"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two duly completed copies of Internal Revenue Service Form W-8BEN or W-8BEN-E (or any successor forms) claiming eligibility for benefits of an income tax treaty to which the United States of America is a party,</w:t>
      </w:r>
    </w:p>
    <w:p>
      <w:pPr>
        <w:spacing w:after="0" w:line="136" w:lineRule="exact"/>
        <w:rPr>
          <w:rFonts w:ascii="Times New Roman" w:cs="Times New Roman" w:eastAsia="Times New Roman" w:hAnsi="Times New Roman"/>
          <w:sz w:val="19"/>
          <w:szCs w:val="19"/>
          <w:color w:val="010000"/>
        </w:rPr>
      </w:pPr>
    </w:p>
    <w:p>
      <w:pPr>
        <w:ind w:left="2600" w:hanging="648"/>
        <w:spacing w:after="0"/>
        <w:tabs>
          <w:tab w:leader="none" w:pos="2600"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two duly completed copies of Internal Revenue Service Form W-8ECI (or any successor forms),</w:t>
      </w:r>
    </w:p>
    <w:p>
      <w:pPr>
        <w:spacing w:after="0" w:line="175" w:lineRule="exact"/>
        <w:rPr>
          <w:rFonts w:ascii="Times New Roman" w:cs="Times New Roman" w:eastAsia="Times New Roman" w:hAnsi="Times New Roman"/>
          <w:sz w:val="20"/>
          <w:szCs w:val="20"/>
          <w:color w:val="010000"/>
        </w:rPr>
      </w:pPr>
    </w:p>
    <w:p>
      <w:pPr>
        <w:ind w:left="1300" w:right="40" w:firstLine="652"/>
        <w:spacing w:after="0" w:line="218" w:lineRule="auto"/>
        <w:tabs>
          <w:tab w:leader="none" w:pos="2590"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 Lender claiming the benefits of the exemption for portfolio interest under Section 881(c) of the Code, (x) a certificate,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(any such certificate a “</w:t>
      </w:r>
      <w:r>
        <w:rPr>
          <w:rFonts w:ascii="Times New Roman" w:cs="Times New Roman" w:eastAsia="Times New Roman" w:hAnsi="Times New Roman"/>
          <w:sz w:val="20"/>
          <w:szCs w:val="20"/>
          <w:u w:val="single" w:color="auto"/>
          <w:color w:val="auto"/>
        </w:rPr>
        <w:t>United States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4" w:right="339" w:bottom="1440" w:gutter="0" w:footer="0" w:header="0"/>
        </w:sectPr>
      </w:pPr>
    </w:p>
    <w:bookmarkStart w:id="100" w:name="page101"/>
    <w:bookmarkEnd w:id="100"/>
    <w:p>
      <w:pPr>
        <w:ind w:left="1300"/>
        <w:spacing w:after="0"/>
        <w:rPr>
          <w:sz w:val="20"/>
          <w:szCs w:val="20"/>
          <w:color w:val="auto"/>
        </w:rPr>
      </w:pPr>
      <w:r>
        <w:rPr>
          <w:rFonts w:ascii="Times New Roman" w:cs="Times New Roman" w:eastAsia="Times New Roman" w:hAnsi="Times New Roman"/>
          <w:sz w:val="20"/>
          <w:szCs w:val="20"/>
          <w:color w:val="auto"/>
        </w:rPr>
        <w:t>connection with the Loan Documents are effectively connected with such Lender’s conduct of a U.S. trade or business and</w:t>
      </w:r>
    </w:p>
    <w:p>
      <w:pPr>
        <w:ind w:left="1580" w:hanging="276"/>
        <w:spacing w:after="0"/>
        <w:tabs>
          <w:tab w:leader="none" w:pos="15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duly completed copies of Internal Revenue Service Form W-8BEN or W-8BEN-E (or any successor forms),</w:t>
      </w:r>
    </w:p>
    <w:p>
      <w:pPr>
        <w:spacing w:after="0" w:line="153" w:lineRule="exact"/>
        <w:rPr>
          <w:rFonts w:ascii="Times New Roman" w:cs="Times New Roman" w:eastAsia="Times New Roman" w:hAnsi="Times New Roman"/>
          <w:sz w:val="20"/>
          <w:szCs w:val="20"/>
          <w:color w:val="auto"/>
        </w:rPr>
      </w:pPr>
    </w:p>
    <w:p>
      <w:pPr>
        <w:ind w:left="1300" w:right="60" w:firstLine="652"/>
        <w:spacing w:after="0" w:line="215" w:lineRule="auto"/>
        <w:tabs>
          <w:tab w:leader="none" w:pos="2587"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64" w:lineRule="exact"/>
        <w:rPr>
          <w:rFonts w:ascii="Times New Roman" w:cs="Times New Roman" w:eastAsia="Times New Roman" w:hAnsi="Times New Roman"/>
          <w:sz w:val="20"/>
          <w:szCs w:val="20"/>
          <w:color w:val="010000"/>
        </w:rPr>
      </w:pPr>
    </w:p>
    <w:p>
      <w:pPr>
        <w:ind w:left="1300" w:right="20" w:firstLine="652"/>
        <w:spacing w:after="0" w:line="222" w:lineRule="auto"/>
        <w:tabs>
          <w:tab w:leader="none" w:pos="2592"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62" w:lineRule="exact"/>
        <w:rPr>
          <w:sz w:val="20"/>
          <w:szCs w:val="20"/>
          <w:color w:val="auto"/>
        </w:rPr>
      </w:pPr>
    </w:p>
    <w:p>
      <w:pPr>
        <w:ind w:left="660" w:firstLine="644"/>
        <w:spacing w:after="0" w:line="224" w:lineRule="auto"/>
        <w:tabs>
          <w:tab w:leader="none" w:pos="195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6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172" w:lineRule="exact"/>
        <w:rPr>
          <w:sz w:val="20"/>
          <w:szCs w:val="20"/>
          <w:color w:val="auto"/>
        </w:rPr>
      </w:pPr>
    </w:p>
    <w:p>
      <w:pPr>
        <w:ind w:firstLine="656"/>
        <w:spacing w:after="0" w:line="210"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or any Lender determines, in its sole discretion exercised in good faith, that it has received a refund of any Non-Excluded Taxes or Other Taxes as to which it has been indemnified by a Loan Party or with respect to which a Loan Party has paid additional amounts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it shall promptly notify such Loan Party of such refund and shall, within 30 days after receipt of such refund, pay over such refund to the applicable Loan Party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with respect to the Non-Excluded Taxes or Other Taxes giving rise to such refund), net of all reasonable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Non-Excluded Taxes or Other Taxes subject to indemnification and giving rise to such refund had not been deducted,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20"/>
          </w:cols>
          <w:pgMar w:left="320" w:top="139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withheld or otherwise imposed and the indemnification payments or additional amounts with respect to such Non-Excluded Taxes or Other</w:t>
      </w:r>
    </w:p>
    <w:p>
      <w:pPr>
        <w:ind w:right="20"/>
        <w:spacing w:after="0" w:line="221" w:lineRule="auto"/>
        <w:rPr>
          <w:sz w:val="20"/>
          <w:szCs w:val="20"/>
          <w:color w:val="auto"/>
        </w:rPr>
      </w:pPr>
      <w:r>
        <w:rPr>
          <w:rFonts w:ascii="Times New Roman" w:cs="Times New Roman" w:eastAsia="Times New Roman" w:hAnsi="Times New Roman"/>
          <w:sz w:val="20"/>
          <w:szCs w:val="20"/>
          <w:color w:val="auto"/>
        </w:rPr>
        <w:t>Taxes had never been paid. This paragraph shall not be construed to require the Administrative Agent or any Lender to make available its tax returns (or any other information relating to its Taxes which it deems confidential) to the Borrower or any other Person.</w:t>
      </w:r>
    </w:p>
    <w:p>
      <w:pPr>
        <w:spacing w:after="0" w:line="162" w:lineRule="exact"/>
        <w:rPr>
          <w:sz w:val="20"/>
          <w:szCs w:val="20"/>
          <w:color w:val="auto"/>
        </w:rPr>
      </w:pPr>
    </w:p>
    <w:p>
      <w:pPr>
        <w:ind w:right="140" w:firstLine="656"/>
        <w:spacing w:after="0" w:line="226"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survive the termination of this Agreement, any assignment by or replacement of a Lender, resignation of the Administrative Agent and the payment of the Term Loans and all other amounts payable hereunder or any other Loan Document.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Borrower agrees to indemnify each Lender for, and to hold each Lender harmless from, any loss or expense</w:t>
      </w:r>
    </w:p>
    <w:p>
      <w:pPr>
        <w:ind w:right="80"/>
        <w:spacing w:after="0" w:line="215" w:lineRule="auto"/>
        <w:rPr>
          <w:sz w:val="20"/>
          <w:szCs w:val="20"/>
          <w:color w:val="auto"/>
        </w:rPr>
      </w:pPr>
      <w:r>
        <w:rPr>
          <w:rFonts w:ascii="Times New Roman" w:cs="Times New Roman" w:eastAsia="Times New Roman" w:hAnsi="Times New Roman"/>
          <w:sz w:val="19"/>
          <w:szCs w:val="19"/>
          <w:color w:val="auto"/>
        </w:rPr>
        <w:t>that such Lender may sustain or incur as a consequence of (a) default by the Borrower in making a borrowing of, conversion into or continuation of SOFR Loans after the Borrower has given a notice requesting the same in accordance with the provisions of this Agreement,</w:t>
      </w:r>
    </w:p>
    <w:p>
      <w:pPr>
        <w:ind w:firstLine="8"/>
        <w:spacing w:after="0" w:line="216" w:lineRule="auto"/>
        <w:tabs>
          <w:tab w:leader="none" w:pos="28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by the Borrower in making any prepayment of or conversion from SOFR Loans after the Borrower has given a notice thereof in accordance with the provisions of this Agreement, or (c) the making of a prepayment or conversion of SOFR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Term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submitted to the Borrower by any Lender shall be conclusive in the absence of manifest error. Notwithstanding anything to the contrary in this</w:t>
      </w:r>
    </w:p>
    <w:p>
      <w:pPr>
        <w:spacing w:after="0" w:line="4" w:lineRule="exact"/>
        <w:rPr>
          <w:rFonts w:ascii="Times New Roman" w:cs="Times New Roman" w:eastAsia="Times New Roman" w:hAnsi="Times New Roman"/>
          <w:sz w:val="19"/>
          <w:szCs w:val="19"/>
          <w:color w:val="auto"/>
        </w:rPr>
      </w:pPr>
    </w:p>
    <w:p>
      <w:pPr>
        <w:ind w:right="4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Borrower shall not be required to compensate a Lender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any amounts incurred more than 180 days prior to the date that such Lender notifies the Borrower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Term Loans and all other amounts payable hereunder.</w:t>
      </w:r>
    </w:p>
    <w:p>
      <w:pPr>
        <w:spacing w:after="0" w:line="163" w:lineRule="exact"/>
        <w:rPr>
          <w:sz w:val="20"/>
          <w:szCs w:val="20"/>
          <w:color w:val="auto"/>
        </w:rPr>
      </w:pPr>
    </w:p>
    <w:p>
      <w:pPr>
        <w:ind w:right="3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2.18. </w:t>
      </w:r>
      <w:r>
        <w:rPr>
          <w:rFonts w:ascii="Times New Roman" w:cs="Times New Roman" w:eastAsia="Times New Roman" w:hAnsi="Times New Roman"/>
          <w:sz w:val="19"/>
          <w:szCs w:val="19"/>
          <w:u w:val="single" w:color="auto"/>
          <w:color w:val="auto"/>
        </w:rPr>
        <w:t>Change of Lending Office</w:t>
      </w:r>
      <w:r>
        <w:rPr>
          <w:rFonts w:ascii="Times New Roman" w:cs="Times New Roman" w:eastAsia="Times New Roman" w:hAnsi="Times New Roman"/>
          <w:sz w:val="19"/>
          <w:szCs w:val="19"/>
          <w:color w:val="auto"/>
        </w:rPr>
        <w:t xml:space="preserve">. Each Lender agrees that, upon the occurrence of any event giving rise to the operation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2.16(a)</w:t>
      </w:r>
      <w:r>
        <w:rPr>
          <w:rFonts w:ascii="Times New Roman" w:cs="Times New Roman" w:eastAsia="Times New Roman" w:hAnsi="Times New Roman"/>
          <w:sz w:val="19"/>
          <w:szCs w:val="19"/>
          <w:color w:val="auto"/>
        </w:rPr>
        <w:t xml:space="preserve"> with respect to such Lender, it will, if requested by the Borrower, use reasonable efforts (subject to overall policy</w:t>
      </w:r>
    </w:p>
    <w:p>
      <w:pPr>
        <w:spacing w:after="0" w:line="222" w:lineRule="auto"/>
        <w:rPr>
          <w:sz w:val="20"/>
          <w:szCs w:val="20"/>
          <w:color w:val="auto"/>
        </w:rPr>
      </w:pPr>
      <w:r>
        <w:rPr>
          <w:rFonts w:ascii="Times New Roman" w:cs="Times New Roman" w:eastAsia="Times New Roman" w:hAnsi="Times New Roman"/>
          <w:sz w:val="19"/>
          <w:szCs w:val="19"/>
          <w:color w:val="auto"/>
        </w:rPr>
        <w:t>considerations of such Lender) to designate another lending office for any Term Loans affected by such event with the object of avoiding the</w:t>
      </w:r>
    </w:p>
    <w:p>
      <w:pPr>
        <w:spacing w:after="0" w:line="1" w:lineRule="exact"/>
        <w:rPr>
          <w:sz w:val="20"/>
          <w:szCs w:val="20"/>
          <w:color w:val="auto"/>
        </w:rPr>
      </w:pPr>
    </w:p>
    <w:p>
      <w:pPr>
        <w:ind w:right="360"/>
        <w:spacing w:after="0" w:line="204" w:lineRule="auto"/>
        <w:rPr>
          <w:sz w:val="20"/>
          <w:szCs w:val="20"/>
          <w:color w:val="auto"/>
        </w:rPr>
      </w:pPr>
      <w:r>
        <w:rPr>
          <w:rFonts w:ascii="Times New Roman" w:cs="Times New Roman" w:eastAsia="Times New Roman" w:hAnsi="Times New Roman"/>
          <w:sz w:val="20"/>
          <w:szCs w:val="20"/>
          <w:color w:val="auto"/>
        </w:rPr>
        <w:t xml:space="preserve">consequences of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is made on terms that, in the good faith judgment of such Lender, cause such Lender and its lending office(s) to suffer no economic, legal or regulatory disadvantage,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nothing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shall affect or postpone any of the obligations of the Borrower or the rights of any Lender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2.19.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Borrower agrees to pay (i) the fees in the amounts and on the dates as set forth in the Commitment Letter and Fee Letters and (ii) for the account of the Administrative Agent, the annual administration fee separately agreed in writing between the Borrower</w:t>
      </w:r>
    </w:p>
    <w:p>
      <w:pPr>
        <w:spacing w:after="0"/>
        <w:rPr>
          <w:sz w:val="20"/>
          <w:szCs w:val="20"/>
          <w:color w:val="auto"/>
        </w:rPr>
      </w:pPr>
      <w:r>
        <w:rPr>
          <w:rFonts w:ascii="Times New Roman" w:cs="Times New Roman" w:eastAsia="Times New Roman" w:hAnsi="Times New Roman"/>
          <w:sz w:val="20"/>
          <w:szCs w:val="20"/>
          <w:color w:val="auto"/>
        </w:rPr>
        <w:t>and the Administrative Agent, and, in each case, to perform any other obligations contained therein.</w:t>
      </w:r>
    </w:p>
    <w:p>
      <w:pPr>
        <w:spacing w:after="0" w:line="167" w:lineRule="exact"/>
        <w:rPr>
          <w:sz w:val="20"/>
          <w:szCs w:val="20"/>
          <w:color w:val="auto"/>
        </w:rPr>
      </w:pPr>
    </w:p>
    <w:p>
      <w:pPr>
        <w:jc w:val="both"/>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2.20. </w:t>
      </w:r>
      <w:r>
        <w:rPr>
          <w:rFonts w:ascii="Times New Roman" w:cs="Times New Roman" w:eastAsia="Times New Roman" w:hAnsi="Times New Roman"/>
          <w:sz w:val="19"/>
          <w:szCs w:val="19"/>
          <w:u w:val="single" w:color="auto"/>
          <w:color w:val="auto"/>
        </w:rPr>
        <w:t>Nature of Fees</w:t>
      </w:r>
      <w:r>
        <w:rPr>
          <w:rFonts w:ascii="Times New Roman" w:cs="Times New Roman" w:eastAsia="Times New Roman" w:hAnsi="Times New Roman"/>
          <w:sz w:val="19"/>
          <w:szCs w:val="19"/>
          <w:color w:val="auto"/>
        </w:rPr>
        <w:t>. All Fees shall be paid on the dates due, in immediately available funds, (i) to the Administrative Agent (for the respective accounts of the Administrative Agent and the Lenders), as provided herein and (ii) as provided in the Fee Letters. Once paid,</w:t>
      </w:r>
    </w:p>
    <w:p>
      <w:pPr>
        <w:spacing w:after="0"/>
        <w:rPr>
          <w:sz w:val="20"/>
          <w:szCs w:val="20"/>
          <w:color w:val="auto"/>
        </w:rPr>
      </w:pPr>
      <w:r>
        <w:rPr>
          <w:rFonts w:ascii="Times New Roman" w:cs="Times New Roman" w:eastAsia="Times New Roman" w:hAnsi="Times New Roman"/>
          <w:sz w:val="20"/>
          <w:szCs w:val="20"/>
          <w:color w:val="auto"/>
        </w:rPr>
        <w:t>none of the Fees shall be refundable under any circumstances.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360" w:firstLine="656"/>
        <w:spacing w:after="0" w:line="222" w:lineRule="auto"/>
        <w:tabs>
          <w:tab w:leader="none" w:pos="12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by written notice to the Administrative Agent, request Incremental Term Loan Commitments in an aggregate amount not to exceed the Maximum Facility Amount at such time, from one or more Incremental Term Lenders (which may include any existing Lender willing to provide the same, in their own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Person, if not already a Lender hereunder,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00"/>
          </w:cols>
          <w:pgMar w:left="320" w:top="1394"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the approval of the Administrative Agent (acting reasonably). Such notice shall set forth (i) the amount of the Incremental Term Loan</w:t>
      </w:r>
    </w:p>
    <w:p>
      <w:pPr>
        <w:ind w:right="60"/>
        <w:spacing w:after="0" w:line="204" w:lineRule="auto"/>
        <w:rPr>
          <w:sz w:val="20"/>
          <w:szCs w:val="20"/>
          <w:color w:val="auto"/>
        </w:rPr>
      </w:pPr>
      <w:r>
        <w:rPr>
          <w:rFonts w:ascii="Times New Roman" w:cs="Times New Roman" w:eastAsia="Times New Roman" w:hAnsi="Times New Roman"/>
          <w:sz w:val="20"/>
          <w:szCs w:val="20"/>
          <w:color w:val="auto"/>
        </w:rPr>
        <w:t>Commitments being requested (which shall be in minimum increments of $1,000,000 and a minimum amount of $10,000,000 or equal to the remaining Maximum Facility Amount) and (ii) the date on which such Incremental Term Loan Commitments are requested to become</w:t>
      </w:r>
    </w:p>
    <w:p>
      <w:pPr>
        <w:spacing w:after="0" w:line="1"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20"/>
          <w:szCs w:val="20"/>
          <w:color w:val="auto"/>
        </w:rPr>
        <w:t>effective (which shall not be less than 10 Business Days nor more than 60 days after the date of such notice, unless otherwise agreed to by the Administrative Agent).</w:t>
      </w:r>
    </w:p>
    <w:p>
      <w:pPr>
        <w:spacing w:after="0" w:line="149" w:lineRule="exact"/>
        <w:rPr>
          <w:sz w:val="20"/>
          <w:szCs w:val="20"/>
          <w:color w:val="auto"/>
        </w:rPr>
      </w:pPr>
    </w:p>
    <w:p>
      <w:pPr>
        <w:ind w:right="20" w:firstLine="656"/>
        <w:spacing w:after="0" w:line="222"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Incremental Term Lender shall execute and deliver to the Administrative Agent an Incremental Assumption Amendment and such other documentation as the Administrative Agent shall reasonably specify to evidence the Commitment of such Lender. Each Incremental Assumption Amendment in respect of Incremental Term Loan Commitments shall specify the terms of the Incremental Term Loans to be made thereunder.</w:t>
      </w:r>
    </w:p>
    <w:p>
      <w:pPr>
        <w:spacing w:after="0" w:line="161" w:lineRule="exact"/>
        <w:rPr>
          <w:rFonts w:ascii="Times New Roman" w:cs="Times New Roman" w:eastAsia="Times New Roman" w:hAnsi="Times New Roman"/>
          <w:sz w:val="20"/>
          <w:szCs w:val="20"/>
          <w:color w:val="auto"/>
        </w:rPr>
      </w:pPr>
    </w:p>
    <w:p>
      <w:pPr>
        <w:jc w:val="both"/>
        <w:ind w:right="200" w:firstLine="656"/>
        <w:spacing w:after="0" w:line="226"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scheduled amortization and maturity of any Incremental Term Loans shall be as set forth in the applicable Incremental Assumption Amendment (including any technical changes to the Term Loans that are necessary to make any such Incremental Term Loans fungible with the outstanding Term Loans.</w:t>
      </w:r>
    </w:p>
    <w:p>
      <w:pPr>
        <w:spacing w:after="0" w:line="160" w:lineRule="exact"/>
        <w:rPr>
          <w:rFonts w:ascii="Times New Roman" w:cs="Times New Roman" w:eastAsia="Times New Roman" w:hAnsi="Times New Roman"/>
          <w:sz w:val="20"/>
          <w:szCs w:val="20"/>
          <w:color w:val="auto"/>
        </w:rPr>
      </w:pPr>
    </w:p>
    <w:p>
      <w:pPr>
        <w:ind w:right="500" w:firstLine="656"/>
        <w:spacing w:after="0" w:line="226"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no Incremental Term Loan Commitment shall become effective under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unless (i)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are satisfied and (ii) the Administrative Agent shall have received certified copies of authorizing resolutions of the Board of Directors of the Borrower authorizing such Incremental Term Loan Commitments.</w:t>
      </w:r>
    </w:p>
    <w:p>
      <w:pPr>
        <w:spacing w:after="0" w:line="160" w:lineRule="exact"/>
        <w:rPr>
          <w:rFonts w:ascii="Times New Roman" w:cs="Times New Roman" w:eastAsia="Times New Roman" w:hAnsi="Times New Roman"/>
          <w:sz w:val="20"/>
          <w:szCs w:val="20"/>
          <w:color w:val="auto"/>
        </w:rPr>
      </w:pPr>
    </w:p>
    <w:p>
      <w:pPr>
        <w:ind w:firstLine="656"/>
        <w:spacing w:after="0" w:line="226"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Assumption Amendment may, without the consent of any other Lenders and notwithstanding anything in Section 9.01 to the contrary,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The Borrower shall be permitted to replace any Lender that (a) requests reimbursement for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amounts owing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is unable to designate a different lending office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so as to eliminate the continued need for payment of amounts owing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or (b) does not consent to any</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proposed amendment, supplement, modification, consent or waiver of any provision of this Agreement or any other Loan Document that requires the consent of each of the Lenders or each of the Lenders affected thereby (so long as the consent of the Required Lenders (of all</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Term Loans) has been obtained), in each case with a replacement financial institution(s);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does not conflict</w:t>
      </w:r>
    </w:p>
    <w:p>
      <w:pPr>
        <w:ind w:right="80"/>
        <w:spacing w:after="0" w:line="215" w:lineRule="auto"/>
        <w:rPr>
          <w:sz w:val="20"/>
          <w:szCs w:val="20"/>
          <w:color w:val="auto"/>
        </w:rPr>
      </w:pPr>
      <w:r>
        <w:rPr>
          <w:rFonts w:ascii="Times New Roman" w:cs="Times New Roman" w:eastAsia="Times New Roman" w:hAnsi="Times New Roman"/>
          <w:sz w:val="19"/>
          <w:szCs w:val="19"/>
          <w:color w:val="auto"/>
        </w:rPr>
        <w:t>with any Requirement of Law, (ii) no Event of Default shall have occurred and be continuing at the time of such replacement, (iii) the replacement financial institution(s) shall purchase, at par, all Term Loans outstanding, Term Commitments and other amounts related thereto</w:t>
      </w:r>
    </w:p>
    <w:p>
      <w:pPr>
        <w:spacing w:after="0" w:line="211" w:lineRule="auto"/>
        <w:rPr>
          <w:sz w:val="20"/>
          <w:szCs w:val="20"/>
          <w:color w:val="auto"/>
        </w:rPr>
      </w:pPr>
      <w:r>
        <w:rPr>
          <w:rFonts w:ascii="Times New Roman" w:cs="Times New Roman" w:eastAsia="Times New Roman" w:hAnsi="Times New Roman"/>
          <w:sz w:val="20"/>
          <w:szCs w:val="20"/>
          <w:color w:val="auto"/>
        </w:rPr>
        <w:t>owing to such replaced Lender on or prior to the date of replacement, (iv) the Borrower shall be liable to such replaced Lender under</w:t>
      </w:r>
    </w:p>
    <w:p>
      <w:pPr>
        <w:ind w:right="20"/>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if any SOFR Loan owing to such replaced Lender shall be purchased other than on the last day of the Interest Period relating thereto, (v) the replacement financial institution(s) (if other than a then existing Lender or an affiliate thereof) shall be reasonably satisfactory</w:t>
      </w:r>
    </w:p>
    <w:p>
      <w:pPr>
        <w:spacing w:after="0" w:line="211" w:lineRule="auto"/>
        <w:rPr>
          <w:sz w:val="20"/>
          <w:szCs w:val="20"/>
          <w:color w:val="auto"/>
        </w:rPr>
      </w:pPr>
      <w:r>
        <w:rPr>
          <w:rFonts w:ascii="Times New Roman" w:cs="Times New Roman" w:eastAsia="Times New Roman" w:hAnsi="Times New Roman"/>
          <w:sz w:val="20"/>
          <w:szCs w:val="20"/>
          <w:color w:val="auto"/>
        </w:rPr>
        <w:t>to the Administrative Agent (such consent not to be unreasonably withheld, delayed or conditioned), (vi) the replaced Lender shall be</w:t>
      </w:r>
    </w:p>
    <w:p>
      <w:pPr>
        <w:ind w:right="260"/>
        <w:spacing w:after="0" w:line="215" w:lineRule="auto"/>
        <w:rPr>
          <w:sz w:val="20"/>
          <w:szCs w:val="20"/>
          <w:color w:val="auto"/>
        </w:rPr>
      </w:pPr>
      <w:r>
        <w:rPr>
          <w:rFonts w:ascii="Times New Roman" w:cs="Times New Roman" w:eastAsia="Times New Roman" w:hAnsi="Times New Roman"/>
          <w:sz w:val="19"/>
          <w:szCs w:val="19"/>
          <w:color w:val="auto"/>
        </w:rPr>
        <w:t xml:space="preserve">obligated to make such replacement in accordance with the provisions of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obligated to pay the registration and processing fee referred to therein), (vii) until such time as such replacement shall be consummated, the Borrower shall</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pay all additional amounts (if any) required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as the case may be, and (viii) any such replacement shall</w:t>
      </w:r>
    </w:p>
    <w:p>
      <w:pPr>
        <w:ind w:right="220"/>
        <w:spacing w:after="0" w:line="221" w:lineRule="auto"/>
        <w:rPr>
          <w:sz w:val="20"/>
          <w:szCs w:val="20"/>
          <w:color w:val="auto"/>
        </w:rPr>
      </w:pPr>
      <w:r>
        <w:rPr>
          <w:rFonts w:ascii="Times New Roman" w:cs="Times New Roman" w:eastAsia="Times New Roman" w:hAnsi="Times New Roman"/>
          <w:sz w:val="20"/>
          <w:szCs w:val="20"/>
          <w:color w:val="auto"/>
        </w:rPr>
        <w:t>not be deemed to be a waiver of any rights that the Borrower, the Administrative Agent or any other Lender shall have against the replaced Lender.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anything to the contrary contained in this Agreement, if any Lender becomes a</w:t>
      </w:r>
    </w:p>
    <w:p>
      <w:pPr>
        <w:spacing w:after="0"/>
        <w:rPr>
          <w:sz w:val="20"/>
          <w:szCs w:val="20"/>
          <w:color w:val="auto"/>
        </w:rPr>
      </w:pPr>
      <w:r>
        <w:rPr>
          <w:rFonts w:ascii="Times New Roman" w:cs="Times New Roman" w:eastAsia="Times New Roman" w:hAnsi="Times New Roman"/>
          <w:sz w:val="20"/>
          <w:szCs w:val="20"/>
          <w:color w:val="auto"/>
        </w:rPr>
        <w:t>Defaulting Lender, then, until such time as such Lender is no longer a Defaulting Lender, to the extent permitted by applicable law:</w:t>
      </w:r>
    </w:p>
    <w:p>
      <w:pPr>
        <w:spacing w:after="0" w:line="153" w:lineRule="exact"/>
        <w:rPr>
          <w:sz w:val="20"/>
          <w:szCs w:val="20"/>
          <w:color w:val="auto"/>
        </w:rPr>
      </w:pPr>
    </w:p>
    <w:p>
      <w:pPr>
        <w:ind w:right="200" w:firstLine="656"/>
        <w:spacing w:after="0" w:line="222"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The Term Loans and Term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amendment, waiver or other modification requiring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20"/>
          </w:cols>
          <w:pgMar w:left="320" w:top="1394" w:right="359" w:bottom="1440" w:gutter="0" w:footer="0" w:header="0"/>
        </w:sectPr>
      </w:pPr>
    </w:p>
    <w:bookmarkStart w:id="103" w:name="page104"/>
    <w:bookmarkEnd w:id="103"/>
    <w:p>
      <w:pPr>
        <w:ind w:right="520"/>
        <w:spacing w:after="0"/>
        <w:rPr>
          <w:sz w:val="20"/>
          <w:szCs w:val="20"/>
          <w:color w:val="auto"/>
        </w:rPr>
      </w:pPr>
      <w:r>
        <w:rPr>
          <w:rFonts w:ascii="Times New Roman" w:cs="Times New Roman" w:eastAsia="Times New Roman" w:hAnsi="Times New Roman"/>
          <w:sz w:val="20"/>
          <w:szCs w:val="20"/>
          <w:color w:val="auto"/>
        </w:rPr>
        <w:t xml:space="preserve">the consent of all Lenders or all Lenders affected thereby shall, except as otherwise provided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require the consent of such Defaulting Lender in accordance with the terms hereof.</w:t>
      </w:r>
    </w:p>
    <w:p>
      <w:pPr>
        <w:spacing w:after="0" w:line="148" w:lineRule="exact"/>
        <w:rPr>
          <w:sz w:val="20"/>
          <w:szCs w:val="20"/>
          <w:color w:val="auto"/>
        </w:rPr>
      </w:pPr>
    </w:p>
    <w:p>
      <w:pPr>
        <w:ind w:right="40" w:firstLine="656"/>
        <w:spacing w:after="0" w:line="211"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hereunder (whether voluntary, at maturity,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Term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Term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53" w:lineRule="exact"/>
        <w:rPr>
          <w:rFonts w:ascii="Times New Roman" w:cs="Times New Roman" w:eastAsia="Times New Roman" w:hAnsi="Times New Roman"/>
          <w:sz w:val="20"/>
          <w:szCs w:val="20"/>
          <w:color w:val="auto"/>
        </w:rPr>
      </w:pPr>
    </w:p>
    <w:p>
      <w:pPr>
        <w:ind w:right="60" w:firstLine="656"/>
        <w:spacing w:after="0" w:line="224" w:lineRule="auto"/>
        <w:tabs>
          <w:tab w:leader="none" w:pos="128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Term Loans of the other Lenders or take such other actions as the Administrative Agent (unless the Administrative Agent is the Defaulting Lender) may determine to be necessary to cause the Term Loans to be held pro rata by the Lenders in accordance with the relative amounts of their Term Commitments,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Section 3</w:t>
      </w: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represents and warrant on the Closing Date to the Administrative Agent and each Lender as follows:</w:t>
      </w:r>
    </w:p>
    <w:p>
      <w:pPr>
        <w:spacing w:after="0" w:line="216"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Existence; Compliance with Law</w:t>
      </w:r>
      <w:r>
        <w:rPr>
          <w:rFonts w:ascii="Times New Roman" w:cs="Times New Roman" w:eastAsia="Times New Roman" w:hAnsi="Times New Roman"/>
          <w:sz w:val="19"/>
          <w:szCs w:val="19"/>
          <w:color w:val="auto"/>
        </w:rPr>
        <w:t>. Each Loan Party (a) is duly organized, validly existing and (to the extent such concept is applicable) in good standing under the laws of the jurisdiction of its organization, (b) has the power and authority, and the legal right, to own</w:t>
      </w:r>
    </w:p>
    <w:p>
      <w:pPr>
        <w:spacing w:after="0" w:line="211" w:lineRule="auto"/>
        <w:rPr>
          <w:sz w:val="20"/>
          <w:szCs w:val="20"/>
          <w:color w:val="auto"/>
        </w:rPr>
      </w:pPr>
      <w:r>
        <w:rPr>
          <w:rFonts w:ascii="Times New Roman" w:cs="Times New Roman" w:eastAsia="Times New Roman" w:hAnsi="Times New Roman"/>
          <w:sz w:val="20"/>
          <w:szCs w:val="20"/>
          <w:color w:val="auto"/>
        </w:rPr>
        <w:t>and operate its property, to lease the property it operates as lessee and to conduct the business in which it is currently engaged, (c) is duly</w:t>
      </w:r>
    </w:p>
    <w:p>
      <w:pPr>
        <w:spacing w:after="0" w:line="1"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0"/>
          <w:szCs w:val="20"/>
          <w:color w:val="auto"/>
        </w:rPr>
        <w:t>qualified as a foreign corporation or other organization and (to the extent such concept is applicable) in good standing under the laws of each jurisdiction where its ownership, lease or operation of property or the conduct of its business requires such qualification, and (d) is in</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compliance with all Requirements of Law, except, in the case of each of the foregoing clauses (a) through (d), to the extent that the failure to comply therewith would not, in the aggregate, reasonably be expected to have a Material Adverse Effect.</w:t>
      </w:r>
    </w:p>
    <w:p>
      <w:pPr>
        <w:spacing w:after="0" w:line="149"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Power; Authorizations; Enforceable Obligations</w:t>
      </w:r>
      <w:r>
        <w:rPr>
          <w:rFonts w:ascii="Times New Roman" w:cs="Times New Roman" w:eastAsia="Times New Roman" w:hAnsi="Times New Roman"/>
          <w:sz w:val="20"/>
          <w:szCs w:val="20"/>
          <w:color w:val="auto"/>
        </w:rPr>
        <w:t>. Each Loan Party has the power and authority, and the legal right, to make, deliver and perform the Loan Documents to which it is a party and, in the case of the Borrower, to obtain extensions of credit hereunder.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Each Loan Party has taken all necessary organizational action to authorize the execution, delivery and performance of the Loan Documents to which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color w:val="auto"/>
        </w:rPr>
        <w:t>is a party and, in the case of the Borrower, to authorize the extensions of credit on the terms and conditions of this Agreement. No consent or</w:t>
      </w:r>
    </w:p>
    <w:p>
      <w:pPr>
        <w:spacing w:after="0" w:line="6"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authorization of, filing with, notice to or other act by or in respect of, any Governmental Authority is required in connection with the extensions of credit hereunder or with the execution, delivery, performance, validity or enforceability of this Agreement or any of the Loan</w:t>
      </w:r>
    </w:p>
    <w:p>
      <w:pPr>
        <w:spacing w:after="0" w:line="222" w:lineRule="auto"/>
        <w:rPr>
          <w:sz w:val="20"/>
          <w:szCs w:val="20"/>
          <w:color w:val="auto"/>
        </w:rPr>
      </w:pPr>
      <w:r>
        <w:rPr>
          <w:rFonts w:ascii="Times New Roman" w:cs="Times New Roman" w:eastAsia="Times New Roman" w:hAnsi="Times New Roman"/>
          <w:sz w:val="19"/>
          <w:szCs w:val="19"/>
          <w:color w:val="auto"/>
        </w:rPr>
        <w:t>Documents, except (i) that have been obtained or made and are in full force and effect and (ii) to the extent that the failure to obtain any such</w:t>
      </w:r>
    </w:p>
    <w:p>
      <w:pPr>
        <w:ind w:right="20"/>
        <w:spacing w:after="0" w:line="215" w:lineRule="auto"/>
        <w:rPr>
          <w:sz w:val="20"/>
          <w:szCs w:val="20"/>
          <w:color w:val="auto"/>
        </w:rPr>
      </w:pPr>
      <w:r>
        <w:rPr>
          <w:rFonts w:ascii="Times New Roman" w:cs="Times New Roman" w:eastAsia="Times New Roman" w:hAnsi="Times New Roman"/>
          <w:sz w:val="19"/>
          <w:szCs w:val="19"/>
          <w:color w:val="auto"/>
        </w:rPr>
        <w:t>consent, authorization, filing, notice or other act would not, in the aggregate, reasonably be expected to have a Material Adverse Effect. Each Loan Document has been duly executed and delivered on behalf of each Loan Party party thereto. This Agreement constitutes, and each other</w:t>
      </w:r>
    </w:p>
    <w:p>
      <w:pPr>
        <w:spacing w:after="0" w:line="211" w:lineRule="auto"/>
        <w:rPr>
          <w:sz w:val="20"/>
          <w:szCs w:val="20"/>
          <w:color w:val="auto"/>
        </w:rPr>
      </w:pPr>
      <w:r>
        <w:rPr>
          <w:rFonts w:ascii="Times New Roman" w:cs="Times New Roman" w:eastAsia="Times New Roman" w:hAnsi="Times New Roman"/>
          <w:sz w:val="20"/>
          <w:szCs w:val="20"/>
          <w:color w:val="auto"/>
        </w:rPr>
        <w:t>Loan Document upon execution will constitute, a legal, valid and binding obligation of each Loan Party party thereto, enforceable against</w:t>
      </w:r>
    </w:p>
    <w:p>
      <w:pPr>
        <w:ind w:right="640"/>
        <w:spacing w:after="0" w:line="215" w:lineRule="auto"/>
        <w:rPr>
          <w:sz w:val="20"/>
          <w:szCs w:val="20"/>
          <w:color w:val="auto"/>
        </w:rPr>
      </w:pPr>
      <w:r>
        <w:rPr>
          <w:rFonts w:ascii="Times New Roman" w:cs="Times New Roman" w:eastAsia="Times New Roman" w:hAnsi="Times New Roman"/>
          <w:sz w:val="19"/>
          <w:szCs w:val="19"/>
          <w:color w:val="auto"/>
        </w:rPr>
        <w:t>each such Loan Party in accordance with its terms, except as enforceability may be limited by applicable bankruptcy, insolvency, reorganization, moratorium or similar laws affecting the enforcement of creditors’ rights generally and by general equitable principles</w:t>
      </w:r>
    </w:p>
    <w:p>
      <w:pPr>
        <w:spacing w:after="0"/>
        <w:rPr>
          <w:sz w:val="20"/>
          <w:szCs w:val="20"/>
          <w:color w:val="auto"/>
        </w:rPr>
      </w:pPr>
      <w:r>
        <w:rPr>
          <w:rFonts w:ascii="Times New Roman" w:cs="Times New Roman" w:eastAsia="Times New Roman" w:hAnsi="Times New Roman"/>
          <w:sz w:val="20"/>
          <w:szCs w:val="20"/>
          <w:color w:val="auto"/>
        </w:rPr>
        <w:t>(whether enforcement is sought by proceedings in equity or at law).</w:t>
      </w:r>
    </w:p>
    <w:p>
      <w:pPr>
        <w:spacing w:after="0" w:line="167"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No Legal Bar</w:t>
      </w:r>
      <w:r>
        <w:rPr>
          <w:rFonts w:ascii="Times New Roman" w:cs="Times New Roman" w:eastAsia="Times New Roman" w:hAnsi="Times New Roman"/>
          <w:sz w:val="20"/>
          <w:szCs w:val="20"/>
          <w:color w:val="auto"/>
        </w:rPr>
        <w:t>. The execution, delivery and performance of this Agreement and the other Loan Documents, the borrowings hereunder and the use of the proceeds thereof (x) will not violate any Requirement of Law or any material Contractual Obligation of any</w:t>
      </w:r>
    </w:p>
    <w:p>
      <w:pPr>
        <w:spacing w:after="0" w:line="212" w:lineRule="auto"/>
        <w:rPr>
          <w:sz w:val="20"/>
          <w:szCs w:val="20"/>
          <w:color w:val="auto"/>
        </w:rPr>
      </w:pPr>
      <w:r>
        <w:rPr>
          <w:rFonts w:ascii="Times New Roman" w:cs="Times New Roman" w:eastAsia="Times New Roman" w:hAnsi="Times New Roman"/>
          <w:sz w:val="20"/>
          <w:szCs w:val="20"/>
          <w:color w:val="auto"/>
        </w:rPr>
        <w:t>Loan Party and (y) will not result in, or require, the creation or imposition of any Lien on any of their respective properties or revenues</w:t>
      </w:r>
    </w:p>
    <w:p>
      <w:pPr>
        <w:spacing w:after="0" w:line="1" w:lineRule="exact"/>
        <w:rPr>
          <w:sz w:val="20"/>
          <w:szCs w:val="20"/>
          <w:color w:val="auto"/>
        </w:rPr>
      </w:pPr>
    </w:p>
    <w:p>
      <w:pPr>
        <w:jc w:val="both"/>
        <w:ind w:right="120"/>
        <w:spacing w:after="0" w:line="233" w:lineRule="auto"/>
        <w:rPr>
          <w:sz w:val="20"/>
          <w:szCs w:val="20"/>
          <w:color w:val="auto"/>
        </w:rPr>
      </w:pPr>
      <w:r>
        <w:rPr>
          <w:rFonts w:ascii="Times New Roman" w:cs="Times New Roman" w:eastAsia="Times New Roman" w:hAnsi="Times New Roman"/>
          <w:sz w:val="19"/>
          <w:szCs w:val="19"/>
          <w:color w:val="auto"/>
        </w:rPr>
        <w:t>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Accuracy of Information</w:t>
      </w:r>
      <w:r>
        <w:rPr>
          <w:rFonts w:ascii="Times New Roman" w:cs="Times New Roman" w:eastAsia="Times New Roman" w:hAnsi="Times New Roman"/>
          <w:sz w:val="19"/>
          <w:szCs w:val="19"/>
          <w:color w:val="auto"/>
        </w:rPr>
        <w:t>. No statement or information contained in this Agreement, any other Loan Document, or any other</w:t>
      </w:r>
    </w:p>
    <w:p>
      <w:pPr>
        <w:jc w:val="both"/>
        <w:ind w:right="160"/>
        <w:spacing w:after="0" w:line="215" w:lineRule="auto"/>
        <w:rPr>
          <w:sz w:val="20"/>
          <w:szCs w:val="20"/>
          <w:color w:val="auto"/>
        </w:rPr>
      </w:pPr>
      <w:r>
        <w:rPr>
          <w:rFonts w:ascii="Times New Roman" w:cs="Times New Roman" w:eastAsia="Times New Roman" w:hAnsi="Times New Roman"/>
          <w:sz w:val="19"/>
          <w:szCs w:val="19"/>
          <w:color w:val="auto"/>
        </w:rPr>
        <w:t>document, certificate or statement, furnished by or on behalf of any Loan Party to the Administrative Agent or the Lenders, or any of them, for use in connection with the transactions contemplated by this Agreement or the other Loan Documents, contained as of the Closing Date,</w:t>
      </w:r>
    </w:p>
    <w:p>
      <w:pPr>
        <w:ind w:right="280"/>
        <w:spacing w:after="0" w:line="215" w:lineRule="auto"/>
        <w:rPr>
          <w:sz w:val="20"/>
          <w:szCs w:val="20"/>
          <w:color w:val="auto"/>
        </w:rPr>
      </w:pPr>
      <w:r>
        <w:rPr>
          <w:rFonts w:ascii="Times New Roman" w:cs="Times New Roman" w:eastAsia="Times New Roman" w:hAnsi="Times New Roman"/>
          <w:sz w:val="19"/>
          <w:szCs w:val="19"/>
          <w:color w:val="auto"/>
        </w:rPr>
        <w:t xml:space="preserve">taken as a whole and in light of the circumstances in which made, any untrue statement of a material fact or omitted to state a material fact necessary to make the statements contained herein or therein not materially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w:t>
      </w:r>
    </w:p>
    <w:p>
      <w:pPr>
        <w:spacing w:after="0" w:line="211" w:lineRule="auto"/>
        <w:rPr>
          <w:sz w:val="20"/>
          <w:szCs w:val="20"/>
          <w:color w:val="auto"/>
        </w:rPr>
      </w:pPr>
      <w:r>
        <w:rPr>
          <w:rFonts w:ascii="Times New Roman" w:cs="Times New Roman" w:eastAsia="Times New Roman" w:hAnsi="Times New Roman"/>
          <w:sz w:val="20"/>
          <w:szCs w:val="20"/>
          <w:color w:val="auto"/>
        </w:rPr>
        <w:t>information, each Loan Party represents only that such information was prepared in good faith based upon assumptions believed by them to</w:t>
      </w:r>
    </w:p>
    <w:p>
      <w:pPr>
        <w:ind w:right="260"/>
        <w:spacing w:after="0" w:line="233" w:lineRule="auto"/>
        <w:rPr>
          <w:sz w:val="20"/>
          <w:szCs w:val="20"/>
          <w:color w:val="auto"/>
        </w:rPr>
      </w:pPr>
      <w:r>
        <w:rPr>
          <w:rFonts w:ascii="Times New Roman" w:cs="Times New Roman" w:eastAsia="Times New Roman" w:hAnsi="Times New Roman"/>
          <w:sz w:val="19"/>
          <w:szCs w:val="19"/>
          <w:color w:val="auto"/>
        </w:rPr>
        <w:t>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61" w:lineRule="exact"/>
        <w:rPr>
          <w:sz w:val="20"/>
          <w:szCs w:val="20"/>
          <w:color w:val="auto"/>
        </w:rPr>
      </w:pPr>
    </w:p>
    <w:p>
      <w:pPr>
        <w:ind w:right="280" w:firstLine="648"/>
        <w:spacing w:after="0"/>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Title to Assets; Liens</w:t>
      </w:r>
      <w:r>
        <w:rPr>
          <w:rFonts w:ascii="Times New Roman" w:cs="Times New Roman" w:eastAsia="Times New Roman" w:hAnsi="Times New Roman"/>
          <w:sz w:val="19"/>
          <w:szCs w:val="19"/>
          <w:color w:val="auto"/>
        </w:rPr>
        <w:t>. The Borrower and its Restricted Subsidiaries have good and marketable title to, or a valid leasehold or easement interest in, all their other material property, taken as a whole, except for minor defects in title that do not interfere with their ability</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to conduct their business as currently conducted or as proposed to be conducted or to utilize such properties for their intended purposes, in each case, except as would not reasonably be expected to have, individually or in the aggregate, a Material Adverse Effect, and none of such</w:t>
      </w:r>
    </w:p>
    <w:p>
      <w:pPr>
        <w:spacing w:after="0"/>
        <w:rPr>
          <w:sz w:val="20"/>
          <w:szCs w:val="20"/>
          <w:color w:val="auto"/>
        </w:rPr>
      </w:pPr>
      <w:r>
        <w:rPr>
          <w:rFonts w:ascii="Times New Roman" w:cs="Times New Roman" w:eastAsia="Times New Roman" w:hAnsi="Times New Roman"/>
          <w:sz w:val="20"/>
          <w:szCs w:val="20"/>
          <w:color w:val="auto"/>
        </w:rPr>
        <w:t xml:space="preserve">property is subject to any Lien except Liens permitted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Borrower and its Restricted Subsidiaries own, or are licensed to use, all Intellectual Property material to the conduct of their businesses, and the use thereof by the Borrower and its Restricted Subsidiaries does not, to the knowledge of</w:t>
      </w:r>
    </w:p>
    <w:p>
      <w:pPr>
        <w:spacing w:after="0" w:line="211" w:lineRule="auto"/>
        <w:rPr>
          <w:sz w:val="20"/>
          <w:szCs w:val="20"/>
          <w:color w:val="auto"/>
        </w:rPr>
      </w:pPr>
      <w:r>
        <w:rPr>
          <w:rFonts w:ascii="Times New Roman" w:cs="Times New Roman" w:eastAsia="Times New Roman" w:hAnsi="Times New Roman"/>
          <w:sz w:val="20"/>
          <w:szCs w:val="20"/>
          <w:color w:val="auto"/>
        </w:rPr>
        <w:t>the Borrower, infringe upon, misappropriate or otherwise violate the Intellectual Property rights of any other Person, in each case except</w:t>
      </w:r>
    </w:p>
    <w:p>
      <w:pPr>
        <w:spacing w:after="0" w:line="1" w:lineRule="exact"/>
        <w:rPr>
          <w:sz w:val="20"/>
          <w:szCs w:val="20"/>
          <w:color w:val="auto"/>
        </w:rPr>
      </w:pPr>
    </w:p>
    <w:p>
      <w:pPr>
        <w:ind w:right="480"/>
        <w:spacing w:after="0" w:line="221" w:lineRule="auto"/>
        <w:rPr>
          <w:sz w:val="20"/>
          <w:szCs w:val="20"/>
          <w:color w:val="auto"/>
        </w:rPr>
      </w:pPr>
      <w:r>
        <w:rPr>
          <w:rFonts w:ascii="Times New Roman" w:cs="Times New Roman" w:eastAsia="Times New Roman" w:hAnsi="Times New Roman"/>
          <w:sz w:val="20"/>
          <w:szCs w:val="20"/>
          <w:color w:val="auto"/>
        </w:rPr>
        <w:t>where the failure to own or license Intellectual Property, or any infringement on Intellectual Property rights would not, in the aggregate, reasonably be expected to have a Material Adverse Effect.</w:t>
      </w:r>
    </w:p>
    <w:p>
      <w:pPr>
        <w:spacing w:after="0" w:line="162" w:lineRule="exact"/>
        <w:rPr>
          <w:sz w:val="20"/>
          <w:szCs w:val="20"/>
          <w:color w:val="auto"/>
        </w:rPr>
      </w:pPr>
    </w:p>
    <w:p>
      <w:pPr>
        <w:ind w:right="760" w:firstLine="648"/>
        <w:spacing w:after="0"/>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shall be utilized for general corporate purposes, including capital expenditures.</w:t>
      </w:r>
    </w:p>
    <w:p>
      <w:pPr>
        <w:spacing w:after="0" w:line="148" w:lineRule="exact"/>
        <w:rPr>
          <w:sz w:val="20"/>
          <w:szCs w:val="20"/>
          <w:color w:val="auto"/>
        </w:rPr>
      </w:pPr>
    </w:p>
    <w:p>
      <w:pPr>
        <w:ind w:right="100" w:firstLine="648"/>
        <w:spacing w:after="0" w:line="230"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9" w:right="339" w:bottom="1440" w:gutter="0" w:footer="0" w:header="0"/>
        </w:sectPr>
      </w:pPr>
    </w:p>
    <w:bookmarkStart w:id="105" w:name="page106"/>
    <w:bookmarkEnd w:id="105"/>
    <w:p>
      <w:pPr>
        <w:ind w:right="580"/>
        <w:spacing w:after="0"/>
        <w:rPr>
          <w:sz w:val="20"/>
          <w:szCs w:val="20"/>
          <w:color w:val="auto"/>
        </w:rPr>
      </w:pPr>
      <w:r>
        <w:rPr>
          <w:rFonts w:ascii="Times New Roman" w:cs="Times New Roman" w:eastAsia="Times New Roman" w:hAnsi="Times New Roman"/>
          <w:sz w:val="20"/>
          <w:szCs w:val="20"/>
          <w:color w:val="auto"/>
        </w:rPr>
        <w:t>or against any of their respective properties, rights or revenues that, in the aggregate, would reasonably be expected to have a Material Adverse Effect.</w:t>
      </w:r>
    </w:p>
    <w:p>
      <w:pPr>
        <w:spacing w:after="0" w:line="148" w:lineRule="exact"/>
        <w:rPr>
          <w:sz w:val="20"/>
          <w:szCs w:val="20"/>
          <w:color w:val="auto"/>
        </w:rPr>
      </w:pPr>
    </w:p>
    <w:p>
      <w:pPr>
        <w:ind w:right="180"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 No part of the proceeds of any Term Loan will be used for any purpose that violates the provisions of the Regulations of the FRB. Neither the Borrower nor any of its Subsidiaries is engaged principally, or as one of its important activities, in the business of extending credit for the purpose of purchasing or carrying any “margin stock.”</w:t>
      </w:r>
    </w:p>
    <w:p>
      <w:pPr>
        <w:spacing w:after="0" w:line="149" w:lineRule="exact"/>
        <w:rPr>
          <w:sz w:val="20"/>
          <w:szCs w:val="20"/>
          <w:color w:val="auto"/>
        </w:rPr>
      </w:pPr>
    </w:p>
    <w:p>
      <w:pPr>
        <w:ind w:right="900" w:firstLine="648"/>
        <w:spacing w:after="0"/>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Borrower and its Subsidiaries, taken as a whole, are, and after giving effect to the incurrence of all Indebtedness and obligations being incurred in connection herewith will be, Solvent.</w:t>
      </w:r>
    </w:p>
    <w:p>
      <w:pPr>
        <w:spacing w:after="0" w:line="161"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w:t>
      </w:r>
    </w:p>
    <w:p>
      <w:pPr>
        <w:spacing w:after="0" w:line="211" w:lineRule="auto"/>
        <w:rPr>
          <w:sz w:val="20"/>
          <w:szCs w:val="20"/>
          <w:color w:val="auto"/>
        </w:rPr>
      </w:pPr>
      <w:r>
        <w:rPr>
          <w:rFonts w:ascii="Times New Roman" w:cs="Times New Roman" w:eastAsia="Times New Roman" w:hAnsi="Times New Roman"/>
          <w:sz w:val="20"/>
          <w:szCs w:val="20"/>
          <w:color w:val="auto"/>
        </w:rPr>
        <w:t>reasonably be expected to have a Material Adverse Effect, and has paid all Taxes shown to be due and payable on said returns or on any</w:t>
      </w:r>
    </w:p>
    <w:p>
      <w:pPr>
        <w:spacing w:after="0" w:line="1" w:lineRule="exact"/>
        <w:rPr>
          <w:sz w:val="20"/>
          <w:szCs w:val="20"/>
          <w:color w:val="auto"/>
        </w:rPr>
      </w:pPr>
    </w:p>
    <w:p>
      <w:pPr>
        <w:ind w:right="580"/>
        <w:spacing w:after="0" w:line="215" w:lineRule="auto"/>
        <w:rPr>
          <w:sz w:val="20"/>
          <w:szCs w:val="20"/>
          <w:color w:val="auto"/>
        </w:rPr>
      </w:pPr>
      <w:r>
        <w:rPr>
          <w:rFonts w:ascii="Times New Roman" w:cs="Times New Roman" w:eastAsia="Times New Roman" w:hAnsi="Times New Roman"/>
          <w:sz w:val="19"/>
          <w:szCs w:val="19"/>
          <w:color w:val="auto"/>
        </w:rPr>
        <w:t>assessments made against it or any of its property and all other Taxes, fees or other charges imposed on it or any of its property by any Governmental Authority (other than any (x) the amount or validity of which are currently being contested in good faith by appropriate</w:t>
      </w:r>
    </w:p>
    <w:p>
      <w:pPr>
        <w:spacing w:after="0" w:line="222" w:lineRule="auto"/>
        <w:rPr>
          <w:sz w:val="20"/>
          <w:szCs w:val="20"/>
          <w:color w:val="auto"/>
        </w:rPr>
      </w:pPr>
      <w:r>
        <w:rPr>
          <w:rFonts w:ascii="Times New Roman" w:cs="Times New Roman" w:eastAsia="Times New Roman" w:hAnsi="Times New Roman"/>
          <w:sz w:val="19"/>
          <w:szCs w:val="19"/>
          <w:color w:val="auto"/>
        </w:rPr>
        <w:t>proceedings and with respect to which reserves in conformity with GAAP have been provided on the books of the relevant entity, or (y) those</w:t>
      </w:r>
    </w:p>
    <w:p>
      <w:pPr>
        <w:ind w:right="200"/>
        <w:spacing w:after="0" w:line="215" w:lineRule="auto"/>
        <w:rPr>
          <w:sz w:val="20"/>
          <w:szCs w:val="20"/>
          <w:color w:val="auto"/>
        </w:rPr>
      </w:pPr>
      <w:r>
        <w:rPr>
          <w:rFonts w:ascii="Times New Roman" w:cs="Times New Roman" w:eastAsia="Times New Roman" w:hAnsi="Times New Roman"/>
          <w:sz w:val="19"/>
          <w:szCs w:val="19"/>
          <w:color w:val="auto"/>
        </w:rPr>
        <w:t>where the failure to pay, individually or in the aggregate, would not reasonably be expected to have a Material Adverse Effect). There is no proposed Tax assessment or other claim against, and no Tax audit with respect to, the Borrower or its Restricted Subsidiaries that would</w:t>
      </w:r>
    </w:p>
    <w:p>
      <w:pPr>
        <w:spacing w:after="0"/>
        <w:rPr>
          <w:sz w:val="20"/>
          <w:szCs w:val="20"/>
          <w:color w:val="auto"/>
        </w:rPr>
      </w:pPr>
      <w:r>
        <w:rPr>
          <w:rFonts w:ascii="Times New Roman" w:cs="Times New Roman" w:eastAsia="Times New Roman" w:hAnsi="Times New Roman"/>
          <w:sz w:val="20"/>
          <w:szCs w:val="20"/>
          <w:color w:val="auto"/>
        </w:rPr>
        <w:t>reasonably be expected to, individually or in the aggregate, have a Material Adverse Effect.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Except as, in the aggregate, does not or would not reasonably be expected to result in a Material Adverse Effect:</w:t>
      </w:r>
    </w:p>
    <w:p>
      <w:pPr>
        <w:spacing w:after="0" w:line="211" w:lineRule="auto"/>
        <w:rPr>
          <w:sz w:val="20"/>
          <w:szCs w:val="20"/>
          <w:color w:val="auto"/>
        </w:rPr>
      </w:pPr>
      <w:r>
        <w:rPr>
          <w:rFonts w:ascii="Times New Roman" w:cs="Times New Roman" w:eastAsia="Times New Roman" w:hAnsi="Times New Roman"/>
          <w:sz w:val="20"/>
          <w:szCs w:val="20"/>
          <w:color w:val="auto"/>
        </w:rPr>
        <w:t>neither a Reportable Event nor a failure to satisfy the minimum funding standard of Section 430 of the Code or Section 303 of ERISA,</w:t>
      </w:r>
    </w:p>
    <w:p>
      <w:pPr>
        <w:jc w:val="both"/>
        <w:ind w:right="100"/>
        <w:spacing w:after="0" w:line="215" w:lineRule="auto"/>
        <w:rPr>
          <w:sz w:val="20"/>
          <w:szCs w:val="20"/>
          <w:color w:val="auto"/>
        </w:rPr>
      </w:pPr>
      <w:r>
        <w:rPr>
          <w:rFonts w:ascii="Times New Roman" w:cs="Times New Roman" w:eastAsia="Times New Roman" w:hAnsi="Times New Roman"/>
          <w:sz w:val="19"/>
          <w:szCs w:val="19"/>
          <w:color w:val="auto"/>
        </w:rPr>
        <w:t>whether or not waived, with respect to a Plan has occurred during the five-year period prior to the date on which this representation is made or deemed made with respect to any Plan, and each Plan has complied in all respects with the applicable provisions of ERISA and the Code;</w:t>
      </w:r>
    </w:p>
    <w:p>
      <w:pPr>
        <w:spacing w:after="0" w:line="222" w:lineRule="auto"/>
        <w:rPr>
          <w:sz w:val="20"/>
          <w:szCs w:val="20"/>
          <w:color w:val="auto"/>
        </w:rPr>
      </w:pPr>
      <w:r>
        <w:rPr>
          <w:rFonts w:ascii="Times New Roman" w:cs="Times New Roman" w:eastAsia="Times New Roman" w:hAnsi="Times New Roman"/>
          <w:sz w:val="19"/>
          <w:szCs w:val="19"/>
          <w:color w:val="auto"/>
        </w:rPr>
        <w:t>no termination of a Single Employer Plan has occurred, and no Lien in favor of the PBGC or a Plan has arisen, during such five-year period;</w:t>
      </w:r>
    </w:p>
    <w:p>
      <w:pPr>
        <w:spacing w:after="0" w:line="215" w:lineRule="auto"/>
        <w:rPr>
          <w:sz w:val="20"/>
          <w:szCs w:val="20"/>
          <w:color w:val="auto"/>
        </w:rPr>
      </w:pPr>
      <w:r>
        <w:rPr>
          <w:rFonts w:ascii="Times New Roman" w:cs="Times New Roman" w:eastAsia="Times New Roman" w:hAnsi="Times New Roman"/>
          <w:sz w:val="19"/>
          <w:szCs w:val="19"/>
          <w:color w:val="auto"/>
        </w:rPr>
        <w:t>the present value of all accrued benefits under each Single Employer Plan (based on those assumptions used to fund such Plans) did not, as of the last annual valuation date prior to the date on which this representation is made or deemed made, exceed the value of the assets of such</w:t>
      </w:r>
    </w:p>
    <w:p>
      <w:pPr>
        <w:spacing w:after="0" w:line="222" w:lineRule="auto"/>
        <w:rPr>
          <w:sz w:val="20"/>
          <w:szCs w:val="20"/>
          <w:color w:val="auto"/>
        </w:rPr>
      </w:pPr>
      <w:r>
        <w:rPr>
          <w:rFonts w:ascii="Times New Roman" w:cs="Times New Roman" w:eastAsia="Times New Roman" w:hAnsi="Times New Roman"/>
          <w:sz w:val="19"/>
          <w:szCs w:val="19"/>
          <w:color w:val="auto"/>
        </w:rPr>
        <w:t>Plan allocable to such accrued benefits; neither the Borrower nor any Commonly Controlled Entity has had a complete or partial withdrawal</w:t>
      </w:r>
    </w:p>
    <w:p>
      <w:pPr>
        <w:ind w:right="480"/>
        <w:spacing w:after="0" w:line="215" w:lineRule="auto"/>
        <w:rPr>
          <w:sz w:val="20"/>
          <w:szCs w:val="20"/>
          <w:color w:val="auto"/>
        </w:rPr>
      </w:pPr>
      <w:r>
        <w:rPr>
          <w:rFonts w:ascii="Times New Roman" w:cs="Times New Roman" w:eastAsia="Times New Roman" w:hAnsi="Times New Roman"/>
          <w:sz w:val="19"/>
          <w:szCs w:val="19"/>
          <w:color w:val="auto"/>
        </w:rPr>
        <w:t>from any Multiemployer Plan; to the knowledge of the Borrower after due inquiry, neither the Borrower nor any Commonly Controlled Entity would become subject to any liability under ERISA if the Borrower or any such Commonly Controlled Entity were to withdraw</w:t>
      </w:r>
    </w:p>
    <w:p>
      <w:pPr>
        <w:spacing w:after="0" w:line="211" w:lineRule="auto"/>
        <w:rPr>
          <w:sz w:val="20"/>
          <w:szCs w:val="20"/>
          <w:color w:val="auto"/>
        </w:rPr>
      </w:pPr>
      <w:r>
        <w:rPr>
          <w:rFonts w:ascii="Times New Roman" w:cs="Times New Roman" w:eastAsia="Times New Roman" w:hAnsi="Times New Roman"/>
          <w:sz w:val="20"/>
          <w:szCs w:val="20"/>
          <w:color w:val="auto"/>
        </w:rPr>
        <w:t>completely from any Multiemployer Plans as of the valuation date most closely preceding the date on which this representation is made or</w:t>
      </w:r>
    </w:p>
    <w:p>
      <w:pPr>
        <w:ind w:right="380"/>
        <w:spacing w:after="0" w:line="215" w:lineRule="auto"/>
        <w:rPr>
          <w:sz w:val="20"/>
          <w:szCs w:val="20"/>
          <w:color w:val="auto"/>
        </w:rPr>
      </w:pPr>
      <w:r>
        <w:rPr>
          <w:rFonts w:ascii="Times New Roman" w:cs="Times New Roman" w:eastAsia="Times New Roman" w:hAnsi="Times New Roman"/>
          <w:sz w:val="19"/>
          <w:szCs w:val="19"/>
          <w:color w:val="auto"/>
        </w:rPr>
        <w:t>deemed made; and to the knowledge of the Borrower after due inquiry, no Multiemployer Plan to which the Borrower or any Commonly Controlled Entity has any liability is in “critical status” (within the meaning of Section 432 of the Code or Section 305 of ERISA) or</w:t>
      </w:r>
    </w:p>
    <w:p>
      <w:pPr>
        <w:spacing w:after="0"/>
        <w:rPr>
          <w:sz w:val="20"/>
          <w:szCs w:val="20"/>
          <w:color w:val="auto"/>
        </w:rPr>
      </w:pPr>
      <w:r>
        <w:rPr>
          <w:rFonts w:ascii="Times New Roman" w:cs="Times New Roman" w:eastAsia="Times New Roman" w:hAnsi="Times New Roman"/>
          <w:sz w:val="20"/>
          <w:szCs w:val="20"/>
          <w:color w:val="auto"/>
        </w:rPr>
        <w:t>Insolvent.</w:t>
      </w:r>
    </w:p>
    <w:p>
      <w:pPr>
        <w:spacing w:after="0" w:line="167" w:lineRule="exact"/>
        <w:rPr>
          <w:sz w:val="20"/>
          <w:szCs w:val="20"/>
          <w:color w:val="auto"/>
        </w:rPr>
      </w:pPr>
    </w:p>
    <w:p>
      <w:pPr>
        <w:ind w:right="140" w:firstLine="648"/>
        <w:spacing w:after="0" w:line="233"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Environmental Matters; Hazardous Material</w:t>
      </w:r>
      <w:r>
        <w:rPr>
          <w:rFonts w:ascii="Times New Roman" w:cs="Times New Roman" w:eastAsia="Times New Roman" w:hAnsi="Times New Roman"/>
          <w:sz w:val="20"/>
          <w:szCs w:val="20"/>
          <w:color w:val="auto"/>
        </w:rPr>
        <w:t>. There has been no matter with respect to Environmental Laws or Materials of Environmental Concern which, in the aggregate, would reasonably be expected to have a Material Adverse Effect.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u w:val="single" w:color="auto"/>
          <w:color w:val="auto"/>
        </w:rPr>
        <w:t>Investment Company Act; Other Regulations</w:t>
      </w:r>
      <w:r>
        <w:rPr>
          <w:rFonts w:ascii="Times New Roman" w:cs="Times New Roman" w:eastAsia="Times New Roman" w:hAnsi="Times New Roman"/>
          <w:sz w:val="19"/>
          <w:szCs w:val="19"/>
          <w:color w:val="auto"/>
        </w:rPr>
        <w:t>. Neither the Borrower nor any Restricted Subsidiary is required to register as</w:t>
      </w:r>
    </w:p>
    <w:p>
      <w:pPr>
        <w:ind w:right="160"/>
        <w:spacing w:after="0" w:line="215" w:lineRule="auto"/>
        <w:rPr>
          <w:sz w:val="20"/>
          <w:szCs w:val="20"/>
          <w:color w:val="auto"/>
        </w:rPr>
      </w:pPr>
      <w:r>
        <w:rPr>
          <w:rFonts w:ascii="Times New Roman" w:cs="Times New Roman" w:eastAsia="Times New Roman" w:hAnsi="Times New Roman"/>
          <w:sz w:val="19"/>
          <w:szCs w:val="19"/>
          <w:color w:val="auto"/>
        </w:rPr>
        <w:t>an “investment company”, or a company “controlled” by an “investment company”, within the meaning of the Investment Company Act of 1940, as amended. Neither the Borrower nor any Restricted Subsidiary is subject to regulation under any Requirement of Law that limits its</w:t>
      </w:r>
    </w:p>
    <w:p>
      <w:pPr>
        <w:spacing w:after="0"/>
        <w:rPr>
          <w:sz w:val="20"/>
          <w:szCs w:val="20"/>
          <w:color w:val="auto"/>
        </w:rPr>
      </w:pPr>
      <w:r>
        <w:rPr>
          <w:rFonts w:ascii="Times New Roman" w:cs="Times New Roman" w:eastAsia="Times New Roman" w:hAnsi="Times New Roman"/>
          <w:sz w:val="20"/>
          <w:szCs w:val="20"/>
          <w:color w:val="auto"/>
        </w:rPr>
        <w:t>ability to incur Indebtedness under this Agreement and the other Loan Documents.</w:t>
      </w:r>
    </w:p>
    <w:p>
      <w:pPr>
        <w:spacing w:after="0" w:line="167" w:lineRule="exact"/>
        <w:rPr>
          <w:sz w:val="20"/>
          <w:szCs w:val="20"/>
          <w:color w:val="auto"/>
        </w:rPr>
      </w:pPr>
    </w:p>
    <w:p>
      <w:pPr>
        <w:ind w:right="2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Except as, in the aggregate, would not reasonably be expected to have a Material Adverse Effect: (a) there are no strikes or other labor disputes against the Borrower or any Restricted Subsidiary pending or, to the knowledge of the Borrower,</w:t>
      </w:r>
    </w:p>
    <w:p>
      <w:pPr>
        <w:spacing w:after="0" w:line="1"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20"/>
          <w:szCs w:val="20"/>
          <w:color w:val="auto"/>
        </w:rPr>
        <w:t>threatened; (b) hours worked by and payment made to employees of each of the Borrower and its Restricted Subsidiaries have not been in violation of the Fair Labor Standards Act or any other applicable Requirement of Law dealing with such matters; and (c)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20"/>
          </w:cols>
          <w:pgMar w:left="320" w:top="1399" w:right="359" w:bottom="1440" w:gutter="0" w:footer="0" w:header="0"/>
        </w:sectPr>
      </w:pPr>
    </w:p>
    <w:bookmarkStart w:id="106" w:name="page107"/>
    <w:bookmarkEnd w:id="106"/>
    <w:p>
      <w:pPr>
        <w:ind w:right="440"/>
        <w:spacing w:after="0"/>
        <w:rPr>
          <w:sz w:val="20"/>
          <w:szCs w:val="20"/>
          <w:color w:val="auto"/>
        </w:rPr>
      </w:pPr>
      <w:r>
        <w:rPr>
          <w:rFonts w:ascii="Times New Roman" w:cs="Times New Roman" w:eastAsia="Times New Roman" w:hAnsi="Times New Roman"/>
          <w:sz w:val="20"/>
          <w:szCs w:val="20"/>
          <w:color w:val="auto"/>
        </w:rPr>
        <w:t>payments due from the Borrower and its Restricted Subsidiaries on account of employee health and welfare insurance have been paid or accrued as a liability on the books of the relevant entity.</w:t>
      </w:r>
    </w:p>
    <w:p>
      <w:pPr>
        <w:spacing w:after="0" w:line="148" w:lineRule="exact"/>
        <w:rPr>
          <w:sz w:val="20"/>
          <w:szCs w:val="20"/>
          <w:color w:val="auto"/>
        </w:rPr>
      </w:pPr>
    </w:p>
    <w:p>
      <w:pPr>
        <w:ind w:right="400" w:firstLine="648"/>
        <w:spacing w:after="0" w:line="234"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The Borrower has implemented and maintains in effect policies and procedures designed to ensure compliance by the Borrower, its Subsidiaries and their respective directors, officers, employees and agents with Anti-</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Corruption Laws and applicable Sanctions, and the Borrower, its Subsidiaries and their respective officers and directors and to the knowledge of the Borrower its employees and agents, are in compliance with Anti-Corruption Laws and applicable Sanctions in all material respects</w:t>
      </w:r>
    </w:p>
    <w:p>
      <w:pPr>
        <w:spacing w:after="0" w:line="222" w:lineRule="auto"/>
        <w:rPr>
          <w:sz w:val="20"/>
          <w:szCs w:val="20"/>
          <w:color w:val="auto"/>
        </w:rPr>
      </w:pPr>
      <w:r>
        <w:rPr>
          <w:rFonts w:ascii="Times New Roman" w:cs="Times New Roman" w:eastAsia="Times New Roman" w:hAnsi="Times New Roman"/>
          <w:sz w:val="19"/>
          <w:szCs w:val="19"/>
          <w:color w:val="auto"/>
        </w:rPr>
        <w:t>None of (a) the Borrower, any Subsidiary or any of their respective directors, officers or employees, or (b) to the knowledge of the Borrower,</w:t>
      </w:r>
    </w:p>
    <w:p>
      <w:pPr>
        <w:ind w:right="260"/>
        <w:spacing w:after="0" w:line="215" w:lineRule="auto"/>
        <w:rPr>
          <w:sz w:val="20"/>
          <w:szCs w:val="20"/>
          <w:color w:val="auto"/>
        </w:rPr>
      </w:pPr>
      <w:r>
        <w:rPr>
          <w:rFonts w:ascii="Times New Roman" w:cs="Times New Roman" w:eastAsia="Times New Roman" w:hAnsi="Times New Roman"/>
          <w:sz w:val="19"/>
          <w:szCs w:val="19"/>
          <w:color w:val="auto"/>
        </w:rPr>
        <w:t>any agent of the Borrower or any Subsidiary that will act in any capacity in connection with or benefit from the credit facility established hereby, is a Sanctioned Person. No Borrowing, use of proceeds or other transaction contemplated by this Agreement will violate any Anti-</w:t>
      </w:r>
    </w:p>
    <w:p>
      <w:pPr>
        <w:spacing w:after="0"/>
        <w:rPr>
          <w:sz w:val="20"/>
          <w:szCs w:val="20"/>
          <w:color w:val="auto"/>
        </w:rPr>
      </w:pPr>
      <w:r>
        <w:rPr>
          <w:rFonts w:ascii="Times New Roman" w:cs="Times New Roman" w:eastAsia="Times New Roman" w:hAnsi="Times New Roman"/>
          <w:sz w:val="20"/>
          <w:szCs w:val="20"/>
          <w:color w:val="auto"/>
        </w:rPr>
        <w:t>Corruption Law or applicable Sanctions.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175" w:lineRule="exact"/>
        <w:rPr>
          <w:sz w:val="20"/>
          <w:szCs w:val="20"/>
          <w:color w:val="auto"/>
        </w:rPr>
      </w:pPr>
    </w:p>
    <w:p>
      <w:pPr>
        <w:ind w:right="200"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4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1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010000"/>
        </w:rPr>
        <w:t>Section 4</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Conditions Precedent</w:t>
      </w:r>
    </w:p>
    <w:p>
      <w:pPr>
        <w:spacing w:after="0" w:line="167" w:lineRule="exact"/>
        <w:rPr>
          <w:sz w:val="20"/>
          <w:szCs w:val="20"/>
          <w:color w:val="auto"/>
        </w:rPr>
      </w:pPr>
    </w:p>
    <w:p>
      <w:pPr>
        <w:ind w:right="240" w:firstLine="648"/>
        <w:spacing w:after="0" w:line="23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Conditions to the Closing Date</w:t>
      </w:r>
      <w:r>
        <w:rPr>
          <w:rFonts w:ascii="Times New Roman" w:cs="Times New Roman" w:eastAsia="Times New Roman" w:hAnsi="Times New Roman"/>
          <w:sz w:val="20"/>
          <w:szCs w:val="20"/>
          <w:color w:val="auto"/>
        </w:rPr>
        <w:t xml:space="preserve">. The obligations of the Lenders to make Term Loans hereunder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right="840" w:firstLine="656"/>
        <w:spacing w:after="0"/>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counterparts hereof executed and delivered by the Borrower, the Administrative Agent, and each other Lender and Schedules to this Agreement.</w:t>
      </w:r>
    </w:p>
    <w:p>
      <w:pPr>
        <w:spacing w:after="0" w:line="147" w:lineRule="exact"/>
        <w:rPr>
          <w:rFonts w:ascii="Times New Roman" w:cs="Times New Roman" w:eastAsia="Times New Roman" w:hAnsi="Times New Roman"/>
          <w:sz w:val="20"/>
          <w:szCs w:val="20"/>
          <w:color w:val="auto"/>
        </w:rPr>
      </w:pPr>
    </w:p>
    <w:p>
      <w:pPr>
        <w:jc w:val="both"/>
        <w:ind w:right="40" w:firstLine="656"/>
        <w:spacing w:after="0" w:line="230" w:lineRule="auto"/>
        <w:tabs>
          <w:tab w:leader="none" w:pos="12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Documents and Proceedings</w:t>
      </w:r>
      <w:r>
        <w:rPr>
          <w:rFonts w:ascii="Times New Roman" w:cs="Times New Roman" w:eastAsia="Times New Roman" w:hAnsi="Times New Roman"/>
          <w:sz w:val="20"/>
          <w:szCs w:val="20"/>
          <w:color w:val="auto"/>
        </w:rPr>
        <w:t xml:space="preserve">. The Administrative Agent shall have received (i) a certificate of Borrower, dated the Closing Date,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with appropriate insertions and attachments, including the certificate of incorporation of Borrower, and (ii) a long form good standing certificate for Borrower from its jurisdiction of organization.</w:t>
      </w:r>
    </w:p>
    <w:p>
      <w:pPr>
        <w:spacing w:after="0" w:line="148" w:lineRule="exact"/>
        <w:rPr>
          <w:rFonts w:ascii="Times New Roman" w:cs="Times New Roman" w:eastAsia="Times New Roman" w:hAnsi="Times New Roman"/>
          <w:sz w:val="20"/>
          <w:szCs w:val="20"/>
          <w:color w:val="auto"/>
        </w:rPr>
      </w:pPr>
    </w:p>
    <w:p>
      <w:pPr>
        <w:ind w:right="840" w:firstLine="656"/>
        <w:spacing w:after="0"/>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August 29, 2024, there has been no development or event that has had or would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ind w:right="460" w:firstLine="656"/>
        <w:spacing w:after="0" w:line="226" w:lineRule="auto"/>
        <w:tabs>
          <w:tab w:leader="none" w:pos="128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Administrative Agent shall have received a certificate, dated as of the Closing Date by a Responsible Officer of the Borrower, confirming compliance with the conditions set forth in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(and covering all representations and warranties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right="20" w:firstLine="656"/>
        <w:spacing w:after="0" w:line="226" w:lineRule="auto"/>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 Expenses</w:t>
      </w:r>
      <w:r>
        <w:rPr>
          <w:rFonts w:ascii="Times New Roman" w:cs="Times New Roman" w:eastAsia="Times New Roman" w:hAnsi="Times New Roman"/>
          <w:sz w:val="20"/>
          <w:szCs w:val="20"/>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20"/>
          </w:cols>
          <w:pgMar w:left="320" w:top="1399" w:right="359" w:bottom="1440" w:gutter="0" w:footer="0" w:header="0"/>
        </w:sectPr>
      </w:pPr>
    </w:p>
    <w:bookmarkStart w:id="107" w:name="page108"/>
    <w:bookmarkEnd w:id="107"/>
    <w:p>
      <w:pPr>
        <w:ind w:right="200" w:firstLine="656"/>
        <w:spacing w:after="0" w:line="266" w:lineRule="auto"/>
        <w:tabs>
          <w:tab w:leader="none" w:pos="128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Legal Opinion</w:t>
      </w:r>
      <w:r>
        <w:rPr>
          <w:rFonts w:ascii="Times New Roman" w:cs="Times New Roman" w:eastAsia="Times New Roman" w:hAnsi="Times New Roman"/>
          <w:sz w:val="19"/>
          <w:szCs w:val="19"/>
          <w:color w:val="auto"/>
        </w:rPr>
        <w:t>. The Administrative Agent shall have received a legal opinion from (i) Wilson Sonsini Goodrich &amp; Rosati P.C., counsel to the Borrower and (ii) the General Counsel of the Borrower, in form and substance satisfactory to the Administrative Agent.</w:t>
      </w:r>
    </w:p>
    <w:p>
      <w:pPr>
        <w:spacing w:after="0" w:line="123" w:lineRule="exact"/>
        <w:rPr>
          <w:rFonts w:ascii="Times New Roman" w:cs="Times New Roman" w:eastAsia="Times New Roman" w:hAnsi="Times New Roman"/>
          <w:sz w:val="19"/>
          <w:szCs w:val="19"/>
          <w:color w:val="auto"/>
        </w:rPr>
      </w:pPr>
    </w:p>
    <w:p>
      <w:pPr>
        <w:ind w:right="40" w:firstLine="656"/>
        <w:spacing w:after="0" w:line="230" w:lineRule="auto"/>
        <w:tabs>
          <w:tab w:leader="none" w:pos="12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Substantially contemporaneously with the Closing Date, the commitments under the Existing Term Loan Credit Agreement shall have been terminated in full and all loans outstanding under the Existing Term Loan Credit Agreement and other amounts owed thereunder shall have been paid in full.</w:t>
      </w:r>
    </w:p>
    <w:p>
      <w:pPr>
        <w:spacing w:after="0" w:line="148" w:lineRule="exact"/>
        <w:rPr>
          <w:rFonts w:ascii="Times New Roman" w:cs="Times New Roman" w:eastAsia="Times New Roman" w:hAnsi="Times New Roman"/>
          <w:sz w:val="20"/>
          <w:szCs w:val="20"/>
          <w:color w:val="auto"/>
        </w:rPr>
      </w:pPr>
    </w:p>
    <w:p>
      <w:pPr>
        <w:ind w:right="40" w:firstLine="656"/>
        <w:spacing w:after="0" w:line="226" w:lineRule="auto"/>
        <w:tabs>
          <w:tab w:leader="none" w:pos="129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 and Beneficial Ownership Regulation</w:t>
      </w:r>
      <w:r>
        <w:rPr>
          <w:rFonts w:ascii="Times New Roman" w:cs="Times New Roman" w:eastAsia="Times New Roman" w:hAnsi="Times New Roman"/>
          <w:sz w:val="19"/>
          <w:szCs w:val="19"/>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execution and delivery by such Lender of its signature page to this Agreement, the condition set forth in this clause (ii) shall be deemed to be satisfied).</w:t>
      </w:r>
    </w:p>
    <w:p>
      <w:pPr>
        <w:spacing w:after="0" w:line="163" w:lineRule="exact"/>
        <w:rPr>
          <w:rFonts w:ascii="Times New Roman" w:cs="Times New Roman" w:eastAsia="Times New Roman" w:hAnsi="Times New Roman"/>
          <w:sz w:val="19"/>
          <w:szCs w:val="19"/>
          <w:color w:val="auto"/>
        </w:rPr>
      </w:pPr>
    </w:p>
    <w:p>
      <w:pPr>
        <w:ind w:right="80" w:firstLine="656"/>
        <w:spacing w:after="0" w:line="217" w:lineRule="auto"/>
        <w:tabs>
          <w:tab w:leader="none" w:pos="12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All representations and warranties contained in this Agreement shall be true and correct in all material respects on and as of the Closing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w:t>
      </w:r>
    </w:p>
    <w:p>
      <w:pPr>
        <w:spacing w:after="0" w:line="175" w:lineRule="exact"/>
        <w:rPr>
          <w:sz w:val="20"/>
          <w:szCs w:val="20"/>
          <w:color w:val="auto"/>
        </w:rPr>
      </w:pPr>
    </w:p>
    <w:p>
      <w:pPr>
        <w:ind w:right="360" w:firstLine="648"/>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Incremental Term Lender to make an Incremental Term Loan is subject to the satisfaction of the following conditions precedent on the relevant borrowing date:</w:t>
      </w:r>
    </w:p>
    <w:p>
      <w:pPr>
        <w:spacing w:after="0" w:line="161" w:lineRule="exact"/>
        <w:rPr>
          <w:sz w:val="20"/>
          <w:szCs w:val="20"/>
          <w:color w:val="auto"/>
        </w:rPr>
      </w:pPr>
    </w:p>
    <w:p>
      <w:pPr>
        <w:jc w:val="both"/>
        <w:ind w:right="20" w:firstLine="656"/>
        <w:spacing w:after="0" w:line="222"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contained in this Agreement shall be true and correct in all material respects on and as of the date of such Borrowing,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48" w:lineRule="exact"/>
        <w:rPr>
          <w:rFonts w:ascii="Times New Roman" w:cs="Times New Roman" w:eastAsia="Times New Roman" w:hAnsi="Times New Roman"/>
          <w:sz w:val="20"/>
          <w:szCs w:val="20"/>
          <w:color w:val="auto"/>
        </w:rPr>
      </w:pPr>
    </w:p>
    <w:p>
      <w:pPr>
        <w:ind w:right="100" w:firstLine="656"/>
        <w:spacing w:after="0"/>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Incremental Term Loan, no Default or Event of Default shall have occurred and be continuing.</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Borrowing shall be deemed to constitute a representation and warranty by the Borrower on the date thereof as to the matters specified in paragraphs (a) and (b) of this Section.</w:t>
      </w:r>
    </w:p>
    <w:p>
      <w:pPr>
        <w:spacing w:after="0" w:line="15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010000"/>
        </w:rPr>
        <w:t>Section 5</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67"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33"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Financial Statements, etc</w:t>
      </w:r>
      <w:r>
        <w:rPr>
          <w:rFonts w:ascii="Times New Roman" w:cs="Times New Roman" w:eastAsia="Times New Roman" w:hAnsi="Times New Roman"/>
          <w:sz w:val="20"/>
          <w:szCs w:val="20"/>
          <w:color w:val="auto"/>
        </w:rPr>
        <w:t>. The Borrower will furnish to the Administrative Agent (for distribution to the Lenders), within 15 days after the Borrower has filed the same with the SEC, copies of the quarterly and annual reports and the information, documents and</w:t>
      </w:r>
    </w:p>
    <w:p>
      <w:pPr>
        <w:spacing w:after="0" w:line="2"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 xml:space="preserve">reports (or copies of such portions of any of the foregoing as the SEC may prescribe) that the Borrower may be required to file with the SEC pursuant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15(d)</w:t>
      </w:r>
      <w:r>
        <w:rPr>
          <w:rFonts w:ascii="Times New Roman" w:cs="Times New Roman" w:eastAsia="Times New Roman" w:hAnsi="Times New Roman"/>
          <w:sz w:val="20"/>
          <w:szCs w:val="20"/>
          <w:color w:val="auto"/>
        </w:rPr>
        <w:t xml:space="preserve"> of the Exchange Act (other than confidential filings, documents subject to confidential treatment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correspondence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delivery of materials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color w:val="auto"/>
        </w:rPr>
        <w:t>Administrative Agent by electronic means or filing of documents pursuant to the SEC’s “EDGAR” system (or any successor electronic filing</w:t>
      </w:r>
    </w:p>
    <w:p>
      <w:pPr>
        <w:spacing w:after="0" w:line="6"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auto"/>
        </w:rPr>
        <w:t xml:space="preserve">system) shall be deemed to be “furnished” with the Administrative Agent as of the time such documents are filed via the “EDGAR” system for purposes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Compliance Certificate; Reporting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7"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(and in any event within 5 Business Days) following delivery of the quarterly and annual financial statements provided for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Form 10-Q or 10-K, as applicable, a certificate of a Financial Officer of the Borrower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656"/>
        <w:spacing w:after="0" w:line="222"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61" w:lineRule="exact"/>
        <w:rPr>
          <w:rFonts w:ascii="Times New Roman" w:cs="Times New Roman" w:eastAsia="Times New Roman" w:hAnsi="Times New Roman"/>
          <w:sz w:val="20"/>
          <w:szCs w:val="20"/>
          <w:color w:val="auto"/>
        </w:rPr>
      </w:pPr>
    </w:p>
    <w:p>
      <w:pPr>
        <w:ind w:right="80" w:firstLine="656"/>
        <w:spacing w:after="0" w:line="217"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62"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Maintenance of Existence</w:t>
      </w:r>
      <w:r>
        <w:rPr>
          <w:rFonts w:ascii="Times New Roman" w:cs="Times New Roman" w:eastAsia="Times New Roman" w:hAnsi="Times New Roman"/>
          <w:sz w:val="19"/>
          <w:szCs w:val="19"/>
          <w:color w:val="auto"/>
        </w:rPr>
        <w:t>. The Borrower and its Restricted Subsidiaries shall (i) preserve, renew and keep in full force and effect its organizational existence and (ii) take all reasonable action to maintain all rights, privileges and franchises reasonably necessary in</w:t>
      </w:r>
    </w:p>
    <w:p>
      <w:pPr>
        <w:ind w:right="360"/>
        <w:spacing w:after="0" w:line="228" w:lineRule="auto"/>
        <w:rPr>
          <w:sz w:val="20"/>
          <w:szCs w:val="20"/>
          <w:color w:val="auto"/>
        </w:rPr>
      </w:pPr>
      <w:r>
        <w:rPr>
          <w:rFonts w:ascii="Times New Roman" w:cs="Times New Roman" w:eastAsia="Times New Roman" w:hAnsi="Times New Roman"/>
          <w:sz w:val="20"/>
          <w:szCs w:val="20"/>
          <w:color w:val="auto"/>
        </w:rPr>
        <w:t xml:space="preserve">the normal conduct of its business, except, in each case, (x) as otherwise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or (y) to the extent that failure to do so would not, in the aggregate, reasonably be expected to have a Material Adverse Effect.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656"/>
        <w:spacing w:after="0" w:line="253" w:lineRule="auto"/>
        <w:tabs>
          <w:tab w:leader="none" w:pos="12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shall be deemed satisfied if the Borrower obtains insurance policies that are customary and appropriate for the applicable jurisdiction.</w:t>
      </w:r>
    </w:p>
    <w:p>
      <w:pPr>
        <w:spacing w:after="0" w:line="160" w:lineRule="exact"/>
        <w:rPr>
          <w:sz w:val="20"/>
          <w:szCs w:val="20"/>
          <w:color w:val="auto"/>
        </w:rPr>
      </w:pPr>
    </w:p>
    <w:p>
      <w:pPr>
        <w:jc w:val="center"/>
        <w:ind w:right="-59"/>
        <w:spacing w:after="0"/>
        <w:tabs>
          <w:tab w:leader="none" w:pos="3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proceeds of the Term Loans will be used only for general corporate purposes, including capital</w:t>
      </w:r>
    </w:p>
    <w:p>
      <w:pPr>
        <w:jc w:val="center"/>
        <w:spacing w:after="0" w:line="222" w:lineRule="auto"/>
        <w:rPr>
          <w:sz w:val="20"/>
          <w:szCs w:val="20"/>
          <w:color w:val="auto"/>
        </w:rPr>
      </w:pPr>
      <w:r>
        <w:rPr>
          <w:rFonts w:ascii="Times New Roman" w:cs="Times New Roman" w:eastAsia="Times New Roman" w:hAnsi="Times New Roman"/>
          <w:sz w:val="19"/>
          <w:szCs w:val="19"/>
          <w:color w:val="auto"/>
        </w:rPr>
        <w:t>expenditures. No part of the proceeds of any Term Loan will be used, whether directly or indirectly, for any purpose that entails a violation of</w:t>
      </w:r>
    </w:p>
    <w:p>
      <w:pPr>
        <w:spacing w:after="0"/>
        <w:rPr>
          <w:sz w:val="20"/>
          <w:szCs w:val="20"/>
          <w:color w:val="auto"/>
        </w:rPr>
      </w:pPr>
      <w:r>
        <w:rPr>
          <w:rFonts w:ascii="Times New Roman" w:cs="Times New Roman" w:eastAsia="Times New Roman" w:hAnsi="Times New Roman"/>
          <w:sz w:val="20"/>
          <w:szCs w:val="20"/>
          <w:color w:val="auto"/>
        </w:rPr>
        <w:t>any of the regulations of the FRB, including Regulations T, U and X.</w:t>
      </w:r>
    </w:p>
    <w:p>
      <w:pPr>
        <w:spacing w:after="0" w:line="167"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Borrower will maintain in effect and enforce policies and procedures designed to ensure compliance by the Borrower, its Subsidiaries and their respective directors, officers, employees and agents with Anti-Corruption Laws and</w:t>
      </w:r>
    </w:p>
    <w:p>
      <w:pPr>
        <w:spacing w:after="0"/>
        <w:rPr>
          <w:sz w:val="20"/>
          <w:szCs w:val="20"/>
          <w:color w:val="auto"/>
        </w:rPr>
      </w:pPr>
      <w:r>
        <w:rPr>
          <w:rFonts w:ascii="Times New Roman" w:cs="Times New Roman" w:eastAsia="Times New Roman" w:hAnsi="Times New Roman"/>
          <w:sz w:val="20"/>
          <w:szCs w:val="20"/>
          <w:color w:val="auto"/>
        </w:rPr>
        <w:t>applicable Sanctions.</w:t>
      </w:r>
    </w:p>
    <w:p>
      <w:pPr>
        <w:spacing w:after="0" w:line="167"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Designation of Subsidiaries</w:t>
      </w:r>
      <w:r>
        <w:rPr>
          <w:rFonts w:ascii="Times New Roman" w:cs="Times New Roman" w:eastAsia="Times New Roman" w:hAnsi="Times New Roman"/>
          <w:sz w:val="19"/>
          <w:szCs w:val="19"/>
          <w:color w:val="auto"/>
        </w:rPr>
        <w:t xml:space="preserve">. The Borrower may at any time by written notice to the Administrative Agent (i) designate any Restricted Subsidiary as an Unrestricted Subsidiary or (ii) designate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w:t>
      </w:r>
    </w:p>
    <w:p>
      <w:pPr>
        <w:spacing w:after="0"/>
        <w:rPr>
          <w:sz w:val="20"/>
          <w:szCs w:val="20"/>
          <w:color w:val="auto"/>
        </w:rPr>
      </w:pPr>
      <w:r>
        <w:rPr>
          <w:rFonts w:ascii="Times New Roman" w:cs="Times New Roman" w:eastAsia="Times New Roman" w:hAnsi="Times New Roman"/>
          <w:sz w:val="20"/>
          <w:szCs w:val="20"/>
          <w:color w:val="auto"/>
        </w:rPr>
        <w:t>Default or Event of Default shall have occurred and be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00"/>
          </w:cols>
          <w:pgMar w:left="320" w:top="1399" w:right="379" w:bottom="1440" w:gutter="0" w:footer="0" w:header="0"/>
        </w:sectPr>
      </w:pPr>
    </w:p>
    <w:bookmarkStart w:id="109" w:name="page110"/>
    <w:bookmarkEnd w:id="109"/>
    <w:p>
      <w:pPr>
        <w:jc w:val="center"/>
        <w:ind w:right="520"/>
        <w:spacing w:after="0"/>
        <w:rPr>
          <w:sz w:val="20"/>
          <w:szCs w:val="20"/>
          <w:color w:val="auto"/>
        </w:rPr>
      </w:pPr>
      <w:r>
        <w:rPr>
          <w:rFonts w:ascii="Times New Roman" w:cs="Times New Roman" w:eastAsia="Times New Roman" w:hAnsi="Times New Roman"/>
          <w:sz w:val="20"/>
          <w:szCs w:val="20"/>
          <w:color w:val="010000"/>
        </w:rPr>
        <w:t>Section 6</w:t>
      </w: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167" w:lineRule="exact"/>
        <w:rPr>
          <w:sz w:val="20"/>
          <w:szCs w:val="20"/>
          <w:color w:val="auto"/>
        </w:rPr>
      </w:pPr>
    </w:p>
    <w:p>
      <w:pPr>
        <w:ind w:right="520" w:firstLine="648"/>
        <w:spacing w:after="0" w:line="283" w:lineRule="auto"/>
        <w:rPr>
          <w:sz w:val="20"/>
          <w:szCs w:val="20"/>
          <w:color w:val="auto"/>
        </w:rPr>
      </w:pPr>
      <w:r>
        <w:rPr>
          <w:rFonts w:ascii="Times New Roman" w:cs="Times New Roman" w:eastAsia="Times New Roman" w:hAnsi="Times New Roman"/>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27" w:lineRule="exact"/>
        <w:rPr>
          <w:sz w:val="20"/>
          <w:szCs w:val="20"/>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Limitation on Indebtedness</w:t>
      </w:r>
      <w:r>
        <w:rPr>
          <w:rFonts w:ascii="Times New Roman" w:cs="Times New Roman" w:eastAsia="Times New Roman" w:hAnsi="Times New Roman"/>
          <w:sz w:val="19"/>
          <w:szCs w:val="19"/>
          <w:color w:val="auto"/>
        </w:rPr>
        <w:t>. The Borrower will not permit any of its Restricted Subsidiaries to create, assume, incur,</w:t>
      </w:r>
    </w:p>
    <w:p>
      <w:pPr>
        <w:ind w:right="20"/>
        <w:spacing w:after="0" w:line="228" w:lineRule="auto"/>
        <w:rPr>
          <w:sz w:val="20"/>
          <w:szCs w:val="20"/>
          <w:color w:val="auto"/>
        </w:rPr>
      </w:pPr>
      <w:r>
        <w:rPr>
          <w:rFonts w:ascii="Times New Roman" w:cs="Times New Roman" w:eastAsia="Times New Roman" w:hAnsi="Times New Roman"/>
          <w:sz w:val="20"/>
          <w:szCs w:val="20"/>
          <w:color w:val="auto"/>
        </w:rPr>
        <w:t>Guarantee or otherwise become liable for any Indebtedness, without causing such Restricted Subsidiary (excluding any Subsidiary that is not a Material Subsidiary) to become a Guarantor, other than:</w:t>
      </w:r>
    </w:p>
    <w:p>
      <w:pPr>
        <w:spacing w:after="0" w:line="149" w:lineRule="exact"/>
        <w:rPr>
          <w:sz w:val="20"/>
          <w:szCs w:val="20"/>
          <w:color w:val="auto"/>
        </w:rPr>
      </w:pPr>
    </w:p>
    <w:p>
      <w:pPr>
        <w:ind w:left="1340" w:hanging="684"/>
        <w:spacing w:after="0"/>
        <w:tabs>
          <w:tab w:leader="none" w:pos="13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or under the Obligations or Guarantees thereof;</w:t>
      </w:r>
    </w:p>
    <w:p>
      <w:pPr>
        <w:spacing w:after="0" w:line="188" w:lineRule="exact"/>
        <w:rPr>
          <w:rFonts w:ascii="Times New Roman" w:cs="Times New Roman" w:eastAsia="Times New Roman" w:hAnsi="Times New Roman"/>
          <w:sz w:val="20"/>
          <w:szCs w:val="20"/>
          <w:color w:val="auto"/>
        </w:rPr>
      </w:pPr>
    </w:p>
    <w:p>
      <w:pPr>
        <w:ind w:right="60" w:firstLine="656"/>
        <w:spacing w:after="0" w:line="215"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the Borrower or any Restricted Subsidiary;</w:t>
      </w:r>
    </w:p>
    <w:p>
      <w:pPr>
        <w:spacing w:after="0" w:line="188" w:lineRule="exact"/>
        <w:rPr>
          <w:rFonts w:ascii="Times New Roman" w:cs="Times New Roman" w:eastAsia="Times New Roman" w:hAnsi="Times New Roman"/>
          <w:sz w:val="20"/>
          <w:szCs w:val="20"/>
          <w:color w:val="auto"/>
        </w:rPr>
      </w:pPr>
    </w:p>
    <w:p>
      <w:pPr>
        <w:ind w:right="20" w:firstLine="656"/>
        <w:spacing w:after="0" w:line="211"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Indebtedness is created, incurred, issued, assumed or Guaranteed (or created, incurred, issued, assumed or Guaranteed pursuant to firm commitment financing arrangements obtained within such period) by the time of or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without duplication, does not exceed 100% of the fair value of the property or equipment acquired or developed, operated, constructed, altered, repaired or improved at the time such Indebtedness is incurred;</w:t>
      </w:r>
    </w:p>
    <w:p>
      <w:pPr>
        <w:spacing w:after="0" w:line="165" w:lineRule="exact"/>
        <w:rPr>
          <w:rFonts w:ascii="Times New Roman" w:cs="Times New Roman" w:eastAsia="Times New Roman" w:hAnsi="Times New Roman"/>
          <w:sz w:val="20"/>
          <w:szCs w:val="20"/>
          <w:color w:val="auto"/>
        </w:rPr>
      </w:pPr>
    </w:p>
    <w:p>
      <w:pPr>
        <w:ind w:right="40" w:firstLine="656"/>
        <w:spacing w:after="0"/>
        <w:tabs>
          <w:tab w:leader="none" w:pos="12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permitted to be secured by Liens permitted by clauses (5) or (6) of the definition of Permitted Lien (whether or not such Indebtedness is in fact secured by such Liens) and any Guarantees thereof;</w:t>
      </w:r>
    </w:p>
    <w:p>
      <w:pPr>
        <w:spacing w:after="0" w:line="147" w:lineRule="exact"/>
        <w:rPr>
          <w:rFonts w:ascii="Times New Roman" w:cs="Times New Roman" w:eastAsia="Times New Roman" w:hAnsi="Times New Roman"/>
          <w:sz w:val="20"/>
          <w:szCs w:val="20"/>
          <w:color w:val="auto"/>
        </w:rPr>
      </w:pPr>
    </w:p>
    <w:p>
      <w:pPr>
        <w:ind w:firstLine="656"/>
        <w:spacing w:after="0" w:line="215" w:lineRule="auto"/>
        <w:tabs>
          <w:tab w:leader="none" w:pos="129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extension, renewal, substitution, replacement, refinancing or refunding of Indebtedness that was permitted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at the time such Indebtedness was created or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00"/>
          </w:cols>
          <w:pgMar w:left="320" w:top="1394"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extended, renewed, substituted, replaced, refinanced or refunded was secured by a Lien on Property, the Indebtedness incurred to so extend,</w:t>
      </w:r>
    </w:p>
    <w:p>
      <w:pPr>
        <w:spacing w:after="0" w:line="215" w:lineRule="auto"/>
        <w:rPr>
          <w:sz w:val="20"/>
          <w:szCs w:val="20"/>
          <w:color w:val="auto"/>
        </w:rPr>
      </w:pPr>
      <w:r>
        <w:rPr>
          <w:rFonts w:ascii="Times New Roman" w:cs="Times New Roman" w:eastAsia="Times New Roman" w:hAnsi="Times New Roman"/>
          <w:sz w:val="19"/>
          <w:szCs w:val="19"/>
          <w:color w:val="auto"/>
        </w:rPr>
        <w:t>renew, substitute, replace, refinance or refund may be secured by such Property, and (4) if the Indebtedness being extended, renewed, substituted, replaced, refinanced or refunded was not secured by a Lien on Property, the Indebtedness incurred to so extend, renew, substitute,</w:t>
      </w:r>
    </w:p>
    <w:p>
      <w:pPr>
        <w:spacing w:after="0"/>
        <w:rPr>
          <w:sz w:val="20"/>
          <w:szCs w:val="20"/>
          <w:color w:val="auto"/>
        </w:rPr>
      </w:pPr>
      <w:r>
        <w:rPr>
          <w:rFonts w:ascii="Times New Roman" w:cs="Times New Roman" w:eastAsia="Times New Roman" w:hAnsi="Times New Roman"/>
          <w:sz w:val="20"/>
          <w:szCs w:val="20"/>
          <w:color w:val="auto"/>
        </w:rPr>
        <w:t>replace, refinance or refund shall not be secured by Property; and</w:t>
      </w:r>
    </w:p>
    <w:p>
      <w:pPr>
        <w:spacing w:after="0" w:line="167" w:lineRule="exact"/>
        <w:rPr>
          <w:sz w:val="20"/>
          <w:szCs w:val="20"/>
          <w:color w:val="auto"/>
        </w:rPr>
      </w:pPr>
    </w:p>
    <w:p>
      <w:pPr>
        <w:ind w:right="320" w:firstLine="656"/>
        <w:spacing w:after="0" w:line="222" w:lineRule="auto"/>
        <w:tabs>
          <w:tab w:leader="none" w:pos="128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8"/>
        <w:spacing w:after="0" w:line="266" w:lineRule="auto"/>
        <w:tabs>
          <w:tab w:leader="none" w:pos="63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in the event that any Indebtedness meets the criteria of more exceptions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the Borrower, in its sole discretion, will classify, and may reclassify, such Indebtedness and such Indebtedness may be divided and classified and reclassified into more than one of the exceptions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described above. In addition, for purposes of calculating compliance with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 amount of such Indebtedness shall only be included once for purposes of such calculations).</w:t>
      </w:r>
    </w:p>
    <w:p>
      <w:pPr>
        <w:spacing w:after="0" w:line="170"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Limitation on Liens</w:t>
      </w:r>
      <w:r>
        <w:rPr>
          <w:rFonts w:ascii="Times New Roman" w:cs="Times New Roman" w:eastAsia="Times New Roman" w:hAnsi="Times New Roman"/>
          <w:sz w:val="20"/>
          <w:szCs w:val="20"/>
          <w:color w:val="auto"/>
        </w:rPr>
        <w:t>. The Borrower will not, and will not permit any of its Restricted Subsidiaries, to create or incur any Lien on Property, whether now owned or hereafter acquired, in order to secure any Indebtedness, other than:</w:t>
      </w:r>
    </w:p>
    <w:p>
      <w:pPr>
        <w:spacing w:after="0" w:line="161"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 and</w:t>
      </w:r>
    </w:p>
    <w:p>
      <w:pPr>
        <w:spacing w:after="0" w:line="188" w:lineRule="exact"/>
        <w:rPr>
          <w:rFonts w:ascii="Times New Roman" w:cs="Times New Roman" w:eastAsia="Times New Roman" w:hAnsi="Times New Roman"/>
          <w:sz w:val="20"/>
          <w:szCs w:val="20"/>
          <w:color w:val="auto"/>
        </w:rPr>
      </w:pPr>
    </w:p>
    <w:p>
      <w:pPr>
        <w:ind w:right="40" w:firstLine="656"/>
        <w:spacing w:after="0" w:line="217" w:lineRule="auto"/>
        <w:tabs>
          <w:tab w:leader="none" w:pos="133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 incurrence; provided that, for the avoidance of doubt, any Liens will be excluded from this clause (b) to the extent the Lien relating thereto is included in clause (a) of this Section 6.2.</w:t>
      </w:r>
    </w:p>
    <w:p>
      <w:pPr>
        <w:spacing w:after="0" w:line="175" w:lineRule="exact"/>
        <w:rPr>
          <w:rFonts w:ascii="Times New Roman" w:cs="Times New Roman" w:eastAsia="Times New Roman" w:hAnsi="Times New Roman"/>
          <w:sz w:val="20"/>
          <w:szCs w:val="20"/>
          <w:color w:val="auto"/>
        </w:rPr>
      </w:pPr>
    </w:p>
    <w:p>
      <w:pPr>
        <w:jc w:val="both"/>
        <w:ind w:right="80" w:firstLine="1304"/>
        <w:spacing w:after="0" w:line="270" w:lineRule="auto"/>
        <w:tabs>
          <w:tab w:leader="none" w:pos="1934"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6.2,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Section 6.2, the Borrower, in its sole discretion, will classify, and may reclassify, such Lien and such Lien may be divided and classified and reclassified into more than one of the exceptions in this Section 6.2.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line="230" w:lineRule="auto"/>
        <w:tabs>
          <w:tab w:leader="none" w:pos="128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20"/>
          </w:cols>
          <w:pgMar w:left="320" w:top="1394" w:right="359" w:bottom="1440" w:gutter="0" w:footer="0" w:header="0"/>
        </w:sectPr>
      </w:pPr>
    </w:p>
    <w:bookmarkStart w:id="111" w:name="page112"/>
    <w:bookmarkEnd w:id="111"/>
    <w:p>
      <w:pPr>
        <w:jc w:val="both"/>
        <w:ind w:left="520" w:right="60" w:firstLine="644"/>
        <w:spacing w:after="0" w:line="216" w:lineRule="auto"/>
        <w:tabs>
          <w:tab w:leader="none" w:pos="1804" w:val="left"/>
        </w:tabs>
        <w:numPr>
          <w:ilvl w:val="1"/>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Times New Roman" w:cs="Times New Roman" w:eastAsia="Times New Roman" w:hAnsi="Times New Roman"/>
          <w:sz w:val="20"/>
          <w:szCs w:val="20"/>
          <w:u w:val="single" w:color="auto"/>
          <w:color w:val="auto"/>
        </w:rPr>
        <w:t>Successor Company</w:t>
      </w:r>
      <w:r>
        <w:rPr>
          <w:rFonts w:ascii="Times New Roman" w:cs="Times New Roman" w:eastAsia="Times New Roman" w:hAnsi="Times New Roman"/>
          <w:sz w:val="20"/>
          <w:szCs w:val="20"/>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62" w:lineRule="exact"/>
        <w:rPr>
          <w:rFonts w:ascii="Times New Roman" w:cs="Times New Roman" w:eastAsia="Times New Roman" w:hAnsi="Times New Roman"/>
          <w:sz w:val="20"/>
          <w:szCs w:val="20"/>
          <w:color w:val="010000"/>
        </w:rPr>
      </w:pPr>
    </w:p>
    <w:p>
      <w:pPr>
        <w:ind w:left="520" w:right="520" w:firstLine="644"/>
        <w:spacing w:after="0"/>
        <w:tabs>
          <w:tab w:leader="none" w:pos="1804" w:val="left"/>
        </w:tabs>
        <w:numPr>
          <w:ilvl w:val="1"/>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42"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1"/>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immediately after giving effect to the transaction, no Event of Default and no Default shall have occurred and be</w:t>
      </w:r>
    </w:p>
    <w:p>
      <w:pPr>
        <w:ind w:left="52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continuing.</w:t>
      </w:r>
    </w:p>
    <w:p>
      <w:pPr>
        <w:spacing w:after="0" w:line="180" w:lineRule="exact"/>
        <w:rPr>
          <w:rFonts w:ascii="Times New Roman" w:cs="Times New Roman" w:eastAsia="Times New Roman" w:hAnsi="Times New Roman"/>
          <w:sz w:val="20"/>
          <w:szCs w:val="20"/>
          <w:color w:val="010000"/>
        </w:rPr>
      </w:pPr>
    </w:p>
    <w:p>
      <w:pPr>
        <w:ind w:left="520" w:right="260" w:hanging="4"/>
        <w:spacing w:after="0" w:line="269" w:lineRule="auto"/>
        <w:tabs>
          <w:tab w:leader="none" w:pos="11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59" w:lineRule="exact"/>
        <w:rPr>
          <w:sz w:val="20"/>
          <w:szCs w:val="20"/>
          <w:color w:val="auto"/>
        </w:rPr>
      </w:pPr>
    </w:p>
    <w:p>
      <w:pPr>
        <w:ind w:left="-140" w:right="120" w:firstLine="656"/>
        <w:spacing w:after="0" w:line="216" w:lineRule="auto"/>
        <w:tabs>
          <w:tab w:leader="none" w:pos="1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162"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Limitation on Sale and Leaseback Transactions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40" w:firstLine="656"/>
        <w:spacing w:after="0"/>
        <w:tabs>
          <w:tab w:leader="none" w:pos="114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of its Restricted Subsidiaries, to enter into any sale and lease-back transaction with respect to any Property, whether now owned or hereafter acquired, unless:</w:t>
      </w:r>
    </w:p>
    <w:p>
      <w:pPr>
        <w:spacing w:after="0" w:line="161" w:lineRule="exact"/>
        <w:rPr>
          <w:rFonts w:ascii="Times New Roman" w:cs="Times New Roman" w:eastAsia="Times New Roman" w:hAnsi="Times New Roman"/>
          <w:sz w:val="20"/>
          <w:szCs w:val="20"/>
          <w:color w:val="auto"/>
        </w:rPr>
      </w:pPr>
    </w:p>
    <w:p>
      <w:pPr>
        <w:ind w:left="1800" w:hanging="636"/>
        <w:spacing w:after="0"/>
        <w:tabs>
          <w:tab w:leader="none" w:pos="1800"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was entered into prior to the Closing Date;</w:t>
      </w:r>
    </w:p>
    <w:p>
      <w:pPr>
        <w:spacing w:after="0" w:line="175" w:lineRule="exact"/>
        <w:rPr>
          <w:rFonts w:ascii="Times New Roman" w:cs="Times New Roman" w:eastAsia="Times New Roman" w:hAnsi="Times New Roman"/>
          <w:sz w:val="20"/>
          <w:szCs w:val="20"/>
          <w:color w:val="010000"/>
        </w:rPr>
      </w:pPr>
    </w:p>
    <w:p>
      <w:pPr>
        <w:ind w:left="520" w:right="40" w:firstLine="644"/>
        <w:spacing w:after="0"/>
        <w:tabs>
          <w:tab w:leader="none" w:pos="180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was for the sale and leasing back to the Borrower or a Restricted Subsidiary by the Borrower or any Restricted Subsidiary of any Property;</w:t>
      </w:r>
    </w:p>
    <w:p>
      <w:pPr>
        <w:spacing w:after="0" w:line="161" w:lineRule="exact"/>
        <w:rPr>
          <w:rFonts w:ascii="Times New Roman" w:cs="Times New Roman" w:eastAsia="Times New Roman" w:hAnsi="Times New Roman"/>
          <w:sz w:val="20"/>
          <w:szCs w:val="20"/>
          <w:color w:val="010000"/>
        </w:rPr>
      </w:pPr>
    </w:p>
    <w:p>
      <w:pPr>
        <w:ind w:left="520" w:right="300" w:firstLine="644"/>
        <w:spacing w:after="0" w:line="217" w:lineRule="auto"/>
        <w:tabs>
          <w:tab w:leader="none" w:pos="180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61" w:lineRule="exact"/>
        <w:rPr>
          <w:rFonts w:ascii="Times New Roman" w:cs="Times New Roman" w:eastAsia="Times New Roman" w:hAnsi="Times New Roman"/>
          <w:sz w:val="20"/>
          <w:szCs w:val="20"/>
          <w:color w:val="010000"/>
        </w:rPr>
      </w:pPr>
    </w:p>
    <w:p>
      <w:pPr>
        <w:ind w:left="520" w:right="180" w:firstLine="644"/>
        <w:spacing w:after="0"/>
        <w:tabs>
          <w:tab w:leader="none" w:pos="180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a lease for not more than three years (or which may be terminated by the Borrower or the applicable Restricted Subsidiary within a period of not more than three years);</w:t>
      </w:r>
    </w:p>
    <w:p>
      <w:pPr>
        <w:spacing w:after="0" w:line="147" w:lineRule="exact"/>
        <w:rPr>
          <w:rFonts w:ascii="Times New Roman" w:cs="Times New Roman" w:eastAsia="Times New Roman" w:hAnsi="Times New Roman"/>
          <w:sz w:val="20"/>
          <w:szCs w:val="20"/>
          <w:color w:val="010000"/>
        </w:rPr>
      </w:pPr>
    </w:p>
    <w:p>
      <w:pPr>
        <w:ind w:left="520" w:right="260" w:firstLine="644"/>
        <w:spacing w:after="0" w:line="230" w:lineRule="auto"/>
        <w:tabs>
          <w:tab w:leader="none" w:pos="180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or</w:t>
      </w:r>
    </w:p>
    <w:p>
      <w:pPr>
        <w:spacing w:after="0" w:line="148" w:lineRule="exact"/>
        <w:rPr>
          <w:rFonts w:ascii="Times New Roman" w:cs="Times New Roman" w:eastAsia="Times New Roman" w:hAnsi="Times New Roman"/>
          <w:sz w:val="20"/>
          <w:szCs w:val="20"/>
          <w:color w:val="010000"/>
        </w:rPr>
      </w:pPr>
    </w:p>
    <w:p>
      <w:pPr>
        <w:ind w:left="520" w:right="20" w:firstLine="644"/>
        <w:spacing w:after="0"/>
        <w:tabs>
          <w:tab w:leader="none" w:pos="1804"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or the applicable Restricted Subsidiary applies an amount equal to the net proceeds from the sale of the Property to the purchase of other Property or to the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80"/>
          </w:cols>
          <w:pgMar w:left="460" w:top="1399" w:right="359" w:bottom="1440" w:gutter="0" w:footer="0" w:header="0"/>
        </w:sectPr>
      </w:pPr>
    </w:p>
    <w:bookmarkStart w:id="112" w:name="page113"/>
    <w:bookmarkEnd w:id="112"/>
    <w:p>
      <w:pPr>
        <w:ind w:left="660" w:right="300"/>
        <w:spacing w:after="0"/>
        <w:rPr>
          <w:sz w:val="20"/>
          <w:szCs w:val="20"/>
          <w:color w:val="auto"/>
        </w:rPr>
      </w:pPr>
      <w:r>
        <w:rPr>
          <w:rFonts w:ascii="Times New Roman" w:cs="Times New Roman" w:eastAsia="Times New Roman" w:hAnsi="Times New Roman"/>
          <w:sz w:val="20"/>
          <w:szCs w:val="20"/>
          <w:color w:val="auto"/>
        </w:rPr>
        <w:t>repurchase or other repayment or prepayment of the Term Loans within 365 calendar days before or after the effective date of any such sale and lease-back transaction; and</w:t>
      </w:r>
    </w:p>
    <w:p>
      <w:pPr>
        <w:spacing w:after="0" w:line="148" w:lineRule="exact"/>
        <w:rPr>
          <w:sz w:val="20"/>
          <w:szCs w:val="20"/>
          <w:color w:val="auto"/>
        </w:rPr>
      </w:pPr>
    </w:p>
    <w:p>
      <w:pPr>
        <w:ind w:right="20" w:firstLine="656"/>
        <w:spacing w:after="0" w:line="222" w:lineRule="auto"/>
        <w:tabs>
          <w:tab w:leader="none" w:pos="12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other provisions of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The Borrower will not request any Borrowing, and the Borrower shall not use, and</w:t>
      </w:r>
    </w:p>
    <w:p>
      <w:pPr>
        <w:ind w:right="300"/>
        <w:spacing w:after="0" w:line="215" w:lineRule="auto"/>
        <w:rPr>
          <w:sz w:val="20"/>
          <w:szCs w:val="20"/>
          <w:color w:val="auto"/>
        </w:rPr>
      </w:pPr>
      <w:r>
        <w:rPr>
          <w:rFonts w:ascii="Times New Roman" w:cs="Times New Roman" w:eastAsia="Times New Roman" w:hAnsi="Times New Roman"/>
          <w:sz w:val="19"/>
          <w:szCs w:val="19"/>
          <w:color w:val="auto"/>
        </w:rPr>
        <w:t>shall procure that its Subsidiaries and its or their respective directors, officers, employees and agents shall not use, the proceeds of any Borrowing (a) in furtherance of an offer, payment, promise to pay, or authorization of the payment or giving of money, or anything else of</w:t>
      </w:r>
    </w:p>
    <w:p>
      <w:pPr>
        <w:spacing w:after="0" w:line="222" w:lineRule="auto"/>
        <w:rPr>
          <w:sz w:val="20"/>
          <w:szCs w:val="20"/>
          <w:color w:val="auto"/>
        </w:rPr>
      </w:pPr>
      <w:r>
        <w:rPr>
          <w:rFonts w:ascii="Times New Roman" w:cs="Times New Roman" w:eastAsia="Times New Roman" w:hAnsi="Times New Roman"/>
          <w:sz w:val="19"/>
          <w:szCs w:val="19"/>
          <w:color w:val="auto"/>
        </w:rPr>
        <w:t>value, to any Person in violation of any Anti-Corruption Laws, (b) for the purpose of funding, financing or facilitating any activities, business</w:t>
      </w:r>
    </w:p>
    <w:p>
      <w:pPr>
        <w:ind w:right="300"/>
        <w:spacing w:after="0" w:line="215" w:lineRule="auto"/>
        <w:rPr>
          <w:sz w:val="20"/>
          <w:szCs w:val="20"/>
          <w:color w:val="auto"/>
        </w:rPr>
      </w:pPr>
      <w:r>
        <w:rPr>
          <w:rFonts w:ascii="Times New Roman" w:cs="Times New Roman" w:eastAsia="Times New Roman" w:hAnsi="Times New Roman"/>
          <w:sz w:val="19"/>
          <w:szCs w:val="19"/>
          <w:color w:val="auto"/>
        </w:rPr>
        <w:t>or transaction of or with any Sanctioned Person, or in any Sanctioned Country (and, in any event, will not engage in any such activity, business or transaction), or (c) in any manner that would result in the violation of any Anti-Corruption Law or Sanctions applicable to any</w:t>
      </w:r>
    </w:p>
    <w:p>
      <w:pPr>
        <w:spacing w:after="0" w:line="222" w:lineRule="auto"/>
        <w:rPr>
          <w:sz w:val="20"/>
          <w:szCs w:val="20"/>
          <w:color w:val="auto"/>
        </w:rPr>
      </w:pPr>
      <w:r>
        <w:rPr>
          <w:rFonts w:ascii="Times New Roman" w:cs="Times New Roman" w:eastAsia="Times New Roman" w:hAnsi="Times New Roman"/>
          <w:sz w:val="19"/>
          <w:szCs w:val="19"/>
          <w:color w:val="auto"/>
        </w:rPr>
        <w:t>party hereto. The Borrower shall not repay the Loan with funds derived from any unlawful activity. None of the Borrower, any Subsidiary or</w:t>
      </w:r>
    </w:p>
    <w:p>
      <w:pPr>
        <w:ind w:right="320"/>
        <w:spacing w:after="0" w:line="233" w:lineRule="auto"/>
        <w:rPr>
          <w:sz w:val="20"/>
          <w:szCs w:val="20"/>
          <w:color w:val="auto"/>
        </w:rPr>
      </w:pPr>
      <w:r>
        <w:rPr>
          <w:rFonts w:ascii="Times New Roman" w:cs="Times New Roman" w:eastAsia="Times New Roman" w:hAnsi="Times New Roman"/>
          <w:sz w:val="19"/>
          <w:szCs w:val="19"/>
          <w:color w:val="auto"/>
        </w:rPr>
        <w:t>any of their respective directors, officers or employees, or to the knowledge of the Borrower, any agent of the Borrower or any Subsidiary that will act in any capacity in connection with or benefit from the credit facility established hereby, will become a Sanctioned Person.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 The Borrower will not permit, as of the last day of any fiscal quarter of the Borrower, the Total Net</w:t>
      </w:r>
    </w:p>
    <w:p>
      <w:pPr>
        <w:spacing w:after="0" w:line="215" w:lineRule="auto"/>
        <w:rPr>
          <w:sz w:val="20"/>
          <w:szCs w:val="20"/>
          <w:color w:val="auto"/>
        </w:rPr>
      </w:pPr>
      <w:r>
        <w:rPr>
          <w:rFonts w:ascii="Times New Roman" w:cs="Times New Roman" w:eastAsia="Times New Roman" w:hAnsi="Times New Roman"/>
          <w:sz w:val="19"/>
          <w:szCs w:val="19"/>
          <w:color w:val="auto"/>
        </w:rPr>
        <w:t>Leverage Ratio to exceed 3.25 to 1.00; provided that following the consummation of a Qualified Acquisition for the four fiscal quarters of the Borrower then ended as set forth in the last Compliance Certificate delivered pursuant to Section 5.2, the Total Net Leverage Ratio set forth</w:t>
      </w:r>
    </w:p>
    <w:p>
      <w:pPr>
        <w:ind w:right="340"/>
        <w:spacing w:after="0" w:line="221" w:lineRule="auto"/>
        <w:rPr>
          <w:sz w:val="20"/>
          <w:szCs w:val="20"/>
          <w:color w:val="auto"/>
        </w:rPr>
      </w:pPr>
      <w:r>
        <w:rPr>
          <w:rFonts w:ascii="Times New Roman" w:cs="Times New Roman" w:eastAsia="Times New Roman" w:hAnsi="Times New Roman"/>
          <w:sz w:val="20"/>
          <w:szCs w:val="20"/>
          <w:color w:val="auto"/>
        </w:rPr>
        <w:t>above shall increase for each of the four fiscal quarters of the Borrower ending following the consummation of a Qualified Acquisition to 3.75 to 1.00.</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Section 7</w:t>
      </w: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Each of the following is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to pay principal of a Term Loan when due;</w:t>
      </w:r>
    </w:p>
    <w:p>
      <w:pPr>
        <w:spacing w:after="0" w:line="188" w:lineRule="exact"/>
        <w:rPr>
          <w:rFonts w:ascii="Times New Roman" w:cs="Times New Roman" w:eastAsia="Times New Roman" w:hAnsi="Times New Roman"/>
          <w:sz w:val="20"/>
          <w:szCs w:val="20"/>
          <w:color w:val="auto"/>
        </w:rPr>
      </w:pPr>
    </w:p>
    <w:p>
      <w:pPr>
        <w:ind w:right="160" w:firstLine="656"/>
        <w:spacing w:after="0" w:line="233" w:lineRule="auto"/>
        <w:tabs>
          <w:tab w:leader="none" w:pos="12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Borrower to comply with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right="280" w:firstLine="656"/>
        <w:spacing w:after="0" w:line="222" w:lineRule="auto"/>
        <w:tabs>
          <w:tab w:leader="none" w:pos="12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or any of its Restricted Subsidiaries to perform, or breach by the Borrower or any of its Restricted Subsidiaries of, any other covenant,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48" w:lineRule="exact"/>
        <w:rPr>
          <w:rFonts w:ascii="Times New Roman" w:cs="Times New Roman" w:eastAsia="Times New Roman" w:hAnsi="Times New Roman"/>
          <w:sz w:val="20"/>
          <w:szCs w:val="20"/>
          <w:color w:val="auto"/>
        </w:rPr>
      </w:pPr>
    </w:p>
    <w:p>
      <w:pPr>
        <w:ind w:right="80" w:firstLine="656"/>
        <w:spacing w:after="0" w:line="215" w:lineRule="auto"/>
        <w:tabs>
          <w:tab w:leader="none" w:pos="128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9" w:right="339" w:bottom="1440" w:gutter="0" w:footer="0" w:header="0"/>
        </w:sectPr>
      </w:pPr>
    </w:p>
    <w:bookmarkStart w:id="113" w:name="page114"/>
    <w:bookmarkEnd w:id="113"/>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Significant Subsidiary, pursuant to or within the meaning of any Debtor Relief Law:</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commences proceedings to be adjudicated bankrupt or insolvent;</w:t>
      </w:r>
    </w:p>
    <w:p>
      <w:pPr>
        <w:spacing w:after="0" w:line="175" w:lineRule="exact"/>
        <w:rPr>
          <w:rFonts w:ascii="Times New Roman" w:cs="Times New Roman" w:eastAsia="Times New Roman" w:hAnsi="Times New Roman"/>
          <w:sz w:val="20"/>
          <w:szCs w:val="20"/>
          <w:color w:val="010000"/>
        </w:rPr>
      </w:pPr>
    </w:p>
    <w:p>
      <w:pPr>
        <w:ind w:left="660" w:right="200" w:firstLine="644"/>
        <w:spacing w:after="0" w:line="230" w:lineRule="auto"/>
        <w:tabs>
          <w:tab w:leader="none" w:pos="194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48" w:lineRule="exact"/>
        <w:rPr>
          <w:rFonts w:ascii="Times New Roman" w:cs="Times New Roman" w:eastAsia="Times New Roman" w:hAnsi="Times New Roman"/>
          <w:sz w:val="20"/>
          <w:szCs w:val="20"/>
          <w:color w:val="010000"/>
        </w:rPr>
      </w:pPr>
    </w:p>
    <w:p>
      <w:pPr>
        <w:ind w:left="660" w:right="560" w:firstLine="644"/>
        <w:spacing w:after="0"/>
        <w:tabs>
          <w:tab w:leader="none" w:pos="194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consents to the appointment of a receiver, interim receiver, receiver and manager, liquidator, assignee, trustee, sequestrator or other similar official of it or for all or substantially all of its property; or</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makes a general assignment for the benefit of its creditors;</w:t>
      </w:r>
    </w:p>
    <w:p>
      <w:pPr>
        <w:spacing w:after="0" w:line="17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Debtor Relief Law that:</w:t>
      </w:r>
    </w:p>
    <w:p>
      <w:pPr>
        <w:spacing w:after="0" w:line="188" w:lineRule="exact"/>
        <w:rPr>
          <w:rFonts w:ascii="Times New Roman" w:cs="Times New Roman" w:eastAsia="Times New Roman" w:hAnsi="Times New Roman"/>
          <w:sz w:val="20"/>
          <w:szCs w:val="20"/>
          <w:color w:val="auto"/>
        </w:rPr>
      </w:pPr>
    </w:p>
    <w:p>
      <w:pPr>
        <w:ind w:left="660" w:right="660" w:firstLine="644"/>
        <w:spacing w:after="0"/>
        <w:tabs>
          <w:tab w:leader="none" w:pos="194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for relief against the Borrower or any Significant Subsidiary in a proceeding in which the Borrower or any Significant Subsidiary is to be adjudicated bankrupt or insolvent;</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44"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4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orders the liquidation, dissolution or winding up of the Borrower or any Significant Subsidiary;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order or decree remains unstayed and in effect for 60 consecutive days;</w:t>
      </w:r>
    </w:p>
    <w:p>
      <w:pPr>
        <w:spacing w:after="0" w:line="21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79" w:lineRule="exact"/>
        <w:rPr>
          <w:sz w:val="20"/>
          <w:szCs w:val="20"/>
          <w:color w:val="auto"/>
        </w:rPr>
      </w:pPr>
    </w:p>
    <w:p>
      <w:pPr>
        <w:ind w:right="540" w:firstLine="656"/>
        <w:spacing w:after="0" w:line="251" w:lineRule="auto"/>
        <w:tabs>
          <w:tab w:leader="none" w:pos="128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5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shall occur.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case of an Event of Default, then, and in every such event (other than an event with respect to the Borrower described in clause (f) or</w:t>
      </w:r>
    </w:p>
    <w:p>
      <w:pPr>
        <w:spacing w:after="0" w:line="22" w:lineRule="exact"/>
        <w:rPr>
          <w:sz w:val="20"/>
          <w:szCs w:val="20"/>
          <w:color w:val="auto"/>
        </w:rPr>
      </w:pPr>
    </w:p>
    <w:p>
      <w:pPr>
        <w:ind w:firstLine="8"/>
        <w:spacing w:after="0" w:line="264" w:lineRule="auto"/>
        <w:tabs>
          <w:tab w:leader="none" w:pos="2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and at any time thereafter during the continuance of such event, the Administrative Agent may take any and all of the following actions: at the request of the Required Lenders, the Administrative Agent shall, by notice to the Borrower (i)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00"/>
          </w:cols>
          <w:pgMar w:left="320" w:top="1399" w:right="379" w:bottom="1440" w:gutter="0" w:footer="0" w:header="0"/>
        </w:sectPr>
      </w:pPr>
    </w:p>
    <w:bookmarkStart w:id="114" w:name="page115"/>
    <w:bookmarkEnd w:id="114"/>
    <w:p>
      <w:pPr>
        <w:ind w:right="100"/>
        <w:spacing w:after="0" w:line="253" w:lineRule="auto"/>
        <w:rPr>
          <w:sz w:val="20"/>
          <w:szCs w:val="20"/>
          <w:color w:val="auto"/>
        </w:rPr>
      </w:pPr>
      <w:r>
        <w:rPr>
          <w:rFonts w:ascii="Times New Roman" w:cs="Times New Roman" w:eastAsia="Times New Roman" w:hAnsi="Times New Roman"/>
          <w:sz w:val="20"/>
          <w:szCs w:val="20"/>
          <w:color w:val="auto"/>
        </w:rPr>
        <w:t>of itself and the Lenders all rights and remedies available to it and the Lenders under the Loan Documents and applicable law. In case of any event with respect to the Borrower described in clause (f) or (g) of this Section, any outstanding Term Commitments shall automatically terminate and the principal of the Term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 the event of a declaration of acceleration of the Term Loans because an Event of Default described in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 xml:space="preserve"> has occurred and is continuing, the declaration of acceleration of the Term Loans shall be automatically annulled if the event of default or payment default triggering such Event of Default pursuant to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Term Loans would not conflict with any judgment or decree of a court of competent jurisdiction and (2) all existing Events of Default, except nonpayment of principal, premium or interest on the Term Loans that became due solely because of the acceleration of the Term Loans, have been cured or waived.</w:t>
      </w:r>
    </w:p>
    <w:p>
      <w:pPr>
        <w:spacing w:after="0" w:line="16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010000"/>
        </w:rPr>
        <w:t>Section 8</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The Agents</w:t>
      </w:r>
    </w:p>
    <w:p>
      <w:pPr>
        <w:spacing w:after="0" w:line="153"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Each Lender hereby irrevocably designates and appoints the Administrative Agent as the agent of such Lender under this Agreement and the other Loan Documents, and each such Lender irrevocably authorizes the Administrative Agent, in such</w:t>
      </w:r>
    </w:p>
    <w:p>
      <w:pPr>
        <w:spacing w:after="0" w:line="2"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0"/>
          <w:szCs w:val="20"/>
          <w:color w:val="auto"/>
        </w:rPr>
        <w:t>capacity, to take such action on its behalf under the provisions of this Agreement and the other Loan Documents and to exercise such powers and perform such duties as are expressly delegated to the Administrative Agent by the terms of this Agreement and the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Documents, together with such other powers as are reasonably incidental thereto. The provisions of this Section are solely for the benefit of</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the Administrative Agent and the Lenders, and neither the Borrower nor any other Loan Party shall have rights as a third-party beneficiary of any of such provisions nor shall the provisions of this Section modify the rights of the Borrower and any other Loan Party under the other</w:t>
      </w:r>
    </w:p>
    <w:p>
      <w:pPr>
        <w:spacing w:after="0" w:line="211" w:lineRule="auto"/>
        <w:rPr>
          <w:sz w:val="20"/>
          <w:szCs w:val="20"/>
          <w:color w:val="auto"/>
        </w:rPr>
      </w:pPr>
      <w:r>
        <w:rPr>
          <w:rFonts w:ascii="Times New Roman" w:cs="Times New Roman" w:eastAsia="Times New Roman" w:hAnsi="Times New Roman"/>
          <w:sz w:val="20"/>
          <w:szCs w:val="20"/>
          <w:color w:val="auto"/>
        </w:rPr>
        <w:t>portions of this Agreement. Notwithstanding any provision to the contrary elsewhere in this Agreement, the Administrative Agent shall not</w:t>
      </w:r>
    </w:p>
    <w:p>
      <w:pPr>
        <w:ind w:right="440"/>
        <w:spacing w:after="0" w:line="215" w:lineRule="auto"/>
        <w:rPr>
          <w:sz w:val="20"/>
          <w:szCs w:val="20"/>
          <w:color w:val="auto"/>
        </w:rPr>
      </w:pPr>
      <w:r>
        <w:rPr>
          <w:rFonts w:ascii="Times New Roman" w:cs="Times New Roman" w:eastAsia="Times New Roman" w:hAnsi="Times New Roman"/>
          <w:sz w:val="19"/>
          <w:szCs w:val="19"/>
          <w:color w:val="auto"/>
        </w:rPr>
        <w:t>have any duties or responsibilities, except those expressly set forth herein, or any fiduciary relationship with any Lender, and no implied covenants, functions, responsibilities, duties, obligations or liabilities shall be read into this Agreement or any other Loan Document or</w:t>
      </w:r>
    </w:p>
    <w:p>
      <w:pPr>
        <w:spacing w:after="0" w:line="211" w:lineRule="auto"/>
        <w:rPr>
          <w:sz w:val="20"/>
          <w:szCs w:val="20"/>
          <w:color w:val="auto"/>
        </w:rPr>
      </w:pPr>
      <w:r>
        <w:rPr>
          <w:rFonts w:ascii="Times New Roman" w:cs="Times New Roman" w:eastAsia="Times New Roman" w:hAnsi="Times New Roman"/>
          <w:sz w:val="20"/>
          <w:szCs w:val="20"/>
          <w:color w:val="auto"/>
        </w:rPr>
        <w:t>otherwise exist against the Administrative Agent. The Person serving as the Administrative Agent hereunder shall have the same rights and</w:t>
      </w:r>
    </w:p>
    <w:p>
      <w:pPr>
        <w:spacing w:after="0" w:line="215" w:lineRule="auto"/>
        <w:rPr>
          <w:sz w:val="20"/>
          <w:szCs w:val="20"/>
          <w:color w:val="auto"/>
        </w:rPr>
      </w:pPr>
      <w:r>
        <w:rPr>
          <w:rFonts w:ascii="Times New Roman" w:cs="Times New Roman" w:eastAsia="Times New Roman" w:hAnsi="Times New Roman"/>
          <w:sz w:val="19"/>
          <w:szCs w:val="19"/>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w:t>
      </w:r>
    </w:p>
    <w:p>
      <w:pPr>
        <w:spacing w:after="0"/>
        <w:rPr>
          <w:sz w:val="20"/>
          <w:szCs w:val="20"/>
          <w:color w:val="auto"/>
        </w:rPr>
      </w:pPr>
      <w:r>
        <w:rPr>
          <w:rFonts w:ascii="Times New Roman" w:cs="Times New Roman" w:eastAsia="Times New Roman" w:hAnsi="Times New Roman"/>
          <w:sz w:val="20"/>
          <w:szCs w:val="20"/>
          <w:color w:val="auto"/>
        </w:rPr>
        <w:t>the Administrative Agent hereunder in its individual capacity.</w:t>
      </w:r>
    </w:p>
    <w:p>
      <w:pPr>
        <w:spacing w:after="0" w:line="167" w:lineRule="exact"/>
        <w:rPr>
          <w:sz w:val="20"/>
          <w:szCs w:val="20"/>
          <w:color w:val="auto"/>
        </w:rPr>
      </w:pPr>
    </w:p>
    <w:p>
      <w:pPr>
        <w:ind w:right="400" w:firstLine="648"/>
        <w:spacing w:after="0" w:line="21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and the other Loan Documents by or through agents or attorneys in fact and shall be entitled to advice of counsel concerning all matters pertaining to such</w:t>
      </w:r>
    </w:p>
    <w:p>
      <w:pPr>
        <w:spacing w:after="0" w:line="1"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20"/>
          <w:szCs w:val="20"/>
          <w:color w:val="auto"/>
        </w:rPr>
        <w:t>duties. The Administrative Agent shall not be responsible for the negligence or misconduct of any agents or attorneys in fact selected by it with reasonable care.</w:t>
      </w:r>
    </w:p>
    <w:p>
      <w:pPr>
        <w:spacing w:after="0" w:line="149" w:lineRule="exact"/>
        <w:rPr>
          <w:sz w:val="20"/>
          <w:szCs w:val="20"/>
          <w:color w:val="auto"/>
        </w:rPr>
      </w:pPr>
    </w:p>
    <w:p>
      <w:pPr>
        <w:ind w:right="3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Use of the term “agent” in the Agreement or in any other Loan Documents (or any other similar term) with reference to the Administrative Agent does not connote (and is not intended to connote), any fiduciary or other implied (or</w:t>
      </w:r>
    </w:p>
    <w:p>
      <w:pPr>
        <w:spacing w:after="0" w:line="2"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express) obligation arising under agency doctrine of any applicable law, regardless of whether a Default or Event of Default has occurred and is continuing. Instead such term is used as a matter of market custom, and is intended to create or reflect only an administrative relationship</w:t>
      </w:r>
    </w:p>
    <w:p>
      <w:pPr>
        <w:spacing w:after="0" w:line="211" w:lineRule="auto"/>
        <w:rPr>
          <w:sz w:val="20"/>
          <w:szCs w:val="20"/>
          <w:color w:val="auto"/>
        </w:rPr>
      </w:pPr>
      <w:r>
        <w:rPr>
          <w:rFonts w:ascii="Times New Roman" w:cs="Times New Roman" w:eastAsia="Times New Roman" w:hAnsi="Times New Roman"/>
          <w:sz w:val="20"/>
          <w:szCs w:val="20"/>
          <w:color w:val="auto"/>
        </w:rPr>
        <w:t>between the contracting parties. The Administrative Agent shall not have any duty to take any discretionary action or exercise any</w:t>
      </w:r>
    </w:p>
    <w:p>
      <w:pPr>
        <w:ind w:right="540"/>
        <w:spacing w:after="0" w:line="215" w:lineRule="auto"/>
        <w:rPr>
          <w:sz w:val="20"/>
          <w:szCs w:val="20"/>
          <w:color w:val="auto"/>
        </w:rPr>
      </w:pPr>
      <w:r>
        <w:rPr>
          <w:rFonts w:ascii="Times New Roman" w:cs="Times New Roman" w:eastAsia="Times New Roman" w:hAnsi="Times New Roman"/>
          <w:sz w:val="19"/>
          <w:szCs w:val="19"/>
          <w:color w:val="auto"/>
        </w:rPr>
        <w:t>discretionary power, except discretionary rights and powers expressly contemplated by the Agreement that the Administrative Agent is required to exercise and only so long as so directed in writing to take such discretionary action by the “Required Lenders” provided,</w:t>
      </w:r>
    </w:p>
    <w:p>
      <w:pPr>
        <w:spacing w:after="0"/>
        <w:rPr>
          <w:sz w:val="20"/>
          <w:szCs w:val="20"/>
          <w:color w:val="auto"/>
        </w:rPr>
      </w:pPr>
      <w:r>
        <w:rPr>
          <w:rFonts w:ascii="Times New Roman" w:cs="Times New Roman" w:eastAsia="Times New Roman" w:hAnsi="Times New Roman"/>
          <w:sz w:val="20"/>
          <w:szCs w:val="20"/>
          <w:color w:val="auto"/>
        </w:rPr>
        <w:t>however, that the Administrative Agent shall not be required to take any action that, in its opinion or the opinion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counsel, may expose the Administrative Agent to liability or that is contrary to any Loan Document or Applicable Law, including, for the</w:t>
      </w:r>
    </w:p>
    <w:p>
      <w:pPr>
        <w:spacing w:after="0" w:line="215" w:lineRule="auto"/>
        <w:rPr>
          <w:sz w:val="20"/>
          <w:szCs w:val="20"/>
          <w:color w:val="auto"/>
        </w:rPr>
      </w:pPr>
      <w:r>
        <w:rPr>
          <w:rFonts w:ascii="Times New Roman" w:cs="Times New Roman" w:eastAsia="Times New Roman" w:hAnsi="Times New Roman"/>
          <w:sz w:val="19"/>
          <w:szCs w:val="19"/>
          <w:color w:val="auto"/>
        </w:rPr>
        <w:t>avoidance of doubt, any action that may be in violation of the automatic stay or that may effect a forfeiture, modification or termination of a property interest in violation of any applicable bankruptcy/insolvency laws and the Administrative Agent shall in all cases be fully justified in</w:t>
      </w:r>
    </w:p>
    <w:p>
      <w:pPr>
        <w:spacing w:after="0" w:line="211" w:lineRule="auto"/>
        <w:rPr>
          <w:sz w:val="20"/>
          <w:szCs w:val="20"/>
          <w:color w:val="auto"/>
        </w:rPr>
      </w:pPr>
      <w:r>
        <w:rPr>
          <w:rFonts w:ascii="Times New Roman" w:cs="Times New Roman" w:eastAsia="Times New Roman" w:hAnsi="Times New Roman"/>
          <w:sz w:val="20"/>
          <w:szCs w:val="20"/>
          <w:color w:val="auto"/>
        </w:rPr>
        <w:t>failing or refusing to act under the Agreement or any other Loan Document unless it first receives further assurances of its indemnification</w:t>
      </w:r>
    </w:p>
    <w:p>
      <w:pPr>
        <w:ind w:right="300"/>
        <w:spacing w:after="0" w:line="204" w:lineRule="auto"/>
        <w:rPr>
          <w:sz w:val="20"/>
          <w:szCs w:val="20"/>
          <w:color w:val="auto"/>
        </w:rPr>
      </w:pPr>
      <w:r>
        <w:rPr>
          <w:rFonts w:ascii="Times New Roman" w:cs="Times New Roman" w:eastAsia="Times New Roman" w:hAnsi="Times New Roman"/>
          <w:sz w:val="20"/>
          <w:szCs w:val="20"/>
          <w:color w:val="auto"/>
        </w:rPr>
        <w:t>from the Lenders that the Administrative Agent reasonably believes it may require, including prepayment of any related expenses and any other protection it requires against any and all costs, expenses and liabilities it may incur in taking or continuing to take any such</w:t>
      </w:r>
    </w:p>
    <w:p>
      <w:pPr>
        <w:spacing w:after="0" w:line="211" w:lineRule="auto"/>
        <w:rPr>
          <w:sz w:val="20"/>
          <w:szCs w:val="20"/>
          <w:color w:val="auto"/>
        </w:rPr>
      </w:pPr>
      <w:r>
        <w:rPr>
          <w:rFonts w:ascii="Times New Roman" w:cs="Times New Roman" w:eastAsia="Times New Roman" w:hAnsi="Times New Roman"/>
          <w:sz w:val="20"/>
          <w:szCs w:val="20"/>
          <w:color w:val="auto"/>
        </w:rPr>
        <w:t>discretionary action at the direction of the Required Lenders. The Administrative Agent shall not have any duty to disclose, and shall not be</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liable for the failure to disclose, except as expressly set forth in the Agreement and in the other Loan Documents, any information relating to the borrower or any of its affiliates that is communicated to or obtained by the Administrative Agent or any of its affiliates in any capacity.</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w:t>
      </w:r>
    </w:p>
    <w:p>
      <w:pPr>
        <w:ind w:right="160"/>
        <w:spacing w:after="0" w:line="204" w:lineRule="auto"/>
        <w:rPr>
          <w:sz w:val="20"/>
          <w:szCs w:val="20"/>
          <w:color w:val="auto"/>
        </w:rPr>
      </w:pPr>
      <w:r>
        <w:rPr>
          <w:rFonts w:ascii="Times New Roman" w:cs="Times New Roman" w:eastAsia="Times New Roman" w:hAnsi="Times New Roman"/>
          <w:sz w:val="20"/>
          <w:szCs w:val="20"/>
          <w:color w:val="auto"/>
        </w:rPr>
        <w:t>representation made in or in connection with the Loan Agreement or any other Loan Document, (ii) the contents of any certificate, report or other document delivered hereunder or thereunder or in connection herewith or therewith, (iii) the performance or observance of any</w:t>
      </w:r>
    </w:p>
    <w:p>
      <w:pPr>
        <w:spacing w:after="0" w:line="211" w:lineRule="auto"/>
        <w:rPr>
          <w:sz w:val="20"/>
          <w:szCs w:val="20"/>
          <w:color w:val="auto"/>
        </w:rPr>
      </w:pPr>
      <w:r>
        <w:rPr>
          <w:rFonts w:ascii="Times New Roman" w:cs="Times New Roman" w:eastAsia="Times New Roman" w:hAnsi="Times New Roman"/>
          <w:sz w:val="20"/>
          <w:szCs w:val="20"/>
          <w:color w:val="auto"/>
        </w:rPr>
        <w:t>covenant, agreement or other term or condition set forth herein or therein or the occurrence of any default, (iv) the validity, enforceability,</w:t>
      </w:r>
    </w:p>
    <w:p>
      <w:pPr>
        <w:spacing w:after="0" w:line="1" w:lineRule="exact"/>
        <w:rPr>
          <w:sz w:val="20"/>
          <w:szCs w:val="20"/>
          <w:color w:val="auto"/>
        </w:rPr>
      </w:pPr>
    </w:p>
    <w:p>
      <w:pPr>
        <w:ind w:right="500"/>
        <w:spacing w:after="0" w:line="215" w:lineRule="auto"/>
        <w:rPr>
          <w:sz w:val="20"/>
          <w:szCs w:val="20"/>
          <w:color w:val="auto"/>
        </w:rPr>
      </w:pPr>
      <w:r>
        <w:rPr>
          <w:rFonts w:ascii="Times New Roman" w:cs="Times New Roman" w:eastAsia="Times New Roman" w:hAnsi="Times New Roman"/>
          <w:sz w:val="19"/>
          <w:szCs w:val="19"/>
          <w:color w:val="auto"/>
        </w:rPr>
        <w:t>effectiveness or genuineness of this Agreement, any other Loan Document or any other agreement, instrument or document, or (v) the satisfaction of any conditions precedent set forth in the Loan Agreement, other than to confirm receipt of items expressly required to be</w:t>
      </w:r>
    </w:p>
    <w:p>
      <w:pPr>
        <w:spacing w:after="0" w:line="222" w:lineRule="auto"/>
        <w:rPr>
          <w:sz w:val="20"/>
          <w:szCs w:val="20"/>
          <w:color w:val="auto"/>
        </w:rPr>
      </w:pPr>
      <w:r>
        <w:rPr>
          <w:rFonts w:ascii="Times New Roman" w:cs="Times New Roman" w:eastAsia="Times New Roman" w:hAnsi="Times New Roman"/>
          <w:sz w:val="19"/>
          <w:szCs w:val="19"/>
          <w:color w:val="auto"/>
        </w:rPr>
        <w:t>delivered to the Administrative Agent. The exculpatory provisions of this Section shall apply to any such sub agent and to the affiliates of the</w:t>
      </w:r>
    </w:p>
    <w:p>
      <w:pPr>
        <w:ind w:right="340"/>
        <w:spacing w:after="0" w:line="221" w:lineRule="auto"/>
        <w:rPr>
          <w:sz w:val="20"/>
          <w:szCs w:val="20"/>
          <w:color w:val="auto"/>
        </w:rPr>
      </w:pPr>
      <w:r>
        <w:rPr>
          <w:rFonts w:ascii="Times New Roman" w:cs="Times New Roman" w:eastAsia="Times New Roman" w:hAnsi="Times New Roman"/>
          <w:sz w:val="20"/>
          <w:szCs w:val="20"/>
          <w:color w:val="auto"/>
        </w:rPr>
        <w:t>Administrative Agent and any such sub-agent, and shall apply to their respective activities in connection with the syndication of the Term Facility as well as activities as Administrative Agent.</w:t>
      </w:r>
    </w:p>
    <w:p>
      <w:pPr>
        <w:spacing w:after="0" w:line="162" w:lineRule="exact"/>
        <w:rPr>
          <w:sz w:val="20"/>
          <w:szCs w:val="20"/>
          <w:color w:val="auto"/>
        </w:rPr>
      </w:pPr>
    </w:p>
    <w:p>
      <w:pPr>
        <w:ind w:right="3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Reliance by the Administrative Agent</w:t>
      </w:r>
      <w:r>
        <w:rPr>
          <w:rFonts w:ascii="Times New Roman" w:cs="Times New Roman" w:eastAsia="Times New Roman" w:hAnsi="Times New Roman"/>
          <w:sz w:val="19"/>
          <w:szCs w:val="19"/>
          <w:color w:val="auto"/>
        </w:rPr>
        <w:t>. The Administrative Agent shall be entitled to rely, and shall be fully protected in relying, upon any instrument, writing, resolution, notice, consent, certificate, affidavit, letter, telecopy, email message, statement, order or</w:t>
      </w:r>
    </w:p>
    <w:p>
      <w:pPr>
        <w:spacing w:after="0" w:line="211" w:lineRule="auto"/>
        <w:rPr>
          <w:sz w:val="20"/>
          <w:szCs w:val="20"/>
          <w:color w:val="auto"/>
        </w:rPr>
      </w:pPr>
      <w:r>
        <w:rPr>
          <w:rFonts w:ascii="Times New Roman" w:cs="Times New Roman" w:eastAsia="Times New Roman" w:hAnsi="Times New Roman"/>
          <w:sz w:val="20"/>
          <w:szCs w:val="20"/>
          <w:color w:val="auto"/>
        </w:rPr>
        <w:t>other document or conversation believed by it to be genuine and correct and to have been signed, sent or made by the proper Person or</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Persons and upon advice and statements of legal counsel (including counsel to the Borrower), independent accountants and other experts reasonably selected by the Administrative Agent. The Administrative Agent also may rely upon any statement made to it orally or by</w:t>
      </w:r>
    </w:p>
    <w:p>
      <w:pPr>
        <w:spacing w:after="0" w:line="222" w:lineRule="auto"/>
        <w:rPr>
          <w:sz w:val="20"/>
          <w:szCs w:val="20"/>
          <w:color w:val="auto"/>
        </w:rPr>
      </w:pPr>
      <w:r>
        <w:rPr>
          <w:rFonts w:ascii="Times New Roman" w:cs="Times New Roman" w:eastAsia="Times New Roman" w:hAnsi="Times New Roman"/>
          <w:sz w:val="19"/>
          <w:szCs w:val="19"/>
          <w:color w:val="auto"/>
        </w:rPr>
        <w:t>telephone and believed by it to have been made by the proper Person, and shall not incur any liability for relying thereon. The Administrative</w:t>
      </w:r>
    </w:p>
    <w:p>
      <w:pPr>
        <w:ind w:right="640"/>
        <w:spacing w:after="0" w:line="215" w:lineRule="auto"/>
        <w:rPr>
          <w:sz w:val="20"/>
          <w:szCs w:val="20"/>
          <w:color w:val="auto"/>
        </w:rPr>
      </w:pPr>
      <w:r>
        <w:rPr>
          <w:rFonts w:ascii="Times New Roman" w:cs="Times New Roman" w:eastAsia="Times New Roman" w:hAnsi="Times New Roman"/>
          <w:sz w:val="19"/>
          <w:szCs w:val="19"/>
          <w:color w:val="auto"/>
        </w:rPr>
        <w:t>Agent shall be fully justified in failing or refusing to take any action under this Agreement or any other Loan Document unless the Administrative Agent shall first receive such advice or concurrence of the Required Lenders (or, if so specified by this Agreement, all</w:t>
      </w:r>
    </w:p>
    <w:p>
      <w:pPr>
        <w:spacing w:after="0" w:line="222" w:lineRule="auto"/>
        <w:rPr>
          <w:sz w:val="20"/>
          <w:szCs w:val="20"/>
          <w:color w:val="auto"/>
        </w:rPr>
      </w:pPr>
      <w:r>
        <w:rPr>
          <w:rFonts w:ascii="Times New Roman" w:cs="Times New Roman" w:eastAsia="Times New Roman" w:hAnsi="Times New Roman"/>
          <w:sz w:val="19"/>
          <w:szCs w:val="19"/>
          <w:color w:val="auto"/>
        </w:rPr>
        <w:t>Lenders) as it deems appropriate or it shall first be indemnified to its satisfaction by the Lenders against any and all liability and expense that</w:t>
      </w:r>
    </w:p>
    <w:p>
      <w:pPr>
        <w:ind w:right="100"/>
        <w:spacing w:after="0" w:line="215" w:lineRule="auto"/>
        <w:rPr>
          <w:sz w:val="20"/>
          <w:szCs w:val="20"/>
          <w:color w:val="auto"/>
        </w:rPr>
      </w:pPr>
      <w:r>
        <w:rPr>
          <w:rFonts w:ascii="Times New Roman" w:cs="Times New Roman" w:eastAsia="Times New Roman" w:hAnsi="Times New Roman"/>
          <w:sz w:val="19"/>
          <w:szCs w:val="19"/>
          <w:color w:val="auto"/>
        </w:rPr>
        <w:t>may be incurred by it by reason of taking or continuing to take any such action. In determining compliance with any condition to the making of a loan, or the issuance, extension, renewal or increase of a Letter of Credit, the Administrative Agent may presume that such condition is</w:t>
      </w:r>
    </w:p>
    <w:p>
      <w:pPr>
        <w:spacing w:after="0" w:line="222" w:lineRule="auto"/>
        <w:rPr>
          <w:sz w:val="20"/>
          <w:szCs w:val="20"/>
          <w:color w:val="auto"/>
        </w:rPr>
      </w:pPr>
      <w:r>
        <w:rPr>
          <w:rFonts w:ascii="Times New Roman" w:cs="Times New Roman" w:eastAsia="Times New Roman" w:hAnsi="Times New Roman"/>
          <w:sz w:val="19"/>
          <w:szCs w:val="19"/>
          <w:color w:val="auto"/>
        </w:rPr>
        <w:t>satisfactory to such Lender unless the Administrative Agent receives notice to the contrary from such Lender prior to the making of such loan</w:t>
      </w:r>
    </w:p>
    <w:p>
      <w:pPr>
        <w:ind w:right="140"/>
        <w:spacing w:after="0" w:line="215" w:lineRule="auto"/>
        <w:rPr>
          <w:sz w:val="20"/>
          <w:szCs w:val="20"/>
          <w:color w:val="auto"/>
        </w:rPr>
      </w:pPr>
      <w:r>
        <w:rPr>
          <w:rFonts w:ascii="Times New Roman" w:cs="Times New Roman" w:eastAsia="Times New Roman" w:hAnsi="Times New Roman"/>
          <w:sz w:val="19"/>
          <w:szCs w:val="19"/>
          <w:color w:val="auto"/>
        </w:rPr>
        <w:t>or the issuance of such Letter of Credit. The Administrative Agent shall in all cases be fully protected in acting, or in refraining from acting, under this Agreement and the other Loan Documents in accordance with a request of the Required Lenders (or, if so specified by this</w:t>
      </w:r>
    </w:p>
    <w:p>
      <w:pPr>
        <w:spacing w:after="0" w:line="211" w:lineRule="auto"/>
        <w:rPr>
          <w:sz w:val="20"/>
          <w:szCs w:val="20"/>
          <w:color w:val="auto"/>
        </w:rPr>
      </w:pPr>
      <w:r>
        <w:rPr>
          <w:rFonts w:ascii="Times New Roman" w:cs="Times New Roman" w:eastAsia="Times New Roman" w:hAnsi="Times New Roman"/>
          <w:sz w:val="20"/>
          <w:szCs w:val="20"/>
          <w:color w:val="auto"/>
        </w:rPr>
        <w:t>Agreement or any other Loan Document, all Lenders), and such request and any action taken or failure to act pursuant thereto shall be</w:t>
      </w:r>
    </w:p>
    <w:p>
      <w:pPr>
        <w:ind w:right="80"/>
        <w:spacing w:after="0" w:line="215" w:lineRule="auto"/>
        <w:rPr>
          <w:sz w:val="20"/>
          <w:szCs w:val="20"/>
          <w:color w:val="auto"/>
        </w:rPr>
      </w:pPr>
      <w:r>
        <w:rPr>
          <w:rFonts w:ascii="Times New Roman" w:cs="Times New Roman" w:eastAsia="Times New Roman" w:hAnsi="Times New Roman"/>
          <w:sz w:val="19"/>
          <w:szCs w:val="19"/>
          <w:color w:val="auto"/>
        </w:rPr>
        <w:t>binding upon all the Lenders and all future holders of the Term Loans. The Administrative Agent shall not be liable for any action taken or not taken by it (i) in accordance with the advice of any such counsel, accountants or experts or (ii) in the absence of its own gross negligence</w:t>
      </w:r>
    </w:p>
    <w:p>
      <w:pPr>
        <w:spacing w:after="0"/>
        <w:rPr>
          <w:sz w:val="20"/>
          <w:szCs w:val="20"/>
          <w:color w:val="auto"/>
        </w:rPr>
      </w:pPr>
      <w:r>
        <w:rPr>
          <w:rFonts w:ascii="Times New Roman" w:cs="Times New Roman" w:eastAsia="Times New Roman" w:hAnsi="Times New Roman"/>
          <w:sz w:val="20"/>
          <w:szCs w:val="20"/>
          <w:color w:val="auto"/>
        </w:rPr>
        <w:t>or willful misconduct as determined by a court of competent jurisdiction by final and nonappealable judgment .</w:t>
      </w:r>
    </w:p>
    <w:p>
      <w:pPr>
        <w:spacing w:after="0" w:line="167" w:lineRule="exact"/>
        <w:rPr>
          <w:sz w:val="20"/>
          <w:szCs w:val="20"/>
          <w:color w:val="auto"/>
        </w:rPr>
      </w:pPr>
    </w:p>
    <w:p>
      <w:pPr>
        <w:ind w:right="1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The Administrative Agent shall not be deemed to have knowledge or notice of the occurrence of any Default or Event of Default unless it has received written notice from a Lender or the Borrower referring to this Agreement, describing such</w:t>
      </w:r>
    </w:p>
    <w:p>
      <w:pPr>
        <w:spacing w:after="0" w:line="211" w:lineRule="auto"/>
        <w:rPr>
          <w:sz w:val="20"/>
          <w:szCs w:val="20"/>
          <w:color w:val="auto"/>
        </w:rPr>
      </w:pPr>
      <w:r>
        <w:rPr>
          <w:rFonts w:ascii="Times New Roman" w:cs="Times New Roman" w:eastAsia="Times New Roman" w:hAnsi="Times New Roman"/>
          <w:sz w:val="20"/>
          <w:szCs w:val="20"/>
          <w:color w:val="auto"/>
        </w:rPr>
        <w:t>Default or Event of Default and stating that such notice is a “notice of default”. In the event that the Administrative Agent receives such a</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notice, it shall give notice thereof to the Lenders. The Administrative Agent shall take such action with respect to such Default or Event of Default as shall be reasonably directed by the Required Lenders (or, if so specified by this Agreement or any other Loan Document, all</w:t>
      </w:r>
    </w:p>
    <w:p>
      <w:pPr>
        <w:ind w:right="340"/>
        <w:spacing w:after="0" w:line="242" w:lineRule="auto"/>
        <w:rPr>
          <w:sz w:val="20"/>
          <w:szCs w:val="20"/>
          <w:color w:val="auto"/>
        </w:rPr>
      </w:pPr>
      <w:r>
        <w:rPr>
          <w:rFonts w:ascii="Times New Roman" w:cs="Times New Roman" w:eastAsia="Times New Roman" w:hAnsi="Times New Roman"/>
          <w:sz w:val="19"/>
          <w:szCs w:val="19"/>
          <w:color w:val="auto"/>
        </w:rPr>
        <w:t xml:space="preserve">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color w:val="auto"/>
        </w:rPr>
        <w:t>Administrative Agent shall deem advisable in the best interests of the Lenders. The Administrative Agent shall not be obligated to follow any</w:t>
      </w:r>
    </w:p>
    <w:p>
      <w:pPr>
        <w:spacing w:after="0" w:line="6"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direction by Required Lenders if the Administrative Agent reasonably determines that such direction is in conflict with any provisions of any applicable law, and the Administrative Agent shall not, under any circumstances, be liable to any Lenders, the Borrower or any other person</w:t>
      </w:r>
    </w:p>
    <w:p>
      <w:pPr>
        <w:spacing w:after="0" w:line="211" w:lineRule="auto"/>
        <w:rPr>
          <w:sz w:val="20"/>
          <w:szCs w:val="20"/>
          <w:color w:val="auto"/>
        </w:rPr>
      </w:pPr>
      <w:r>
        <w:rPr>
          <w:rFonts w:ascii="Times New Roman" w:cs="Times New Roman" w:eastAsia="Times New Roman" w:hAnsi="Times New Roman"/>
          <w:sz w:val="20"/>
          <w:szCs w:val="20"/>
          <w:color w:val="auto"/>
        </w:rPr>
        <w:t>or entity for following the direction of Required Lenders. At all times, if the Administrative Agent acting at the direction of the Required</w:t>
      </w:r>
    </w:p>
    <w:p>
      <w:pPr>
        <w:spacing w:after="0" w:line="221" w:lineRule="auto"/>
        <w:rPr>
          <w:sz w:val="20"/>
          <w:szCs w:val="20"/>
          <w:color w:val="auto"/>
        </w:rPr>
      </w:pPr>
      <w:r>
        <w:rPr>
          <w:rFonts w:ascii="Times New Roman" w:cs="Times New Roman" w:eastAsia="Times New Roman" w:hAnsi="Times New Roman"/>
          <w:sz w:val="20"/>
          <w:szCs w:val="20"/>
          <w:color w:val="auto"/>
        </w:rPr>
        <w:t>Lenders advises the Lenders that it wishes to proceed in good faith with respect to any enforcement action, each of the Lenders will cooperate in good faith with respect to such enforcement action.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Non-Reliance on the Agent and Other Lenders</w:t>
      </w:r>
      <w:r>
        <w:rPr>
          <w:rFonts w:ascii="Times New Roman" w:cs="Times New Roman" w:eastAsia="Times New Roman" w:hAnsi="Times New Roman"/>
          <w:sz w:val="19"/>
          <w:szCs w:val="19"/>
          <w:color w:val="auto"/>
        </w:rPr>
        <w:t>. Each Lender expressly acknowledges that neither the Agent nor any of its</w:t>
      </w:r>
    </w:p>
    <w:p>
      <w:pPr>
        <w:ind w:right="220"/>
        <w:spacing w:after="0" w:line="215" w:lineRule="auto"/>
        <w:rPr>
          <w:sz w:val="20"/>
          <w:szCs w:val="20"/>
          <w:color w:val="auto"/>
        </w:rPr>
      </w:pPr>
      <w:r>
        <w:rPr>
          <w:rFonts w:ascii="Times New Roman" w:cs="Times New Roman" w:eastAsia="Times New Roman" w:hAnsi="Times New Roman"/>
          <w:sz w:val="19"/>
          <w:szCs w:val="19"/>
          <w:color w:val="auto"/>
        </w:rPr>
        <w:t>officers, directors, employees, agents, attorneys in fact or affiliates have made any representations or warranties to it and that no act by any Agent hereafter taken, including any review of the affairs of a Loan Party or any affiliate of a Loan Party, shall be deemed to constitute any</w:t>
      </w:r>
    </w:p>
    <w:p>
      <w:pPr>
        <w:spacing w:after="0" w:line="211" w:lineRule="auto"/>
        <w:rPr>
          <w:sz w:val="20"/>
          <w:szCs w:val="20"/>
          <w:color w:val="auto"/>
        </w:rPr>
      </w:pPr>
      <w:r>
        <w:rPr>
          <w:rFonts w:ascii="Times New Roman" w:cs="Times New Roman" w:eastAsia="Times New Roman" w:hAnsi="Times New Roman"/>
          <w:sz w:val="20"/>
          <w:szCs w:val="20"/>
          <w:color w:val="auto"/>
        </w:rPr>
        <w:t>representation or warranty by any Agent to any Lender. Each Lender represents to the Agent that it has, independently and without reliance</w:t>
      </w:r>
    </w:p>
    <w:p>
      <w:pPr>
        <w:ind w:right="20"/>
        <w:spacing w:after="0" w:line="215" w:lineRule="auto"/>
        <w:rPr>
          <w:sz w:val="20"/>
          <w:szCs w:val="20"/>
          <w:color w:val="auto"/>
        </w:rPr>
      </w:pPr>
      <w:r>
        <w:rPr>
          <w:rFonts w:ascii="Times New Roman" w:cs="Times New Roman" w:eastAsia="Times New Roman" w:hAnsi="Times New Roman"/>
          <w:sz w:val="19"/>
          <w:szCs w:val="19"/>
          <w:color w:val="auto"/>
        </w:rPr>
        <w:t>upon any Agent, any other Lender and based on such documents and information as it has deemed appropriate, made its own appraisal of and investigation into the business, operations, property, financial and other condition and creditworthiness of the Loan Parties and their affiliates</w:t>
      </w:r>
    </w:p>
    <w:p>
      <w:pPr>
        <w:spacing w:after="0" w:line="211" w:lineRule="auto"/>
        <w:rPr>
          <w:sz w:val="20"/>
          <w:szCs w:val="20"/>
          <w:color w:val="auto"/>
        </w:rPr>
      </w:pPr>
      <w:r>
        <w:rPr>
          <w:rFonts w:ascii="Times New Roman" w:cs="Times New Roman" w:eastAsia="Times New Roman" w:hAnsi="Times New Roman"/>
          <w:sz w:val="20"/>
          <w:szCs w:val="20"/>
          <w:color w:val="auto"/>
        </w:rPr>
        <w:t>and made its own decision to make its Term Loans hereunder and enter into this Agreement. Each Lender also represents that it will,</w:t>
      </w:r>
    </w:p>
    <w:p>
      <w:pPr>
        <w:ind w:right="60"/>
        <w:spacing w:after="0" w:line="215" w:lineRule="auto"/>
        <w:rPr>
          <w:sz w:val="20"/>
          <w:szCs w:val="20"/>
          <w:color w:val="auto"/>
        </w:rPr>
      </w:pPr>
      <w:r>
        <w:rPr>
          <w:rFonts w:ascii="Times New Roman" w:cs="Times New Roman" w:eastAsia="Times New Roman" w:hAnsi="Times New Roman"/>
          <w:sz w:val="19"/>
          <w:szCs w:val="19"/>
          <w:color w:val="auto"/>
        </w:rPr>
        <w:t>independently and without reliance upon any Agent or any other Lender, and based on such documents and information as it shall deem appropriate at the time, continue to make its own credit analysis, appraisals and decisions in taking or not taking action under this Agreement</w:t>
      </w:r>
    </w:p>
    <w:p>
      <w:pPr>
        <w:spacing w:after="0" w:line="222" w:lineRule="auto"/>
        <w:rPr>
          <w:sz w:val="20"/>
          <w:szCs w:val="20"/>
          <w:color w:val="auto"/>
        </w:rPr>
      </w:pPr>
      <w:r>
        <w:rPr>
          <w:rFonts w:ascii="Times New Roman" w:cs="Times New Roman" w:eastAsia="Times New Roman" w:hAnsi="Times New Roman"/>
          <w:sz w:val="19"/>
          <w:szCs w:val="19"/>
          <w:color w:val="auto"/>
        </w:rPr>
        <w:t>and the other Loan Documents, and to make such investigation as it deems necessary to inform itself as to the business, operations, property,</w:t>
      </w:r>
    </w:p>
    <w:p>
      <w:pPr>
        <w:spacing w:after="0" w:line="215" w:lineRule="auto"/>
        <w:rPr>
          <w:sz w:val="20"/>
          <w:szCs w:val="20"/>
          <w:color w:val="auto"/>
        </w:rPr>
      </w:pPr>
      <w:r>
        <w:rPr>
          <w:rFonts w:ascii="Times New Roman" w:cs="Times New Roman" w:eastAsia="Times New Roman" w:hAnsi="Times New Roman"/>
          <w:sz w:val="19"/>
          <w:szCs w:val="19"/>
          <w:color w:val="auto"/>
        </w:rPr>
        <w:t>financial and other condition and creditworthiness of the Loan Parties and their affiliates. Except for notices, reports and other documents expressly required to be furnished to the Lenders by the Administrative Agent hereunder, the Administrative Agent shall not have any duty or</w:t>
      </w:r>
    </w:p>
    <w:p>
      <w:pPr>
        <w:ind w:right="180"/>
        <w:spacing w:after="0" w:line="215" w:lineRule="auto"/>
        <w:rPr>
          <w:sz w:val="20"/>
          <w:szCs w:val="20"/>
          <w:color w:val="auto"/>
        </w:rPr>
      </w:pPr>
      <w:r>
        <w:rPr>
          <w:rFonts w:ascii="Times New Roman" w:cs="Times New Roman" w:eastAsia="Times New Roman" w:hAnsi="Times New Roman"/>
          <w:sz w:val="19"/>
          <w:szCs w:val="19"/>
          <w:color w:val="auto"/>
        </w:rPr>
        <w:t>responsibility to provide any Lender with any credit or other information concerning the business, operations, property, condition (financial or otherwise), prospects or creditworthiness of any Loan Party or any affiliate of a Loan Party that may come into the possession of the</w:t>
      </w:r>
    </w:p>
    <w:p>
      <w:pPr>
        <w:spacing w:after="0"/>
        <w:rPr>
          <w:sz w:val="20"/>
          <w:szCs w:val="20"/>
          <w:color w:val="auto"/>
        </w:rPr>
      </w:pPr>
      <w:r>
        <w:rPr>
          <w:rFonts w:ascii="Times New Roman" w:cs="Times New Roman" w:eastAsia="Times New Roman" w:hAnsi="Times New Roman"/>
          <w:sz w:val="20"/>
          <w:szCs w:val="20"/>
          <w:color w:val="auto"/>
        </w:rPr>
        <w:t>Administrative Agent or any of its officers, directors, employees, agents, attorneys in fact or affiliates.</w:t>
      </w:r>
    </w:p>
    <w:p>
      <w:pPr>
        <w:spacing w:after="0" w:line="167"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xml:space="preserve">. To the extent the Borrower fails to pay any amount required to be paid by it to the Administrative Agent or any other agent under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the Lenders severally agree to indemnify the Agent in their capacity as such (to the extent not reimbursed</w:t>
      </w:r>
    </w:p>
    <w:p>
      <w:pPr>
        <w:spacing w:after="0" w:line="222" w:lineRule="auto"/>
        <w:rPr>
          <w:sz w:val="20"/>
          <w:szCs w:val="20"/>
          <w:color w:val="auto"/>
        </w:rPr>
      </w:pPr>
      <w:r>
        <w:rPr>
          <w:rFonts w:ascii="Times New Roman" w:cs="Times New Roman" w:eastAsia="Times New Roman" w:hAnsi="Times New Roman"/>
          <w:sz w:val="19"/>
          <w:szCs w:val="19"/>
          <w:color w:val="auto"/>
        </w:rPr>
        <w:t>by the Borrower and without limiting the obligation of the Borrower to do so), ratably according to their respective Term Percentage in effect</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 xml:space="preserve">on the date on which indemnification is sought under this </w:t>
      </w:r>
      <w:r>
        <w:rPr>
          <w:rFonts w:ascii="Times New Roman" w:cs="Times New Roman" w:eastAsia="Times New Roman" w:hAnsi="Times New Roman"/>
          <w:sz w:val="19"/>
          <w:szCs w:val="19"/>
          <w:u w:val="single" w:color="auto"/>
          <w:color w:val="auto"/>
        </w:rPr>
        <w:t>Section 8.7</w:t>
      </w:r>
      <w:r>
        <w:rPr>
          <w:rFonts w:ascii="Times New Roman" w:cs="Times New Roman" w:eastAsia="Times New Roman" w:hAnsi="Times New Roman"/>
          <w:sz w:val="19"/>
          <w:szCs w:val="19"/>
          <w:color w:val="auto"/>
        </w:rPr>
        <w:t xml:space="preserve"> (or, if indemnification is sought after the date upon which the Term Commitments shall have terminated and the Term Loans shall have been paid in full, ratably in accordance with such Term Percentage</w:t>
      </w:r>
    </w:p>
    <w:p>
      <w:pPr>
        <w:spacing w:after="0" w:line="211" w:lineRule="auto"/>
        <w:rPr>
          <w:sz w:val="20"/>
          <w:szCs w:val="20"/>
          <w:color w:val="auto"/>
        </w:rPr>
      </w:pPr>
      <w:r>
        <w:rPr>
          <w:rFonts w:ascii="Times New Roman" w:cs="Times New Roman" w:eastAsia="Times New Roman" w:hAnsi="Times New Roman"/>
          <w:sz w:val="20"/>
          <w:szCs w:val="20"/>
          <w:color w:val="auto"/>
        </w:rPr>
        <w:t>immediately prior to such date), from and against any and all liabilities, obligations, losses, damages, penalties, actions, judgments, suits,</w:t>
      </w:r>
    </w:p>
    <w:p>
      <w:pPr>
        <w:ind w:right="40"/>
        <w:spacing w:after="0" w:line="215" w:lineRule="auto"/>
        <w:rPr>
          <w:sz w:val="20"/>
          <w:szCs w:val="20"/>
          <w:color w:val="auto"/>
        </w:rPr>
      </w:pPr>
      <w:r>
        <w:rPr>
          <w:rFonts w:ascii="Times New Roman" w:cs="Times New Roman" w:eastAsia="Times New Roman" w:hAnsi="Times New Roman"/>
          <w:sz w:val="19"/>
          <w:szCs w:val="19"/>
          <w:color w:val="auto"/>
        </w:rPr>
        <w:t>costs, expenses or disbursements of any kind whatsoever that may at any time (whether before or after the payment of the Term Loans) be imposed on, incurred by or asserted against such Agent, in any way relating to or arising out of, the Term Commitments, this Agreement, any</w:t>
      </w:r>
    </w:p>
    <w:p>
      <w:pPr>
        <w:spacing w:after="0" w:line="211" w:lineRule="auto"/>
        <w:rPr>
          <w:sz w:val="20"/>
          <w:szCs w:val="20"/>
          <w:color w:val="auto"/>
        </w:rPr>
      </w:pPr>
      <w:r>
        <w:rPr>
          <w:rFonts w:ascii="Times New Roman" w:cs="Times New Roman" w:eastAsia="Times New Roman" w:hAnsi="Times New Roman"/>
          <w:sz w:val="20"/>
          <w:szCs w:val="20"/>
          <w:color w:val="auto"/>
        </w:rPr>
        <w:t>of the other Loan Documents or any documents contemplated by or referred to herein or therein or the transactions contemplated hereby or</w:t>
      </w: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thereby or any action taken or omitted by such Agent under or in connection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 the payment of any portion of such liabilities, obligations, losses, damages, penalties, actions, judgments, suits, costs, expenses or</w:t>
      </w:r>
    </w:p>
    <w:p>
      <w:pPr>
        <w:spacing w:after="0" w:line="211" w:lineRule="auto"/>
        <w:rPr>
          <w:sz w:val="20"/>
          <w:szCs w:val="20"/>
          <w:color w:val="auto"/>
        </w:rPr>
      </w:pPr>
      <w:r>
        <w:rPr>
          <w:rFonts w:ascii="Times New Roman" w:cs="Times New Roman" w:eastAsia="Times New Roman" w:hAnsi="Times New Roman"/>
          <w:sz w:val="20"/>
          <w:szCs w:val="20"/>
          <w:color w:val="auto"/>
        </w:rPr>
        <w:t>disbursements that are found by a final and nonappealable decision of a court of competent jurisdiction to have resulted from such Agent’s,</w:t>
      </w:r>
    </w:p>
    <w:p>
      <w:pPr>
        <w:ind w:right="700"/>
        <w:spacing w:after="0" w:line="221" w:lineRule="auto"/>
        <w:rPr>
          <w:sz w:val="20"/>
          <w:szCs w:val="20"/>
          <w:color w:val="auto"/>
        </w:rPr>
      </w:pPr>
      <w:r>
        <w:rPr>
          <w:rFonts w:ascii="Times New Roman" w:cs="Times New Roman" w:eastAsia="Times New Roman" w:hAnsi="Times New Roman"/>
          <w:sz w:val="20"/>
          <w:szCs w:val="20"/>
          <w:color w:val="auto"/>
        </w:rPr>
        <w:t xml:space="preserve">gross negligence or willful misconduct. The agreements in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shall survive the payment of the Term Loans and all other amounts payable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Agent in Its Individual Capacity</w:t>
      </w:r>
      <w:r>
        <w:rPr>
          <w:rFonts w:ascii="Times New Roman" w:cs="Times New Roman" w:eastAsia="Times New Roman" w:hAnsi="Times New Roman"/>
          <w:sz w:val="19"/>
          <w:szCs w:val="19"/>
          <w:color w:val="auto"/>
        </w:rPr>
        <w:t>. The Agent and its affiliates may make loans to, accept deposits from and generally engage</w:t>
      </w:r>
    </w:p>
    <w:p>
      <w:pPr>
        <w:ind w:right="80"/>
        <w:spacing w:after="0" w:line="215" w:lineRule="auto"/>
        <w:rPr>
          <w:sz w:val="20"/>
          <w:szCs w:val="20"/>
          <w:color w:val="auto"/>
        </w:rPr>
      </w:pPr>
      <w:r>
        <w:rPr>
          <w:rFonts w:ascii="Times New Roman" w:cs="Times New Roman" w:eastAsia="Times New Roman" w:hAnsi="Times New Roman"/>
          <w:sz w:val="19"/>
          <w:szCs w:val="19"/>
          <w:color w:val="auto"/>
        </w:rPr>
        <w:t>in any kind of business with any Loan Party as though such Agent were not an Agent. With respect to its Term Loans made or renewed by it, the Agent shall have the same rights and powers under this Agreement and the other Loan Documents as any Lender and may exercise the</w:t>
      </w:r>
    </w:p>
    <w:p>
      <w:pPr>
        <w:spacing w:after="0"/>
        <w:rPr>
          <w:sz w:val="20"/>
          <w:szCs w:val="20"/>
          <w:color w:val="auto"/>
        </w:rPr>
      </w:pPr>
      <w:r>
        <w:rPr>
          <w:rFonts w:ascii="Times New Roman" w:cs="Times New Roman" w:eastAsia="Times New Roman" w:hAnsi="Times New Roman"/>
          <w:sz w:val="20"/>
          <w:szCs w:val="20"/>
          <w:color w:val="auto"/>
        </w:rPr>
        <w:t>same as though it were not an Agent, and the terms “Lender” and “Lenders” shall include the Agent.</w:t>
      </w:r>
    </w:p>
    <w:p>
      <w:pPr>
        <w:spacing w:after="0" w:line="16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30 days’ notice to the Lenders and any Loan Party. If the Administrative Agent shall resign as Administrative Agent under this Agreement and the other Loan</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Documents, then the Required Lenders shall appoint from among the Lenders a successor agent for the Lenders, which successor agent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color w:val="auto"/>
        </w:rPr>
        <w:t>approval by the Borrower (which approval shall not be unreasonably withheld or delayed), whereupon such successor agent shall succeed to</w:t>
      </w:r>
    </w:p>
    <w:p>
      <w:pPr>
        <w:spacing w:after="0" w:line="6"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the rights, powers and duties of the Administrative Agent, and the term “Administrative Agent” shall mean such successor agent effective upon such appointment and approval, and the former Administrative Agent’s rights, powers and duties as an Administrative Agent shall be</w:t>
      </w:r>
    </w:p>
    <w:p>
      <w:pPr>
        <w:spacing w:after="0" w:line="211" w:lineRule="auto"/>
        <w:rPr>
          <w:sz w:val="20"/>
          <w:szCs w:val="20"/>
          <w:color w:val="auto"/>
        </w:rPr>
      </w:pPr>
      <w:r>
        <w:rPr>
          <w:rFonts w:ascii="Times New Roman" w:cs="Times New Roman" w:eastAsia="Times New Roman" w:hAnsi="Times New Roman"/>
          <w:sz w:val="20"/>
          <w:szCs w:val="20"/>
          <w:color w:val="auto"/>
        </w:rPr>
        <w:t>terminated, without any other or further act or deed on the part of such former Administrative Agent or any of the parties to this Agreement</w:t>
      </w:r>
    </w:p>
    <w:p>
      <w:pPr>
        <w:ind w:right="280"/>
        <w:spacing w:after="0" w:line="215" w:lineRule="auto"/>
        <w:rPr>
          <w:sz w:val="20"/>
          <w:szCs w:val="20"/>
          <w:color w:val="auto"/>
        </w:rPr>
      </w:pPr>
      <w:r>
        <w:rPr>
          <w:rFonts w:ascii="Times New Roman" w:cs="Times New Roman" w:eastAsia="Times New Roman" w:hAnsi="Times New Roman"/>
          <w:sz w:val="19"/>
          <w:szCs w:val="19"/>
          <w:color w:val="auto"/>
        </w:rPr>
        <w:t>or any holders of the Term Loans. If no successor agent has accepted appointment as an Administrative Agent by the date that is ten (10) days following the retiring Administrative Agent’s notice of resignation, the retiring Administrative Agent’s resignation shall nevertheless</w:t>
      </w:r>
    </w:p>
    <w:p>
      <w:pPr>
        <w:spacing w:after="0" w:line="211" w:lineRule="auto"/>
        <w:rPr>
          <w:sz w:val="20"/>
          <w:szCs w:val="20"/>
          <w:color w:val="auto"/>
        </w:rPr>
      </w:pPr>
      <w:r>
        <w:rPr>
          <w:rFonts w:ascii="Times New Roman" w:cs="Times New Roman" w:eastAsia="Times New Roman" w:hAnsi="Times New Roman"/>
          <w:sz w:val="20"/>
          <w:szCs w:val="20"/>
          <w:color w:val="auto"/>
        </w:rPr>
        <w:t>thereupon become effective, and the Lenders shall assume and perform all of the duties of the Administrative Agent hereunder until such</w:t>
      </w:r>
    </w:p>
    <w:p>
      <w:pPr>
        <w:ind w:right="140"/>
        <w:spacing w:after="0" w:line="215" w:lineRule="auto"/>
        <w:rPr>
          <w:sz w:val="20"/>
          <w:szCs w:val="20"/>
          <w:color w:val="auto"/>
        </w:rPr>
      </w:pPr>
      <w:r>
        <w:rPr>
          <w:rFonts w:ascii="Times New Roman" w:cs="Times New Roman" w:eastAsia="Times New Roman" w:hAnsi="Times New Roman"/>
          <w:sz w:val="19"/>
          <w:szCs w:val="19"/>
          <w:color w:val="auto"/>
        </w:rPr>
        <w:t xml:space="preserve">time, if any, as the Required Lenders appoint a successor agent as provided for above. After the retiring Administrative Agent’s resignation, the provisions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shall inure to its benefit as to any actions taken or omitted to be taken by it while it was</w:t>
      </w:r>
    </w:p>
    <w:p>
      <w:pPr>
        <w:spacing w:after="0"/>
        <w:rPr>
          <w:sz w:val="20"/>
          <w:szCs w:val="20"/>
          <w:color w:val="auto"/>
        </w:rPr>
      </w:pPr>
      <w:r>
        <w:rPr>
          <w:rFonts w:ascii="Times New Roman" w:cs="Times New Roman" w:eastAsia="Times New Roman" w:hAnsi="Times New Roman"/>
          <w:sz w:val="20"/>
          <w:szCs w:val="20"/>
          <w:color w:val="auto"/>
        </w:rPr>
        <w:t>Administrative Agent under this Agreement and the other Loan Documents.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56"/>
        <w:spacing w:after="0" w:line="210" w:lineRule="auto"/>
        <w:tabs>
          <w:tab w:leader="none" w:pos="128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7" w:lineRule="exact"/>
        <w:rPr>
          <w:rFonts w:ascii="Times New Roman" w:cs="Times New Roman" w:eastAsia="Times New Roman" w:hAnsi="Times New Roman"/>
          <w:sz w:val="20"/>
          <w:szCs w:val="20"/>
          <w:color w:val="auto"/>
        </w:rPr>
      </w:pPr>
    </w:p>
    <w:p>
      <w:pPr>
        <w:ind w:right="240" w:firstLine="656"/>
        <w:spacing w:after="0" w:line="227" w:lineRule="auto"/>
        <w:tabs>
          <w:tab w:leader="none" w:pos="128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(y) that was not preceded or accompanied by a Payment Notice, or (z) that such Payment Recipient otherwise becomes aware was transmitted, or received, in error or by mistake (in whole or in part) in each case:</w:t>
      </w:r>
    </w:p>
    <w:p>
      <w:pPr>
        <w:spacing w:after="0" w:line="164" w:lineRule="exact"/>
        <w:rPr>
          <w:rFonts w:ascii="Times New Roman" w:cs="Times New Roman" w:eastAsia="Times New Roman" w:hAnsi="Times New Roman"/>
          <w:sz w:val="19"/>
          <w:szCs w:val="19"/>
          <w:color w:val="auto"/>
        </w:rPr>
      </w:pPr>
    </w:p>
    <w:p>
      <w:pPr>
        <w:ind w:left="660" w:right="80" w:firstLine="644"/>
        <w:spacing w:after="0"/>
        <w:tabs>
          <w:tab w:leader="none" w:pos="195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error may have been made (in the case of immediately preceding clauses (x) or (y)) or an error has been made (in the case of immediately preceding clause (z)) with respect to such payment, prepayment or repayment; and</w:t>
      </w:r>
    </w:p>
    <w:p>
      <w:pPr>
        <w:spacing w:after="0" w:line="147" w:lineRule="exact"/>
        <w:rPr>
          <w:rFonts w:ascii="Times New Roman" w:cs="Times New Roman" w:eastAsia="Times New Roman" w:hAnsi="Times New Roman"/>
          <w:sz w:val="20"/>
          <w:szCs w:val="20"/>
          <w:color w:val="auto"/>
        </w:rPr>
      </w:pPr>
    </w:p>
    <w:p>
      <w:pPr>
        <w:ind w:left="660" w:right="140" w:firstLine="644"/>
        <w:spacing w:after="0" w:line="230" w:lineRule="auto"/>
        <w:tabs>
          <w:tab w:leader="none" w:pos="1955"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right="160" w:firstLine="656"/>
        <w:spacing w:after="0" w:line="222" w:lineRule="auto"/>
        <w:tabs>
          <w:tab w:leader="none" w:pos="128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under the indemnification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20"/>
          </w:cols>
          <w:pgMar w:left="320" w:top="1399" w:right="359" w:bottom="1440" w:gutter="0" w:footer="0" w:header="0"/>
        </w:sectPr>
      </w:pPr>
    </w:p>
    <w:bookmarkStart w:id="118" w:name="page119"/>
    <w:bookmarkEnd w:id="118"/>
    <w:p>
      <w:pPr>
        <w:ind w:left="-140" w:firstLine="656"/>
        <w:spacing w:after="0" w:line="219" w:lineRule="auto"/>
        <w:tabs>
          <w:tab w:leader="none" w:pos="82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from any Lender that has received such Erroneous Payment (or portion thereof) (or from any Payment Recipient who received such Erroneous Payment (or portion thereof) on its respective behalf)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upon the Administrative Agent’s request to such Lender or Issuing Lender at any time, (i) such Lender shall be deemed to have assigned its Term Loans (but not its Term Commitments) with respect to which such Erroneous Payment was made in an amount equal to the Erroneous Payment Return Deficiency (such assignment of the Term Loans (but not Term Commitments),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Term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Term Commitments which shall survive as to such assigning Lender and (iv) the Administrative Agent may reflect in the Register its ownership interest in the Term Loans subject to the Erroneous Payment Deficiency Assignment. The Administrative Agent may, in its discretion, sell any Term Loans acquired pursuant to an Erroneous Payment Deficiency Assignment and upon receipt of the proceeds of such sale, the Erroneous Payment Return Deficiency owing by the applicable Lender shall be reduced by the net proceeds of the sale of such Term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Term Commitments of any Lender and such Term Commitments shall remain available in accordance with the terms of this Agreement. In addition, each party hereto agrees that, except to the extent that the Administrative Agent has sold a Term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w:t>
      </w:r>
    </w:p>
    <w:p>
      <w:pPr>
        <w:spacing w:after="0" w:line="176" w:lineRule="exact"/>
        <w:rPr>
          <w:rFonts w:ascii="Times New Roman" w:cs="Times New Roman" w:eastAsia="Times New Roman" w:hAnsi="Times New Roman"/>
          <w:sz w:val="19"/>
          <w:szCs w:val="19"/>
          <w:color w:val="auto"/>
        </w:rPr>
      </w:pPr>
    </w:p>
    <w:p>
      <w:pPr>
        <w:ind w:left="-140" w:right="20" w:firstLine="656"/>
        <w:spacing w:after="0" w:line="222" w:lineRule="auto"/>
        <w:tabs>
          <w:tab w:leader="none" w:pos="114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61" w:lineRule="exact"/>
        <w:rPr>
          <w:rFonts w:ascii="Times New Roman" w:cs="Times New Roman" w:eastAsia="Times New Roman" w:hAnsi="Times New Roman"/>
          <w:sz w:val="20"/>
          <w:szCs w:val="20"/>
          <w:color w:val="auto"/>
        </w:rPr>
      </w:pPr>
    </w:p>
    <w:p>
      <w:pPr>
        <w:jc w:val="both"/>
        <w:ind w:left="-140" w:firstLine="656"/>
        <w:spacing w:after="0" w:line="222" w:lineRule="auto"/>
        <w:tabs>
          <w:tab w:leader="none" w:pos="115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8" w:lineRule="exact"/>
        <w:rPr>
          <w:rFonts w:ascii="Times New Roman" w:cs="Times New Roman" w:eastAsia="Times New Roman" w:hAnsi="Times New Roman"/>
          <w:sz w:val="20"/>
          <w:szCs w:val="20"/>
          <w:color w:val="auto"/>
        </w:rPr>
      </w:pPr>
    </w:p>
    <w:p>
      <w:pPr>
        <w:ind w:left="-140" w:right="140" w:firstLine="656"/>
        <w:spacing w:after="0" w:line="230" w:lineRule="auto"/>
        <w:tabs>
          <w:tab w:leader="none" w:pos="1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the termination of the Term Commitments and/or the repayment, satisfaction or discharge of all Obligations (or any portion thereof) under any Loan Document.</w:t>
      </w:r>
    </w:p>
    <w:p>
      <w:pPr>
        <w:spacing w:after="0" w:line="149" w:lineRule="exact"/>
        <w:rPr>
          <w:sz w:val="20"/>
          <w:szCs w:val="20"/>
          <w:color w:val="auto"/>
        </w:rPr>
      </w:pPr>
    </w:p>
    <w:p>
      <w:pPr>
        <w:ind w:left="520"/>
        <w:spacing w:after="0"/>
        <w:tabs>
          <w:tab w:leader="none" w:pos="112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Other Terms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40" w:right="300" w:firstLine="656"/>
        <w:spacing w:after="0"/>
        <w:tabs>
          <w:tab w:leader="none" w:pos="114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take any action or refuse to take any action which the Administrative Agent regards as necessary for the Administrative Agent to comply with any applicable law, regulation or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80"/>
          </w:cols>
          <w:pgMar w:left="460" w:top="1399" w:right="359" w:bottom="1440" w:gutter="0" w:footer="0" w:header="0"/>
        </w:sectPr>
      </w:pPr>
    </w:p>
    <w:bookmarkStart w:id="119" w:name="page120"/>
    <w:bookmarkEnd w:id="119"/>
    <w:p>
      <w:pPr>
        <w:ind w:right="280" w:firstLine="656"/>
        <w:spacing w:after="0" w:line="222"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each reference to any discretion of the Administrative Agent herein or to any action that is required to be satisfactory to any Administrative Agent or determined by any Administrative Agent, shall be deemed to refer to the Administrative Agent taking direction from the Lenders or the Required Lenders with respect to such discretion or approval, as applicable.</w:t>
      </w:r>
    </w:p>
    <w:p>
      <w:pPr>
        <w:spacing w:after="0" w:line="162"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Enforcement by the Administrative Agent</w:t>
      </w:r>
      <w:r>
        <w:rPr>
          <w:rFonts w:ascii="Times New Roman" w:cs="Times New Roman" w:eastAsia="Times New Roman" w:hAnsi="Times New Roman"/>
          <w:sz w:val="19"/>
          <w:szCs w:val="19"/>
          <w:color w:val="auto"/>
        </w:rPr>
        <w:t>. All rights of action under this Agreement and under the Notes hereunder may be enforced by the Administrative Agent and any suit or proceeding instituted by the Administrative Agent in furtherance of such enforcement</w:t>
      </w:r>
    </w:p>
    <w:p>
      <w:pPr>
        <w:ind w:right="240"/>
        <w:spacing w:after="0" w:line="228" w:lineRule="auto"/>
        <w:rPr>
          <w:sz w:val="20"/>
          <w:szCs w:val="20"/>
          <w:color w:val="auto"/>
        </w:rPr>
      </w:pPr>
      <w:r>
        <w:rPr>
          <w:rFonts w:ascii="Times New Roman" w:cs="Times New Roman" w:eastAsia="Times New Roman" w:hAnsi="Times New Roman"/>
          <w:sz w:val="20"/>
          <w:szCs w:val="20"/>
          <w:color w:val="auto"/>
        </w:rPr>
        <w:t>shall be brought in its name as Administrative Agent without the necessity of joining as plaintiffs or defendants any other Lenders, and the recovery of any judgment shall be for the benefit of Lenders subject to the expenses of the Administrative Agent.</w:t>
      </w:r>
    </w:p>
    <w:p>
      <w:pPr>
        <w:spacing w:after="0" w:line="149" w:lineRule="exact"/>
        <w:rPr>
          <w:sz w:val="20"/>
          <w:szCs w:val="20"/>
          <w:color w:val="auto"/>
        </w:rPr>
      </w:pPr>
    </w:p>
    <w:p>
      <w:pPr>
        <w:ind w:right="2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Withholding Tax</w:t>
      </w:r>
      <w:r>
        <w:rPr>
          <w:rFonts w:ascii="Times New Roman" w:cs="Times New Roman" w:eastAsia="Times New Roman" w:hAnsi="Times New Roman"/>
          <w:sz w:val="20"/>
          <w:szCs w:val="20"/>
          <w:color w:val="auto"/>
        </w:rPr>
        <w:t>. Each Lender shall severally indemnify the Administrative Agent, within 10 days after demand therefor, for (i) any Non-Excluded Taxes or Other Taxes attributable to such Lender (but only to the extent that the Borrower has not already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indemnified the Administrative Agent for such Non-Excluded Taxes or Other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 xml:space="preserve"> relating to the maintenance of a</w:t>
      </w:r>
    </w:p>
    <w:p>
      <w:pPr>
        <w:spacing w:after="0" w:line="211" w:lineRule="auto"/>
        <w:rPr>
          <w:sz w:val="20"/>
          <w:szCs w:val="20"/>
          <w:color w:val="auto"/>
        </w:rPr>
      </w:pPr>
      <w:r>
        <w:rPr>
          <w:rFonts w:ascii="Times New Roman" w:cs="Times New Roman" w:eastAsia="Times New Roman" w:hAnsi="Times New Roman"/>
          <w:sz w:val="20"/>
          <w:szCs w:val="20"/>
          <w:color w:val="auto"/>
        </w:rPr>
        <w:t>Participant Register and (iii) any Excluded Taxes attributable to such Lender that are payable or paid by the Administrative Agent in</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connection with any Loan Document, and any reasonable expenses arising therefrom or with respect thereto, whether or not such Taxes were correctly or legally imposed or asserted by the relevant Governmental Authority. A certificate as to the amount of such payment or liability</w:t>
      </w:r>
    </w:p>
    <w:p>
      <w:pPr>
        <w:spacing w:after="0" w:line="211" w:lineRule="auto"/>
        <w:rPr>
          <w:sz w:val="20"/>
          <w:szCs w:val="20"/>
          <w:color w:val="auto"/>
        </w:rPr>
      </w:pPr>
      <w:r>
        <w:rPr>
          <w:rFonts w:ascii="Times New Roman" w:cs="Times New Roman" w:eastAsia="Times New Roman" w:hAnsi="Times New Roman"/>
          <w:sz w:val="20"/>
          <w:szCs w:val="20"/>
          <w:color w:val="auto"/>
        </w:rPr>
        <w:t>delivered to any Lender by the Administrative Agent shall be conclusive absent manifest error. Each Lender hereby authorizes the</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9"/>
          <w:szCs w:val="19"/>
          <w:u w:val="single" w:color="auto"/>
          <w:color w:val="auto"/>
        </w:rPr>
        <w:t>Section 8.13</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Section 8.13</w:t>
      </w:r>
      <w:r>
        <w:rPr>
          <w:rFonts w:ascii="Times New Roman" w:cs="Times New Roman" w:eastAsia="Times New Roman" w:hAnsi="Times New Roman"/>
          <w:sz w:val="19"/>
          <w:szCs w:val="19"/>
          <w:color w:val="auto"/>
        </w:rPr>
        <w:t xml:space="preserve"> shall survive the</w:t>
      </w:r>
    </w:p>
    <w:p>
      <w:pPr>
        <w:ind w:right="120"/>
        <w:spacing w:after="0" w:line="221" w:lineRule="auto"/>
        <w:rPr>
          <w:sz w:val="20"/>
          <w:szCs w:val="20"/>
          <w:color w:val="auto"/>
        </w:rPr>
      </w:pPr>
      <w:r>
        <w:rPr>
          <w:rFonts w:ascii="Times New Roman" w:cs="Times New Roman" w:eastAsia="Times New Roman" w:hAnsi="Times New Roman"/>
          <w:sz w:val="20"/>
          <w:szCs w:val="20"/>
          <w:color w:val="auto"/>
        </w:rPr>
        <w:t>resignation and/or replacement of the Administrative Agent, any assignment of rights by, or the replacement of, a Lender, the termination of this Agreement and the repayment, satisfaction or discharge of all other Obligations.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 (a) Each Lender (x) represents and warrants, as of the date such Person became a Lender party</w:t>
      </w:r>
    </w:p>
    <w:p>
      <w:pPr>
        <w:ind w:right="140"/>
        <w:spacing w:after="0" w:line="215" w:lineRule="auto"/>
        <w:rPr>
          <w:sz w:val="20"/>
          <w:szCs w:val="20"/>
          <w:color w:val="auto"/>
        </w:rPr>
      </w:pPr>
      <w:r>
        <w:rPr>
          <w:rFonts w:ascii="Times New Roman" w:cs="Times New Roman" w:eastAsia="Times New Roman" w:hAnsi="Times New Roman"/>
          <w:sz w:val="19"/>
          <w:szCs w:val="19"/>
          <w:color w:val="auto"/>
        </w:rPr>
        <w:t>hereto, to, and (y) covenants, from the date such Person became a Lender party hereto to the date such Person ceases being a Lender party hereto, for the benefit of, the Administrative Agent and each Arranger and their respective Affiliates, and not, for the avoidance of doubt, to</w:t>
      </w:r>
    </w:p>
    <w:p>
      <w:pPr>
        <w:spacing w:after="0"/>
        <w:rPr>
          <w:sz w:val="20"/>
          <w:szCs w:val="20"/>
          <w:color w:val="auto"/>
        </w:rPr>
      </w:pPr>
      <w:r>
        <w:rPr>
          <w:rFonts w:ascii="Times New Roman" w:cs="Times New Roman" w:eastAsia="Times New Roman" w:hAnsi="Times New Roman"/>
          <w:sz w:val="20"/>
          <w:szCs w:val="20"/>
          <w:color w:val="auto"/>
        </w:rPr>
        <w:t>or for the benefit of the Borrower or any other Loan Party, that at least one of the following is and will be true:</w:t>
      </w:r>
    </w:p>
    <w:p>
      <w:pPr>
        <w:spacing w:after="0" w:line="180" w:lineRule="exact"/>
        <w:rPr>
          <w:sz w:val="20"/>
          <w:szCs w:val="20"/>
          <w:color w:val="auto"/>
        </w:rPr>
      </w:pPr>
    </w:p>
    <w:p>
      <w:pPr>
        <w:ind w:left="660" w:right="60" w:firstLine="644"/>
        <w:spacing w:after="0" w:line="261" w:lineRule="auto"/>
        <w:tabs>
          <w:tab w:leader="none" w:pos="15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Term Loans, the Term Commitments, or this Agreement.</w:t>
      </w:r>
    </w:p>
    <w:p>
      <w:pPr>
        <w:spacing w:after="0" w:line="208" w:lineRule="exact"/>
        <w:rPr>
          <w:rFonts w:ascii="Times New Roman" w:cs="Times New Roman" w:eastAsia="Times New Roman" w:hAnsi="Times New Roman"/>
          <w:sz w:val="20"/>
          <w:szCs w:val="20"/>
          <w:color w:val="auto"/>
        </w:rPr>
      </w:pPr>
    </w:p>
    <w:p>
      <w:pPr>
        <w:ind w:left="660" w:right="100" w:firstLine="644"/>
        <w:spacing w:after="0" w:line="251" w:lineRule="auto"/>
        <w:tabs>
          <w:tab w:leader="none" w:pos="159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for exemptive relief thereunder are satisfied, with respect to such Lender’s entrance into, participation in, administration of and performance of the Term Loans, the Term Commitments and this Agreement.</w:t>
      </w:r>
    </w:p>
    <w:p>
      <w:pPr>
        <w:spacing w:after="0" w:line="219" w:lineRule="exact"/>
        <w:rPr>
          <w:rFonts w:ascii="Times New Roman" w:cs="Times New Roman" w:eastAsia="Times New Roman" w:hAnsi="Times New Roman"/>
          <w:sz w:val="20"/>
          <w:szCs w:val="20"/>
          <w:color w:val="auto"/>
        </w:rPr>
      </w:pPr>
    </w:p>
    <w:p>
      <w:pPr>
        <w:jc w:val="both"/>
        <w:ind w:left="660" w:right="80" w:firstLine="644"/>
        <w:spacing w:after="0" w:line="254" w:lineRule="auto"/>
        <w:tabs>
          <w:tab w:leader="none" w:pos="165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Term Commitments and this Agreement, (C) the entrance into, participation in, administration of and performance of the Term Loans,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20"/>
          </w:cols>
          <w:pgMar w:left="320" w:top="1399" w:right="359" w:bottom="1440" w:gutter="0" w:footer="0" w:header="0"/>
        </w:sectPr>
      </w:pPr>
    </w:p>
    <w:bookmarkStart w:id="120" w:name="page121"/>
    <w:bookmarkEnd w:id="120"/>
    <w:p>
      <w:pPr>
        <w:ind w:left="660" w:right="80"/>
        <w:spacing w:after="0" w:line="281" w:lineRule="auto"/>
        <w:rPr>
          <w:sz w:val="20"/>
          <w:szCs w:val="20"/>
          <w:color w:val="auto"/>
        </w:rPr>
      </w:pPr>
      <w:r>
        <w:rPr>
          <w:rFonts w:ascii="Times New Roman" w:cs="Times New Roman" w:eastAsia="Times New Roman" w:hAnsi="Times New Roman"/>
          <w:sz w:val="19"/>
          <w:szCs w:val="19"/>
          <w:color w:val="auto"/>
        </w:rPr>
        <w:t>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the Term Commitments and this Agreement, or</w:t>
      </w:r>
    </w:p>
    <w:p>
      <w:pPr>
        <w:spacing w:after="0" w:line="191" w:lineRule="exact"/>
        <w:rPr>
          <w:sz w:val="20"/>
          <w:szCs w:val="20"/>
          <w:color w:val="auto"/>
        </w:rPr>
      </w:pPr>
    </w:p>
    <w:p>
      <w:pPr>
        <w:ind w:left="660" w:firstLine="644"/>
        <w:spacing w:after="0" w:line="269" w:lineRule="auto"/>
        <w:tabs>
          <w:tab w:leader="none" w:pos="165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99" w:lineRule="exact"/>
        <w:rPr>
          <w:rFonts w:ascii="Times New Roman" w:cs="Times New Roman" w:eastAsia="Times New Roman" w:hAnsi="Times New Roman"/>
          <w:sz w:val="20"/>
          <w:szCs w:val="20"/>
          <w:color w:val="auto"/>
        </w:rPr>
      </w:pPr>
    </w:p>
    <w:p>
      <w:pPr>
        <w:ind w:right="20" w:firstLine="656"/>
        <w:spacing w:after="0" w:line="251" w:lineRule="auto"/>
        <w:tabs>
          <w:tab w:leader="none" w:pos="92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Term Loans, the Term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010000"/>
        </w:rPr>
        <w:t>Section 9</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40" w:firstLine="656"/>
        <w:spacing w:after="0" w:line="218" w:lineRule="auto"/>
        <w:tabs>
          <w:tab w:leader="none" w:pos="962"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Sections 2.8(e) (Conforming Changes), Section 2.10 (Benchmark Replacement Setting) and Section 2.21 (Incremental Facilities), none of this Agreement, any Note, any other Loan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such waiver and no such amendment, supplement or modification shall (A)(i) forgive the principal amount or extend the final scheduled date of maturity of any Term Loan,</w:t>
      </w:r>
    </w:p>
    <w:p>
      <w:pPr>
        <w:spacing w:after="0" w:line="8" w:lineRule="exact"/>
        <w:rPr>
          <w:rFonts w:ascii="Times New Roman" w:cs="Times New Roman" w:eastAsia="Times New Roman" w:hAnsi="Times New Roman"/>
          <w:sz w:val="19"/>
          <w:szCs w:val="19"/>
          <w:color w:val="auto"/>
        </w:rPr>
      </w:pPr>
    </w:p>
    <w:p>
      <w:pPr>
        <w:ind w:left="300" w:hanging="292"/>
        <w:spacing w:after="0" w:line="211" w:lineRule="auto"/>
        <w:tabs>
          <w:tab w:leader="none" w:pos="3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stated rate of any interest or fee payable hereunder (except in connection with the waiver of applicability of any post-default</w:t>
      </w:r>
    </w:p>
    <w:p>
      <w:pPr>
        <w:spacing w:after="0" w:line="211" w:lineRule="auto"/>
        <w:rPr>
          <w:sz w:val="20"/>
          <w:szCs w:val="20"/>
          <w:color w:val="auto"/>
        </w:rPr>
      </w:pPr>
      <w:r>
        <w:rPr>
          <w:rFonts w:ascii="Times New Roman" w:cs="Times New Roman" w:eastAsia="Times New Roman" w:hAnsi="Times New Roman"/>
          <w:sz w:val="20"/>
          <w:szCs w:val="20"/>
          <w:color w:val="auto"/>
        </w:rPr>
        <w:t>increase in interest rates (which waiver shall be effective with the consent of the Required Lenders)) or extend the scheduled date of any</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payment thereof, (iii) increase the amount or extend the expiration date of any Lender’s Term Commitment (it being understood that a waiver of any Event of Default or Default shall not be deemed to be an increase in the amount of or extension of the expiration date of any Lender’s</w:t>
      </w:r>
    </w:p>
    <w:p>
      <w:pPr>
        <w:spacing w:after="0" w:line="211" w:lineRule="auto"/>
        <w:rPr>
          <w:sz w:val="20"/>
          <w:szCs w:val="20"/>
          <w:color w:val="auto"/>
        </w:rPr>
      </w:pPr>
      <w:r>
        <w:rPr>
          <w:rFonts w:ascii="Times New Roman" w:cs="Times New Roman" w:eastAsia="Times New Roman" w:hAnsi="Times New Roman"/>
          <w:sz w:val="20"/>
          <w:szCs w:val="20"/>
          <w:color w:val="auto"/>
        </w:rPr>
        <w:t>Term Commitments), (iv) release all or substantially all of the Guarantors (except as expressly permitted by the Loan Documents, including</w:t>
      </w:r>
    </w:p>
    <w:p>
      <w:pPr>
        <w:ind w:right="180"/>
        <w:spacing w:after="0" w:line="204" w:lineRule="auto"/>
        <w:rPr>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or (v) amend, modify or waive any provision of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 in each case without the written consent of each Lender directly affected thereby, (B) without the consent of all the Lenders, (i) amend, modify or waive any provision of this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any other provision of any Section hereof expressly requiring the consent of all the Lenders (except, in either case, for</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technical amendments with respect to additional extensions of credit pursuant to this Agreement which afford protections to such additional extensions of credit of the type provided to the Term Commitments on the Closing Date), or (ii) reduce the percentage specified in or</w:t>
      </w:r>
    </w:p>
    <w:p>
      <w:pPr>
        <w:ind w:right="460"/>
        <w:spacing w:after="0" w:line="215" w:lineRule="auto"/>
        <w:rPr>
          <w:sz w:val="20"/>
          <w:szCs w:val="20"/>
          <w:color w:val="auto"/>
        </w:rPr>
      </w:pPr>
      <w:r>
        <w:rPr>
          <w:rFonts w:ascii="Times New Roman" w:cs="Times New Roman" w:eastAsia="Times New Roman" w:hAnsi="Times New Roman"/>
          <w:sz w:val="19"/>
          <w:szCs w:val="19"/>
          <w:color w:val="auto"/>
        </w:rPr>
        <w:t>otherwise change the definition of Required Lenders (it being understood that, with the consent of the Required Lenders or as otherwise permitted hereunder, additional extensions of credit pursuant to this Agreement may be included in the determination of the Required</w:t>
      </w:r>
    </w:p>
    <w:p>
      <w:pPr>
        <w:spacing w:after="0"/>
        <w:rPr>
          <w:sz w:val="20"/>
          <w:szCs w:val="20"/>
          <w:color w:val="auto"/>
        </w:rPr>
      </w:pPr>
      <w:r>
        <w:rPr>
          <w:rFonts w:ascii="Times New Roman" w:cs="Times New Roman" w:eastAsia="Times New Roman" w:hAnsi="Times New Roman"/>
          <w:sz w:val="20"/>
          <w:szCs w:val="20"/>
          <w:color w:val="auto"/>
        </w:rPr>
        <w:t>Lenders on substantially the same basis as the extensions of Term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 xml:space="preserve">are included on the Closing Date), or (iii) change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any other pro rata sharing provisions set forth herein in a manner that would</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alter the pro rata sharing of payments required thereby (other than as permitted thereby or by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and (C) amend, modify or waive any provision of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any other provision of this Agreement or the other Loan Documents, which affects, the rights, duties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obligations of the Administrative Agent without the written consent of the Administrative Agent;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shall amend, modify or otherwise affect the rights or duties of the Administrative Agent hereunder without the prior written consent of the Administrative Agent. Any such waiver and any such amendment, supplement or modification shall apply equally to each of the Lenders and</w:t>
      </w:r>
    </w:p>
    <w:p>
      <w:pPr>
        <w:spacing w:after="0" w:line="211" w:lineRule="auto"/>
        <w:rPr>
          <w:sz w:val="20"/>
          <w:szCs w:val="20"/>
          <w:color w:val="auto"/>
        </w:rPr>
      </w:pPr>
      <w:r>
        <w:rPr>
          <w:rFonts w:ascii="Times New Roman" w:cs="Times New Roman" w:eastAsia="Times New Roman" w:hAnsi="Times New Roman"/>
          <w:sz w:val="20"/>
          <w:szCs w:val="20"/>
          <w:color w:val="auto"/>
        </w:rPr>
        <w:t>shall be binding upon the Loan Parties, the Lenders, the Administrative Agent and all future holders of the Term Loans. In the case of any</w:t>
      </w:r>
    </w:p>
    <w:p>
      <w:pPr>
        <w:ind w:right="140"/>
        <w:spacing w:after="0" w:line="215" w:lineRule="auto"/>
        <w:rPr>
          <w:sz w:val="20"/>
          <w:szCs w:val="20"/>
          <w:color w:val="auto"/>
        </w:rPr>
      </w:pPr>
      <w:r>
        <w:rPr>
          <w:rFonts w:ascii="Times New Roman" w:cs="Times New Roman" w:eastAsia="Times New Roman" w:hAnsi="Times New Roman"/>
          <w:sz w:val="19"/>
          <w:szCs w:val="19"/>
          <w:color w:val="auto"/>
        </w:rPr>
        <w:t>waiver, the Loan Parties, the Lenders and the Administrative Agent shall be restored to their former position and rights hereunder and under any other Loan Documents, and any Default or Event of Default waived shall be deemed to have not occurred or to be cured and not</w:t>
      </w:r>
    </w:p>
    <w:p>
      <w:pPr>
        <w:ind w:right="260"/>
        <w:spacing w:after="0" w:line="228" w:lineRule="auto"/>
        <w:rPr>
          <w:sz w:val="20"/>
          <w:szCs w:val="20"/>
          <w:color w:val="auto"/>
        </w:rPr>
      </w:pPr>
      <w:r>
        <w:rPr>
          <w:rFonts w:ascii="Times New Roman" w:cs="Times New Roman" w:eastAsia="Times New Roman" w:hAnsi="Times New Roman"/>
          <w:sz w:val="20"/>
          <w:szCs w:val="20"/>
          <w:color w:val="auto"/>
        </w:rPr>
        <w:t>continuing, as the parties may agree; but no such waiver shall extend to any subsequent or other Default or Event of Default, or impair any right consequent thereon.</w:t>
      </w:r>
    </w:p>
    <w:p>
      <w:pPr>
        <w:spacing w:after="0" w:line="149" w:lineRule="exact"/>
        <w:rPr>
          <w:sz w:val="20"/>
          <w:szCs w:val="20"/>
          <w:color w:val="auto"/>
        </w:rPr>
      </w:pPr>
    </w:p>
    <w:p>
      <w:pPr>
        <w:ind w:right="160" w:firstLine="656"/>
        <w:spacing w:after="0" w:line="213" w:lineRule="auto"/>
        <w:tabs>
          <w:tab w:leader="none" w:pos="133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each such Lender expressly consents), without any further action or the consent of any other party to any Loan Document, to make any technical amendments to any Subsidiary Guaranty to correct any cross-references therein to any provision of this Agreement that may be necessary in order to properly reflect the amendments made to this Agreement.</w:t>
      </w:r>
    </w:p>
    <w:p>
      <w:pPr>
        <w:spacing w:after="0" w:line="161" w:lineRule="exact"/>
        <w:rPr>
          <w:rFonts w:ascii="Times New Roman" w:cs="Times New Roman" w:eastAsia="Times New Roman" w:hAnsi="Times New Roman"/>
          <w:sz w:val="20"/>
          <w:szCs w:val="20"/>
          <w:color w:val="auto"/>
        </w:rPr>
      </w:pPr>
    </w:p>
    <w:p>
      <w:pPr>
        <w:ind w:firstLine="656"/>
        <w:spacing w:after="0" w:line="216"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the Loan Documents, the Term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7"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or to such other address as may be hereafter notified by the respective parties hereto and any future parties:</w:t>
      </w:r>
    </w:p>
    <w:p>
      <w:pPr>
        <w:spacing w:after="0" w:line="1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The Borrower:</w:t>
      </w:r>
      <w:r>
        <w:rPr>
          <w:sz w:val="20"/>
          <w:szCs w:val="20"/>
          <w:color w:val="auto"/>
        </w:rPr>
        <w:tab/>
      </w:r>
      <w:r>
        <w:rPr>
          <w:rFonts w:ascii="Times New Roman" w:cs="Times New Roman" w:eastAsia="Times New Roman" w:hAnsi="Times New Roman"/>
          <w:sz w:val="19"/>
          <w:szCs w:val="19"/>
          <w:color w:val="auto"/>
        </w:rPr>
        <w:t>Micron Technology,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8000 S. Federal Way</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Boise, ID 83716-9632</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650 Page Mill Road</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Palo Alto, CA 94304</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Erik Franks</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Email: efranks@wsgr.com</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No.: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9" w:right="339" w:bottom="1440" w:gutter="0" w:footer="0" w:header="0"/>
        </w:sectPr>
      </w:pPr>
    </w:p>
    <w:bookmarkStart w:id="122" w:name="page123"/>
    <w:bookmarkEnd w:id="122"/>
    <w:p>
      <w:pPr>
        <w:spacing w:after="0"/>
        <w:tabs>
          <w:tab w:leader="none" w:pos="2320" w:val="left"/>
        </w:tabs>
        <w:rPr>
          <w:sz w:val="20"/>
          <w:szCs w:val="20"/>
          <w:color w:val="auto"/>
        </w:rPr>
      </w:pPr>
      <w:r>
        <w:rPr>
          <w:rFonts w:ascii="Times New Roman" w:cs="Times New Roman" w:eastAsia="Times New Roman" w:hAnsi="Times New Roman"/>
          <w:sz w:val="20"/>
          <w:szCs w:val="20"/>
          <w:color w:val="auto"/>
        </w:rPr>
        <w:t>The Administrative Agent:</w:t>
      </w:r>
      <w:r>
        <w:rPr>
          <w:sz w:val="20"/>
          <w:szCs w:val="20"/>
          <w:color w:val="auto"/>
        </w:rPr>
        <w:tab/>
      </w:r>
      <w:r>
        <w:rPr>
          <w:rFonts w:ascii="Times New Roman" w:cs="Times New Roman" w:eastAsia="Times New Roman" w:hAnsi="Times New Roman"/>
          <w:sz w:val="19"/>
          <w:szCs w:val="19"/>
          <w:color w:val="auto"/>
        </w:rPr>
        <w:t>PNC Bank, National Association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500 First Avenue, Mail Stop: P7-PFSC-04-I</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Pittsburgh, Pennsylvania 15219</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Attention: Agency Services</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Phone: 412-762-6442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Simpson Thacher &amp; Bartlett LLP</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425 Lexington Ave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Justin M. Lungstrum</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No.: 212-455-2502</w:t>
      </w:r>
    </w:p>
    <w:p>
      <w:pPr>
        <w:spacing w:after="0" w:line="194" w:lineRule="exact"/>
        <w:rPr>
          <w:sz w:val="20"/>
          <w:szCs w:val="20"/>
          <w:color w:val="auto"/>
        </w:rPr>
      </w:pPr>
    </w:p>
    <w:p>
      <w:pPr>
        <w:ind w:right="40" w:firstLine="656"/>
        <w:spacing w:after="0" w:line="211"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Lenders hereunder may be delivered or furnished by electronic communications (including e-mail and Internet or intranet websites or other information platform)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2.7(e)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2" w:lineRule="exact"/>
        <w:rPr>
          <w:rFonts w:ascii="Times New Roman" w:cs="Times New Roman" w:eastAsia="Times New Roman" w:hAnsi="Times New Roman"/>
          <w:sz w:val="20"/>
          <w:szCs w:val="20"/>
          <w:color w:val="auto"/>
        </w:rPr>
      </w:pPr>
    </w:p>
    <w:p>
      <w:pPr>
        <w:ind w:right="80" w:firstLine="656"/>
        <w:spacing w:after="0" w:line="222"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61" w:lineRule="exact"/>
        <w:rPr>
          <w:rFonts w:ascii="Times New Roman" w:cs="Times New Roman" w:eastAsia="Times New Roman" w:hAnsi="Times New Roman"/>
          <w:sz w:val="20"/>
          <w:szCs w:val="20"/>
          <w:color w:val="auto"/>
        </w:rPr>
      </w:pPr>
    </w:p>
    <w:p>
      <w:pPr>
        <w:ind w:firstLine="656"/>
        <w:spacing w:after="0" w:line="222" w:lineRule="auto"/>
        <w:tabs>
          <w:tab w:leader="none" w:pos="128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 or any of its respective officers, directors, employees, agents, advisors or representatives in connection with the Platform or the Approved Electronic Communications. In no event shall the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Agent’s bad faith, willful misconduct, gross negligence or material breach as determined in a final, nonappealable judgment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20"/>
          </w:cols>
          <w:pgMar w:left="320" w:top="1413" w:right="359" w:bottom="1440" w:gutter="0" w:footer="0" w:header="0"/>
        </w:sectPr>
      </w:pPr>
    </w:p>
    <w:bookmarkStart w:id="123" w:name="page124"/>
    <w:bookmarkEnd w:id="123"/>
    <w:p>
      <w:pPr>
        <w:ind w:right="420" w:firstLine="656"/>
        <w:spacing w:after="0" w:line="226"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the Lenders,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No Waiver; Cumulative Remedies</w:t>
      </w:r>
      <w:r>
        <w:rPr>
          <w:rFonts w:ascii="Times New Roman" w:cs="Times New Roman" w:eastAsia="Times New Roman" w:hAnsi="Times New Roman"/>
          <w:sz w:val="19"/>
          <w:szCs w:val="19"/>
          <w:color w:val="auto"/>
        </w:rPr>
        <w:t>. No failure to exercise and no delay in exercising, on the part of the Administrative Agent</w:t>
      </w:r>
    </w:p>
    <w:p>
      <w:pPr>
        <w:ind w:right="320"/>
        <w:spacing w:after="0" w:line="215" w:lineRule="auto"/>
        <w:rPr>
          <w:sz w:val="20"/>
          <w:szCs w:val="20"/>
          <w:color w:val="auto"/>
        </w:rPr>
      </w:pPr>
      <w:r>
        <w:rPr>
          <w:rFonts w:ascii="Times New Roman" w:cs="Times New Roman" w:eastAsia="Times New Roman" w:hAnsi="Times New Roman"/>
          <w:sz w:val="19"/>
          <w:szCs w:val="19"/>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w:t>
      </w:r>
    </w:p>
    <w:p>
      <w:pPr>
        <w:ind w:right="180"/>
        <w:spacing w:after="0" w:line="228" w:lineRule="auto"/>
        <w:rPr>
          <w:sz w:val="20"/>
          <w:szCs w:val="20"/>
          <w:color w:val="auto"/>
        </w:rPr>
      </w:pPr>
      <w:r>
        <w:rPr>
          <w:rFonts w:ascii="Times New Roman" w:cs="Times New Roman" w:eastAsia="Times New Roman" w:hAnsi="Times New Roman"/>
          <w:sz w:val="20"/>
          <w:szCs w:val="20"/>
          <w:color w:val="auto"/>
        </w:rPr>
        <w:t>exercise of any other right, remedy, power or privilege. The rights, remedies, powers and privileges herein provided are cumulative and not exclusive of any rights, remedies, powers and privileges provided by law.</w:t>
      </w:r>
    </w:p>
    <w:p>
      <w:pPr>
        <w:spacing w:after="0" w:line="149" w:lineRule="exact"/>
        <w:rPr>
          <w:sz w:val="20"/>
          <w:szCs w:val="20"/>
          <w:color w:val="auto"/>
        </w:rPr>
      </w:pPr>
    </w:p>
    <w:p>
      <w:pPr>
        <w:ind w:right="60" w:firstLine="648"/>
        <w:spacing w:after="0" w:line="230"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Term Loans and the other extensions of credit hereunder.</w:t>
      </w:r>
    </w:p>
    <w:p>
      <w:pPr>
        <w:spacing w:after="0" w:line="149" w:lineRule="exact"/>
        <w:rPr>
          <w:sz w:val="20"/>
          <w:szCs w:val="20"/>
          <w:color w:val="auto"/>
        </w:rPr>
      </w:pPr>
    </w:p>
    <w:p>
      <w:pPr>
        <w:ind w:right="2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 The Borrower agrees (a) to pay or reimburse the Administrative Agent for all its reasonable out-of-pocket costs and expenses reasonably incurred in connection with (i) the development, negotiation, preparation, execution and delivery of</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this Agreement, the Notes and any other documents prepared in connection herewith or therewith, including any amendment, supplement or modification to any of the foregoing and (ii) the consummation and administration of the transactions contemplated hereby and thereby, and</w:t>
      </w:r>
    </w:p>
    <w:p>
      <w:pPr>
        <w:spacing w:after="0" w:line="211" w:lineRule="auto"/>
        <w:rPr>
          <w:sz w:val="20"/>
          <w:szCs w:val="20"/>
          <w:color w:val="auto"/>
        </w:rPr>
      </w:pPr>
      <w:r>
        <w:rPr>
          <w:rFonts w:ascii="Times New Roman" w:cs="Times New Roman" w:eastAsia="Times New Roman" w:hAnsi="Times New Roman"/>
          <w:sz w:val="20"/>
          <w:szCs w:val="20"/>
          <w:color w:val="auto"/>
        </w:rPr>
        <w:t>the reasonable fees and disbursements of one counsel to the Administrative Agent and the Arrangers, taken as a whole (and to the extent</w:t>
      </w:r>
    </w:p>
    <w:p>
      <w:pPr>
        <w:ind w:right="40"/>
        <w:spacing w:after="0" w:line="215" w:lineRule="auto"/>
        <w:rPr>
          <w:sz w:val="20"/>
          <w:szCs w:val="20"/>
          <w:color w:val="auto"/>
        </w:rPr>
      </w:pPr>
      <w:r>
        <w:rPr>
          <w:rFonts w:ascii="Times New Roman" w:cs="Times New Roman" w:eastAsia="Times New Roman" w:hAnsi="Times New Roman"/>
          <w:sz w:val="19"/>
          <w:szCs w:val="19"/>
          <w:color w:val="auto"/>
        </w:rPr>
        <w:t>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w:t>
      </w:r>
    </w:p>
    <w:p>
      <w:pPr>
        <w:ind w:right="260"/>
        <w:spacing w:after="0" w:line="215" w:lineRule="auto"/>
        <w:rPr>
          <w:sz w:val="20"/>
          <w:szCs w:val="20"/>
          <w:color w:val="auto"/>
        </w:rPr>
      </w:pPr>
      <w:r>
        <w:rPr>
          <w:rFonts w:ascii="Times New Roman" w:cs="Times New Roman" w:eastAsia="Times New Roman" w:hAnsi="Times New Roman"/>
          <w:sz w:val="19"/>
          <w:szCs w:val="19"/>
          <w:color w:val="auto"/>
        </w:rPr>
        <w:t>security interest filing and recording fees and expenses, (b) to pay or reimburse the Administrative Agent and each Lender for all its reasonable costs and expenses reasonably incurred in connection with the enforcement or preservation of any rights under this Agreement,</w:t>
      </w:r>
    </w:p>
    <w:p>
      <w:pPr>
        <w:spacing w:after="0" w:line="211" w:lineRule="auto"/>
        <w:rPr>
          <w:sz w:val="20"/>
          <w:szCs w:val="20"/>
          <w:color w:val="auto"/>
        </w:rPr>
      </w:pPr>
      <w:r>
        <w:rPr>
          <w:rFonts w:ascii="Times New Roman" w:cs="Times New Roman" w:eastAsia="Times New Roman" w:hAnsi="Times New Roman"/>
          <w:sz w:val="20"/>
          <w:szCs w:val="20"/>
          <w:color w:val="auto"/>
        </w:rPr>
        <w:t>the Notes, the other Loan Documents and any such other documents following the occurrence and during the continuance of an Event of</w:t>
      </w:r>
    </w:p>
    <w:p>
      <w:pPr>
        <w:ind w:right="60"/>
        <w:spacing w:after="0" w:line="215" w:lineRule="auto"/>
        <w:rPr>
          <w:sz w:val="20"/>
          <w:szCs w:val="20"/>
          <w:color w:val="auto"/>
        </w:rPr>
      </w:pPr>
      <w:r>
        <w:rPr>
          <w:rFonts w:ascii="Times New Roman" w:cs="Times New Roman" w:eastAsia="Times New Roman" w:hAnsi="Times New Roman"/>
          <w:sz w:val="19"/>
          <w:szCs w:val="19"/>
          <w:color w:val="auto"/>
        </w:rPr>
        <w:t>Default, including without limitation, the reasonable fees and disbursements of one counsel to the Administrative Agent and the Lenders and each of their respective affiliates, taken as a whole (other than during an Event of Default, in which case, the Administrative Agent shall be</w:t>
      </w:r>
    </w:p>
    <w:p>
      <w:pPr>
        <w:spacing w:after="0" w:line="211" w:lineRule="auto"/>
        <w:rPr>
          <w:sz w:val="20"/>
          <w:szCs w:val="20"/>
          <w:color w:val="auto"/>
        </w:rPr>
      </w:pPr>
      <w:r>
        <w:rPr>
          <w:rFonts w:ascii="Times New Roman" w:cs="Times New Roman" w:eastAsia="Times New Roman" w:hAnsi="Times New Roman"/>
          <w:sz w:val="20"/>
          <w:szCs w:val="20"/>
          <w:color w:val="auto"/>
        </w:rPr>
        <w:t>entitled to its own counsel separate from the Lenders) (and, to the extent reasonably necessary), one local counsel in each relevant</w:t>
      </w:r>
    </w:p>
    <w:p>
      <w:pPr>
        <w:ind w:right="400"/>
        <w:spacing w:after="0" w:line="215" w:lineRule="auto"/>
        <w:rPr>
          <w:sz w:val="20"/>
          <w:szCs w:val="20"/>
          <w:color w:val="auto"/>
        </w:rPr>
      </w:pPr>
      <w:r>
        <w:rPr>
          <w:rFonts w:ascii="Times New Roman" w:cs="Times New Roman" w:eastAsia="Times New Roman" w:hAnsi="Times New Roman"/>
          <w:sz w:val="19"/>
          <w:szCs w:val="19"/>
          <w:color w:val="auto"/>
        </w:rPr>
        <w:t>jurisdiction for all such entities, taken as a whole, and, solely in the case of an actual or potential conflict of interest, one additional local counsel in each relevant jurisdiction to the affected entities similarly situated, taken as a whole, and (c) to pay, and indemnify and hold</w:t>
      </w:r>
    </w:p>
    <w:p>
      <w:pPr>
        <w:spacing w:after="0" w:line="211" w:lineRule="auto"/>
        <w:rPr>
          <w:sz w:val="20"/>
          <w:szCs w:val="20"/>
          <w:color w:val="auto"/>
        </w:rPr>
      </w:pPr>
      <w:r>
        <w:rPr>
          <w:rFonts w:ascii="Times New Roman" w:cs="Times New Roman" w:eastAsia="Times New Roman" w:hAnsi="Times New Roman"/>
          <w:sz w:val="20"/>
          <w:szCs w:val="20"/>
          <w:color w:val="auto"/>
        </w:rPr>
        <w:t>harmless each Lender, each Arranger, the Administrative Agent and each of their respective Affiliates, directors, officers, employees,</w:t>
      </w:r>
    </w:p>
    <w:p>
      <w:pPr>
        <w:ind w:right="560"/>
        <w:spacing w:after="0" w:line="215" w:lineRule="auto"/>
        <w:rPr>
          <w:sz w:val="20"/>
          <w:szCs w:val="20"/>
          <w:color w:val="auto"/>
        </w:rPr>
      </w:pPr>
      <w:r>
        <w:rPr>
          <w:rFonts w:ascii="Times New Roman" w:cs="Times New Roman" w:eastAsia="Times New Roman" w:hAnsi="Times New Roman"/>
          <w:sz w:val="19"/>
          <w:szCs w:val="19"/>
          <w:color w:val="auto"/>
        </w:rPr>
        <w:t>representatives, partners, advisors and agents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from and against any and all other liabilities, obligations, losses, damages, penalties, actions, judgments, suits, costs, expenses or disbursements of any kind or nature whatsoever with respect to the</w:t>
      </w:r>
    </w:p>
    <w:p>
      <w:pPr>
        <w:spacing w:after="0" w:line="211" w:lineRule="auto"/>
        <w:rPr>
          <w:sz w:val="20"/>
          <w:szCs w:val="20"/>
          <w:color w:val="auto"/>
        </w:rPr>
      </w:pPr>
      <w:r>
        <w:rPr>
          <w:rFonts w:ascii="Times New Roman" w:cs="Times New Roman" w:eastAsia="Times New Roman" w:hAnsi="Times New Roman"/>
          <w:sz w:val="20"/>
          <w:szCs w:val="20"/>
          <w:color w:val="auto"/>
        </w:rPr>
        <w:t>execution, delivery, enforcement, performance, preservation of rights and administration of this Agreement, the Notes, the other Loan</w:t>
      </w:r>
    </w:p>
    <w:p>
      <w:pPr>
        <w:ind w:right="140"/>
        <w:spacing w:after="0" w:line="204" w:lineRule="auto"/>
        <w:rPr>
          <w:sz w:val="20"/>
          <w:szCs w:val="20"/>
          <w:color w:val="auto"/>
        </w:rPr>
      </w:pPr>
      <w:r>
        <w:rPr>
          <w:rFonts w:ascii="Times New Roman" w:cs="Times New Roman" w:eastAsia="Times New Roman" w:hAnsi="Times New Roman"/>
          <w:sz w:val="20"/>
          <w:szCs w:val="20"/>
          <w:color w:val="auto"/>
        </w:rPr>
        <w:t>Documents or the use of the proceeds of the Term Loans or any of the foregoing in connection with (i) the violation of, noncompliance with or liability under, any Environmental Law (including environmental claims and liabilities), (ii) consummation of the transactions</w:t>
      </w:r>
    </w:p>
    <w:p>
      <w:pPr>
        <w:spacing w:after="0" w:line="223" w:lineRule="auto"/>
        <w:rPr>
          <w:sz w:val="20"/>
          <w:szCs w:val="20"/>
          <w:color w:val="auto"/>
        </w:rPr>
      </w:pPr>
      <w:r>
        <w:rPr>
          <w:rFonts w:ascii="Times New Roman" w:cs="Times New Roman" w:eastAsia="Times New Roman" w:hAnsi="Times New Roman"/>
          <w:sz w:val="19"/>
          <w:szCs w:val="19"/>
          <w:color w:val="auto"/>
        </w:rPr>
        <w:t>contemplated thereby; or (iii) any actual or prospective claim, litigation, investigation or proceeding relating to any of the foregoing, whether</w:t>
      </w:r>
    </w:p>
    <w:p>
      <w:pPr>
        <w:ind w:right="100"/>
        <w:spacing w:after="0" w:line="215" w:lineRule="auto"/>
        <w:rPr>
          <w:sz w:val="20"/>
          <w:szCs w:val="20"/>
          <w:color w:val="auto"/>
        </w:rPr>
      </w:pPr>
      <w:r>
        <w:rPr>
          <w:rFonts w:ascii="Times New Roman" w:cs="Times New Roman" w:eastAsia="Times New Roman" w:hAnsi="Times New Roman"/>
          <w:sz w:val="19"/>
          <w:szCs w:val="19"/>
          <w:color w:val="auto"/>
        </w:rPr>
        <w:t>based on contract, tort or any other theory, whether brought by a third party or by the Borrower, and regardless of whether any Indemnitee is a party thereto and the reasonable fees and expenses of one legal counsel for the Indemnitees taken as a whole in connection with claims,</w:t>
      </w:r>
    </w:p>
    <w:p>
      <w:pPr>
        <w:spacing w:after="0" w:line="222" w:lineRule="auto"/>
        <w:rPr>
          <w:sz w:val="20"/>
          <w:szCs w:val="20"/>
          <w:color w:val="auto"/>
        </w:rPr>
      </w:pPr>
      <w:r>
        <w:rPr>
          <w:rFonts w:ascii="Times New Roman" w:cs="Times New Roman" w:eastAsia="Times New Roman" w:hAnsi="Times New Roman"/>
          <w:sz w:val="19"/>
          <w:szCs w:val="19"/>
          <w:color w:val="auto"/>
        </w:rPr>
        <w:t>actions or proceedings by any Indemnitee against any Loan Party under any Loan Document (all the foregoing in this clause (c), collectively,</w:t>
      </w:r>
    </w:p>
    <w:p>
      <w:pPr>
        <w:ind w:right="200"/>
        <w:spacing w:after="0" w:line="215"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have no obligation hereunder to any Indemnitee with respect to indemnified liabilities to the extent determined by the final non-appealable judgment of a court of competent jurisdiction to have resulted from the bad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faith, gross negligence or willful misconduct of such Indemnitee or any of such Indemnitee’s Related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w:t>
      </w:r>
    </w:p>
    <w:p>
      <w:pPr>
        <w:ind w:right="700"/>
        <w:spacing w:after="0" w:line="215" w:lineRule="auto"/>
        <w:rPr>
          <w:sz w:val="20"/>
          <w:szCs w:val="20"/>
          <w:color w:val="auto"/>
        </w:rPr>
      </w:pPr>
      <w:r>
        <w:rPr>
          <w:rFonts w:ascii="Times New Roman" w:cs="Times New Roman" w:eastAsia="Times New Roman" w:hAnsi="Times New Roman"/>
          <w:sz w:val="19"/>
          <w:szCs w:val="19"/>
          <w:color w:val="auto"/>
        </w:rPr>
        <w:t xml:space="preserve">Borrower shall in no event be responsible for consequential, indirect, special or punitive damages to any Indemnitee pursuant to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except such consequential, indirect, special or punitive damages required to be paid by such Indemnitee in respect of any</w:t>
      </w:r>
    </w:p>
    <w:p>
      <w:pPr>
        <w:spacing w:after="0" w:line="222" w:lineRule="auto"/>
        <w:rPr>
          <w:sz w:val="20"/>
          <w:szCs w:val="20"/>
          <w:color w:val="auto"/>
        </w:rPr>
      </w:pPr>
      <w:r>
        <w:rPr>
          <w:rFonts w:ascii="Times New Roman" w:cs="Times New Roman" w:eastAsia="Times New Roman" w:hAnsi="Times New Roman"/>
          <w:sz w:val="19"/>
          <w:szCs w:val="19"/>
          <w:color w:val="auto"/>
        </w:rPr>
        <w:t>indemnified liabilities. Without limiting the foregoing, and to the extent permitted by applicable law, the Borrower agrees not to assert and to</w:t>
      </w:r>
    </w:p>
    <w:p>
      <w:pPr>
        <w:ind w:right="280"/>
        <w:spacing w:after="0" w:line="221" w:lineRule="auto"/>
        <w:rPr>
          <w:sz w:val="20"/>
          <w:szCs w:val="20"/>
          <w:color w:val="auto"/>
        </w:rPr>
      </w:pPr>
      <w:r>
        <w:rPr>
          <w:rFonts w:ascii="Times New Roman" w:cs="Times New Roman" w:eastAsia="Times New Roman" w:hAnsi="Times New Roman"/>
          <w:sz w:val="20"/>
          <w:szCs w:val="20"/>
          <w:color w:val="auto"/>
        </w:rPr>
        <w:t>cause its Subsidiaries not to assert, and hereby waives and agrees to cause its Subsidiaries to waive, all rights for contribution or any other rights of recovery with respect to all claims, demands, penalties, fines,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20"/>
          </w:cols>
          <w:pgMar w:left="320" w:top="1399"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settlements, damages, costs and expenses of whatever kind or nature, under or related to Environmental Laws, that any of them might have</w:t>
      </w:r>
    </w:p>
    <w:p>
      <w:pPr>
        <w:ind w:right="280"/>
        <w:spacing w:after="0" w:line="215" w:lineRule="auto"/>
        <w:rPr>
          <w:sz w:val="20"/>
          <w:szCs w:val="20"/>
          <w:color w:val="auto"/>
        </w:rPr>
      </w:pPr>
      <w:r>
        <w:rPr>
          <w:rFonts w:ascii="Times New Roman" w:cs="Times New Roman" w:eastAsia="Times New Roman" w:hAnsi="Times New Roman"/>
          <w:sz w:val="19"/>
          <w:szCs w:val="19"/>
          <w:color w:val="auto"/>
        </w:rPr>
        <w:t>by statute or otherwise against any Indemnitee. To the extent permitted by applicable law, no party to this agreement shall assert, and each Loan Party hereby waives, on behalf of itself and its Subsidiaries, any claim against any Indemnitee and its affiliates, directors, officers,</w:t>
      </w:r>
    </w:p>
    <w:p>
      <w:pPr>
        <w:spacing w:after="0" w:line="222" w:lineRule="auto"/>
        <w:rPr>
          <w:sz w:val="20"/>
          <w:szCs w:val="20"/>
          <w:color w:val="auto"/>
        </w:rPr>
      </w:pPr>
      <w:r>
        <w:rPr>
          <w:rFonts w:ascii="Times New Roman" w:cs="Times New Roman" w:eastAsia="Times New Roman" w:hAnsi="Times New Roman"/>
          <w:sz w:val="19"/>
          <w:szCs w:val="19"/>
          <w:color w:val="auto"/>
        </w:rPr>
        <w:t>employees, attorneys, representatives, agents or sub-agents, on any theory of liability, for special, indirect, consequential or punitive damages</w:t>
      </w:r>
    </w:p>
    <w:p>
      <w:pPr>
        <w:ind w:right="100"/>
        <w:spacing w:after="0" w:line="204" w:lineRule="auto"/>
        <w:rPr>
          <w:sz w:val="20"/>
          <w:szCs w:val="20"/>
          <w:color w:val="auto"/>
        </w:rPr>
      </w:pPr>
      <w:r>
        <w:rPr>
          <w:rFonts w:ascii="Times New Roman" w:cs="Times New Roman" w:eastAsia="Times New Roman" w:hAnsi="Times New Roman"/>
          <w:sz w:val="20"/>
          <w:szCs w:val="20"/>
          <w:color w:val="auto"/>
        </w:rPr>
        <w:t>(as opposed to direct or actual damages) (whether or not the claim therefor is based on contract, tort or duty imposed by any applicable legal requirement) arising out of, in connection with, as a result of, or in any way related to, this Agreement or any Loan Document or any</w:t>
      </w:r>
    </w:p>
    <w:p>
      <w:pPr>
        <w:spacing w:after="0" w:line="223" w:lineRule="auto"/>
        <w:rPr>
          <w:sz w:val="20"/>
          <w:szCs w:val="20"/>
          <w:color w:val="auto"/>
        </w:rPr>
      </w:pPr>
      <w:r>
        <w:rPr>
          <w:rFonts w:ascii="Times New Roman" w:cs="Times New Roman" w:eastAsia="Times New Roman" w:hAnsi="Times New Roman"/>
          <w:sz w:val="19"/>
          <w:szCs w:val="19"/>
          <w:color w:val="auto"/>
        </w:rPr>
        <w:t>agreement or instrument contemplated hereby or thereby or referred to herein or therein, the transactions contemplated hereby or thereby, any</w:t>
      </w:r>
    </w:p>
    <w:p>
      <w:pPr>
        <w:ind w:right="380"/>
        <w:spacing w:after="0" w:line="215" w:lineRule="auto"/>
        <w:rPr>
          <w:sz w:val="20"/>
          <w:szCs w:val="20"/>
          <w:color w:val="auto"/>
        </w:rPr>
      </w:pPr>
      <w:r>
        <w:rPr>
          <w:rFonts w:ascii="Times New Roman" w:cs="Times New Roman" w:eastAsia="Times New Roman" w:hAnsi="Times New Roman"/>
          <w:sz w:val="19"/>
          <w:szCs w:val="19"/>
          <w:color w:val="auto"/>
        </w:rPr>
        <w:t>Term Loan or the use of the proceeds thereof or any act or omission or event occurring in connection therewith, and the each Loan Party hereby waives, releases and agrees, on behalf of itself and each of its respective Subsidiaries, not to sue upon any such claim or any such</w:t>
      </w:r>
    </w:p>
    <w:p>
      <w:pPr>
        <w:spacing w:after="0" w:line="222" w:lineRule="auto"/>
        <w:rPr>
          <w:sz w:val="20"/>
          <w:szCs w:val="20"/>
          <w:color w:val="auto"/>
        </w:rPr>
      </w:pPr>
      <w:r>
        <w:rPr>
          <w:rFonts w:ascii="Times New Roman" w:cs="Times New Roman" w:eastAsia="Times New Roman" w:hAnsi="Times New Roman"/>
          <w:sz w:val="19"/>
          <w:szCs w:val="19"/>
          <w:color w:val="auto"/>
        </w:rPr>
        <w:t>damages, whether or not accrued and whether or not known or suspected to exist in its favor. No Indemnitee referred to in clause above shall</w:t>
      </w:r>
    </w:p>
    <w:p>
      <w:pPr>
        <w:ind w:right="40"/>
        <w:spacing w:after="0" w:line="215" w:lineRule="auto"/>
        <w:rPr>
          <w:sz w:val="20"/>
          <w:szCs w:val="20"/>
          <w:color w:val="auto"/>
        </w:rPr>
      </w:pPr>
      <w:r>
        <w:rPr>
          <w:rFonts w:ascii="Times New Roman" w:cs="Times New Roman" w:eastAsia="Times New Roman" w:hAnsi="Times New Roman"/>
          <w:sz w:val="19"/>
          <w:szCs w:val="19"/>
          <w:color w:val="auto"/>
        </w:rPr>
        <w:t>be liable for any damages arising from the use by unintended recipients of any information or other materials distributed by it through telecommunications, electronic or other information transmission systems in connection with the Agreement or the other Loan Documents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transactions contemplated thereby. All amounts due under this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shall be payable not later than 10 days after written demand</w:t>
      </w:r>
    </w:p>
    <w:p>
      <w:pPr>
        <w:ind w:right="520"/>
        <w:spacing w:after="0" w:line="215" w:lineRule="auto"/>
        <w:rPr>
          <w:sz w:val="20"/>
          <w:szCs w:val="20"/>
          <w:color w:val="auto"/>
        </w:rPr>
      </w:pPr>
      <w:r>
        <w:rPr>
          <w:rFonts w:ascii="Times New Roman" w:cs="Times New Roman" w:eastAsia="Times New Roman" w:hAnsi="Times New Roman"/>
          <w:sz w:val="19"/>
          <w:szCs w:val="19"/>
          <w:color w:val="auto"/>
        </w:rPr>
        <w:t xml:space="preserve">therefor. The agreements in this Section shall survive the termination of this Agreement and repayment of the Term Loans and all other amounts payable hereunder.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shall not apply with respect to Taxes other than any Taxes that represent losses, claims,</w:t>
      </w:r>
    </w:p>
    <w:p>
      <w:pPr>
        <w:spacing w:after="0"/>
        <w:rPr>
          <w:sz w:val="20"/>
          <w:szCs w:val="20"/>
          <w:color w:val="auto"/>
        </w:rPr>
      </w:pPr>
      <w:r>
        <w:rPr>
          <w:rFonts w:ascii="Times New Roman" w:cs="Times New Roman" w:eastAsia="Times New Roman" w:hAnsi="Times New Roman"/>
          <w:sz w:val="20"/>
          <w:szCs w:val="20"/>
          <w:color w:val="auto"/>
        </w:rPr>
        <w:t>damages, etc. arising from any non-Tax claim.</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80" w:firstLine="656"/>
        <w:spacing w:after="0" w:line="220"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except that (i) unless otherwise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hereof,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47" w:lineRule="exact"/>
        <w:rPr>
          <w:rFonts w:ascii="Times New Roman" w:cs="Times New Roman" w:eastAsia="Times New Roman" w:hAnsi="Times New Roman"/>
          <w:sz w:val="20"/>
          <w:szCs w:val="20"/>
          <w:color w:val="auto"/>
        </w:rPr>
      </w:pPr>
    </w:p>
    <w:p>
      <w:pPr>
        <w:jc w:val="both"/>
        <w:ind w:right="240" w:firstLine="656"/>
        <w:spacing w:after="0" w:line="230"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all or a portion of its rights and obligations under this Agreement (including all or a portion of its Term Commitments and the Term Loans at the time owing to it) with the prior written consent of:</w:t>
      </w:r>
    </w:p>
    <w:p>
      <w:pPr>
        <w:spacing w:after="0" w:line="148" w:lineRule="exact"/>
        <w:rPr>
          <w:rFonts w:ascii="Times New Roman" w:cs="Times New Roman" w:eastAsia="Times New Roman" w:hAnsi="Times New Roman"/>
          <w:sz w:val="20"/>
          <w:szCs w:val="20"/>
          <w:color w:val="auto"/>
        </w:rPr>
      </w:pPr>
    </w:p>
    <w:p>
      <w:pPr>
        <w:ind w:left="1300" w:right="100" w:firstLine="652"/>
        <w:spacing w:after="0" w:line="222" w:lineRule="auto"/>
        <w:tabs>
          <w:tab w:leader="none" w:pos="2587" w:val="left"/>
        </w:tabs>
        <w:numPr>
          <w:ilvl w:val="2"/>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(such consent not to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Borrower shall be required for an assignment to a Lender, a depository institution affiliate of a Lender having access to discount window credit of the Federal Reserve, or, if an Event of Default under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has occurred and is continuing, any other Person;</w:t>
      </w:r>
    </w:p>
    <w:p>
      <w:pPr>
        <w:spacing w:after="0" w:line="161" w:lineRule="exact"/>
        <w:rPr>
          <w:rFonts w:ascii="Times New Roman" w:cs="Times New Roman" w:eastAsia="Times New Roman" w:hAnsi="Times New Roman"/>
          <w:sz w:val="20"/>
          <w:szCs w:val="20"/>
          <w:color w:val="010000"/>
        </w:rPr>
      </w:pPr>
    </w:p>
    <w:p>
      <w:pPr>
        <w:ind w:left="1300" w:right="120" w:firstLine="652"/>
        <w:spacing w:after="0" w:line="226" w:lineRule="auto"/>
        <w:tabs>
          <w:tab w:leader="none" w:pos="2590" w:val="left"/>
        </w:tabs>
        <w:numPr>
          <w:ilvl w:val="2"/>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(such consent not to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 Lender, an affiliate of a Lender or an Approved Fund; and</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auto"/>
        </w:rPr>
      </w:pPr>
    </w:p>
    <w:p>
      <w:pPr>
        <w:ind w:left="1300" w:right="100" w:firstLine="652"/>
        <w:spacing w:after="0" w:line="221" w:lineRule="auto"/>
        <w:tabs>
          <w:tab w:leader="none" w:pos="2587" w:val="left"/>
        </w:tabs>
        <w:numPr>
          <w:ilvl w:val="2"/>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in the case of an assignment to a Lender, an affiliate of a Lender or an Approved Fund or an assignment of the entire remaining amount of the assigning Lender’s Term Commitments or Term Loans, the amount of the Term Commitments or Term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no such consent of the Borrower shall be required if an Event of Default under </w:t>
      </w:r>
      <w:r>
        <w:rPr>
          <w:rFonts w:ascii="Times New Roman" w:cs="Times New Roman" w:eastAsia="Times New Roman" w:hAnsi="Times New Roman"/>
          <w:sz w:val="19"/>
          <w:szCs w:val="19"/>
          <w:u w:val="single" w:color="auto"/>
          <w:color w:val="auto"/>
        </w:rPr>
        <w:t>Section 7.1(a)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has occurred and is continuing and</w:t>
      </w:r>
    </w:p>
    <w:p>
      <w:pPr>
        <w:spacing w:after="0" w:line="2" w:lineRule="exact"/>
        <w:rPr>
          <w:rFonts w:ascii="Times New Roman" w:cs="Times New Roman" w:eastAsia="Times New Roman" w:hAnsi="Times New Roman"/>
          <w:sz w:val="19"/>
          <w:szCs w:val="19"/>
          <w:color w:val="010000"/>
        </w:rPr>
      </w:pPr>
    </w:p>
    <w:p>
      <w:pPr>
        <w:ind w:left="13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(2) such amounts shall be aggregated in respect of each Lender and its affiliates or Approved Funds,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20"/>
          </w:cols>
          <w:pgMar w:left="320" w:top="1394" w:right="359" w:bottom="1440" w:gutter="0" w:footer="0" w:header="0"/>
        </w:sectPr>
      </w:pPr>
    </w:p>
    <w:bookmarkStart w:id="125" w:name="page126"/>
    <w:bookmarkEnd w:id="125"/>
    <w:p>
      <w:pPr>
        <w:ind w:left="1300" w:right="60" w:firstLine="652"/>
        <w:spacing w:after="0" w:line="222" w:lineRule="auto"/>
        <w:tabs>
          <w:tab w:leader="none" w:pos="259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and (2) the assigning Lender shall have paid in full any amounts owing by it to the Administrative Agent;</w:t>
      </w:r>
    </w:p>
    <w:p>
      <w:pPr>
        <w:spacing w:after="0" w:line="161" w:lineRule="exact"/>
        <w:rPr>
          <w:rFonts w:ascii="Times New Roman" w:cs="Times New Roman" w:eastAsia="Times New Roman" w:hAnsi="Times New Roman"/>
          <w:sz w:val="20"/>
          <w:szCs w:val="20"/>
          <w:color w:val="010000"/>
        </w:rPr>
      </w:pPr>
    </w:p>
    <w:p>
      <w:pPr>
        <w:ind w:left="1300" w:right="40" w:firstLine="652"/>
        <w:spacing w:after="0" w:line="217" w:lineRule="auto"/>
        <w:tabs>
          <w:tab w:leader="none" w:pos="2590"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61" w:lineRule="exact"/>
        <w:rPr>
          <w:rFonts w:ascii="Times New Roman" w:cs="Times New Roman" w:eastAsia="Times New Roman" w:hAnsi="Times New Roman"/>
          <w:sz w:val="20"/>
          <w:szCs w:val="20"/>
          <w:color w:val="010000"/>
        </w:rPr>
      </w:pPr>
    </w:p>
    <w:p>
      <w:pPr>
        <w:ind w:left="1300" w:right="300" w:firstLine="652"/>
        <w:spacing w:after="0"/>
        <w:tabs>
          <w:tab w:leader="none" w:pos="2587"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the Loan Parties, their respective Affiliates, any natural person or a Defaulting Lender shall be an Assignee hereunder.</w:t>
      </w:r>
    </w:p>
    <w:p>
      <w:pPr>
        <w:spacing w:after="0" w:line="161"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9"/>
          <w:szCs w:val="19"/>
          <w:color w:val="auto"/>
        </w:rPr>
        <w:t xml:space="preserve">For the purposes of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ind w:left="660" w:right="80" w:firstLine="644"/>
        <w:spacing w:after="0" w:line="223" w:lineRule="auto"/>
        <w:tabs>
          <w:tab w:leader="none" w:pos="1955"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9.5</w:t>
      </w:r>
      <w:r>
        <w:rPr>
          <w:rFonts w:ascii="Times New Roman" w:cs="Times New Roman" w:eastAsia="Times New Roman" w:hAnsi="Times New Roman"/>
          <w:sz w:val="19"/>
          <w:szCs w:val="19"/>
          <w:color w:val="auto"/>
        </w:rPr>
        <w:t xml:space="preserve"> for the period of time in which it was a Lender hereunder,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paragraph (c) of this Section.</w:t>
      </w:r>
    </w:p>
    <w:p>
      <w:pPr>
        <w:spacing w:after="0" w:line="156" w:lineRule="exact"/>
        <w:rPr>
          <w:rFonts w:ascii="Times New Roman" w:cs="Times New Roman" w:eastAsia="Times New Roman" w:hAnsi="Times New Roman"/>
          <w:sz w:val="19"/>
          <w:szCs w:val="19"/>
          <w:color w:val="auto"/>
        </w:rPr>
      </w:pPr>
    </w:p>
    <w:p>
      <w:pPr>
        <w:ind w:left="660" w:right="60" w:firstLine="644"/>
        <w:spacing w:after="0" w:line="213" w:lineRule="auto"/>
        <w:tabs>
          <w:tab w:leader="none" w:pos="195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Term Commitments of, and principal amount (and interest amounts) of the Term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61" w:lineRule="exact"/>
        <w:rPr>
          <w:rFonts w:ascii="Times New Roman" w:cs="Times New Roman" w:eastAsia="Times New Roman" w:hAnsi="Times New Roman"/>
          <w:sz w:val="20"/>
          <w:szCs w:val="20"/>
          <w:color w:val="auto"/>
        </w:rPr>
      </w:pPr>
    </w:p>
    <w:p>
      <w:pPr>
        <w:ind w:left="660" w:firstLine="644"/>
        <w:spacing w:after="0" w:line="220" w:lineRule="auto"/>
        <w:tabs>
          <w:tab w:leader="none" w:pos="194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together with payment to the Administrative Agent by the transferor Lender or the Assignee of a recordation and processing fee of $3,500 (which fee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9" w:right="33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20"/>
          <w:szCs w:val="20"/>
          <w:color w:val="auto"/>
        </w:rPr>
        <w:t>waived or reduced in the sole discretion of the Administrative Agent), the Administrative Agent shall (i) promptly accept such</w:t>
      </w:r>
    </w:p>
    <w:p>
      <w:pPr>
        <w:ind w:left="520" w:right="140"/>
        <w:spacing w:after="0" w:line="215" w:lineRule="auto"/>
        <w:rPr>
          <w:sz w:val="20"/>
          <w:szCs w:val="20"/>
          <w:color w:val="auto"/>
        </w:rPr>
      </w:pPr>
      <w:r>
        <w:rPr>
          <w:rFonts w:ascii="Times New Roman" w:cs="Times New Roman" w:eastAsia="Times New Roman" w:hAnsi="Times New Roman"/>
          <w:sz w:val="19"/>
          <w:szCs w:val="19"/>
          <w:color w:val="auto"/>
        </w:rPr>
        <w:t>Assignment and Acceptance, (ii) on the effective date of such transfer determined pursuant thereto record the information contained therein in the Register and (iii) give notice of such acceptance and recordation to the transferor Lender, the Assignee and the</w:t>
      </w:r>
    </w:p>
    <w:p>
      <w:pPr>
        <w:ind w:left="520"/>
        <w:spacing w:after="0"/>
        <w:rPr>
          <w:sz w:val="20"/>
          <w:szCs w:val="20"/>
          <w:color w:val="auto"/>
        </w:rPr>
      </w:pPr>
      <w:r>
        <w:rPr>
          <w:rFonts w:ascii="Times New Roman" w:cs="Times New Roman" w:eastAsia="Times New Roman" w:hAnsi="Times New Roman"/>
          <w:sz w:val="20"/>
          <w:szCs w:val="20"/>
          <w:color w:val="auto"/>
        </w:rPr>
        <w:t>Borrower.</w:t>
      </w:r>
    </w:p>
    <w:p>
      <w:pPr>
        <w:spacing w:after="0" w:line="167" w:lineRule="exact"/>
        <w:rPr>
          <w:sz w:val="20"/>
          <w:szCs w:val="20"/>
          <w:color w:val="auto"/>
        </w:rPr>
      </w:pPr>
    </w:p>
    <w:p>
      <w:pPr>
        <w:ind w:left="-140" w:firstLine="656"/>
        <w:spacing w:after="0" w:line="209" w:lineRule="auto"/>
        <w:tabs>
          <w:tab w:leader="none" w:pos="114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or notice to the Borrower or the Administrative Agent,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Term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(2) directly affects such Participant. Subject to paragraph (c)(i) 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 requirements and limitations of such sections and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and it being understood that the documentation required under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9.7(b)</w:t>
      </w:r>
      <w:r>
        <w:rPr>
          <w:rFonts w:ascii="Times New Roman" w:cs="Times New Roman" w:eastAsia="Times New Roman" w:hAnsi="Times New Roman"/>
          <w:sz w:val="20"/>
          <w:szCs w:val="20"/>
          <w:color w:val="auto"/>
        </w:rPr>
        <w:t xml:space="preserve"> as though it were a Lender, provided such Participant shall be subject to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 xml:space="preserve"> as though it were a Lender.</w:t>
      </w:r>
    </w:p>
    <w:p>
      <w:pPr>
        <w:spacing w:after="0" w:line="172" w:lineRule="exact"/>
        <w:rPr>
          <w:rFonts w:ascii="Times New Roman" w:cs="Times New Roman" w:eastAsia="Times New Roman" w:hAnsi="Times New Roman"/>
          <w:sz w:val="20"/>
          <w:szCs w:val="20"/>
          <w:color w:val="auto"/>
        </w:rPr>
      </w:pPr>
    </w:p>
    <w:p>
      <w:pPr>
        <w:ind w:left="520" w:right="20" w:firstLine="644"/>
        <w:spacing w:after="0" w:line="222" w:lineRule="auto"/>
        <w:tabs>
          <w:tab w:leader="none" w:pos="1814"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48" w:lineRule="exact"/>
        <w:rPr>
          <w:rFonts w:ascii="Times New Roman" w:cs="Times New Roman" w:eastAsia="Times New Roman" w:hAnsi="Times New Roman"/>
          <w:sz w:val="20"/>
          <w:szCs w:val="20"/>
          <w:color w:val="auto"/>
        </w:rPr>
      </w:pPr>
    </w:p>
    <w:p>
      <w:pPr>
        <w:ind w:left="520" w:right="80" w:firstLine="644"/>
        <w:spacing w:after="0" w:line="214" w:lineRule="auto"/>
        <w:tabs>
          <w:tab w:leader="none" w:pos="181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Term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Term Loans) except to the extent that such disclosure is necessary to establish that such Term Loan is in registered form under Section 5f.103(c) of the United States Treasury Regulations or, if different, under Sections 871(h) or 881(c) of the Code.</w:t>
      </w:r>
    </w:p>
    <w:p>
      <w:pPr>
        <w:spacing w:after="0" w:line="152" w:lineRule="exact"/>
        <w:rPr>
          <w:rFonts w:ascii="Times New Roman" w:cs="Times New Roman" w:eastAsia="Times New Roman" w:hAnsi="Times New Roman"/>
          <w:sz w:val="20"/>
          <w:szCs w:val="20"/>
          <w:color w:val="auto"/>
        </w:rPr>
      </w:pPr>
    </w:p>
    <w:p>
      <w:pPr>
        <w:ind w:left="-140" w:right="40" w:firstLine="656"/>
        <w:spacing w:after="0" w:line="222" w:lineRule="auto"/>
        <w:tabs>
          <w:tab w:leader="none" w:pos="11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61" w:lineRule="exact"/>
        <w:rPr>
          <w:rFonts w:ascii="Times New Roman" w:cs="Times New Roman" w:eastAsia="Times New Roman" w:hAnsi="Times New Roman"/>
          <w:sz w:val="20"/>
          <w:szCs w:val="20"/>
          <w:color w:val="auto"/>
        </w:rPr>
      </w:pPr>
    </w:p>
    <w:p>
      <w:pPr>
        <w:ind w:left="-140" w:right="240" w:firstLine="656"/>
        <w:spacing w:after="0" w:line="222" w:lineRule="auto"/>
        <w:tabs>
          <w:tab w:leader="none" w:pos="114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the Borrower authorizes each Lender to disclose to any Transferee and any prospective Transferee (in each case which agrees to comply with the provisions of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or confidentiality requirements no less restrictive on such prospective transferee than those set forth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any and all financial information in such Lender’s possession concerning the Borrower and its Affiliates which has been delivered to such Lender by or on behalf of the Borrower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00"/>
          </w:cols>
          <w:pgMar w:left="460" w:top="1394" w:right="339" w:bottom="1440" w:gutter="0" w:footer="0" w:header="0"/>
        </w:sectPr>
      </w:pPr>
    </w:p>
    <w:bookmarkStart w:id="127" w:name="page128"/>
    <w:bookmarkEnd w:id="127"/>
    <w:p>
      <w:pPr>
        <w:ind w:right="20"/>
        <w:spacing w:after="0"/>
        <w:rPr>
          <w:sz w:val="20"/>
          <w:szCs w:val="20"/>
          <w:color w:val="auto"/>
        </w:rPr>
      </w:pPr>
      <w:r>
        <w:rPr>
          <w:rFonts w:ascii="Times New Roman" w:cs="Times New Roman" w:eastAsia="Times New Roman" w:hAnsi="Times New Roman"/>
          <w:sz w:val="20"/>
          <w:szCs w:val="20"/>
          <w:color w:val="auto"/>
        </w:rPr>
        <w:t>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2"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any other Loan Document or a court order expressly provides or permits for payments to be allocated to a particular Lender or to the Lenders, if any Lender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receive any payment of all or part of the Obligations owing to it (other than in connection with an assignment or participation made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or receive any collateral in respect thereof (whether voluntarily or involuntarily, by setoff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69" w:lineRule="exact"/>
        <w:rPr>
          <w:rFonts w:ascii="Times New Roman" w:cs="Times New Roman" w:eastAsia="Times New Roman" w:hAnsi="Times New Roman"/>
          <w:sz w:val="20"/>
          <w:szCs w:val="20"/>
          <w:color w:val="auto"/>
        </w:rPr>
      </w:pPr>
    </w:p>
    <w:p>
      <w:pPr>
        <w:ind w:firstLine="656"/>
        <w:spacing w:after="0" w:line="213" w:lineRule="auto"/>
        <w:tabs>
          <w:tab w:leader="none" w:pos="12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and remedies of the Lenders provided by law, each Lender shall have the right, unless otherwise agreed in writing by such Lender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application.</w:t>
      </w:r>
    </w:p>
    <w:p>
      <w:pPr>
        <w:spacing w:after="0" w:line="148"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9.8.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by one or more of the parties to this Agreement on any number of separate counterparts, and all of said counterparts taken together shall be deemed to constitute one and the same instrument. Delivery of an executed</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signature page of this Agreement by facsimile or email transmission shall be effective as delivery of a manually executed counterpart hereof. The words “execution”, “signed”, “signature” and words of like import in this Agreement or in any other Loan Document shall be deemed to</w:t>
      </w:r>
    </w:p>
    <w:p>
      <w:pPr>
        <w:spacing w:after="0" w:line="211" w:lineRule="auto"/>
        <w:rPr>
          <w:sz w:val="20"/>
          <w:szCs w:val="20"/>
          <w:color w:val="auto"/>
        </w:rPr>
      </w:pPr>
      <w:r>
        <w:rPr>
          <w:rFonts w:ascii="Times New Roman" w:cs="Times New Roman" w:eastAsia="Times New Roman" w:hAnsi="Times New Roman"/>
          <w:sz w:val="20"/>
          <w:szCs w:val="20"/>
          <w:color w:val="auto"/>
        </w:rPr>
        <w:t>include electronic signatures or the keeping of records in electronic form, each of which shall be of the same legal effect, validity or</w:t>
      </w:r>
    </w:p>
    <w:p>
      <w:pPr>
        <w:ind w:right="240"/>
        <w:spacing w:after="0" w:line="215" w:lineRule="auto"/>
        <w:rPr>
          <w:sz w:val="20"/>
          <w:szCs w:val="20"/>
          <w:color w:val="auto"/>
        </w:rPr>
      </w:pPr>
      <w:r>
        <w:rPr>
          <w:rFonts w:ascii="Times New Roman" w:cs="Times New Roman" w:eastAsia="Times New Roman" w:hAnsi="Times New Roman"/>
          <w:sz w:val="19"/>
          <w:szCs w:val="19"/>
          <w:color w:val="auto"/>
        </w:rPr>
        <w:t>enforceability as a manually executed signature or the use of a paper-based recordkeeping system, as the case may be, to the extent and as provided for in any applicable law, including the Federal Electronic Signatures in Global and National Commerce Act, the New York State</w:t>
      </w:r>
    </w:p>
    <w:p>
      <w:pPr>
        <w:spacing w:after="0"/>
        <w:rPr>
          <w:sz w:val="20"/>
          <w:szCs w:val="20"/>
          <w:color w:val="auto"/>
        </w:rPr>
      </w:pPr>
      <w:r>
        <w:rPr>
          <w:rFonts w:ascii="Times New Roman" w:cs="Times New Roman" w:eastAsia="Times New Roman" w:hAnsi="Times New Roman"/>
          <w:sz w:val="20"/>
          <w:szCs w:val="20"/>
          <w:color w:val="auto"/>
        </w:rPr>
        <w:t>Electronic Signatures and Records Act or any other similar state laws based on the Uniform Electronic Transactions Act.</w:t>
      </w:r>
    </w:p>
    <w:p>
      <w:pPr>
        <w:spacing w:after="0" w:line="167"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w:t>
      </w:r>
    </w:p>
    <w:p>
      <w:pPr>
        <w:spacing w:after="0"/>
        <w:rPr>
          <w:sz w:val="20"/>
          <w:szCs w:val="20"/>
          <w:color w:val="auto"/>
        </w:rPr>
      </w:pPr>
      <w:r>
        <w:rPr>
          <w:rFonts w:ascii="Times New Roman" w:cs="Times New Roman" w:eastAsia="Times New Roman" w:hAnsi="Times New Roman"/>
          <w:sz w:val="20"/>
          <w:szCs w:val="20"/>
          <w:color w:val="auto"/>
        </w:rPr>
        <w:t>such prohibition or unenforceability in any jurisdiction shall not invalidate or render unenforceable such provision in any other jurisdiction.</w:t>
      </w:r>
    </w:p>
    <w:p>
      <w:pPr>
        <w:spacing w:after="0" w:line="167" w:lineRule="exact"/>
        <w:rPr>
          <w:sz w:val="20"/>
          <w:szCs w:val="20"/>
          <w:color w:val="auto"/>
        </w:rPr>
      </w:pPr>
    </w:p>
    <w:p>
      <w:pPr>
        <w:ind w:right="7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and the other Loan Documents represent the entire agreement of the Borrower, the Administrative Agent and the Lenders with respect to the subject matter hereof and thereof, and there are no promises, undertakings,</w:t>
      </w:r>
    </w:p>
    <w:p>
      <w:pPr>
        <w:ind w:right="600"/>
        <w:spacing w:after="0" w:line="228" w:lineRule="auto"/>
        <w:rPr>
          <w:sz w:val="20"/>
          <w:szCs w:val="20"/>
          <w:color w:val="auto"/>
        </w:rPr>
      </w:pPr>
      <w:r>
        <w:rPr>
          <w:rFonts w:ascii="Times New Roman" w:cs="Times New Roman" w:eastAsia="Times New Roman" w:hAnsi="Times New Roman"/>
          <w:sz w:val="20"/>
          <w:szCs w:val="20"/>
          <w:color w:val="auto"/>
        </w:rPr>
        <w:t>representations or warranties by the Administrative Agent or any Lender relative to the subject matter hereof not expressly set forth or referred to herein or in the other Loan Documents.</w:t>
      </w:r>
    </w:p>
    <w:p>
      <w:pPr>
        <w:spacing w:after="0" w:line="149"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UNDER THIS AGREEMENT SHALL BE GOVERNED BY, AND CONSTRUED AND INTERPRETED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9" w:right="339" w:bottom="1440" w:gutter="0" w:footer="0" w:header="0"/>
        </w:sectPr>
      </w:pPr>
    </w:p>
    <w:bookmarkStart w:id="128" w:name="page129"/>
    <w:bookmarkEnd w:id="12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60" w:firstLine="656"/>
        <w:spacing w:after="0" w:line="217"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clause (b)(iii)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w:t>
      </w:r>
    </w:p>
    <w:p>
      <w:pPr>
        <w:spacing w:after="0" w:line="188" w:lineRule="exact"/>
        <w:rPr>
          <w:rFonts w:ascii="Times New Roman" w:cs="Times New Roman" w:eastAsia="Times New Roman" w:hAnsi="Times New Roman"/>
          <w:sz w:val="20"/>
          <w:szCs w:val="20"/>
          <w:color w:val="auto"/>
        </w:rPr>
      </w:pPr>
    </w:p>
    <w:p>
      <w:pPr>
        <w:ind w:left="660" w:right="60" w:firstLine="644"/>
        <w:spacing w:after="0" w:line="226" w:lineRule="auto"/>
        <w:tabs>
          <w:tab w:leader="none" w:pos="195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0" w:lineRule="exact"/>
        <w:rPr>
          <w:rFonts w:ascii="Times New Roman" w:cs="Times New Roman" w:eastAsia="Times New Roman" w:hAnsi="Times New Roman"/>
          <w:sz w:val="20"/>
          <w:szCs w:val="20"/>
          <w:color w:val="auto"/>
        </w:rPr>
      </w:pPr>
    </w:p>
    <w:p>
      <w:pPr>
        <w:ind w:left="660" w:right="400" w:firstLine="644"/>
        <w:spacing w:after="0" w:line="226" w:lineRule="auto"/>
        <w:tabs>
          <w:tab w:leader="none" w:pos="1955"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at such other address of which the Administrative Agent shall have been notified pursuant thereto;</w:t>
      </w:r>
    </w:p>
    <w:p>
      <w:pPr>
        <w:spacing w:after="0" w:line="160" w:lineRule="exact"/>
        <w:rPr>
          <w:rFonts w:ascii="Times New Roman" w:cs="Times New Roman" w:eastAsia="Times New Roman" w:hAnsi="Times New Roman"/>
          <w:sz w:val="20"/>
          <w:szCs w:val="20"/>
          <w:color w:val="auto"/>
        </w:rPr>
      </w:pPr>
    </w:p>
    <w:p>
      <w:pPr>
        <w:ind w:left="660" w:right="180" w:firstLine="644"/>
        <w:spacing w:after="0" w:line="233" w:lineRule="auto"/>
        <w:tabs>
          <w:tab w:leader="none" w:pos="1956"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60" w:lineRule="exact"/>
        <w:rPr>
          <w:rFonts w:ascii="Times New Roman" w:cs="Times New Roman" w:eastAsia="Times New Roman" w:hAnsi="Times New Roman"/>
          <w:sz w:val="20"/>
          <w:szCs w:val="20"/>
          <w:color w:val="auto"/>
        </w:rPr>
      </w:pPr>
    </w:p>
    <w:p>
      <w:pPr>
        <w:ind w:left="660" w:right="20" w:firstLine="644"/>
        <w:spacing w:after="0"/>
        <w:tabs>
          <w:tab w:leader="none" w:pos="1945"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The Borrower hereby acknowledges that:</w:t>
      </w:r>
    </w:p>
    <w:p>
      <w:pPr>
        <w:spacing w:after="0" w:line="189"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w:t>
      </w:r>
    </w:p>
    <w:p>
      <w:pPr>
        <w:spacing w:after="0" w:line="175" w:lineRule="exact"/>
        <w:rPr>
          <w:rFonts w:ascii="Times New Roman" w:cs="Times New Roman" w:eastAsia="Times New Roman" w:hAnsi="Times New Roman"/>
          <w:sz w:val="20"/>
          <w:szCs w:val="20"/>
          <w:color w:val="auto"/>
        </w:rPr>
      </w:pPr>
    </w:p>
    <w:p>
      <w:pPr>
        <w:ind w:right="280" w:firstLine="656"/>
        <w:spacing w:after="0" w:line="266" w:lineRule="auto"/>
        <w:tabs>
          <w:tab w:leader="none" w:pos="1284"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provisions of this Agreement or any of the other Loan Documents, the Arrangers and Co-Syndication Agents shall have no powers, duties, responsibilities or liabilities with respect to this Agreement and the other Loan Documents;</w:t>
      </w:r>
    </w:p>
    <w:p>
      <w:pPr>
        <w:spacing w:after="0" w:line="136" w:lineRule="exact"/>
        <w:rPr>
          <w:rFonts w:ascii="Times New Roman" w:cs="Times New Roman" w:eastAsia="Times New Roman" w:hAnsi="Times New Roman"/>
          <w:sz w:val="19"/>
          <w:szCs w:val="19"/>
          <w:color w:val="auto"/>
        </w:rPr>
      </w:pPr>
    </w:p>
    <w:p>
      <w:pPr>
        <w:ind w:right="520" w:firstLine="656"/>
        <w:spacing w:after="0" w:line="233"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the Arrangers, the Co-Syndication Agents the Lenders and their Affiliates may have economic interests that conflict with those of the Borrower; and</w:t>
      </w:r>
    </w:p>
    <w:p>
      <w:pPr>
        <w:spacing w:after="0" w:line="160" w:lineRule="exact"/>
        <w:rPr>
          <w:rFonts w:ascii="Times New Roman" w:cs="Times New Roman" w:eastAsia="Times New Roman" w:hAnsi="Times New Roman"/>
          <w:sz w:val="20"/>
          <w:szCs w:val="20"/>
          <w:color w:val="auto"/>
        </w:rPr>
      </w:pPr>
    </w:p>
    <w:p>
      <w:pPr>
        <w:ind w:right="880" w:firstLine="656"/>
        <w:spacing w:after="0"/>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Borrower and the Lenders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Guarantors; Release of Guarantors.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9.15.</w:t>
      </w:r>
    </w:p>
    <w:p>
      <w:pPr>
        <w:spacing w:after="0" w:line="194" w:lineRule="exact"/>
        <w:rPr>
          <w:sz w:val="20"/>
          <w:szCs w:val="20"/>
          <w:color w:val="auto"/>
        </w:rPr>
      </w:pPr>
    </w:p>
    <w:p>
      <w:pPr>
        <w:ind w:firstLine="656"/>
        <w:spacing w:after="0" w:line="226" w:lineRule="auto"/>
        <w:tabs>
          <w:tab w:leader="none" w:pos="128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ind w:firstLine="656"/>
        <w:spacing w:after="0" w:line="222"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Administrative Agent is hereby irrevocably authorized by each Lender (and each such Lender hereby expressly consents) (without requirement of notice to or consent of any Lender except as expressly required by Section 9.1(a)), and the Administrative Agent hereby agrees with the Borrower, to take any action reasonably requested by the Borrower to effect the release of any Guarantor from its guarantee obligations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20"/>
          </w:cols>
          <w:pgMar w:left="320" w:top="1399"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to the extent necessary to permit consummation of any transaction not prohibited by any Loan Document or that has been consented to in</w:t>
      </w:r>
    </w:p>
    <w:p>
      <w:pPr>
        <w:ind w:right="120"/>
        <w:spacing w:after="0" w:line="215" w:lineRule="auto"/>
        <w:rPr>
          <w:sz w:val="20"/>
          <w:szCs w:val="20"/>
          <w:color w:val="auto"/>
        </w:rPr>
      </w:pPr>
      <w:r>
        <w:rPr>
          <w:rFonts w:ascii="Times New Roman" w:cs="Times New Roman" w:eastAsia="Times New Roman" w:hAnsi="Times New Roman"/>
          <w:sz w:val="19"/>
          <w:szCs w:val="19"/>
          <w:color w:val="auto"/>
        </w:rPr>
        <w:t>accordance with Section 9.1(a), including, in each case and without limitation, any sale, transfer or other disposition of any Guarantor (other than to the Borrower or another Guarantor), and (ii) under the circumstances described in paragraph (c) below (and, upon the consummation</w:t>
      </w:r>
    </w:p>
    <w:p>
      <w:pPr>
        <w:spacing w:after="0"/>
        <w:rPr>
          <w:sz w:val="20"/>
          <w:szCs w:val="20"/>
          <w:color w:val="auto"/>
        </w:rPr>
      </w:pPr>
      <w:r>
        <w:rPr>
          <w:rFonts w:ascii="Times New Roman" w:cs="Times New Roman" w:eastAsia="Times New Roman" w:hAnsi="Times New Roman"/>
          <w:sz w:val="20"/>
          <w:szCs w:val="20"/>
          <w:color w:val="auto"/>
        </w:rPr>
        <w:t>of any such transaction in preceding clause (i) or (ii), such Guarantor shall be released from its obligations hereunder).</w:t>
      </w:r>
    </w:p>
    <w:p>
      <w:pPr>
        <w:spacing w:after="0" w:line="167" w:lineRule="exact"/>
        <w:rPr>
          <w:sz w:val="20"/>
          <w:szCs w:val="20"/>
          <w:color w:val="auto"/>
        </w:rPr>
      </w:pPr>
    </w:p>
    <w:p>
      <w:pPr>
        <w:ind w:right="20" w:firstLine="656"/>
        <w:spacing w:after="0" w:line="217" w:lineRule="auto"/>
        <w:tabs>
          <w:tab w:leader="none" w:pos="128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Lenders hereby agree, and the Administrative Agent is hereby irrevocably authorized by each Lender (without requirement of notice to or consent of any Lender)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of the Obligations by any Guarantor will terminate upon:</w:t>
      </w:r>
    </w:p>
    <w:p>
      <w:pPr>
        <w:spacing w:after="0" w:line="188" w:lineRule="exact"/>
        <w:rPr>
          <w:rFonts w:ascii="Times New Roman" w:cs="Times New Roman" w:eastAsia="Times New Roman" w:hAnsi="Times New Roman"/>
          <w:sz w:val="20"/>
          <w:szCs w:val="20"/>
          <w:color w:val="auto"/>
        </w:rPr>
      </w:pPr>
    </w:p>
    <w:p>
      <w:pPr>
        <w:ind w:left="660" w:right="40" w:firstLine="644"/>
        <w:spacing w:after="0" w:line="233" w:lineRule="auto"/>
        <w:tabs>
          <w:tab w:leader="none" w:pos="1954"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or other disposition (including by way of consolidation or merger) of the Capital Stock of such Guarantor such that such Guarantor is no longer a Restricted Subsidiary of the Borrower; and</w:t>
      </w:r>
    </w:p>
    <w:p>
      <w:pPr>
        <w:spacing w:after="0" w:line="160" w:lineRule="exact"/>
        <w:rPr>
          <w:rFonts w:ascii="Times New Roman" w:cs="Times New Roman" w:eastAsia="Times New Roman" w:hAnsi="Times New Roman"/>
          <w:sz w:val="20"/>
          <w:szCs w:val="20"/>
          <w:color w:val="auto"/>
        </w:rPr>
      </w:pPr>
    </w:p>
    <w:p>
      <w:pPr>
        <w:ind w:left="660" w:right="480" w:firstLine="644"/>
        <w:spacing w:after="0" w:line="226" w:lineRule="auto"/>
        <w:tabs>
          <w:tab w:leader="none" w:pos="1955"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73" w:lineRule="exact"/>
        <w:rPr>
          <w:rFonts w:ascii="Times New Roman" w:cs="Times New Roman" w:eastAsia="Times New Roman" w:hAnsi="Times New Roman"/>
          <w:sz w:val="20"/>
          <w:szCs w:val="20"/>
          <w:color w:val="auto"/>
        </w:rPr>
      </w:pPr>
    </w:p>
    <w:p>
      <w:pPr>
        <w:ind w:right="240" w:firstLine="8"/>
        <w:spacing w:after="0" w:line="269" w:lineRule="auto"/>
        <w:tabs>
          <w:tab w:leader="none" w:pos="70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execute any documents reasonably required in order to evidence the release of any Guarantor from its obligations under its Guarantee pursuant to the foregoing.</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9.16.</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Agent, each Arranger and each Lender agrees to keep confidential all non-public information provided</w:t>
      </w:r>
    </w:p>
    <w:p>
      <w:pPr>
        <w:ind w:right="280"/>
        <w:spacing w:after="0" w:line="215" w:lineRule="auto"/>
        <w:rPr>
          <w:sz w:val="20"/>
          <w:szCs w:val="20"/>
          <w:color w:val="auto"/>
        </w:rPr>
      </w:pPr>
      <w:r>
        <w:rPr>
          <w:rFonts w:ascii="Times New Roman" w:cs="Times New Roman" w:eastAsia="Times New Roman" w:hAnsi="Times New Roman"/>
          <w:sz w:val="19"/>
          <w:szCs w:val="19"/>
          <w:color w:val="auto"/>
        </w:rPr>
        <w:t xml:space="preserve">to it by any Loan Party, the Administrative Agent or any Lender pursuant to or in connection with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prevent any Agent, any Arranger, any Lender from disclosing any such information (a) to the Administrative Agent, any other</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Lender or any affiliate thereof (so long as such affiliate agrees to be bound by the provisions of this </w:t>
      </w:r>
      <w:r>
        <w:rPr>
          <w:rFonts w:ascii="Times New Roman" w:cs="Times New Roman" w:eastAsia="Times New Roman" w:hAnsi="Times New Roman"/>
          <w:sz w:val="19"/>
          <w:szCs w:val="19"/>
          <w:u w:val="single" w:color="auto"/>
          <w:color w:val="auto"/>
        </w:rPr>
        <w:t>Section 9.15</w:t>
      </w:r>
      <w:r>
        <w:rPr>
          <w:rFonts w:ascii="Times New Roman" w:cs="Times New Roman" w:eastAsia="Times New Roman" w:hAnsi="Times New Roman"/>
          <w:sz w:val="19"/>
          <w:szCs w:val="19"/>
          <w:color w:val="auto"/>
        </w:rPr>
        <w:t>), (b) subject to an agreement</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to comply with provisions no less restrictive than this </w:t>
      </w:r>
      <w:r>
        <w:rPr>
          <w:rFonts w:ascii="Times New Roman" w:cs="Times New Roman" w:eastAsia="Times New Roman" w:hAnsi="Times New Roman"/>
          <w:sz w:val="19"/>
          <w:szCs w:val="19"/>
          <w:u w:val="single" w:color="auto"/>
          <w:color w:val="auto"/>
        </w:rPr>
        <w:t>Section 9.15</w:t>
      </w:r>
      <w:r>
        <w:rPr>
          <w:rFonts w:ascii="Times New Roman" w:cs="Times New Roman" w:eastAsia="Times New Roman" w:hAnsi="Times New Roman"/>
          <w:sz w:val="19"/>
          <w:szCs w:val="19"/>
          <w:color w:val="auto"/>
        </w:rPr>
        <w:t>, or to any actual or prospective Transferee (or any professional advisor to such counterparty), (c) to its employees, directors, officers, agents, attorneys, accountants, partners and other professional advisors (including</w:t>
      </w:r>
    </w:p>
    <w:p>
      <w:pPr>
        <w:spacing w:after="0" w:line="211" w:lineRule="auto"/>
        <w:rPr>
          <w:sz w:val="20"/>
          <w:szCs w:val="20"/>
          <w:color w:val="auto"/>
        </w:rPr>
      </w:pPr>
      <w:r>
        <w:rPr>
          <w:rFonts w:ascii="Times New Roman" w:cs="Times New Roman" w:eastAsia="Times New Roman" w:hAnsi="Times New Roman"/>
          <w:sz w:val="20"/>
          <w:szCs w:val="20"/>
          <w:color w:val="auto"/>
        </w:rPr>
        <w:t>insurance brokers) or those of any of its affiliates, (d) upon the request or demand, or in accordance with the requirements (including</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reporting requirements), of any Governmental Authority having jurisdiction over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permitted by law, such Lender shall promptly notify the applicable Loan Party of such disclosure (except with respect to any audit or examination conducted by</w:t>
      </w:r>
    </w:p>
    <w:p>
      <w:pPr>
        <w:spacing w:after="0" w:line="211" w:lineRule="auto"/>
        <w:rPr>
          <w:sz w:val="20"/>
          <w:szCs w:val="20"/>
          <w:color w:val="auto"/>
        </w:rPr>
      </w:pPr>
      <w:r>
        <w:rPr>
          <w:rFonts w:ascii="Times New Roman" w:cs="Times New Roman" w:eastAsia="Times New Roman" w:hAnsi="Times New Roman"/>
          <w:sz w:val="20"/>
          <w:szCs w:val="20"/>
          <w:color w:val="auto"/>
        </w:rPr>
        <w:t>bank accountants or any governmental bank authority exercising examination or regulatory authority), in response to any order of any court</w:t>
      </w:r>
    </w:p>
    <w:p>
      <w:pPr>
        <w:ind w:right="180"/>
        <w:spacing w:after="0" w:line="215" w:lineRule="auto"/>
        <w:rPr>
          <w:sz w:val="20"/>
          <w:szCs w:val="20"/>
          <w:color w:val="auto"/>
        </w:rPr>
      </w:pPr>
      <w:r>
        <w:rPr>
          <w:rFonts w:ascii="Times New Roman" w:cs="Times New Roman" w:eastAsia="Times New Roman" w:hAnsi="Times New Roman"/>
          <w:sz w:val="19"/>
          <w:szCs w:val="19"/>
          <w:color w:val="auto"/>
        </w:rPr>
        <w:t xml:space="preserve">or other Governmental Authority or as may otherwise be required pursuant to any Requirement of Law or other legal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permitted by law, such Lender shall promptly notify the applicable Loan Party of such disclosure (except with respect to any</w:t>
      </w:r>
    </w:p>
    <w:p>
      <w:pPr>
        <w:spacing w:after="0" w:line="211" w:lineRule="auto"/>
        <w:rPr>
          <w:sz w:val="20"/>
          <w:szCs w:val="20"/>
          <w:color w:val="auto"/>
        </w:rPr>
      </w:pPr>
      <w:r>
        <w:rPr>
          <w:rFonts w:ascii="Times New Roman" w:cs="Times New Roman" w:eastAsia="Times New Roman" w:hAnsi="Times New Roman"/>
          <w:sz w:val="20"/>
          <w:szCs w:val="20"/>
          <w:color w:val="auto"/>
        </w:rPr>
        <w:t>audit or examination conducted by bank accountants or any governmental bank authority exercising examination or regulatory authority),</w:t>
      </w:r>
    </w:p>
    <w:p>
      <w:pPr>
        <w:ind w:right="60" w:firstLine="8"/>
        <w:spacing w:after="0" w:line="212" w:lineRule="auto"/>
        <w:tabs>
          <w:tab w:leader="none" w:pos="26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or required to do so in connection with any litigation or similar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177"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20"/>
          <w:szCs w:val="20"/>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4" w:right="339" w:bottom="1440" w:gutter="0" w:footer="0" w:header="0"/>
        </w:sectPr>
      </w:pPr>
    </w:p>
    <w:bookmarkStart w:id="130" w:name="page131"/>
    <w:bookmarkEnd w:id="130"/>
    <w:p>
      <w:pPr>
        <w:ind w:right="40"/>
        <w:spacing w:after="0" w:line="253" w:lineRule="auto"/>
        <w:rPr>
          <w:sz w:val="20"/>
          <w:szCs w:val="20"/>
          <w:color w:val="auto"/>
        </w:rPr>
      </w:pPr>
      <w:r>
        <w:rPr>
          <w:rFonts w:ascii="Times New Roman" w:cs="Times New Roman" w:eastAsia="Times New Roman" w:hAnsi="Times New Roman"/>
          <w:sz w:val="20"/>
          <w:szCs w:val="20"/>
          <w:color w:val="auto"/>
        </w:rPr>
        <w:t>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9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The Borrower acknowledges that certain of the Lenders may be “public-side” Lenders (Lenders that do not wish to receive material non-public information with respect to the Borrower, its subsidiaries or their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and, if documents required to be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9.17.</w:t>
      </w:r>
      <w:r>
        <w:rPr>
          <w:sz w:val="20"/>
          <w:szCs w:val="20"/>
          <w:color w:val="auto"/>
        </w:rPr>
        <w:tab/>
      </w:r>
      <w:r>
        <w:rPr>
          <w:rFonts w:ascii="Times New Roman" w:cs="Times New Roman" w:eastAsia="Times New Roman" w:hAnsi="Times New Roman"/>
          <w:sz w:val="19"/>
          <w:szCs w:val="19"/>
          <w:u w:val="single" w:color="auto"/>
          <w:color w:val="auto"/>
        </w:rPr>
        <w:t>WAIVERS OF JURY TRIAL</w:t>
      </w:r>
      <w:r>
        <w:rPr>
          <w:rFonts w:ascii="Times New Roman" w:cs="Times New Roman" w:eastAsia="Times New Roman" w:hAnsi="Times New Roman"/>
          <w:sz w:val="19"/>
          <w:szCs w:val="19"/>
          <w:color w:val="auto"/>
        </w:rPr>
        <w:t>. THE BORROWER, THE ADMINISTRATIVE AGENT, AND THE LENDERS HEREBY</w:t>
      </w:r>
    </w:p>
    <w:p>
      <w:pPr>
        <w:ind w:right="40"/>
        <w:spacing w:after="0" w:line="215" w:lineRule="auto"/>
        <w:rPr>
          <w:sz w:val="20"/>
          <w:szCs w:val="20"/>
          <w:color w:val="auto"/>
        </w:rPr>
      </w:pPr>
      <w:r>
        <w:rPr>
          <w:rFonts w:ascii="Times New Roman" w:cs="Times New Roman" w:eastAsia="Times New Roman" w:hAnsi="Times New Roman"/>
          <w:sz w:val="19"/>
          <w:szCs w:val="19"/>
          <w:color w:val="auto"/>
        </w:rPr>
        <w:t>IRREVOCABLY AND UNCONDITIONALLY WAIVE TRIAL BY JURY IN ANY LEGAL ACTION OR PROCEEDING RELATING TO THIS AGREEMENT OR ANY OTHER LOAN DOCUMENT OR THE TRANSACTIONS CONTEMPLATED HEREBY OR THEREBY</w:t>
      </w:r>
    </w:p>
    <w:p>
      <w:pPr>
        <w:spacing w:after="0" w:line="211" w:lineRule="auto"/>
        <w:rPr>
          <w:sz w:val="20"/>
          <w:szCs w:val="20"/>
          <w:color w:val="auto"/>
        </w:rPr>
      </w:pPr>
      <w:r>
        <w:rPr>
          <w:rFonts w:ascii="Times New Roman" w:cs="Times New Roman" w:eastAsia="Times New Roman" w:hAnsi="Times New Roman"/>
          <w:sz w:val="20"/>
          <w:szCs w:val="20"/>
          <w:color w:val="auto"/>
        </w:rPr>
        <w:t>(WHETHER BASED ON CONTRACT, TORT OR ANY OTHER THEORY) OR FOR ANY COUNTERCLAIM THEREIN. EACH</w:t>
      </w:r>
    </w:p>
    <w:p>
      <w:pPr>
        <w:ind w:right="260"/>
        <w:spacing w:after="0" w:line="215" w:lineRule="auto"/>
        <w:rPr>
          <w:sz w:val="20"/>
          <w:szCs w:val="20"/>
          <w:color w:val="auto"/>
        </w:rPr>
      </w:pPr>
      <w:r>
        <w:rPr>
          <w:rFonts w:ascii="Times New Roman" w:cs="Times New Roman" w:eastAsia="Times New Roman" w:hAnsi="Times New Roman"/>
          <w:sz w:val="19"/>
          <w:szCs w:val="19"/>
          <w:color w:val="auto"/>
        </w:rPr>
        <w:t>PARTY HERETO (A) CERTIFIES THAT NO REPRESENTATIVE, AGENT OR ATTORNEY OF ANY OTHER PERSON HAS REPRESENTED, EXPRESSLY OR OTHERWISE, THAT SUCH OTHER PERSON WOULD NOT, IN THE EVENT OF LITIGATION,</w:t>
      </w:r>
    </w:p>
    <w:p>
      <w:pPr>
        <w:spacing w:after="0" w:line="211" w:lineRule="auto"/>
        <w:rPr>
          <w:sz w:val="20"/>
          <w:szCs w:val="20"/>
          <w:color w:val="auto"/>
        </w:rPr>
      </w:pPr>
      <w:r>
        <w:rPr>
          <w:rFonts w:ascii="Times New Roman" w:cs="Times New Roman" w:eastAsia="Times New Roman" w:hAnsi="Times New Roman"/>
          <w:sz w:val="20"/>
          <w:szCs w:val="20"/>
          <w:color w:val="auto"/>
        </w:rPr>
        <w:t>SEEK TO ENFORCE THE FOREGOING WAIVER AND (B) ACKNOWLEDGES THAT IT AND THE OTHER PARTIES HERETO</w:t>
      </w:r>
    </w:p>
    <w:p>
      <w:pPr>
        <w:ind w:right="560"/>
        <w:spacing w:after="0" w:line="221" w:lineRule="auto"/>
        <w:rPr>
          <w:sz w:val="20"/>
          <w:szCs w:val="20"/>
          <w:color w:val="auto"/>
        </w:rPr>
      </w:pPr>
      <w:r>
        <w:rPr>
          <w:rFonts w:ascii="Times New Roman" w:cs="Times New Roman" w:eastAsia="Times New Roman" w:hAnsi="Times New Roman"/>
          <w:sz w:val="20"/>
          <w:szCs w:val="20"/>
          <w:color w:val="auto"/>
        </w:rPr>
        <w:t>HAVE BEEN INDUCED TO ENTER INTO THIS AGREEMENT AND THE OTHER LOAN DOCUMENTS BY, AMONG OTHER THINGS, THE MUTUAL WAIVERS AND CERTIFICATIONS IN THIS SECTION.</w:t>
      </w:r>
    </w:p>
    <w:p>
      <w:pPr>
        <w:spacing w:after="0" w:line="162"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9.18.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Each Lender that is subject to the requirements of the Patriot Act hereby notifies each Loan Party that pursuant to the requirements of the Patriot Act, it is required to obtain, verify and record information that identifies each Loan Party, which</w:t>
      </w:r>
    </w:p>
    <w:p>
      <w:pPr>
        <w:spacing w:after="0" w:line="224" w:lineRule="auto"/>
        <w:rPr>
          <w:sz w:val="20"/>
          <w:szCs w:val="20"/>
          <w:color w:val="auto"/>
        </w:rPr>
      </w:pPr>
      <w:r>
        <w:rPr>
          <w:rFonts w:ascii="Times New Roman" w:cs="Times New Roman" w:eastAsia="Times New Roman" w:hAnsi="Times New Roman"/>
          <w:sz w:val="19"/>
          <w:szCs w:val="19"/>
          <w:color w:val="auto"/>
        </w:rPr>
        <w:t>information includes the name and address of such Loan Party and other information that will allow such Lender to identify such Loan Party</w:t>
      </w:r>
    </w:p>
    <w:p>
      <w:pPr>
        <w:ind w:right="360"/>
        <w:spacing w:after="0" w:line="215" w:lineRule="auto"/>
        <w:rPr>
          <w:sz w:val="20"/>
          <w:szCs w:val="20"/>
          <w:color w:val="auto"/>
        </w:rPr>
      </w:pPr>
      <w:r>
        <w:rPr>
          <w:rFonts w:ascii="Times New Roman" w:cs="Times New Roman" w:eastAsia="Times New Roman" w:hAnsi="Times New Roman"/>
          <w:sz w:val="19"/>
          <w:szCs w:val="19"/>
          <w:color w:val="auto"/>
        </w:rPr>
        <w:t>in accordance with the Patriot Act. The Borrower shall, and shall cause each of its Subsidiaries to, provide, to the extent commercially reasonable, such information and take such actions as are reasonably requested by each Lender and the Administrative Agent to maintain</w:t>
      </w:r>
    </w:p>
    <w:p>
      <w:pPr>
        <w:spacing w:after="0"/>
        <w:rPr>
          <w:sz w:val="20"/>
          <w:szCs w:val="20"/>
          <w:color w:val="auto"/>
        </w:rPr>
      </w:pPr>
      <w:r>
        <w:rPr>
          <w:rFonts w:ascii="Times New Roman" w:cs="Times New Roman" w:eastAsia="Times New Roman" w:hAnsi="Times New Roman"/>
          <w:sz w:val="20"/>
          <w:szCs w:val="20"/>
          <w:color w:val="auto"/>
        </w:rPr>
        <w:t>compliance with the Patriot Act.</w:t>
      </w:r>
    </w:p>
    <w:p>
      <w:pPr>
        <w:spacing w:after="0" w:line="167"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9.19. </w:t>
      </w:r>
      <w:r>
        <w:rPr>
          <w:rFonts w:ascii="Times New Roman" w:cs="Times New Roman" w:eastAsia="Times New Roman" w:hAnsi="Times New Roman"/>
          <w:sz w:val="19"/>
          <w:szCs w:val="19"/>
          <w:u w:val="single" w:color="auto"/>
          <w:color w:val="auto"/>
        </w:rPr>
        <w:t>No Fiduciary Duty</w:t>
      </w:r>
      <w:r>
        <w:rPr>
          <w:rFonts w:ascii="Times New Roman" w:cs="Times New Roman" w:eastAsia="Times New Roman" w:hAnsi="Times New Roman"/>
          <w:sz w:val="19"/>
          <w:szCs w:val="19"/>
          <w:color w:val="auto"/>
        </w:rPr>
        <w:t>. Each Agent, each Lender, the Arrangers, the Co-Syndication Agents and their respective Affiliates (collectively, solely for purposes of this paragraph,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may have economic interests that conflict with those of the Borrower, its</w:t>
      </w:r>
    </w:p>
    <w:p>
      <w:pPr>
        <w:spacing w:after="0" w:line="222" w:lineRule="auto"/>
        <w:rPr>
          <w:sz w:val="20"/>
          <w:szCs w:val="20"/>
          <w:color w:val="auto"/>
        </w:rPr>
      </w:pPr>
      <w:r>
        <w:rPr>
          <w:rFonts w:ascii="Times New Roman" w:cs="Times New Roman" w:eastAsia="Times New Roman" w:hAnsi="Times New Roman"/>
          <w:sz w:val="19"/>
          <w:szCs w:val="19"/>
          <w:color w:val="auto"/>
        </w:rPr>
        <w:t>stockholders and/or its affiliates. The Borrower agrees that nothing in the Loan Documents or otherwise will be deemed to create an advisory,</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fiduciary or agency relationship or fiduciary or other implied duty between any Lender, on the one hand, and the Borrower, its stockholders or its affiliates, on the other. The Borrower acknowledges and agrees that (i) the transactions contemplated by the Loan Documents</w:t>
      </w:r>
    </w:p>
    <w:p>
      <w:pPr>
        <w:spacing w:after="0" w:line="211" w:lineRule="auto"/>
        <w:rPr>
          <w:sz w:val="20"/>
          <w:szCs w:val="20"/>
          <w:color w:val="auto"/>
        </w:rPr>
      </w:pPr>
      <w:r>
        <w:rPr>
          <w:rFonts w:ascii="Times New Roman" w:cs="Times New Roman" w:eastAsia="Times New Roman" w:hAnsi="Times New Roman"/>
          <w:sz w:val="20"/>
          <w:szCs w:val="20"/>
          <w:color w:val="auto"/>
        </w:rPr>
        <w:t>(including the exercise of rights and remedies hereunder and thereunder) are arm’s-length commercial transactions between the Lenders, on</w:t>
      </w:r>
    </w:p>
    <w:p>
      <w:pPr>
        <w:ind w:right="460"/>
        <w:spacing w:after="0" w:line="215" w:lineRule="auto"/>
        <w:rPr>
          <w:sz w:val="20"/>
          <w:szCs w:val="20"/>
          <w:color w:val="auto"/>
        </w:rPr>
      </w:pPr>
      <w:r>
        <w:rPr>
          <w:rFonts w:ascii="Times New Roman" w:cs="Times New Roman" w:eastAsia="Times New Roman" w:hAnsi="Times New Roman"/>
          <w:sz w:val="19"/>
          <w:szCs w:val="19"/>
          <w:color w:val="auto"/>
        </w:rPr>
        <w:t>the one hand, and the Borrower, on the other, and (ii) in connection therewith and with the process leading thereto, (x) no Lender has assumed an advisory or fiduciary responsibility in favor of the Borrower, its stockholders or its affiliates with respect to the transactions</w:t>
      </w:r>
    </w:p>
    <w:p>
      <w:pPr>
        <w:spacing w:after="0"/>
        <w:rPr>
          <w:sz w:val="20"/>
          <w:szCs w:val="20"/>
          <w:color w:val="auto"/>
        </w:rPr>
      </w:pPr>
      <w:r>
        <w:rPr>
          <w:rFonts w:ascii="Times New Roman" w:cs="Times New Roman" w:eastAsia="Times New Roman" w:hAnsi="Times New Roman"/>
          <w:sz w:val="20"/>
          <w:szCs w:val="20"/>
          <w:color w:val="auto"/>
        </w:rPr>
        <w:t>contemplated hereby (or the exercise of rights or remedies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20"/>
          </w:cols>
          <w:pgMar w:left="320" w:top="1413"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respect thereto) or the process leading thereto (irrespective of whether any Lender has advised, is currently advising or will advise the</w:t>
      </w:r>
    </w:p>
    <w:p>
      <w:pPr>
        <w:ind w:right="100"/>
        <w:spacing w:after="0" w:line="215" w:lineRule="auto"/>
        <w:rPr>
          <w:sz w:val="20"/>
          <w:szCs w:val="20"/>
          <w:color w:val="auto"/>
        </w:rPr>
      </w:pPr>
      <w:r>
        <w:rPr>
          <w:rFonts w:ascii="Times New Roman" w:cs="Times New Roman" w:eastAsia="Times New Roman" w:hAnsi="Times New Roman"/>
          <w:sz w:val="19"/>
          <w:szCs w:val="19"/>
          <w:color w:val="auto"/>
        </w:rPr>
        <w:t>Borrower, its stockholders or its affiliates on other matters) or any other obligation to the Borrower except the obligations expressly set forth in the Loan Documents and (y) each Lender is acting solely as principal and not as the agent or fiduciary of the Borrower, its management,</w:t>
      </w:r>
    </w:p>
    <w:p>
      <w:pPr>
        <w:spacing w:after="0" w:line="211" w:lineRule="auto"/>
        <w:rPr>
          <w:sz w:val="20"/>
          <w:szCs w:val="20"/>
          <w:color w:val="auto"/>
        </w:rPr>
      </w:pPr>
      <w:r>
        <w:rPr>
          <w:rFonts w:ascii="Times New Roman" w:cs="Times New Roman" w:eastAsia="Times New Roman" w:hAnsi="Times New Roman"/>
          <w:sz w:val="20"/>
          <w:szCs w:val="20"/>
          <w:color w:val="auto"/>
        </w:rPr>
        <w:t>stockholders, creditors or any other Person. The Borrower acknowledges and agrees that the Borrower has consulted its own legal and</w:t>
      </w:r>
    </w:p>
    <w:p>
      <w:pPr>
        <w:ind w:right="40"/>
        <w:spacing w:after="0" w:line="215" w:lineRule="auto"/>
        <w:rPr>
          <w:sz w:val="20"/>
          <w:szCs w:val="20"/>
          <w:color w:val="auto"/>
        </w:rPr>
      </w:pPr>
      <w:r>
        <w:rPr>
          <w:rFonts w:ascii="Times New Roman" w:cs="Times New Roman" w:eastAsia="Times New Roman" w:hAnsi="Times New Roman"/>
          <w:sz w:val="19"/>
          <w:szCs w:val="19"/>
          <w:color w:val="auto"/>
        </w:rPr>
        <w:t>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w:t>
      </w:r>
    </w:p>
    <w:p>
      <w:pPr>
        <w:spacing w:after="0" w:line="211" w:lineRule="auto"/>
        <w:rPr>
          <w:sz w:val="20"/>
          <w:szCs w:val="20"/>
          <w:color w:val="auto"/>
        </w:rPr>
      </w:pPr>
      <w:r>
        <w:rPr>
          <w:rFonts w:ascii="Times New Roman" w:cs="Times New Roman" w:eastAsia="Times New Roman" w:hAnsi="Times New Roman"/>
          <w:sz w:val="20"/>
          <w:szCs w:val="20"/>
          <w:color w:val="auto"/>
        </w:rPr>
        <w:t>nature or respect, or owes a fiduciary or similar duty to the Borrower, in connection with such transaction or the process leading thereto.</w:t>
      </w:r>
    </w:p>
    <w:p>
      <w:pPr>
        <w:ind w:right="100"/>
        <w:spacing w:after="0" w:line="215" w:lineRule="auto"/>
        <w:rPr>
          <w:sz w:val="20"/>
          <w:szCs w:val="20"/>
          <w:color w:val="auto"/>
        </w:rPr>
      </w:pPr>
      <w:r>
        <w:rPr>
          <w:rFonts w:ascii="Times New Roman" w:cs="Times New Roman" w:eastAsia="Times New Roman" w:hAnsi="Times New Roman"/>
          <w:sz w:val="19"/>
          <w:szCs w:val="19"/>
          <w:color w:val="auto"/>
        </w:rPr>
        <w:t>None of the Arrangers and Co-Syndication Agents identified on the cover page or signature pages of this Agreement shall have any rights, powers, obligations, liabilities, responsibilities or duties under this Agreement or any of the other Loan Documents, except in its capacity, as</w:t>
      </w:r>
    </w:p>
    <w:p>
      <w:pPr>
        <w:spacing w:after="0" w:line="222" w:lineRule="auto"/>
        <w:rPr>
          <w:sz w:val="20"/>
          <w:szCs w:val="20"/>
          <w:color w:val="auto"/>
        </w:rPr>
      </w:pPr>
      <w:r>
        <w:rPr>
          <w:rFonts w:ascii="Times New Roman" w:cs="Times New Roman" w:eastAsia="Times New Roman" w:hAnsi="Times New Roman"/>
          <w:sz w:val="19"/>
          <w:szCs w:val="19"/>
          <w:color w:val="auto"/>
        </w:rPr>
        <w:t>applicable, as a Lender hereunder. Without limiting any other provision of this Article, none of such Arrangers and Co-Syndication Agents in</w:t>
      </w:r>
    </w:p>
    <w:p>
      <w:pPr>
        <w:ind w:right="200"/>
        <w:spacing w:after="0" w:line="221" w:lineRule="auto"/>
        <w:rPr>
          <w:sz w:val="20"/>
          <w:szCs w:val="20"/>
          <w:color w:val="auto"/>
        </w:rPr>
      </w:pPr>
      <w:r>
        <w:rPr>
          <w:rFonts w:ascii="Times New Roman" w:cs="Times New Roman" w:eastAsia="Times New Roman" w:hAnsi="Times New Roman"/>
          <w:sz w:val="20"/>
          <w:szCs w:val="20"/>
          <w:color w:val="auto"/>
        </w:rPr>
        <w:t>their respective capacities as such shall have or be deemed to have any fiduciary relationship with any Lender, the Administrative Agent or any other Person by reason of this Agreement or any other Loan Document.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9.20.</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w:t>
      </w:r>
    </w:p>
    <w:p>
      <w:pPr>
        <w:ind w:right="100"/>
        <w:spacing w:after="0" w:line="215" w:lineRule="auto"/>
        <w:rPr>
          <w:sz w:val="20"/>
          <w:szCs w:val="20"/>
          <w:color w:val="auto"/>
        </w:rPr>
      </w:pPr>
      <w:r>
        <w:rPr>
          <w:rFonts w:ascii="Times New Roman" w:cs="Times New Roman" w:eastAsia="Times New Roman" w:hAnsi="Times New Roman"/>
          <w:sz w:val="19"/>
          <w:szCs w:val="19"/>
          <w:color w:val="auto"/>
        </w:rPr>
        <w:t>any Loan Document or in any other agreement, arrangement or understanding among any such parties, each party hereto acknowledges that any liability of any Affected Financial Institution arising under any Loan Document, to the extent such liability is unsecured, may be subject</w:t>
      </w:r>
    </w:p>
    <w:p>
      <w:pPr>
        <w:ind w:right="40"/>
        <w:spacing w:after="0" w:line="228" w:lineRule="auto"/>
        <w:rPr>
          <w:sz w:val="20"/>
          <w:szCs w:val="20"/>
          <w:color w:val="auto"/>
        </w:rPr>
      </w:pPr>
      <w:r>
        <w:rPr>
          <w:rFonts w:ascii="Times New Roman" w:cs="Times New Roman" w:eastAsia="Times New Roman" w:hAnsi="Times New Roman"/>
          <w:sz w:val="20"/>
          <w:szCs w:val="20"/>
          <w:color w:val="auto"/>
        </w:rPr>
        <w:t>to the write-down and conversion powers of the applicable Resolution Authority and agrees and consents to, and acknowledges and agrees to be bound by:</w:t>
      </w:r>
    </w:p>
    <w:p>
      <w:pPr>
        <w:spacing w:after="0" w:line="149" w:lineRule="exact"/>
        <w:rPr>
          <w:sz w:val="20"/>
          <w:szCs w:val="20"/>
          <w:color w:val="auto"/>
        </w:rPr>
      </w:pPr>
    </w:p>
    <w:p>
      <w:pPr>
        <w:ind w:right="380" w:firstLine="656"/>
        <w:spacing w:after="0"/>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ind w:left="660" w:right="60" w:firstLine="644"/>
        <w:spacing w:after="0" w:line="258" w:lineRule="auto"/>
        <w:tabs>
          <w:tab w:leader="none" w:pos="173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73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33"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19"/>
          <w:szCs w:val="19"/>
          <w:color w:val="auto"/>
        </w:rPr>
        <w:t xml:space="preserve">9.21. </w:t>
      </w:r>
      <w:r>
        <w:rPr>
          <w:rFonts w:ascii="Times New Roman" w:cs="Times New Roman" w:eastAsia="Times New Roman" w:hAnsi="Times New Roman"/>
          <w:sz w:val="19"/>
          <w:szCs w:val="19"/>
          <w:u w:val="single" w:color="auto"/>
          <w:color w:val="auto"/>
        </w:rPr>
        <w:t>Interest Rate Limitations</w:t>
      </w:r>
      <w:r>
        <w:rPr>
          <w:rFonts w:ascii="Times New Roman" w:cs="Times New Roman" w:eastAsia="Times New Roman" w:hAnsi="Times New Roman"/>
          <w:sz w:val="19"/>
          <w:szCs w:val="19"/>
          <w:color w:val="auto"/>
        </w:rPr>
        <w:t>. Notwithstanding anything herein to the contrary, if at any time the interest rate applicable to any Term Loan, together with all Charges,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taken, received or reserved by the Lender holding such Term Loan in accordance with applicable law, the rate of interest payable in respect of such Term Loan, together with all Charges payable in respect thereof, shall be limited to the Maximum Rate and, to the extent lawful, the</w:t>
      </w:r>
    </w:p>
    <w:p>
      <w:pPr>
        <w:spacing w:after="0" w:line="211" w:lineRule="auto"/>
        <w:rPr>
          <w:sz w:val="20"/>
          <w:szCs w:val="20"/>
          <w:color w:val="auto"/>
        </w:rPr>
      </w:pPr>
      <w:r>
        <w:rPr>
          <w:rFonts w:ascii="Times New Roman" w:cs="Times New Roman" w:eastAsia="Times New Roman" w:hAnsi="Times New Roman"/>
          <w:sz w:val="20"/>
          <w:szCs w:val="20"/>
          <w:color w:val="auto"/>
        </w:rPr>
        <w:t>interest and Charges that would have been payable in respect of such Term Loan but were not payable as a result of the operation of this</w:t>
      </w:r>
    </w:p>
    <w:p>
      <w:pPr>
        <w:ind w:right="520"/>
        <w:spacing w:after="0" w:line="215" w:lineRule="auto"/>
        <w:rPr>
          <w:sz w:val="20"/>
          <w:szCs w:val="20"/>
          <w:color w:val="auto"/>
        </w:rPr>
      </w:pPr>
      <w:r>
        <w:rPr>
          <w:rFonts w:ascii="Times New Roman" w:cs="Times New Roman" w:eastAsia="Times New Roman" w:hAnsi="Times New Roman"/>
          <w:sz w:val="19"/>
          <w:szCs w:val="19"/>
          <w:color w:val="auto"/>
        </w:rPr>
        <w:t>Section 9.20 shall be cumulated and the interest and Charges payable to such Lender in respect of other Term Loans or periods shall be increased (but not above the Maximum Rate therefor) until such cumulated amount, together with interest thereon at the Federal Funds</w:t>
      </w:r>
    </w:p>
    <w:p>
      <w:pPr>
        <w:spacing w:after="0"/>
        <w:rPr>
          <w:sz w:val="20"/>
          <w:szCs w:val="20"/>
          <w:color w:val="auto"/>
        </w:rPr>
      </w:pPr>
      <w:r>
        <w:rPr>
          <w:rFonts w:ascii="Times New Roman" w:cs="Times New Roman" w:eastAsia="Times New Roman" w:hAnsi="Times New Roman"/>
          <w:sz w:val="20"/>
          <w:szCs w:val="20"/>
          <w:color w:val="auto"/>
        </w:rPr>
        <w:t>Effective Rate to the date of repayment, shall have been received by such Lender.</w:t>
      </w:r>
    </w:p>
    <w:p>
      <w:pPr>
        <w:spacing w:after="0" w:line="167"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9.22. </w:t>
      </w:r>
      <w:r>
        <w:rPr>
          <w:rFonts w:ascii="Times New Roman" w:cs="Times New Roman" w:eastAsia="Times New Roman" w:hAnsi="Times New Roman"/>
          <w:sz w:val="19"/>
          <w:szCs w:val="19"/>
          <w:u w:val="single" w:color="auto"/>
          <w:color w:val="auto"/>
        </w:rPr>
        <w:t>Existing Term Loan Credit Agreement</w:t>
      </w:r>
      <w:r>
        <w:rPr>
          <w:rFonts w:ascii="Times New Roman" w:cs="Times New Roman" w:eastAsia="Times New Roman" w:hAnsi="Times New Roman"/>
          <w:sz w:val="19"/>
          <w:szCs w:val="19"/>
          <w:color w:val="auto"/>
        </w:rPr>
        <w:t>. In connection with the termination of the Existing Term Loan Credit Agreement, the Borrower’s repayment of outstanding loans under the Existing Term Loan Credit Agreement is on a day that is not the last day of an Interest</w:t>
      </w:r>
    </w:p>
    <w:p>
      <w:pPr>
        <w:ind w:right="280"/>
        <w:spacing w:after="0" w:line="228" w:lineRule="auto"/>
        <w:rPr>
          <w:sz w:val="20"/>
          <w:szCs w:val="20"/>
          <w:color w:val="auto"/>
        </w:rPr>
      </w:pPr>
      <w:r>
        <w:rPr>
          <w:rFonts w:ascii="Times New Roman" w:cs="Times New Roman" w:eastAsia="Times New Roman" w:hAnsi="Times New Roman"/>
          <w:sz w:val="20"/>
          <w:szCs w:val="20"/>
          <w:color w:val="auto"/>
        </w:rPr>
        <w:t>Period (as defined in the Existing Term Loan Credit Agreement). Each Lender that is a party to the Existing Term Loan Credit Agreement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20"/>
          </w:cols>
          <w:pgMar w:left="320" w:top="1394"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waives its rights to indemnification and payment under Section 2.17 of the Existing Term Loan Credit Agreement.</w:t>
      </w: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0139"/>
          </w:cols>
          <w:pgMar w:left="320" w:top="1399"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color w:val="auto"/>
        </w:rPr>
        <w:t>IN WITNESS HEREOF, the parties hereto have caused this Agreement to be duly executed as of the day and the year first written.</w:t>
      </w:r>
    </w:p>
    <w:p>
      <w:pPr>
        <w:sectPr>
          <w:pgSz w:w="11900" w:h="16838" w:orient="portrait"/>
          <w:cols w:equalWidth="0" w:num="1">
            <w:col w:w="10360"/>
          </w:cols>
          <w:pgMar w:left="320" w:top="1413" w:right="1219" w:bottom="1440" w:gutter="0" w:footer="0" w:header="0"/>
        </w:sect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200" w:lineRule="exact"/>
        <w:rPr>
          <w:sz w:val="20"/>
          <w:szCs w:val="20"/>
          <w:color w:val="auto"/>
        </w:rPr>
      </w:pPr>
    </w:p>
    <w:p>
      <w:pPr>
        <w:spacing w:after="0" w:line="35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0642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Name: Gregory Routin</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10360"/>
          </w:cols>
          <w:pgMar w:left="320" w:top="1413" w:right="1219" w:bottom="1440" w:gutter="0" w:footer="0" w:header="0"/>
          <w:type w:val="continuous"/>
        </w:sectPr>
      </w:pPr>
    </w:p>
    <w:bookmarkStart w:id="134" w:name="page135"/>
    <w:bookmarkEnd w:id="134"/>
    <w:p>
      <w:pPr>
        <w:ind w:left="27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Administrative Agent and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Ryan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9544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Ryan Bennett</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35" w:name="page136"/>
    <w:bookmarkEnd w:id="135"/>
    <w:p>
      <w:pPr>
        <w:ind w:left="278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Nicole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30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Nicole Rodriguez</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3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9772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Valentin Detry</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CANADIAN IMPERIAL BANK OF COMMERCE, NEW YORK BRANCH, as a Lender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Ronak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-5080</wp:posOffset>
            </wp:positionV>
            <wp:extent cx="1174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 Ronak Shah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Executive Director &amp;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[Signature Page to Micron Technology, Inc. Term Loan Credit Agreement]</w:t>
      </w:r>
    </w:p>
    <w:p>
      <w:pPr>
        <w:sectPr>
          <w:pgSz w:w="11900" w:h="16838" w:orient="portrait"/>
          <w:cols w:equalWidth="0" w:num="1">
            <w:col w:w="10820"/>
          </w:cols>
          <w:pgMar w:left="320" w:top="1409" w:right="759" w:bottom="1440" w:gutter="0" w:footer="0" w:header="0"/>
        </w:sectPr>
      </w:pPr>
    </w:p>
    <w:bookmarkStart w:id="137" w:name="page138"/>
    <w:bookmarkEnd w:id="137"/>
    <w:p>
      <w:pPr>
        <w:ind w:left="2780"/>
        <w:spacing w:after="0"/>
        <w:rPr>
          <w:sz w:val="20"/>
          <w:szCs w:val="20"/>
          <w:color w:val="auto"/>
        </w:rPr>
      </w:pPr>
      <w:r>
        <w:rPr>
          <w:rFonts w:ascii="Times New Roman" w:cs="Times New Roman" w:eastAsia="Times New Roman" w:hAnsi="Times New Roman"/>
          <w:sz w:val="20"/>
          <w:szCs w:val="20"/>
          <w:b w:val="1"/>
          <w:bCs w:val="1"/>
          <w:color w:val="auto"/>
        </w:rPr>
        <w:t>DBS BANK LTD.</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78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Kate Khoo</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38" w:name="page139"/>
    <w:bookmarkEnd w:id="138"/>
    <w:p>
      <w:pPr>
        <w:ind w:left="2780"/>
        <w:spacing w:after="0"/>
        <w:rPr>
          <w:sz w:val="20"/>
          <w:szCs w:val="20"/>
          <w:color w:val="auto"/>
        </w:rPr>
      </w:pPr>
      <w:r>
        <w:rPr>
          <w:rFonts w:ascii="Times New Roman" w:cs="Times New Roman" w:eastAsia="Times New Roman" w:hAnsi="Times New Roman"/>
          <w:sz w:val="20"/>
          <w:szCs w:val="20"/>
          <w:b w:val="1"/>
          <w:bCs w:val="1"/>
          <w:color w:val="auto"/>
        </w:rPr>
        <w:t>Manufacturers and Traders Trust Company,</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Kathryn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391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Kathryn Williams</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OVERSEA-CHINESE BANKING CORPORATION, NEW YORK AGENCY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color w:val="auto"/>
        </w:rPr>
        <w:t>as a Lender</w:t>
      </w:r>
    </w:p>
    <w:p>
      <w:pPr>
        <w:spacing w:after="0" w:line="200" w:lineRule="exact"/>
        <w:rPr>
          <w:sz w:val="20"/>
          <w:szCs w:val="20"/>
          <w:color w:val="auto"/>
        </w:rPr>
      </w:pPr>
    </w:p>
    <w:p>
      <w:pPr>
        <w:spacing w:after="0" w:line="36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Barend van IJsselstein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36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Barend van IJsselstein</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Micron Technology, Inc. Term Loan Credit Agreement]</w:t>
      </w:r>
    </w:p>
    <w:p>
      <w:pPr>
        <w:sectPr>
          <w:pgSz w:w="11900" w:h="16838" w:orient="portrait"/>
          <w:cols w:equalWidth="0" w:num="1">
            <w:col w:w="9240"/>
          </w:cols>
          <w:pgMar w:left="1440" w:top="1409" w:right="1219" w:bottom="1440" w:gutter="0" w:footer="0" w:header="0"/>
        </w:sectPr>
      </w:pPr>
    </w:p>
    <w:bookmarkStart w:id="140" w:name="page141"/>
    <w:bookmarkEnd w:id="140"/>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169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Alfonso Brigham</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41" w:name="page142"/>
    <w:bookmarkEnd w:id="141"/>
    <w:p>
      <w:pPr>
        <w:ind w:left="2780"/>
        <w:spacing w:after="0"/>
        <w:rPr>
          <w:sz w:val="20"/>
          <w:szCs w:val="20"/>
          <w:color w:val="auto"/>
        </w:rPr>
      </w:pPr>
      <w:r>
        <w:rPr>
          <w:rFonts w:ascii="Times New Roman" w:cs="Times New Roman" w:eastAsia="Times New Roman" w:hAnsi="Times New Roman"/>
          <w:sz w:val="20"/>
          <w:szCs w:val="20"/>
          <w:b w:val="1"/>
          <w:bCs w:val="1"/>
          <w:color w:val="auto"/>
        </w:rPr>
        <w:t>United Oversea Bank Ltd., New York Agency,</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592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Eriberto de Guzman</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Christine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907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Christine Cai</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42" w:name="page143"/>
    <w:bookmarkEnd w:id="142"/>
    <w:p>
      <w:pPr>
        <w:ind w:left="2780" w:right="519"/>
        <w:spacing w:after="0" w:line="287" w:lineRule="auto"/>
        <w:rPr>
          <w:sz w:val="20"/>
          <w:szCs w:val="20"/>
          <w:color w:val="auto"/>
        </w:rPr>
      </w:pPr>
      <w:r>
        <w:rPr>
          <w:rFonts w:ascii="Times New Roman" w:cs="Times New Roman" w:eastAsia="Times New Roman" w:hAnsi="Times New Roman"/>
          <w:sz w:val="20"/>
          <w:szCs w:val="20"/>
          <w:b w:val="1"/>
          <w:bCs w:val="1"/>
          <w:color w:val="auto"/>
        </w:rPr>
        <w:t>CREDIT AGRICOLE CORPORATE AND INVESTMENT BANK, as a Lender</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7226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2630" cy="8890"/>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Jill Wong</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3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837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Gordon Yip</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43" w:name="page144"/>
    <w:bookmarkEnd w:id="143"/>
    <w:p>
      <w:pPr>
        <w:ind w:left="2780"/>
        <w:spacing w:after="0"/>
        <w:rPr>
          <w:sz w:val="20"/>
          <w:szCs w:val="20"/>
          <w:color w:val="auto"/>
        </w:rPr>
      </w:pPr>
      <w:r>
        <w:rPr>
          <w:rFonts w:ascii="Times New Roman" w:cs="Times New Roman" w:eastAsia="Times New Roman" w:hAnsi="Times New Roman"/>
          <w:sz w:val="20"/>
          <w:szCs w:val="20"/>
          <w:b w:val="1"/>
          <w:bCs w:val="1"/>
          <w:color w:val="auto"/>
        </w:rPr>
        <w:t>Standard Chartered Bank,</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0979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Kristopher Tracy</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Micron Technology, Inc. Term Loan Credit Agreement]</w:t>
      </w:r>
    </w:p>
    <w:p>
      <w:pPr>
        <w:sectPr>
          <w:pgSz w:w="11900" w:h="16838" w:orient="portrait"/>
          <w:cols w:equalWidth="0" w:num="1">
            <w:col w:w="9019"/>
          </w:cols>
          <w:pgMar w:left="1440" w:top="1409"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27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2025 EQUITY INCENTIVE PLAN</w:t>
      </w:r>
    </w:p>
    <w:p>
      <w:pPr>
        <w:spacing w:after="0" w:line="260" w:lineRule="exact"/>
        <w:rPr>
          <w:sz w:val="20"/>
          <w:szCs w:val="20"/>
          <w:color w:val="auto"/>
        </w:rPr>
      </w:pPr>
    </w:p>
    <w:p>
      <w:pPr>
        <w:ind w:left="328" w:hanging="328"/>
        <w:spacing w:after="0"/>
        <w:tabs>
          <w:tab w:leader="none" w:pos="3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purposes of this Plan are:</w:t>
      </w:r>
    </w:p>
    <w:p>
      <w:pPr>
        <w:spacing w:after="0" w:line="27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19"/>
        </w:numPr>
        <w:rPr>
          <w:rFonts w:ascii="Arial" w:cs="Arial" w:eastAsia="Arial" w:hAnsi="Arial"/>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72" w:lineRule="exact"/>
        <w:rPr>
          <w:rFonts w:ascii="Arial" w:cs="Arial" w:eastAsia="Arial" w:hAnsi="Arial"/>
          <w:sz w:val="22"/>
          <w:szCs w:val="22"/>
          <w:color w:val="auto"/>
        </w:rPr>
      </w:pPr>
    </w:p>
    <w:p>
      <w:pPr>
        <w:ind w:left="968" w:hanging="320"/>
        <w:spacing w:after="0"/>
        <w:tabs>
          <w:tab w:leader="none" w:pos="96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73"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60" w:lineRule="exact"/>
        <w:rPr>
          <w:sz w:val="20"/>
          <w:szCs w:val="20"/>
          <w:color w:val="auto"/>
        </w:rPr>
      </w:pPr>
    </w:p>
    <w:p>
      <w:pPr>
        <w:ind w:left="328"/>
        <w:spacing w:after="0" w:line="296"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Other Stock-Based Awards and Performance Awards.</w:t>
      </w:r>
    </w:p>
    <w:p>
      <w:pPr>
        <w:spacing w:after="0" w:line="182" w:lineRule="exact"/>
        <w:rPr>
          <w:sz w:val="20"/>
          <w:szCs w:val="20"/>
          <w:color w:val="auto"/>
        </w:rPr>
      </w:pPr>
    </w:p>
    <w:p>
      <w:pPr>
        <w:ind w:left="328" w:hanging="328"/>
        <w:spacing w:after="0"/>
        <w:tabs>
          <w:tab w:leader="none" w:pos="32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73" w:lineRule="exact"/>
        <w:rPr>
          <w:rFonts w:ascii="Times New Roman" w:cs="Times New Roman" w:eastAsia="Times New Roman" w:hAnsi="Times New Roman"/>
          <w:sz w:val="22"/>
          <w:szCs w:val="22"/>
          <w:color w:val="auto"/>
        </w:rPr>
      </w:pPr>
    </w:p>
    <w:p>
      <w:pPr>
        <w:ind w:left="968" w:hanging="648"/>
        <w:spacing w:after="0" w:line="30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64" w:lineRule="exact"/>
        <w:rPr>
          <w:rFonts w:ascii="Times New Roman" w:cs="Times New Roman" w:eastAsia="Times New Roman" w:hAnsi="Times New Roman"/>
          <w:sz w:val="22"/>
          <w:szCs w:val="22"/>
          <w:color w:val="auto"/>
        </w:rPr>
      </w:pPr>
    </w:p>
    <w:p>
      <w:pPr>
        <w:ind w:left="968" w:hanging="648"/>
        <w:spacing w:after="0" w:line="27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Subsidiary or Parent of the Company, or an entity that directly or through one or more intermediaries controls, is controlled by, or is under common control with, the Company, as determined by the Administrator. The Administrator will consider Section 409A and the rules for Incentive Stock Options, to the extent applicable, when granting and administering Awards to Service Providers of Affiliates that are not the Company or a Subsidiary or Parent of the Company.</w:t>
      </w:r>
    </w:p>
    <w:p>
      <w:pPr>
        <w:spacing w:after="0" w:line="192" w:lineRule="exact"/>
        <w:rPr>
          <w:rFonts w:ascii="Times New Roman" w:cs="Times New Roman" w:eastAsia="Times New Roman" w:hAnsi="Times New Roman"/>
          <w:sz w:val="22"/>
          <w:szCs w:val="22"/>
          <w:color w:val="auto"/>
        </w:rPr>
      </w:pPr>
    </w:p>
    <w:p>
      <w:pPr>
        <w:ind w:left="968" w:hanging="648"/>
        <w:spacing w:after="0" w:line="27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92" w:lineRule="exact"/>
        <w:rPr>
          <w:rFonts w:ascii="Times New Roman" w:cs="Times New Roman" w:eastAsia="Times New Roman" w:hAnsi="Times New Roman"/>
          <w:sz w:val="22"/>
          <w:szCs w:val="22"/>
          <w:color w:val="auto"/>
        </w:rPr>
      </w:pPr>
    </w:p>
    <w:p>
      <w:pPr>
        <w:ind w:left="968" w:hanging="648"/>
        <w:spacing w:after="0" w:line="301"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Other Stock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Awards or Performance Awards.</w:t>
      </w:r>
    </w:p>
    <w:p>
      <w:pPr>
        <w:spacing w:after="0" w:line="209" w:lineRule="exact"/>
        <w:rPr>
          <w:rFonts w:ascii="Times New Roman" w:cs="Times New Roman" w:eastAsia="Times New Roman" w:hAnsi="Times New Roman"/>
          <w:sz w:val="22"/>
          <w:szCs w:val="22"/>
          <w:color w:val="auto"/>
        </w:rPr>
      </w:pPr>
    </w:p>
    <w:p>
      <w:pPr>
        <w:ind w:left="968" w:hanging="648"/>
        <w:spacing w:after="0" w:line="30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conditions applicable to each Award granted under the Plan. The Award Agreement is subject to the terms and conditions of the Plan.</w:t>
      </w:r>
    </w:p>
    <w:p>
      <w:pPr>
        <w:spacing w:after="0" w:line="385" w:lineRule="exact"/>
        <w:rPr>
          <w:sz w:val="20"/>
          <w:szCs w:val="20"/>
          <w:color w:val="auto"/>
        </w:rPr>
      </w:pPr>
    </w:p>
    <w:p>
      <w:pPr>
        <w:ind w:left="9548"/>
        <w:spacing w:after="0"/>
        <w:rPr>
          <w:sz w:val="20"/>
          <w:szCs w:val="20"/>
          <w:color w:val="auto"/>
        </w:rPr>
      </w:pPr>
      <w:r>
        <w:rPr>
          <w:sz w:val="1"/>
          <w:szCs w:val="1"/>
          <w:color w:val="auto"/>
        </w:rPr>
        <w:drawing>
          <wp:inline distT="0" distB="0" distL="0" distR="0">
            <wp:extent cx="779780" cy="1625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0"/>
          <w:szCs w:val="10"/>
          <w:b w:val="1"/>
          <w:bCs w:val="1"/>
          <w:color w:val="auto"/>
        </w:rPr>
        <w:t xml:space="preserve"> 1</w:t>
      </w:r>
    </w:p>
    <w:p>
      <w:pPr>
        <w:sectPr>
          <w:pgSz w:w="11900" w:h="16838" w:orient="portrait"/>
          <w:cols w:equalWidth="0" w:num="1">
            <w:col w:w="10908"/>
          </w:cols>
          <w:pgMar w:left="652" w:top="949" w:right="339" w:bottom="1440" w:gutter="0" w:footer="0" w:header="0"/>
        </w:sectPr>
      </w:pPr>
    </w:p>
    <w:bookmarkStart w:id="145" w:name="page146"/>
    <w:bookmarkEnd w:id="145"/>
    <w:p>
      <w:pPr>
        <w:spacing w:after="0"/>
        <w:tabs>
          <w:tab w:leader="none" w:pos="6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7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2"/>
          <w:szCs w:val="22"/>
          <w:color w:val="auto"/>
        </w:rPr>
        <w:t>2.7.</w:t>
        <w:tab/>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Agreement, “Cause” shall mean any of the following acts by the Participant, as determined by the Administrator: (a)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(b) the Participant’s engaging in any other act of dishonesty, fraud, intentional misrepresentation, moral turpitude, illegality or harassment, whether or not such act was committed in connection with the business of the Company or any of its Affiliates; (c) the willful and repeated failure by the Participant to follow the lawful directives of the Board or the Participant’s supervisor; (d) any material violation of the Company’s written policies; (e) any intentional misconduct by the Participant in connection with the Company and any of its Affiliate’s business or relating to the Participant’s duties, or any willful violation of any laws, rules or regulations; or (f) the Participant’s material breach of any employment, severance, non-competition, non-solicitation, confidential information, or restrictive covenant agreement, or similar agreement, with the Company or an Affiliate. The determination of the Administrator as to the existence of “Cause” shall be conclusive on the Participant and the Company.</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60" w:lineRule="exact"/>
        <w:rPr>
          <w:sz w:val="20"/>
          <w:szCs w:val="20"/>
          <w:color w:val="auto"/>
        </w:rPr>
      </w:pPr>
    </w:p>
    <w:p>
      <w:pPr>
        <w:jc w:val="both"/>
        <w:ind w:left="1300" w:hanging="8"/>
        <w:spacing w:after="0" w:line="279" w:lineRule="auto"/>
        <w:tabs>
          <w:tab w:leader="none" w:pos="180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on the Effective Date, constitute the Board (the “</w:t>
      </w:r>
      <w:r>
        <w:rPr>
          <w:rFonts w:ascii="Times New Roman" w:cs="Times New Roman" w:eastAsia="Times New Roman" w:hAnsi="Times New Roman"/>
          <w:sz w:val="22"/>
          <w:szCs w:val="22"/>
          <w:b w:val="1"/>
          <w:bCs w:val="1"/>
          <w:color w:val="auto"/>
        </w:rPr>
        <w:t>Incumbent Directors</w:t>
      </w:r>
      <w:r>
        <w:rPr>
          <w:rFonts w:ascii="Times New Roman" w:cs="Times New Roman" w:eastAsia="Times New Roman" w:hAnsi="Times New Roman"/>
          <w:sz w:val="22"/>
          <w:szCs w:val="22"/>
          <w:color w:val="auto"/>
        </w:rPr>
        <w:t>”)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or</w:t>
      </w:r>
    </w:p>
    <w:p>
      <w:pPr>
        <w:spacing w:after="0" w:line="204" w:lineRule="exact"/>
        <w:rPr>
          <w:rFonts w:ascii="Times New Roman" w:cs="Times New Roman" w:eastAsia="Times New Roman" w:hAnsi="Times New Roman"/>
          <w:sz w:val="22"/>
          <w:szCs w:val="22"/>
          <w:color w:val="auto"/>
        </w:rPr>
      </w:pPr>
    </w:p>
    <w:p>
      <w:pPr>
        <w:jc w:val="both"/>
        <w:ind w:left="1300" w:hanging="8"/>
        <w:spacing w:after="0" w:line="269" w:lineRule="auto"/>
        <w:tabs>
          <w:tab w:leader="none" w:pos="182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a “beneficial owner” (as defined in Rule 13d-3 under the Exchange Act), directly or indirectly, of either (A) more than 50% of the then-outstanding shares of common stock of the Company (“</w:t>
      </w:r>
      <w:r>
        <w:rPr>
          <w:rFonts w:ascii="Times New Roman" w:cs="Times New Roman" w:eastAsia="Times New Roman" w:hAnsi="Times New Roman"/>
          <w:sz w:val="22"/>
          <w:szCs w:val="22"/>
          <w:b w:val="1"/>
          <w:bCs w:val="1"/>
          <w:color w:val="auto"/>
        </w:rPr>
        <w:t>Company Common Shares</w:t>
      </w:r>
      <w:r>
        <w:rPr>
          <w:rFonts w:ascii="Times New Roman" w:cs="Times New Roman" w:eastAsia="Times New Roman" w:hAnsi="Times New Roman"/>
          <w:sz w:val="22"/>
          <w:szCs w:val="22"/>
          <w:color w:val="auto"/>
        </w:rPr>
        <w:t>”) or (B) securities of the Company representing more than 50% of the combined voting power of the Company’s then outstanding securities eligible to vote for the election of directors (the “</w:t>
      </w:r>
      <w:r>
        <w:rPr>
          <w:rFonts w:ascii="Times New Roman" w:cs="Times New Roman" w:eastAsia="Times New Roman" w:hAnsi="Times New Roman"/>
          <w:sz w:val="22"/>
          <w:szCs w:val="22"/>
          <w:b w:val="1"/>
          <w:bCs w:val="1"/>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for purposes of this subsection (b), the following acquisitions shall not constitute a Change in Control: (i) an acquisition directly from the Company, (ii) an acquisition by the Company or a Subsidiary, (iii) an acquisition by any employee benefit plan (or related trust) sponsored or maintained by the Company or</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w:t>
      </w:r>
    </w:p>
    <w:p>
      <w:pPr>
        <w:sectPr>
          <w:pgSz w:w="11900" w:h="16838" w:orient="portrait"/>
          <w:cols w:equalWidth="0" w:num="1">
            <w:col w:w="10580"/>
          </w:cols>
          <w:pgMar w:left="980" w:top="1174" w:right="339" w:bottom="1440" w:gutter="0" w:footer="0" w:header="0"/>
        </w:sectPr>
      </w:pPr>
    </w:p>
    <w:bookmarkStart w:id="146" w:name="page147"/>
    <w:bookmarkEnd w:id="146"/>
    <w:p>
      <w:pPr>
        <w:ind w:left="840"/>
        <w:spacing w:after="0" w:line="296" w:lineRule="auto"/>
        <w:rPr>
          <w:sz w:val="20"/>
          <w:szCs w:val="20"/>
          <w:color w:val="auto"/>
        </w:rPr>
      </w:pPr>
      <w:r>
        <w:rPr>
          <w:rFonts w:ascii="Times New Roman" w:cs="Times New Roman" w:eastAsia="Times New Roman" w:hAnsi="Times New Roman"/>
          <w:sz w:val="22"/>
          <w:szCs w:val="22"/>
          <w:color w:val="auto"/>
        </w:rPr>
        <w:t>any Subsidiary, or (iv) an acquisition pursuant to a Non-Qualifying Transaction (as defined in subsection (c) below); or</w:t>
      </w:r>
    </w:p>
    <w:p>
      <w:pPr>
        <w:spacing w:after="0" w:line="186" w:lineRule="exact"/>
        <w:rPr>
          <w:sz w:val="20"/>
          <w:szCs w:val="20"/>
          <w:color w:val="auto"/>
        </w:rPr>
      </w:pPr>
    </w:p>
    <w:p>
      <w:pPr>
        <w:jc w:val="both"/>
        <w:ind w:left="840" w:hanging="8"/>
        <w:spacing w:after="0" w:line="282" w:lineRule="exact"/>
        <w:tabs>
          <w:tab w:leader="none" w:pos="141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consolidation, statutory share exchange or similar form of corporate transaction involving the Company or a Subsidiary (a “</w:t>
      </w:r>
      <w:r>
        <w:rPr>
          <w:rFonts w:ascii="Times New Roman" w:cs="Times New Roman" w:eastAsia="Times New Roman" w:hAnsi="Times New Roman"/>
          <w:sz w:val="21"/>
          <w:szCs w:val="21"/>
          <w:b w:val="1"/>
          <w:bCs w:val="1"/>
          <w:color w:val="auto"/>
        </w:rPr>
        <w:t>Reorganization</w:t>
      </w:r>
      <w:r>
        <w:rPr>
          <w:rFonts w:ascii="Times New Roman" w:cs="Times New Roman" w:eastAsia="Times New Roman" w:hAnsi="Times New Roman"/>
          <w:sz w:val="21"/>
          <w:szCs w:val="21"/>
          <w:color w:val="auto"/>
        </w:rPr>
        <w:t>”), or the sale or other disposition of all or substantially all of the Company’s assets (a “</w:t>
      </w:r>
      <w:r>
        <w:rPr>
          <w:rFonts w:ascii="Times New Roman" w:cs="Times New Roman" w:eastAsia="Times New Roman" w:hAnsi="Times New Roman"/>
          <w:sz w:val="21"/>
          <w:szCs w:val="21"/>
          <w:b w:val="1"/>
          <w:bCs w:val="1"/>
          <w:color w:val="auto"/>
        </w:rPr>
        <w:t>Sale</w:t>
      </w:r>
      <w:r>
        <w:rPr>
          <w:rFonts w:ascii="Times New Roman" w:cs="Times New Roman" w:eastAsia="Times New Roman" w:hAnsi="Times New Roman"/>
          <w:sz w:val="21"/>
          <w:szCs w:val="21"/>
          <w:color w:val="auto"/>
        </w:rPr>
        <w:t>”) or the acquisition of assets or stock of another corporation (an “</w:t>
      </w:r>
      <w:r>
        <w:rPr>
          <w:rFonts w:ascii="Times New Roman" w:cs="Times New Roman" w:eastAsia="Times New Roman" w:hAnsi="Times New Roman"/>
          <w:sz w:val="21"/>
          <w:szCs w:val="21"/>
          <w:b w:val="1"/>
          <w:bCs w:val="1"/>
          <w:color w:val="auto"/>
        </w:rPr>
        <w:t>Acquisition</w:t>
      </w:r>
      <w:r>
        <w:rPr>
          <w:rFonts w:ascii="Times New Roman" w:cs="Times New Roman" w:eastAsia="Times New Roman" w:hAnsi="Times New Roman"/>
          <w:sz w:val="21"/>
          <w:szCs w:val="21"/>
          <w:color w:val="auto"/>
        </w:rPr>
        <w:t>”), unless immediately following such Reorganization, Sale or Acquisition: (i) all or substantially all of the individuals and entities who were the beneficial owners, respectively, of the outstanding Company Common Shares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w:t>
      </w:r>
      <w:r>
        <w:rPr>
          <w:rFonts w:ascii="Times New Roman" w:cs="Times New Roman" w:eastAsia="Times New Roman" w:hAnsi="Times New Roman"/>
          <w:sz w:val="21"/>
          <w:szCs w:val="21"/>
          <w:b w:val="1"/>
          <w:bCs w:val="1"/>
          <w:color w:val="auto"/>
        </w:rPr>
        <w:t>Surviving Corporation</w:t>
      </w:r>
      <w:r>
        <w:rPr>
          <w:rFonts w:ascii="Times New Roman" w:cs="Times New Roman" w:eastAsia="Times New Roman" w:hAnsi="Times New Roman"/>
          <w:sz w:val="21"/>
          <w:szCs w:val="21"/>
          <w:color w:val="auto"/>
        </w:rPr>
        <w:t>”) in substantially the same proportions as their ownership, immediately prior to such Reorganization, Sale or Acquisition, of the outstanding Company Common Shares and the outstanding Company Voting Securities, as the case may be, and (ii) no person (other than (A) the Company or any Subsidiary, (B) the Surviving Corporation or its ultimate parent corporation, or (C) any employee benefit plan or related trust) sponsored or maintained by any of the foregoing is the beneficial owner, directly or indirectly, of more than 50% of the total common stock or more than 50% of the total voting power of the outstanding voting securities eligible to elect directors of the Surviving Corporation, and (iii)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(i), (ii) and (iii) above shall be deemed to be a “</w:t>
      </w:r>
      <w:r>
        <w:rPr>
          <w:rFonts w:ascii="Times New Roman" w:cs="Times New Roman" w:eastAsia="Times New Roman" w:hAnsi="Times New Roman"/>
          <w:sz w:val="21"/>
          <w:szCs w:val="21"/>
          <w:b w:val="1"/>
          <w:bCs w:val="1"/>
          <w:color w:val="auto"/>
        </w:rPr>
        <w:t>Non</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Qualifying Transaction</w:t>
      </w:r>
      <w:r>
        <w:rPr>
          <w:rFonts w:ascii="Times New Roman" w:cs="Times New Roman" w:eastAsia="Times New Roman" w:hAnsi="Times New Roman"/>
          <w:sz w:val="21"/>
          <w:szCs w:val="21"/>
          <w:color w:val="auto"/>
        </w:rPr>
        <w:t>”); or</w:t>
      </w:r>
    </w:p>
    <w:p>
      <w:pPr>
        <w:spacing w:after="0" w:line="216" w:lineRule="exact"/>
        <w:rPr>
          <w:rFonts w:ascii="Times New Roman" w:cs="Times New Roman" w:eastAsia="Times New Roman" w:hAnsi="Times New Roman"/>
          <w:sz w:val="21"/>
          <w:szCs w:val="21"/>
          <w:color w:val="auto"/>
        </w:rPr>
      </w:pPr>
    </w:p>
    <w:p>
      <w:pPr>
        <w:ind w:left="840" w:hanging="8"/>
        <w:spacing w:after="0" w:line="296" w:lineRule="auto"/>
        <w:tabs>
          <w:tab w:leader="none" w:pos="150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Company of a complete liquidation or dissolution of the Company.</w:t>
      </w:r>
    </w:p>
    <w:p>
      <w:pPr>
        <w:spacing w:after="0" w:line="186" w:lineRule="exact"/>
        <w:rPr>
          <w:sz w:val="20"/>
          <w:szCs w:val="20"/>
          <w:color w:val="auto"/>
        </w:rPr>
      </w:pPr>
    </w:p>
    <w:p>
      <w:pPr>
        <w:ind w:left="100"/>
        <w:spacing w:after="0" w:line="296"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86"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22"/>
          <w:szCs w:val="22"/>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31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3</w:t>
      </w:r>
    </w:p>
    <w:p>
      <w:pPr>
        <w:sectPr>
          <w:pgSz w:w="11900" w:h="16838" w:orient="portrait"/>
          <w:cols w:equalWidth="0" w:num="1">
            <w:col w:w="10120"/>
          </w:cols>
          <w:pgMar w:left="1440" w:top="935" w:right="339" w:bottom="1440" w:gutter="0" w:footer="0" w:header="0"/>
        </w:sectPr>
      </w:pPr>
    </w:p>
    <w:bookmarkStart w:id="147" w:name="page148"/>
    <w:bookmarkEnd w:id="147"/>
    <w:p>
      <w:pPr>
        <w:jc w:val="both"/>
        <w:ind w:left="640" w:hanging="647"/>
        <w:spacing w:after="0" w:line="279" w:lineRule="auto"/>
        <w:tabs>
          <w:tab w:leader="none" w:pos="620" w:val="left"/>
        </w:tabs>
        <w:rPr>
          <w:sz w:val="20"/>
          <w:szCs w:val="20"/>
          <w:color w:val="auto"/>
        </w:rPr>
      </w:pPr>
      <w:r>
        <w:rPr>
          <w:rFonts w:ascii="Times New Roman" w:cs="Times New Roman" w:eastAsia="Times New Roman" w:hAnsi="Times New Roman"/>
          <w:sz w:val="22"/>
          <w:szCs w:val="22"/>
          <w:color w:val="auto"/>
        </w:rPr>
        <w:t>2.9.</w:t>
        <w:tab/>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201"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2"/>
          <w:szCs w:val="22"/>
          <w:color w:val="auto"/>
        </w:rPr>
        <w:t>2.10.</w:t>
        <w:tab/>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of the Plan.</w:t>
      </w:r>
    </w:p>
    <w:p>
      <w:pPr>
        <w:spacing w:after="0" w:line="19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of the Company.</w:t>
      </w:r>
    </w:p>
    <w:p>
      <w:pPr>
        <w:spacing w:after="0" w:line="2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Micron Technology, Inc., a Delaware corporation.</w:t>
      </w:r>
    </w:p>
    <w:p>
      <w:pPr>
        <w:spacing w:after="0" w:line="274"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Times New Roman" w:cs="Times New Roman" w:eastAsia="Times New Roman" w:hAnsi="Times New Roman"/>
          <w:sz w:val="22"/>
          <w:szCs w:val="22"/>
          <w:color w:val="auto"/>
        </w:rPr>
        <w:t>2.13.</w:t>
        <w:tab/>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Affiliates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260"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Times New Roman" w:cs="Times New Roman" w:eastAsia="Times New Roman" w:hAnsi="Times New Roman"/>
          <w:sz w:val="22"/>
          <w:szCs w:val="22"/>
          <w:color w:val="auto"/>
        </w:rPr>
        <w:t>2.15.</w:t>
        <w:tab/>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Disabled</w:t>
      </w:r>
      <w:r>
        <w:rPr>
          <w:rFonts w:ascii="Times New Roman" w:cs="Times New Roman" w:eastAsia="Times New Roman" w:hAnsi="Times New Roman"/>
          <w:sz w:val="22"/>
          <w:szCs w:val="22"/>
          <w:color w:val="auto"/>
        </w:rPr>
        <w:t>” means, with respect to a Participant, the applicable authorized party under the long-term disability plan (the “</w:t>
      </w:r>
      <w:r>
        <w:rPr>
          <w:rFonts w:ascii="Times New Roman" w:cs="Times New Roman" w:eastAsia="Times New Roman" w:hAnsi="Times New Roman"/>
          <w:sz w:val="22"/>
          <w:szCs w:val="22"/>
          <w:b w:val="1"/>
          <w:bCs w:val="1"/>
          <w:color w:val="auto"/>
        </w:rPr>
        <w:t>LTD Plan</w:t>
      </w:r>
      <w:r>
        <w:rPr>
          <w:rFonts w:ascii="Times New Roman" w:cs="Times New Roman" w:eastAsia="Times New Roman" w:hAnsi="Times New Roman"/>
          <w:sz w:val="22"/>
          <w:szCs w:val="22"/>
          <w:color w:val="auto"/>
        </w:rPr>
        <w:t>”) maintained by the Participant’s employer (either the Company or an Affiliate) has provided written notification that the Participant qualifies for disability benefits under the LTD Plan (a “</w:t>
      </w:r>
      <w:r>
        <w:rPr>
          <w:rFonts w:ascii="Times New Roman" w:cs="Times New Roman" w:eastAsia="Times New Roman" w:hAnsi="Times New Roman"/>
          <w:sz w:val="22"/>
          <w:szCs w:val="22"/>
          <w:b w:val="1"/>
          <w:bCs w:val="1"/>
          <w:color w:val="auto"/>
        </w:rPr>
        <w:t>Disability Notice</w:t>
      </w:r>
      <w:r>
        <w:rPr>
          <w:rFonts w:ascii="Times New Roman" w:cs="Times New Roman" w:eastAsia="Times New Roman" w:hAnsi="Times New Roman"/>
          <w:sz w:val="22"/>
          <w:szCs w:val="22"/>
          <w:color w:val="auto"/>
        </w:rPr>
        <w:t>”). If the Participant is not eligible for disability benefits under any applicable LTD Plan, then the Participant shall not qualify as Disabled under this Plan.</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Dividend Equivalent”</w:t>
      </w:r>
      <w:r>
        <w:rPr>
          <w:rFonts w:ascii="Times New Roman" w:cs="Times New Roman" w:eastAsia="Times New Roman" w:hAnsi="Times New Roman"/>
          <w:sz w:val="21"/>
          <w:szCs w:val="21"/>
          <w:color w:val="auto"/>
        </w:rPr>
        <w:t xml:space="preserve"> means a right granted with respect to an Award, as provided in Section 25 of the Plan.</w:t>
      </w:r>
    </w:p>
    <w:p>
      <w:pPr>
        <w:spacing w:after="0" w:line="2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October 10, 2024.</w:t>
      </w:r>
    </w:p>
    <w:p>
      <w:pPr>
        <w:spacing w:after="0" w:line="274"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Times New Roman" w:cs="Times New Roman" w:eastAsia="Times New Roman" w:hAnsi="Times New Roman"/>
          <w:sz w:val="22"/>
          <w:szCs w:val="22"/>
          <w:color w:val="auto"/>
        </w:rPr>
        <w:t>2.18.</w:t>
        <w:tab/>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Affiliate. Neither service as a Director nor payment of a director’s fee by the Company or any Affiliate will be sufficient to constitute “employment” by the Company.</w:t>
      </w:r>
    </w:p>
    <w:p>
      <w:pPr>
        <w:spacing w:after="0" w:line="182"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2.19.</w:t>
        <w:tab/>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4</w:t>
      </w:r>
    </w:p>
    <w:p>
      <w:pPr>
        <w:sectPr>
          <w:pgSz w:w="11900" w:h="16838" w:orient="portrait"/>
          <w:cols w:equalWidth="0" w:num="1">
            <w:col w:w="10580"/>
          </w:cols>
          <w:pgMar w:left="980" w:top="1174" w:right="339" w:bottom="1440" w:gutter="0" w:footer="0" w:header="0"/>
        </w:sectPr>
      </w:pPr>
    </w:p>
    <w:bookmarkStart w:id="148" w:name="page149"/>
    <w:bookmarkEnd w:id="148"/>
    <w:p>
      <w:pPr>
        <w:jc w:val="both"/>
        <w:ind w:left="640" w:hanging="647"/>
        <w:spacing w:after="0" w:line="271" w:lineRule="auto"/>
        <w:tabs>
          <w:tab w:leader="none" w:pos="620" w:val="left"/>
        </w:tabs>
        <w:rPr>
          <w:sz w:val="20"/>
          <w:szCs w:val="20"/>
          <w:color w:val="auto"/>
        </w:rPr>
      </w:pPr>
      <w:r>
        <w:rPr>
          <w:rFonts w:ascii="Times New Roman" w:cs="Times New Roman" w:eastAsia="Times New Roman" w:hAnsi="Times New Roman"/>
          <w:sz w:val="22"/>
          <w:szCs w:val="22"/>
          <w:color w:val="auto"/>
        </w:rPr>
        <w:t>2.20.</w:t>
        <w:tab/>
        <w:t>“</w:t>
      </w:r>
      <w:r>
        <w:rPr>
          <w:rFonts w:ascii="Times New Roman" w:cs="Times New Roman" w:eastAsia="Times New Roman" w:hAnsi="Times New Roman"/>
          <w:sz w:val="22"/>
          <w:szCs w:val="22"/>
          <w:b w:val="1"/>
          <w:bCs w:val="1"/>
          <w:color w:val="auto"/>
        </w:rPr>
        <w:t>Exchange Program</w:t>
      </w:r>
      <w:r>
        <w:rPr>
          <w:rFonts w:ascii="Times New Roman" w:cs="Times New Roman" w:eastAsia="Times New Roman" w:hAnsi="Times New Roman"/>
          <w:sz w:val="22"/>
          <w:szCs w:val="22"/>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An Exchange Program may be implemented under the Plan only following stockholder approval of a Plan amendment authorizing the Exchange Program, which approval satisfies Applicable Laws (for example, but not limited to, approval by the holders of a majority of the Shares represented in person or by proxy at a meeting of the stockholders of the Company at which a quorum is present). Subject to the preceding requirement of stockholder approval, the Administrator will determine the terms and conditions of any Exchange Program in its sole discretion.</w:t>
      </w:r>
    </w:p>
    <w:p>
      <w:pPr>
        <w:spacing w:after="0" w:line="194"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2.21.</w:t>
        <w:tab/>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a Share determined as follows: the rules and regulations promulgated thereunder.</w:t>
      </w:r>
    </w:p>
    <w:p>
      <w:pPr>
        <w:spacing w:after="0" w:line="182" w:lineRule="exact"/>
        <w:rPr>
          <w:sz w:val="20"/>
          <w:szCs w:val="20"/>
          <w:color w:val="auto"/>
        </w:rPr>
      </w:pPr>
    </w:p>
    <w:p>
      <w:pPr>
        <w:jc w:val="both"/>
        <w:ind w:left="1940" w:hanging="324"/>
        <w:spacing w:after="0" w:line="271" w:lineRule="auto"/>
        <w:tabs>
          <w:tab w:leader="none" w:pos="193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on the last Trading Day before the date of determination as quoted on such exchange or system on the date of determination, as reported by Bloomberg or such other source as the Administrator deems reliable;</w:t>
      </w:r>
    </w:p>
    <w:p>
      <w:pPr>
        <w:spacing w:after="0" w:line="216" w:lineRule="exact"/>
        <w:rPr>
          <w:rFonts w:ascii="Times New Roman" w:cs="Times New Roman" w:eastAsia="Times New Roman" w:hAnsi="Times New Roman"/>
          <w:sz w:val="22"/>
          <w:szCs w:val="22"/>
          <w:color w:val="auto"/>
        </w:rPr>
      </w:pPr>
    </w:p>
    <w:p>
      <w:pPr>
        <w:jc w:val="both"/>
        <w:ind w:left="1940" w:hanging="324"/>
        <w:spacing w:after="0" w:line="272" w:lineRule="auto"/>
        <w:tabs>
          <w:tab w:leader="none" w:pos="193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by Bloomberg or such other source as the Administrator deems reliable; or</w:t>
      </w:r>
    </w:p>
    <w:p>
      <w:pPr>
        <w:spacing w:after="0" w:line="213" w:lineRule="exact"/>
        <w:rPr>
          <w:rFonts w:ascii="Times New Roman" w:cs="Times New Roman" w:eastAsia="Times New Roman" w:hAnsi="Times New Roman"/>
          <w:sz w:val="22"/>
          <w:szCs w:val="22"/>
          <w:color w:val="auto"/>
        </w:rPr>
      </w:pPr>
    </w:p>
    <w:p>
      <w:pPr>
        <w:ind w:left="1940" w:hanging="324"/>
        <w:spacing w:after="0" w:line="296" w:lineRule="auto"/>
        <w:tabs>
          <w:tab w:leader="none" w:pos="193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withholding for Tax-Related Items (or other amounts required by Applicable Laws) may be made in the Administrator’s sole discretion subject to Applicable Laws and is not required to be consistent with the determination of fair market value for other purposes.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5</w:t>
      </w:r>
    </w:p>
    <w:p>
      <w:pPr>
        <w:sectPr>
          <w:pgSz w:w="11900" w:h="16838" w:orient="portrait"/>
          <w:cols w:equalWidth="0" w:num="1">
            <w:col w:w="10580"/>
          </w:cols>
          <w:pgMar w:left="980" w:top="931" w:right="339" w:bottom="1440" w:gutter="0" w:footer="0" w:header="0"/>
        </w:sectPr>
      </w:pPr>
    </w:p>
    <w:bookmarkStart w:id="149" w:name="page150"/>
    <w:bookmarkEnd w:id="149"/>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the Company.</w:t>
      </w:r>
    </w:p>
    <w:p>
      <w:pPr>
        <w:spacing w:after="0" w:line="274"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Times New Roman" w:cs="Times New Roman" w:eastAsia="Times New Roman" w:hAnsi="Times New Roman"/>
          <w:sz w:val="22"/>
          <w:szCs w:val="22"/>
          <w:color w:val="auto"/>
        </w:rPr>
        <w:t>2.23.</w:t>
        <w:tab/>
        <w:t>“</w:t>
      </w:r>
      <w:r>
        <w:rPr>
          <w:rFonts w:ascii="Times New Roman" w:cs="Times New Roman" w:eastAsia="Times New Roman" w:hAnsi="Times New Roman"/>
          <w:sz w:val="22"/>
          <w:szCs w:val="22"/>
          <w:b w:val="1"/>
          <w:bCs w:val="1"/>
          <w:color w:val="auto"/>
        </w:rPr>
        <w:t>Full Value Award</w:t>
      </w:r>
      <w:r>
        <w:rPr>
          <w:rFonts w:ascii="Times New Roman" w:cs="Times New Roman" w:eastAsia="Times New Roman" w:hAnsi="Times New Roman"/>
          <w:sz w:val="22"/>
          <w:szCs w:val="22"/>
          <w:color w:val="auto"/>
        </w:rPr>
        <w:t>” means a grant under the Plan of Restricted Stock, Restricted Stock Units, Performance Awards or Other Stock-Based Awards. Options and Stock Appreciation Rights do not constitute Full Value Awards.</w:t>
      </w:r>
    </w:p>
    <w:p>
      <w:pPr>
        <w:spacing w:after="0" w:line="195" w:lineRule="exact"/>
        <w:rPr>
          <w:sz w:val="20"/>
          <w:szCs w:val="20"/>
          <w:color w:val="auto"/>
        </w:rPr>
      </w:pPr>
    </w:p>
    <w:p>
      <w:pPr>
        <w:jc w:val="both"/>
        <w:ind w:left="640" w:hanging="647"/>
        <w:spacing w:after="0" w:line="278" w:lineRule="auto"/>
        <w:tabs>
          <w:tab w:leader="none" w:pos="620" w:val="left"/>
        </w:tabs>
        <w:rPr>
          <w:sz w:val="20"/>
          <w:szCs w:val="20"/>
          <w:color w:val="auto"/>
        </w:rPr>
      </w:pPr>
      <w:r>
        <w:rPr>
          <w:rFonts w:ascii="Times New Roman" w:cs="Times New Roman" w:eastAsia="Times New Roman" w:hAnsi="Times New Roman"/>
          <w:sz w:val="22"/>
          <w:szCs w:val="22"/>
          <w:color w:val="auto"/>
        </w:rPr>
        <w:t>2.24.</w:t>
        <w:tab/>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with respect to an Award, shall have the meaning, if any, given such term in the applicable Award Agreement. If not defined in the applicable Award Agreement, the term “Good Reason” as used herein shall not apply to such Award.</w:t>
      </w:r>
    </w:p>
    <w:p>
      <w:pPr>
        <w:spacing w:after="0" w:line="201"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2.25.</w:t>
        <w:tab/>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Inside Director</w:t>
      </w:r>
      <w:r>
        <w:rPr>
          <w:rFonts w:ascii="Times New Roman" w:cs="Times New Roman" w:eastAsia="Times New Roman" w:hAnsi="Times New Roman"/>
          <w:sz w:val="21"/>
          <w:szCs w:val="21"/>
          <w:color w:val="auto"/>
        </w:rPr>
        <w:t>” means a Director who is an Employee.</w:t>
      </w:r>
    </w:p>
    <w:p>
      <w:pPr>
        <w:spacing w:after="0" w:line="260"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2.27.</w:t>
        <w:tab/>
        <w:t>“</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78"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2.28.</w:t>
        <w:tab/>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means a stock option granted pursuant to the Plan.</w:t>
      </w:r>
    </w:p>
    <w:p>
      <w:pPr>
        <w:spacing w:after="0" w:line="260" w:lineRule="exact"/>
        <w:rPr>
          <w:sz w:val="20"/>
          <w:szCs w:val="20"/>
          <w:color w:val="auto"/>
        </w:rPr>
      </w:pPr>
    </w:p>
    <w:p>
      <w:pPr>
        <w:jc w:val="both"/>
        <w:ind w:left="640" w:right="2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2.30.</w:t>
        <w:tab/>
        <w:t>“</w:t>
      </w:r>
      <w:r>
        <w:rPr>
          <w:rFonts w:ascii="Times New Roman" w:cs="Times New Roman" w:eastAsia="Times New Roman" w:hAnsi="Times New Roman"/>
          <w:sz w:val="22"/>
          <w:szCs w:val="22"/>
          <w:b w:val="1"/>
          <w:bCs w:val="1"/>
          <w:color w:val="auto"/>
        </w:rPr>
        <w:t>Other Stock-Based Award</w:t>
      </w:r>
      <w:r>
        <w:rPr>
          <w:rFonts w:ascii="Times New Roman" w:cs="Times New Roman" w:eastAsia="Times New Roman" w:hAnsi="Times New Roman"/>
          <w:sz w:val="22"/>
          <w:szCs w:val="22"/>
          <w:color w:val="auto"/>
        </w:rPr>
        <w:t>” means a right, granted to a Participant under Section 11 of the Plan that relates to or is valued by reference to Shares or other Awards relating to Shares.</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Outside Director</w:t>
      </w:r>
      <w:r>
        <w:rPr>
          <w:rFonts w:ascii="Times New Roman" w:cs="Times New Roman" w:eastAsia="Times New Roman" w:hAnsi="Times New Roman"/>
          <w:sz w:val="21"/>
          <w:szCs w:val="21"/>
          <w:color w:val="auto"/>
        </w:rPr>
        <w:t>” means a Director who is not an Employee.</w:t>
      </w:r>
    </w:p>
    <w:p>
      <w:pPr>
        <w:spacing w:after="0" w:line="2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means a “parent corporation,” whether now or hereafter existing, as defined in Code Section 424(e).</w:t>
      </w:r>
    </w:p>
    <w:p>
      <w:pPr>
        <w:spacing w:after="0" w:line="2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the holder of an outstanding Award.</w:t>
      </w:r>
    </w:p>
    <w:p>
      <w:pPr>
        <w:spacing w:after="0" w:line="260" w:lineRule="exact"/>
        <w:rPr>
          <w:sz w:val="20"/>
          <w:szCs w:val="20"/>
          <w:color w:val="auto"/>
        </w:rPr>
      </w:pPr>
    </w:p>
    <w:p>
      <w:pPr>
        <w:jc w:val="both"/>
        <w:ind w:left="640" w:hanging="647"/>
        <w:spacing w:after="0" w:line="279" w:lineRule="auto"/>
        <w:tabs>
          <w:tab w:leader="none" w:pos="620" w:val="left"/>
        </w:tabs>
        <w:rPr>
          <w:sz w:val="20"/>
          <w:szCs w:val="20"/>
          <w:color w:val="auto"/>
        </w:rPr>
      </w:pPr>
      <w:r>
        <w:rPr>
          <w:rFonts w:ascii="Times New Roman" w:cs="Times New Roman" w:eastAsia="Times New Roman" w:hAnsi="Times New Roman"/>
          <w:sz w:val="22"/>
          <w:szCs w:val="22"/>
          <w:color w:val="auto"/>
        </w:rPr>
        <w:t>2.34.</w:t>
        <w:tab/>
        <w:t>“</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 of the Plan.</w:t>
      </w:r>
    </w:p>
    <w:p>
      <w:pPr>
        <w:spacing w:after="0" w:line="201"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Times New Roman" w:cs="Times New Roman" w:eastAsia="Times New Roman" w:hAnsi="Times New Roman"/>
          <w:sz w:val="22"/>
          <w:szCs w:val="22"/>
          <w:color w:val="auto"/>
        </w:rPr>
        <w:t>2.35.</w:t>
        <w:tab/>
        <w:t>“</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a Participant’s continued service (including specified types of service, such as in the capacity of an Employee), the achievement of target levels of performance, or the occurrence of other events as determined by the Administrator.</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31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6</w:t>
      </w:r>
    </w:p>
    <w:p>
      <w:pPr>
        <w:sectPr>
          <w:pgSz w:w="11900" w:h="16838" w:orient="portrait"/>
          <w:cols w:equalWidth="0" w:num="1">
            <w:col w:w="10580"/>
          </w:cols>
          <w:pgMar w:left="980" w:top="931" w:right="339" w:bottom="1440" w:gutter="0" w:footer="0" w:header="0"/>
        </w:sectPr>
      </w:pPr>
    </w:p>
    <w:bookmarkStart w:id="150" w:name="page151"/>
    <w:bookmarkEnd w:id="150"/>
    <w:p>
      <w:pPr>
        <w:spacing w:after="0"/>
        <w:tabs>
          <w:tab w:leader="none" w:pos="62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Micron Technology, Inc. 2025 Equity Incentive Plan, as may be amended from time to time.</w:t>
      </w:r>
    </w:p>
    <w:p>
      <w:pPr>
        <w:spacing w:after="0" w:line="274"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2.37.</w:t>
        <w:tab/>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78" w:lineRule="exact"/>
        <w:rPr>
          <w:sz w:val="20"/>
          <w:szCs w:val="20"/>
          <w:color w:val="auto"/>
        </w:rPr>
      </w:pPr>
    </w:p>
    <w:p>
      <w:pPr>
        <w:jc w:val="both"/>
        <w:ind w:left="640" w:hanging="647"/>
        <w:spacing w:after="0" w:line="278" w:lineRule="auto"/>
        <w:tabs>
          <w:tab w:leader="none" w:pos="620" w:val="left"/>
        </w:tabs>
        <w:rPr>
          <w:sz w:val="20"/>
          <w:szCs w:val="20"/>
          <w:color w:val="auto"/>
        </w:rPr>
      </w:pPr>
      <w:r>
        <w:rPr>
          <w:rFonts w:ascii="Times New Roman" w:cs="Times New Roman" w:eastAsia="Times New Roman" w:hAnsi="Times New Roman"/>
          <w:sz w:val="22"/>
          <w:szCs w:val="22"/>
          <w:color w:val="auto"/>
        </w:rPr>
        <w:t>2.38.</w:t>
        <w:tab/>
        <w:t>“</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of the Plan. Each Restricted Stock Unit represents an unfunded and unsecured obligation of the Company.</w:t>
      </w:r>
    </w:p>
    <w:p>
      <w:pPr>
        <w:spacing w:after="0" w:line="157" w:lineRule="exact"/>
        <w:rPr>
          <w:sz w:val="20"/>
          <w:szCs w:val="20"/>
          <w:color w:val="auto"/>
        </w:rPr>
      </w:pPr>
    </w:p>
    <w:p>
      <w:pPr>
        <w:jc w:val="both"/>
        <w:ind w:left="640" w:hanging="647"/>
        <w:spacing w:after="0" w:line="307" w:lineRule="exact"/>
        <w:tabs>
          <w:tab w:leader="none" w:pos="620" w:val="left"/>
        </w:tabs>
        <w:rPr>
          <w:sz w:val="20"/>
          <w:szCs w:val="20"/>
          <w:color w:val="auto"/>
        </w:rPr>
      </w:pPr>
      <w:r>
        <w:rPr>
          <w:rFonts w:ascii="Times New Roman" w:cs="Times New Roman" w:eastAsia="Times New Roman" w:hAnsi="Times New Roman"/>
          <w:sz w:val="22"/>
          <w:szCs w:val="22"/>
          <w:color w:val="auto"/>
        </w:rPr>
        <w:t>2.39.</w:t>
        <w:tab/>
        <w:t>“</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2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16b</w:t>
      </w:r>
      <w:r>
        <w:rPr>
          <w:rFonts w:ascii="Times New Roman" w:cs="Times New Roman" w:eastAsia="Times New Roman" w:hAnsi="Times New Roman"/>
          <w:sz w:val="21"/>
          <w:szCs w:val="21"/>
          <w:color w:val="auto"/>
        </w:rPr>
        <w:t>” means Section 16(b) of the Exchange Act.</w:t>
      </w:r>
    </w:p>
    <w:p>
      <w:pPr>
        <w:spacing w:after="0" w:line="274"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2"/>
          <w:szCs w:val="22"/>
          <w:color w:val="auto"/>
        </w:rPr>
        <w:t>2.41.</w:t>
        <w:tab/>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91"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2.42.</w:t>
        <w:tab/>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means an Employee, Director or Consultant.</w:t>
      </w:r>
    </w:p>
    <w:p>
      <w:pPr>
        <w:spacing w:after="0" w:line="2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means a share of the Common Stock, as adjusted in accordance with Section 15 of the Plan.</w:t>
      </w:r>
    </w:p>
    <w:p>
      <w:pPr>
        <w:spacing w:after="0" w:line="260" w:lineRule="exact"/>
        <w:rPr>
          <w:sz w:val="20"/>
          <w:szCs w:val="20"/>
          <w:color w:val="auto"/>
        </w:rPr>
      </w:pPr>
    </w:p>
    <w:p>
      <w:pPr>
        <w:jc w:val="both"/>
        <w:ind w:left="64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2.45.</w:t>
        <w:tab/>
        <w:t>“</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means an Award, granted alone or in connection with an Option, that pursuant to Section 7 of the Plan is designated as a Stock Appreciation Right.</w:t>
      </w:r>
    </w:p>
    <w:p>
      <w:pPr>
        <w:spacing w:after="0" w:line="178" w:lineRule="exact"/>
        <w:rPr>
          <w:sz w:val="20"/>
          <w:szCs w:val="20"/>
          <w:color w:val="auto"/>
        </w:rPr>
      </w:pPr>
    </w:p>
    <w:p>
      <w:pPr>
        <w:jc w:val="both"/>
        <w:ind w:left="640" w:right="20" w:hanging="647"/>
        <w:spacing w:after="0" w:line="300" w:lineRule="auto"/>
        <w:tabs>
          <w:tab w:leader="none" w:pos="620" w:val="left"/>
        </w:tabs>
        <w:rPr>
          <w:sz w:val="20"/>
          <w:szCs w:val="20"/>
          <w:color w:val="auto"/>
        </w:rPr>
      </w:pPr>
      <w:r>
        <w:rPr>
          <w:rFonts w:ascii="Times New Roman" w:cs="Times New Roman" w:eastAsia="Times New Roman" w:hAnsi="Times New Roman"/>
          <w:sz w:val="22"/>
          <w:szCs w:val="22"/>
          <w:color w:val="auto"/>
        </w:rPr>
        <w:t>2.46.</w:t>
        <w:tab/>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 Section 424(f).</w:t>
      </w:r>
    </w:p>
    <w:p>
      <w:pPr>
        <w:spacing w:after="0" w:line="178"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2.47.</w:t>
        <w:tab/>
        <w:t>“</w:t>
      </w:r>
      <w:r>
        <w:rPr>
          <w:rFonts w:ascii="Times New Roman" w:cs="Times New Roman" w:eastAsia="Times New Roman" w:hAnsi="Times New Roman"/>
          <w:sz w:val="22"/>
          <w:szCs w:val="22"/>
          <w:b w:val="1"/>
          <w:bCs w:val="1"/>
          <w:color w:val="auto"/>
        </w:rPr>
        <w:t>Tax-Related Items</w:t>
      </w:r>
      <w:r>
        <w:rPr>
          <w:rFonts w:ascii="Times New Roman" w:cs="Times New Roman" w:eastAsia="Times New Roman" w:hAnsi="Times New Roman"/>
          <w:sz w:val="22"/>
          <w:szCs w:val="22"/>
          <w:color w:val="auto"/>
        </w:rPr>
        <w:t>” means any U.S. federal, state, and/or local taxes and any taxes imposed by a jurisdiction outside of the United States (including, without limitation, income tax, social insurance contributions, payment on account, employment tax obligations, stamp taxes and any other taxes required by Applicable Laws to be withheld and any employer tax liability for which the Participant is liable.</w:t>
      </w:r>
    </w:p>
    <w:p>
      <w:pPr>
        <w:spacing w:after="0" w:line="204" w:lineRule="exact"/>
        <w:rPr>
          <w:sz w:val="20"/>
          <w:szCs w:val="20"/>
          <w:color w:val="auto"/>
        </w:rPr>
      </w:pPr>
    </w:p>
    <w:p>
      <w:pPr>
        <w:jc w:val="both"/>
        <w:ind w:left="640" w:hanging="647"/>
        <w:spacing w:after="0" w:line="278" w:lineRule="auto"/>
        <w:tabs>
          <w:tab w:leader="none" w:pos="620" w:val="left"/>
        </w:tabs>
        <w:rPr>
          <w:sz w:val="20"/>
          <w:szCs w:val="20"/>
          <w:color w:val="auto"/>
        </w:rPr>
      </w:pPr>
      <w:r>
        <w:rPr>
          <w:rFonts w:ascii="Times New Roman" w:cs="Times New Roman" w:eastAsia="Times New Roman" w:hAnsi="Times New Roman"/>
          <w:sz w:val="22"/>
          <w:szCs w:val="22"/>
          <w:color w:val="auto"/>
        </w:rPr>
        <w:t>2.48.</w:t>
        <w:tab/>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7</w:t>
      </w:r>
    </w:p>
    <w:p>
      <w:pPr>
        <w:sectPr>
          <w:pgSz w:w="11900" w:h="16838" w:orient="portrait"/>
          <w:cols w:equalWidth="0" w:num="1">
            <w:col w:w="10580"/>
          </w:cols>
          <w:pgMar w:left="980" w:top="1174" w:right="339" w:bottom="1440" w:gutter="0" w:footer="0" w:header="0"/>
        </w:sectPr>
      </w:pPr>
    </w:p>
    <w:bookmarkStart w:id="151" w:name="page152"/>
    <w:bookmarkEnd w:id="151"/>
    <w:p>
      <w:pPr>
        <w:jc w:val="both"/>
        <w:ind w:left="968" w:hanging="647"/>
        <w:spacing w:after="0" w:line="279" w:lineRule="auto"/>
        <w:tabs>
          <w:tab w:leader="none" w:pos="948" w:val="left"/>
        </w:tabs>
        <w:rPr>
          <w:sz w:val="20"/>
          <w:szCs w:val="20"/>
          <w:color w:val="auto"/>
        </w:rPr>
      </w:pPr>
      <w:r>
        <w:rPr>
          <w:rFonts w:ascii="Times New Roman" w:cs="Times New Roman" w:eastAsia="Times New Roman" w:hAnsi="Times New Roman"/>
          <w:sz w:val="22"/>
          <w:szCs w:val="22"/>
          <w:color w:val="auto"/>
        </w:rPr>
        <w:t>2.49.</w:t>
        <w:tab/>
        <w:t>“</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201" w:lineRule="exact"/>
        <w:rPr>
          <w:sz w:val="20"/>
          <w:szCs w:val="20"/>
          <w:color w:val="auto"/>
        </w:rPr>
      </w:pPr>
    </w:p>
    <w:p>
      <w:pPr>
        <w:ind w:left="328" w:hanging="328"/>
        <w:spacing w:after="0"/>
        <w:tabs>
          <w:tab w:leader="none" w:pos="3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968" w:hanging="648"/>
        <w:spacing w:after="0" w:line="27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3.36.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adjustment as provided in Section 15.1 of the Plan, the aggregate number of Shares reserved and available for issuance pursuant to Awards granted under the Plan shall be 48,575,795. Subject to the Share counting rules of Section 3.2 of the Plan, the number of Shares available for future grants of Awards will be reduced by one Share for each Share subject to an Award granted under the Plan.</w:t>
      </w:r>
    </w:p>
    <w:p>
      <w:pPr>
        <w:spacing w:after="0" w:line="200" w:lineRule="exact"/>
        <w:rPr>
          <w:rFonts w:ascii="Times New Roman" w:cs="Times New Roman" w:eastAsia="Times New Roman" w:hAnsi="Times New Roman"/>
          <w:sz w:val="22"/>
          <w:szCs w:val="22"/>
          <w:color w:val="auto"/>
        </w:rPr>
      </w:pPr>
    </w:p>
    <w:p>
      <w:pPr>
        <w:ind w:left="968" w:hanging="648"/>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3.37. </w:t>
      </w:r>
      <w:r>
        <w:rPr>
          <w:rFonts w:ascii="Times New Roman" w:cs="Times New Roman" w:eastAsia="Times New Roman" w:hAnsi="Times New Roman"/>
          <w:sz w:val="22"/>
          <w:szCs w:val="22"/>
          <w:b w:val="1"/>
          <w:bCs w:val="1"/>
          <w:color w:val="auto"/>
        </w:rPr>
        <w:t>Share Counting</w:t>
      </w:r>
      <w:r>
        <w:rPr>
          <w:rFonts w:ascii="Times New Roman" w:cs="Times New Roman" w:eastAsia="Times New Roman" w:hAnsi="Times New Roman"/>
          <w:sz w:val="22"/>
          <w:szCs w:val="22"/>
          <w:color w:val="auto"/>
        </w:rPr>
        <w:t>. In determining the number of Shares available for issuance under the Plan, the following rules shall apply.</w:t>
      </w:r>
    </w:p>
    <w:p>
      <w:pPr>
        <w:spacing w:after="0" w:line="195" w:lineRule="exact"/>
        <w:rPr>
          <w:rFonts w:ascii="Times New Roman" w:cs="Times New Roman" w:eastAsia="Times New Roman" w:hAnsi="Times New Roman"/>
          <w:sz w:val="22"/>
          <w:szCs w:val="22"/>
          <w:color w:val="auto"/>
        </w:rPr>
      </w:pPr>
    </w:p>
    <w:p>
      <w:pPr>
        <w:jc w:val="both"/>
        <w:ind w:left="2268" w:hanging="324"/>
        <w:spacing w:after="0" w:line="282" w:lineRule="auto"/>
        <w:tabs>
          <w:tab w:leader="none" w:pos="226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Option or Stock Appreciation Right expires or becomes unexercisable without having been exercised in full, then the unexercised Shares subject thereto will become available for future grant or sale under the Plan (unless the Plan has terminated).</w:t>
      </w:r>
    </w:p>
    <w:p>
      <w:pPr>
        <w:spacing w:after="0" w:line="201" w:lineRule="exact"/>
        <w:rPr>
          <w:rFonts w:ascii="Times New Roman" w:cs="Times New Roman" w:eastAsia="Times New Roman" w:hAnsi="Times New Roman"/>
          <w:sz w:val="22"/>
          <w:szCs w:val="22"/>
          <w:color w:val="auto"/>
        </w:rPr>
      </w:pPr>
    </w:p>
    <w:p>
      <w:pPr>
        <w:jc w:val="both"/>
        <w:ind w:left="2268" w:hanging="324"/>
        <w:spacing w:after="0" w:line="276" w:lineRule="auto"/>
        <w:tabs>
          <w:tab w:leader="none" w:pos="226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Full Value Award is forfeited or repurchased by the Company due to a failure to vest, then the forfeited or repurchased Shares subject thereto will become available for future grant or sale under the Plan (unless the Plan has terminated).</w:t>
      </w:r>
    </w:p>
    <w:p>
      <w:pPr>
        <w:spacing w:after="0" w:line="207" w:lineRule="exact"/>
        <w:rPr>
          <w:rFonts w:ascii="Times New Roman" w:cs="Times New Roman" w:eastAsia="Times New Roman" w:hAnsi="Times New Roman"/>
          <w:sz w:val="22"/>
          <w:szCs w:val="22"/>
          <w:color w:val="auto"/>
        </w:rPr>
      </w:pPr>
    </w:p>
    <w:p>
      <w:pPr>
        <w:ind w:left="2268" w:hanging="324"/>
        <w:spacing w:after="0" w:line="296" w:lineRule="auto"/>
        <w:tabs>
          <w:tab w:leader="none" w:pos="226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a Stock Appreciation Right settled in Shares, the gross number of Shares covered by the portion of the Award so exercised will cease to be available under the Plan.</w:t>
      </w:r>
    </w:p>
    <w:p>
      <w:pPr>
        <w:spacing w:after="0" w:line="185" w:lineRule="exact"/>
        <w:rPr>
          <w:rFonts w:ascii="Times New Roman" w:cs="Times New Roman" w:eastAsia="Times New Roman" w:hAnsi="Times New Roman"/>
          <w:sz w:val="22"/>
          <w:szCs w:val="22"/>
          <w:color w:val="auto"/>
        </w:rPr>
      </w:pPr>
    </w:p>
    <w:p>
      <w:pPr>
        <w:jc w:val="both"/>
        <w:ind w:left="2268" w:hanging="324"/>
        <w:spacing w:after="0" w:line="272" w:lineRule="auto"/>
        <w:tabs>
          <w:tab w:leader="none" w:pos="2263"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that have been issued under the Plan pursuant to any Award will not be returned to the Plan and will not become available for future grant or sale under the Plan; provided, however, that if unvested Shares of Full Value Awards are repurchased by the Company or are forfeited to the Company, such Shares will become available for future grant or sale under the Plan (unless the Plan is terminated).</w:t>
      </w:r>
    </w:p>
    <w:p>
      <w:pPr>
        <w:spacing w:after="0" w:line="213" w:lineRule="exact"/>
        <w:rPr>
          <w:rFonts w:ascii="Times New Roman" w:cs="Times New Roman" w:eastAsia="Times New Roman" w:hAnsi="Times New Roman"/>
          <w:sz w:val="22"/>
          <w:szCs w:val="22"/>
          <w:color w:val="auto"/>
        </w:rPr>
      </w:pPr>
    </w:p>
    <w:p>
      <w:pPr>
        <w:jc w:val="both"/>
        <w:ind w:left="2268" w:hanging="324"/>
        <w:spacing w:after="0" w:line="276" w:lineRule="auto"/>
        <w:tabs>
          <w:tab w:leader="none" w:pos="226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used to pay the Exercise Price or purchase price of an Award and/or used to satisfy the Tax-Related Items or other withholdings related to the Award will cease to be available for future grant or sale under the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31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79780"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8</w:t>
      </w:r>
    </w:p>
    <w:p>
      <w:pPr>
        <w:sectPr>
          <w:pgSz w:w="11900" w:h="16838" w:orient="portrait"/>
          <w:cols w:equalWidth="0" w:num="1">
            <w:col w:w="10908"/>
          </w:cols>
          <w:pgMar w:left="652" w:top="1174" w:right="339" w:bottom="1440" w:gutter="0" w:footer="0" w:header="0"/>
        </w:sectPr>
      </w:pPr>
    </w:p>
    <w:bookmarkStart w:id="152" w:name="page153"/>
    <w:bookmarkEnd w:id="152"/>
    <w:p>
      <w:pPr>
        <w:ind w:left="2268" w:hanging="324"/>
        <w:spacing w:after="0" w:line="296" w:lineRule="auto"/>
        <w:tabs>
          <w:tab w:leader="none" w:pos="226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Award is paid out in cash rather than Shares, such cash payment will not result in reducing the number of Shares available for issuance under the Plan.</w:t>
      </w:r>
    </w:p>
    <w:p>
      <w:pPr>
        <w:spacing w:after="0" w:line="185" w:lineRule="exact"/>
        <w:rPr>
          <w:rFonts w:ascii="Times New Roman" w:cs="Times New Roman" w:eastAsia="Times New Roman" w:hAnsi="Times New Roman"/>
          <w:sz w:val="22"/>
          <w:szCs w:val="22"/>
          <w:color w:val="auto"/>
        </w:rPr>
      </w:pPr>
    </w:p>
    <w:p>
      <w:pPr>
        <w:ind w:left="2268" w:hanging="324"/>
        <w:spacing w:after="0" w:line="296" w:lineRule="auto"/>
        <w:tabs>
          <w:tab w:leader="none" w:pos="226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purchased by the Company with proceeds received from the exercise of an Option will become available for issuance under the Plan.</w:t>
      </w:r>
    </w:p>
    <w:p>
      <w:pPr>
        <w:spacing w:after="0" w:line="182" w:lineRule="exact"/>
        <w:rPr>
          <w:sz w:val="20"/>
          <w:szCs w:val="20"/>
          <w:color w:val="auto"/>
        </w:rPr>
      </w:pPr>
    </w:p>
    <w:p>
      <w:pPr>
        <w:jc w:val="both"/>
        <w:ind w:left="968" w:hanging="647"/>
        <w:spacing w:after="0" w:line="273" w:lineRule="auto"/>
        <w:tabs>
          <w:tab w:leader="none" w:pos="948" w:val="left"/>
        </w:tabs>
        <w:rPr>
          <w:sz w:val="20"/>
          <w:szCs w:val="20"/>
          <w:color w:val="auto"/>
        </w:rPr>
      </w:pPr>
      <w:r>
        <w:rPr>
          <w:rFonts w:ascii="Times New Roman" w:cs="Times New Roman" w:eastAsia="Times New Roman" w:hAnsi="Times New Roman"/>
          <w:sz w:val="22"/>
          <w:szCs w:val="22"/>
          <w:color w:val="auto"/>
        </w:rPr>
        <w:t>3.38.</w:t>
      </w:r>
      <w:r>
        <w:rPr>
          <w:sz w:val="20"/>
          <w:szCs w:val="20"/>
          <w:color w:val="auto"/>
        </w:rPr>
        <w:tab/>
      </w:r>
      <w:r>
        <w:rPr>
          <w:rFonts w:ascii="Times New Roman" w:cs="Times New Roman" w:eastAsia="Times New Roman" w:hAnsi="Times New Roman"/>
          <w:sz w:val="22"/>
          <w:szCs w:val="22"/>
          <w:b w:val="1"/>
          <w:bCs w:val="1"/>
          <w:color w:val="auto"/>
        </w:rPr>
        <w:t>Incentive Stock Option Limit</w:t>
      </w:r>
      <w:r>
        <w:rPr>
          <w:rFonts w:ascii="Times New Roman" w:cs="Times New Roman" w:eastAsia="Times New Roman" w:hAnsi="Times New Roman"/>
          <w:sz w:val="22"/>
          <w:szCs w:val="22"/>
          <w:color w:val="auto"/>
        </w:rPr>
        <w:t>. Notwithstanding the foregoing and, subject to adjustment as provided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15 of the Plan, the maximum number of Shares that may be issued upon the exercise of Incentive Stock Options will equal the aggregate Share number stated in Section 3.1 of the Plan, plus, to the extent allowable under Section 422 of the Code, any Shares that become available for issuance under the Plan pursuant to this Section 3.2 of the Plan.</w:t>
      </w:r>
    </w:p>
    <w:p>
      <w:pPr>
        <w:spacing w:after="0" w:line="208" w:lineRule="exact"/>
        <w:rPr>
          <w:sz w:val="20"/>
          <w:szCs w:val="20"/>
          <w:color w:val="auto"/>
        </w:rPr>
      </w:pPr>
    </w:p>
    <w:p>
      <w:pPr>
        <w:jc w:val="both"/>
        <w:ind w:left="968" w:hanging="647"/>
        <w:spacing w:after="0" w:line="287" w:lineRule="auto"/>
        <w:tabs>
          <w:tab w:leader="none" w:pos="948" w:val="left"/>
        </w:tabs>
        <w:rPr>
          <w:sz w:val="20"/>
          <w:szCs w:val="20"/>
          <w:color w:val="auto"/>
        </w:rPr>
      </w:pPr>
      <w:r>
        <w:rPr>
          <w:rFonts w:ascii="Times New Roman" w:cs="Times New Roman" w:eastAsia="Times New Roman" w:hAnsi="Times New Roman"/>
          <w:sz w:val="22"/>
          <w:szCs w:val="22"/>
          <w:color w:val="auto"/>
        </w:rPr>
        <w:t>3.39.</w:t>
      </w:r>
      <w:r>
        <w:rPr>
          <w:sz w:val="20"/>
          <w:szCs w:val="20"/>
          <w:color w:val="auto"/>
        </w:rPr>
        <w:tab/>
      </w:r>
      <w:r>
        <w:rPr>
          <w:rFonts w:ascii="Times New Roman" w:cs="Times New Roman" w:eastAsia="Times New Roman" w:hAnsi="Times New Roman"/>
          <w:sz w:val="22"/>
          <w:szCs w:val="22"/>
          <w:b w:val="1"/>
          <w:bCs w:val="1"/>
          <w:color w:val="auto"/>
        </w:rPr>
        <w:t>Shares Distributed</w:t>
      </w:r>
      <w:r>
        <w:rPr>
          <w:rFonts w:ascii="Times New Roman" w:cs="Times New Roman" w:eastAsia="Times New Roman" w:hAnsi="Times New Roman"/>
          <w:sz w:val="22"/>
          <w:szCs w:val="22"/>
          <w:color w:val="auto"/>
        </w:rPr>
        <w:t>. Any Shares distributed pursuant to an Award may consist, in whole or in part, of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unissued Shares, treasury Shares or Shares purchased on the open market.</w:t>
      </w:r>
    </w:p>
    <w:p>
      <w:pPr>
        <w:spacing w:after="0" w:line="191" w:lineRule="exact"/>
        <w:rPr>
          <w:sz w:val="20"/>
          <w:szCs w:val="20"/>
          <w:color w:val="auto"/>
        </w:rPr>
      </w:pPr>
    </w:p>
    <w:p>
      <w:pPr>
        <w:ind w:left="328" w:right="8060" w:hanging="328"/>
        <w:spacing w:after="0" w:line="499" w:lineRule="auto"/>
        <w:tabs>
          <w:tab w:leader="none" w:pos="32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Administration of the Plan.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628" w:hanging="647"/>
        <w:spacing w:after="0" w:line="300"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64" w:lineRule="exact"/>
        <w:rPr>
          <w:sz w:val="20"/>
          <w:szCs w:val="20"/>
          <w:color w:val="auto"/>
        </w:rPr>
      </w:pPr>
    </w:p>
    <w:p>
      <w:pPr>
        <w:jc w:val="both"/>
        <w:ind w:left="1628" w:hanging="647"/>
        <w:spacing w:after="0" w:line="284"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9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w:t>
      </w:r>
    </w:p>
    <w:p>
      <w:pPr>
        <w:spacing w:after="0" w:line="35"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22"/>
          <w:szCs w:val="22"/>
          <w:color w:val="auto"/>
        </w:rPr>
        <w:t>(b) a Committee, which Committee will be constituted to comply with Applicable Laws.</w:t>
      </w:r>
    </w:p>
    <w:p>
      <w:pPr>
        <w:spacing w:after="0" w:line="256" w:lineRule="exact"/>
        <w:rPr>
          <w:sz w:val="20"/>
          <w:szCs w:val="20"/>
          <w:color w:val="auto"/>
        </w:rPr>
      </w:pPr>
    </w:p>
    <w:p>
      <w:pPr>
        <w:jc w:val="both"/>
        <w:ind w:left="1628" w:hanging="647"/>
        <w:spacing w:after="0" w:line="28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color w:val="auto"/>
        </w:rPr>
        <w:t>Delegation of Authority for Day-to-Day Administration</w:t>
      </w:r>
      <w:r>
        <w:rPr>
          <w:rFonts w:ascii="Times New Roman" w:cs="Times New Roman" w:eastAsia="Times New Roman" w:hAnsi="Times New Roman"/>
          <w:sz w:val="22"/>
          <w:szCs w:val="22"/>
          <w:color w:val="auto"/>
        </w:rPr>
        <w:t>. Except to the extent prohibited by Applicable Laws, the Administrator may delegate to one or more individuals the day-to-day administration of the Plan and any of the functions assigned to it in this Plan. Such delegation may be revoked at any time.</w:t>
      </w:r>
    </w:p>
    <w:p>
      <w:pPr>
        <w:spacing w:after="0" w:line="195" w:lineRule="exact"/>
        <w:rPr>
          <w:sz w:val="20"/>
          <w:szCs w:val="20"/>
          <w:color w:val="auto"/>
        </w:rPr>
      </w:pPr>
    </w:p>
    <w:p>
      <w:pPr>
        <w:jc w:val="both"/>
        <w:ind w:left="968" w:hanging="647"/>
        <w:spacing w:after="0" w:line="278" w:lineRule="auto"/>
        <w:tabs>
          <w:tab w:leader="none" w:pos="948"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 duties delegated by the Board to such Committee, the Administrator will have the authority, in its discretion:</w:t>
      </w:r>
    </w:p>
    <w:p>
      <w:pPr>
        <w:spacing w:after="0" w:line="205" w:lineRule="exact"/>
        <w:rPr>
          <w:sz w:val="20"/>
          <w:szCs w:val="20"/>
          <w:color w:val="auto"/>
        </w:rPr>
      </w:pPr>
    </w:p>
    <w:p>
      <w:pPr>
        <w:ind w:left="1948"/>
        <w:spacing w:after="0"/>
        <w:rPr>
          <w:sz w:val="20"/>
          <w:szCs w:val="20"/>
          <w:color w:val="auto"/>
        </w:rPr>
      </w:pPr>
      <w:r>
        <w:rPr>
          <w:rFonts w:ascii="Times New Roman" w:cs="Times New Roman" w:eastAsia="Times New Roman" w:hAnsi="Times New Roman"/>
          <w:sz w:val="22"/>
          <w:szCs w:val="22"/>
          <w:color w:val="auto"/>
        </w:rPr>
        <w:t>(a) to determine the Fair Market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9</w:t>
      </w:r>
    </w:p>
    <w:p>
      <w:pPr>
        <w:sectPr>
          <w:pgSz w:w="11900" w:h="16838" w:orient="portrait"/>
          <w:cols w:equalWidth="0" w:num="1">
            <w:col w:w="10908"/>
          </w:cols>
          <w:pgMar w:left="652" w:top="936" w:right="339" w:bottom="1440" w:gutter="0" w:footer="0" w:header="0"/>
        </w:sectPr>
      </w:pPr>
    </w:p>
    <w:bookmarkStart w:id="153" w:name="page154"/>
    <w:bookmarkEnd w:id="153"/>
    <w:p>
      <w:pPr>
        <w:ind w:left="1480" w:right="20" w:hanging="324"/>
        <w:spacing w:after="0" w:line="296" w:lineRule="auto"/>
        <w:tabs>
          <w:tab w:leader="none" w:pos="147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Awards to be granted and select the Service Providers to whom Awards may be granted hereunder;</w:t>
      </w:r>
    </w:p>
    <w:p>
      <w:pPr>
        <w:spacing w:after="0" w:line="185" w:lineRule="exact"/>
        <w:rPr>
          <w:rFonts w:ascii="Times New Roman" w:cs="Times New Roman" w:eastAsia="Times New Roman" w:hAnsi="Times New Roman"/>
          <w:sz w:val="22"/>
          <w:szCs w:val="22"/>
          <w:color w:val="auto"/>
        </w:rPr>
      </w:pPr>
    </w:p>
    <w:p>
      <w:pPr>
        <w:ind w:left="1480" w:hanging="324"/>
        <w:spacing w:after="0" w:line="296" w:lineRule="auto"/>
        <w:tabs>
          <w:tab w:leader="none" w:pos="14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dollar amounts to be covered by each Award granted hereunder;</w:t>
      </w:r>
    </w:p>
    <w:p>
      <w:pPr>
        <w:spacing w:after="0" w:line="185" w:lineRule="exact"/>
        <w:rPr>
          <w:rFonts w:ascii="Times New Roman" w:cs="Times New Roman" w:eastAsia="Times New Roman" w:hAnsi="Times New Roman"/>
          <w:sz w:val="22"/>
          <w:szCs w:val="22"/>
          <w:color w:val="auto"/>
        </w:rPr>
      </w:pPr>
    </w:p>
    <w:p>
      <w:pPr>
        <w:ind w:left="1480" w:hanging="324"/>
        <w:spacing w:after="0"/>
        <w:tabs>
          <w:tab w:leader="none" w:pos="14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60" w:lineRule="exact"/>
        <w:rPr>
          <w:rFonts w:ascii="Times New Roman" w:cs="Times New Roman" w:eastAsia="Times New Roman" w:hAnsi="Times New Roman"/>
          <w:sz w:val="22"/>
          <w:szCs w:val="22"/>
          <w:color w:val="auto"/>
        </w:rPr>
      </w:pPr>
    </w:p>
    <w:p>
      <w:pPr>
        <w:jc w:val="both"/>
        <w:ind w:left="1480" w:hanging="324"/>
        <w:spacing w:after="0" w:line="269" w:lineRule="auto"/>
        <w:tabs>
          <w:tab w:leader="none" w:pos="14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will determine;</w:t>
      </w:r>
    </w:p>
    <w:p>
      <w:pPr>
        <w:spacing w:after="0" w:line="215" w:lineRule="exact"/>
        <w:rPr>
          <w:rFonts w:ascii="Times New Roman" w:cs="Times New Roman" w:eastAsia="Times New Roman" w:hAnsi="Times New Roman"/>
          <w:sz w:val="22"/>
          <w:szCs w:val="22"/>
          <w:color w:val="auto"/>
        </w:rPr>
      </w:pPr>
    </w:p>
    <w:p>
      <w:pPr>
        <w:ind w:left="1480" w:right="20" w:hanging="324"/>
        <w:spacing w:after="0" w:line="296" w:lineRule="auto"/>
        <w:tabs>
          <w:tab w:leader="none" w:pos="14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implement and determine the terms and conditions of an Exchange Program, subject to stockholder approval of the Exchange Program as required in Section 2.19 of the Plan;</w:t>
      </w:r>
    </w:p>
    <w:p>
      <w:pPr>
        <w:spacing w:after="0" w:line="185" w:lineRule="exact"/>
        <w:rPr>
          <w:rFonts w:ascii="Times New Roman" w:cs="Times New Roman" w:eastAsia="Times New Roman" w:hAnsi="Times New Roman"/>
          <w:sz w:val="22"/>
          <w:szCs w:val="22"/>
          <w:color w:val="auto"/>
        </w:rPr>
      </w:pPr>
    </w:p>
    <w:p>
      <w:pPr>
        <w:ind w:left="1480" w:hanging="324"/>
        <w:spacing w:after="0"/>
        <w:tabs>
          <w:tab w:leader="none" w:pos="14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73" w:lineRule="exact"/>
        <w:rPr>
          <w:rFonts w:ascii="Times New Roman" w:cs="Times New Roman" w:eastAsia="Times New Roman" w:hAnsi="Times New Roman"/>
          <w:sz w:val="22"/>
          <w:szCs w:val="22"/>
          <w:color w:val="auto"/>
        </w:rPr>
      </w:pPr>
    </w:p>
    <w:p>
      <w:pPr>
        <w:jc w:val="both"/>
        <w:ind w:left="1480" w:hanging="324"/>
        <w:spacing w:after="0" w:line="281" w:lineRule="exact"/>
        <w:tabs>
          <w:tab w:leader="none" w:pos="147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245" w:lineRule="exact"/>
        <w:rPr>
          <w:rFonts w:ascii="Times New Roman" w:cs="Times New Roman" w:eastAsia="Times New Roman" w:hAnsi="Times New Roman"/>
          <w:sz w:val="22"/>
          <w:szCs w:val="22"/>
          <w:color w:val="auto"/>
        </w:rPr>
      </w:pPr>
    </w:p>
    <w:p>
      <w:pPr>
        <w:jc w:val="both"/>
        <w:ind w:left="1480" w:hanging="324"/>
        <w:spacing w:after="0" w:line="274" w:lineRule="auto"/>
        <w:tabs>
          <w:tab w:leader="none" w:pos="14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of the Plan), including but not limited to the discretionary authority to extend the post-termination exercisability period of Awards and to extend the maximum term of an Option or Stock Appreciation Right (subject to Sections 6.4 and 7.5 of the Plan);</w:t>
      </w:r>
    </w:p>
    <w:p>
      <w:pPr>
        <w:spacing w:after="0" w:line="208" w:lineRule="exact"/>
        <w:rPr>
          <w:rFonts w:ascii="Times New Roman" w:cs="Times New Roman" w:eastAsia="Times New Roman" w:hAnsi="Times New Roman"/>
          <w:sz w:val="22"/>
          <w:szCs w:val="22"/>
          <w:color w:val="auto"/>
        </w:rPr>
      </w:pPr>
    </w:p>
    <w:p>
      <w:pPr>
        <w:ind w:left="1480" w:right="20" w:hanging="324"/>
        <w:spacing w:after="0" w:line="296" w:lineRule="auto"/>
        <w:tabs>
          <w:tab w:leader="none" w:pos="14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for Tax-Related Amounts (and any other required amounts required by Applicable Laws) in a manner prescribed in Section 16 of the Plan;</w:t>
      </w: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10</w:t>
      </w:r>
    </w:p>
    <w:p>
      <w:pPr>
        <w:sectPr>
          <w:pgSz w:w="11900" w:h="16838" w:orient="portrait"/>
          <w:cols w:equalWidth="0" w:num="1">
            <w:col w:w="10120"/>
          </w:cols>
          <w:pgMar w:left="1440" w:top="936" w:right="339" w:bottom="1440" w:gutter="0" w:footer="0" w:header="0"/>
        </w:sectPr>
      </w:pPr>
    </w:p>
    <w:bookmarkStart w:id="154" w:name="page155"/>
    <w:bookmarkEnd w:id="154"/>
    <w:p>
      <w:pPr>
        <w:ind w:left="1940" w:hanging="324"/>
        <w:spacing w:after="0" w:line="296" w:lineRule="auto"/>
        <w:tabs>
          <w:tab w:leader="none" w:pos="193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85" w:lineRule="exact"/>
        <w:rPr>
          <w:rFonts w:ascii="Times New Roman" w:cs="Times New Roman" w:eastAsia="Times New Roman" w:hAnsi="Times New Roman"/>
          <w:sz w:val="22"/>
          <w:szCs w:val="22"/>
          <w:color w:val="auto"/>
        </w:rPr>
      </w:pPr>
    </w:p>
    <w:p>
      <w:pPr>
        <w:ind w:left="1940" w:hanging="324"/>
        <w:spacing w:after="0" w:line="296" w:lineRule="auto"/>
        <w:tabs>
          <w:tab w:leader="none" w:pos="192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or require a Participant to defer the receipt of the payment of cash or the delivery of Shares that otherwise would be due to such Participant under an Award;</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(m)to determine whether Awards will be settled in Shares, cash or in any combination thereof; and</w:t>
      </w:r>
    </w:p>
    <w:p>
      <w:pPr>
        <w:spacing w:after="0" w:line="2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 to make all other determinations deemed necessary or advisable for administering the Plan.</w:t>
      </w:r>
    </w:p>
    <w:p>
      <w:pPr>
        <w:spacing w:after="0" w:line="270"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b w:val="1"/>
          <w:bCs w:val="1"/>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and binding on all Participants and any other holders of Awards and will be given the maximum deference permitted by Applicable Laws.</w:t>
      </w:r>
    </w:p>
    <w:p>
      <w:pPr>
        <w:spacing w:after="0" w:line="195" w:lineRule="exact"/>
        <w:rPr>
          <w:sz w:val="20"/>
          <w:szCs w:val="20"/>
          <w:color w:val="auto"/>
        </w:rPr>
      </w:pPr>
    </w:p>
    <w:p>
      <w:pPr>
        <w:jc w:val="both"/>
        <w:ind w:left="640" w:hanging="647"/>
        <w:spacing w:after="0" w:line="284" w:lineRule="exact"/>
        <w:tabs>
          <w:tab w:leader="none" w:pos="6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b w:val="1"/>
          <w:bCs w:val="1"/>
          <w:color w:val="auto"/>
        </w:rPr>
        <w:t>Minimum Vesting Requirements</w:t>
      </w:r>
      <w:r>
        <w:rPr>
          <w:rFonts w:ascii="Times New Roman" w:cs="Times New Roman" w:eastAsia="Times New Roman" w:hAnsi="Times New Roman"/>
          <w:sz w:val="22"/>
          <w:szCs w:val="22"/>
          <w:color w:val="auto"/>
        </w:rPr>
        <w:t>. Full Value Awards shall be either (a) subject to a minimum vesting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three years (which may include graduated vesting within such three-year period), or one year if the vesting is based on performance criteria other than continued service, or (b) be granted solely in exchange for forgone cash compensation. Notwithstanding the foregoing, (i) the Administrator may at its discretion permit and authorize acceleration of vesting of Full Value Awards in the event of the Participant’s death, Disability, or retirement, or the occurrence of a Change in Control, (ii) the Administrator may grant Full Value Awards without the above-described minimum vesting requirements, or may permit and authorize acceleration of vesting of Full Value Awards otherwise subject to the above-described minimum vesting requirements, with respect to Awards covering five percent (5%) or fewer of the aggregate maximum number of Shares authorized under the Plan, and (iii) this Section 4.4 shall not apply to Awards granted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w:t>
      </w:r>
    </w:p>
    <w:p>
      <w:pPr>
        <w:spacing w:after="0" w:line="216" w:lineRule="exact"/>
        <w:rPr>
          <w:sz w:val="20"/>
          <w:szCs w:val="20"/>
          <w:color w:val="auto"/>
        </w:rPr>
      </w:pPr>
    </w:p>
    <w:p>
      <w:pPr>
        <w:jc w:val="both"/>
        <w:ind w:left="640" w:hanging="647"/>
        <w:spacing w:after="0" w:line="278" w:lineRule="auto"/>
        <w:tabs>
          <w:tab w:leader="none" w:pos="6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2"/>
          <w:szCs w:val="22"/>
          <w:b w:val="1"/>
          <w:bCs w:val="1"/>
          <w:color w:val="auto"/>
        </w:rPr>
        <w:t>Death or Disability</w:t>
      </w:r>
      <w:r>
        <w:rPr>
          <w:rFonts w:ascii="Times New Roman" w:cs="Times New Roman" w:eastAsia="Times New Roman" w:hAnsi="Times New Roman"/>
          <w:sz w:val="22"/>
          <w:szCs w:val="22"/>
          <w:color w:val="auto"/>
        </w:rPr>
        <w:t>. Except as otherwise provided in the Award Agreement, or any special Plan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governing an Award’s terms, upon a Participant ceasing to be a Service Provider by reason of his or her death or Disability:</w:t>
      </w:r>
    </w:p>
    <w:p>
      <w:pPr>
        <w:spacing w:after="0" w:line="205" w:lineRule="exact"/>
        <w:rPr>
          <w:sz w:val="20"/>
          <w:szCs w:val="20"/>
          <w:color w:val="auto"/>
        </w:rPr>
      </w:pPr>
    </w:p>
    <w:p>
      <w:pPr>
        <w:jc w:val="both"/>
        <w:ind w:left="1940" w:hanging="324"/>
        <w:spacing w:after="0" w:line="287" w:lineRule="auto"/>
        <w:tabs>
          <w:tab w:leader="none" w:pos="193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such Participant’s outstanding Options, SARs, and other Awards in the nature of rights that may be exercised that are solely subject to time-based vesting requirements shall become vested and fully exercisable as of the date of cessation of the Participant’s status as a Service Provider, and shall thereafter remain exercisable for a period of twelve (12) months or until the earlier expiration of the original term of the Option, SAR or other Award; provided, however, to the extent that an Option is exercised more than three (3) months after a Participant’s status as a Service Provider</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sz w:val="1"/>
          <w:szCs w:val="1"/>
          <w:color w:val="auto"/>
        </w:rPr>
        <w:drawing>
          <wp:inline distT="0" distB="0" distL="0" distR="0">
            <wp:extent cx="779780" cy="1625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79780"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ectPr>
          <w:pgSz w:w="11900" w:h="16838" w:orient="portrait"/>
          <w:cols w:equalWidth="0" w:num="1">
            <w:col w:w="10580"/>
          </w:cols>
          <w:pgMar w:left="980" w:top="1179" w:right="339" w:bottom="1440" w:gutter="0" w:footer="0" w:header="0"/>
        </w:sectPr>
      </w:pPr>
    </w:p>
    <w:bookmarkStart w:id="155" w:name="page156"/>
    <w:bookmarkEnd w:id="155"/>
    <w:p>
      <w:pPr>
        <w:ind w:left="1940"/>
        <w:spacing w:after="0" w:line="296" w:lineRule="auto"/>
        <w:rPr>
          <w:sz w:val="20"/>
          <w:szCs w:val="20"/>
          <w:color w:val="auto"/>
        </w:rPr>
      </w:pPr>
      <w:r>
        <w:rPr>
          <w:rFonts w:ascii="Times New Roman" w:cs="Times New Roman" w:eastAsia="Times New Roman" w:hAnsi="Times New Roman"/>
          <w:sz w:val="22"/>
          <w:szCs w:val="22"/>
          <w:color w:val="auto"/>
        </w:rPr>
        <w:t>terminates by reason of his or her Disability, the Option shall be deemed to be a Nonstatutory Stock Option.</w:t>
      </w:r>
    </w:p>
    <w:p>
      <w:pPr>
        <w:spacing w:after="0" w:line="186" w:lineRule="exact"/>
        <w:rPr>
          <w:sz w:val="20"/>
          <w:szCs w:val="20"/>
          <w:color w:val="auto"/>
        </w:rPr>
      </w:pPr>
    </w:p>
    <w:p>
      <w:pPr>
        <w:ind w:left="1940" w:hanging="324"/>
        <w:spacing w:after="0" w:line="296" w:lineRule="auto"/>
        <w:tabs>
          <w:tab w:leader="none" w:pos="193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time-based vesting restrictions on the Participant’s outstanding Awards shall lapse as of the date of cessation of the Participant’s status as a Service Provider.</w:t>
      </w:r>
    </w:p>
    <w:p>
      <w:pPr>
        <w:spacing w:after="0" w:line="185" w:lineRule="exact"/>
        <w:rPr>
          <w:rFonts w:ascii="Times New Roman" w:cs="Times New Roman" w:eastAsia="Times New Roman" w:hAnsi="Times New Roman"/>
          <w:sz w:val="22"/>
          <w:szCs w:val="22"/>
          <w:color w:val="auto"/>
        </w:rPr>
      </w:pPr>
    </w:p>
    <w:p>
      <w:pPr>
        <w:jc w:val="both"/>
        <w:ind w:left="1940" w:hanging="324"/>
        <w:spacing w:after="0" w:line="269" w:lineRule="auto"/>
        <w:tabs>
          <w:tab w:leader="none" w:pos="193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payout opportunities attainable under all of such Participant’s outstanding performance-based Awards shall be deemed to have been fully earned as of the date of cessation of the Participant’s status as a Service Provider based upon an assumed achievement of all relevant performance goals at the “target” level and there shall be a pro rata payout to the Participant or his or her estate within thirty (30) days following the date of such cessation (or any later date required by Section 12 of the Plan) based upon the length of time within the performance period that has elapsed prior to the date of cessation of the Participant’s status as a Service Provider.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Except as otherwise provided in this Section 4.5, any Awards shall thereafter continue or lapse in accordance with the other provisions of the Plan and the Award Agreement. Notwithstanding the foregoing, in the case of a cessation of a Participant’s status as a Service Provider by reason of his or her Disability, this Section 4.5 shall apply to such Participant only if the designated person in the Human Resources Department of the Participant’s employer (either the Company or an Affiliate)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b w:val="1"/>
          <w:bCs w:val="1"/>
          <w:color w:val="auto"/>
        </w:rPr>
        <w:t>Limitation on Awards.</w:t>
      </w:r>
    </w:p>
    <w:p>
      <w:pPr>
        <w:spacing w:after="0" w:line="275" w:lineRule="exact"/>
        <w:rPr>
          <w:sz w:val="20"/>
          <w:szCs w:val="20"/>
          <w:color w:val="auto"/>
        </w:rPr>
      </w:pPr>
    </w:p>
    <w:p>
      <w:pPr>
        <w:jc w:val="both"/>
        <w:ind w:left="1940" w:hanging="324"/>
        <w:spacing w:after="0" w:line="287" w:lineRule="auto"/>
        <w:tabs>
          <w:tab w:leader="none" w:pos="193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the Plan to the contrary (but subject to adjustment as provided in Section 15.1 of the Plan), the maximum number of Shares with respect to one or more Options and/or SARs that may be granted during any one calendar year under the Plan to any one Participant shall be 5,000,000. The maximum aggregate number of Shares covering Awards of Restricted Stock, Restricted Stock Units, Performance Awards or other Stock-Based Awards (other than Options or SARs) granted in any one calendar year to any one Participant shall be 5,000,000.</w:t>
      </w:r>
    </w:p>
    <w:p>
      <w:pPr>
        <w:spacing w:after="0" w:line="184" w:lineRule="exact"/>
        <w:rPr>
          <w:rFonts w:ascii="Times New Roman" w:cs="Times New Roman" w:eastAsia="Times New Roman" w:hAnsi="Times New Roman"/>
          <w:sz w:val="21"/>
          <w:szCs w:val="21"/>
          <w:color w:val="auto"/>
        </w:rPr>
      </w:pPr>
    </w:p>
    <w:p>
      <w:pPr>
        <w:jc w:val="both"/>
        <w:ind w:left="1940" w:hanging="324"/>
        <w:spacing w:after="0" w:line="295" w:lineRule="auto"/>
        <w:tabs>
          <w:tab w:leader="none" w:pos="193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subject to Awards granted during a single Fiscal Year to any Non-Employee Director, taken together with any cash fees paid to such Non-Employee Director during the Fiscal Year, shall not exceed USD 1,500,000 in total value (calculating the value of any such Awards based on the grant date fair value of such Awards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12</w:t>
      </w:r>
    </w:p>
    <w:p>
      <w:pPr>
        <w:sectPr>
          <w:pgSz w:w="11900" w:h="16838" w:orient="portrait"/>
          <w:cols w:equalWidth="0" w:num="1">
            <w:col w:w="10580"/>
          </w:cols>
          <w:pgMar w:left="980" w:top="936" w:right="339" w:bottom="1440" w:gutter="0" w:footer="0" w:header="0"/>
        </w:sectPr>
      </w:pPr>
    </w:p>
    <w:bookmarkStart w:id="156" w:name="page157"/>
    <w:bookmarkEnd w:id="156"/>
    <w:p>
      <w:pPr>
        <w:jc w:val="both"/>
        <w:ind w:left="328" w:hanging="328"/>
        <w:spacing w:after="0" w:line="284" w:lineRule="auto"/>
        <w:tabs>
          <w:tab w:leader="none" w:pos="32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or Other Stock-Based Awards may be granted to Service Providers. Incentive Stock Options may be granted only to Employees of the Company or of any Parent or Subsidiary of the Company.</w:t>
      </w:r>
    </w:p>
    <w:p>
      <w:pPr>
        <w:spacing w:after="0" w:line="195"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Options.</w:t>
      </w:r>
    </w:p>
    <w:p>
      <w:pPr>
        <w:spacing w:after="0" w:line="273" w:lineRule="exact"/>
        <w:rPr>
          <w:rFonts w:ascii="Times New Roman" w:cs="Times New Roman" w:eastAsia="Times New Roman" w:hAnsi="Times New Roman"/>
          <w:sz w:val="22"/>
          <w:szCs w:val="22"/>
          <w:color w:val="auto"/>
        </w:rPr>
      </w:pPr>
    </w:p>
    <w:p>
      <w:pPr>
        <w:ind w:left="968" w:hanging="648"/>
        <w:spacing w:after="0" w:line="27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conditions of the Plan, the Administrator, at any time and from time to time, may grant Options to Service Providers in such amounts as the Administrator, in its sole discretion, will determine.</w:t>
      </w:r>
    </w:p>
    <w:p>
      <w:pPr>
        <w:spacing w:after="0" w:line="200" w:lineRule="exact"/>
        <w:rPr>
          <w:rFonts w:ascii="Times New Roman" w:cs="Times New Roman" w:eastAsia="Times New Roman" w:hAnsi="Times New Roman"/>
          <w:sz w:val="22"/>
          <w:szCs w:val="22"/>
          <w:color w:val="auto"/>
        </w:rPr>
      </w:pPr>
    </w:p>
    <w:p>
      <w:pPr>
        <w:ind w:left="968" w:hanging="648"/>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204" w:lineRule="exact"/>
        <w:rPr>
          <w:rFonts w:ascii="Times New Roman" w:cs="Times New Roman" w:eastAsia="Times New Roman" w:hAnsi="Times New Roman"/>
          <w:sz w:val="22"/>
          <w:szCs w:val="22"/>
          <w:color w:val="auto"/>
        </w:rPr>
      </w:pPr>
    </w:p>
    <w:p>
      <w:pPr>
        <w:ind w:left="968" w:hanging="648"/>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(USD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Section 422 of the Code.</w:t>
      </w:r>
    </w:p>
    <w:p>
      <w:pPr>
        <w:spacing w:after="0" w:line="212" w:lineRule="exact"/>
        <w:rPr>
          <w:rFonts w:ascii="Times New Roman" w:cs="Times New Roman" w:eastAsia="Times New Roman" w:hAnsi="Times New Roman"/>
          <w:sz w:val="22"/>
          <w:szCs w:val="22"/>
          <w:color w:val="auto"/>
        </w:rPr>
      </w:pPr>
    </w:p>
    <w:p>
      <w:pPr>
        <w:ind w:left="968" w:hanging="648"/>
        <w:spacing w:after="0" w:line="26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spacing w:after="0" w:line="1"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Option Exercise Price and Consideration</w:t>
      </w:r>
      <w:r>
        <w:rPr>
          <w:rFonts w:ascii="Times New Roman" w:cs="Times New Roman" w:eastAsia="Times New Roman" w:hAnsi="Times New Roman"/>
          <w:sz w:val="22"/>
          <w:szCs w:val="22"/>
          <w:color w:val="auto"/>
        </w:rPr>
        <w:t>.</w:t>
      </w:r>
    </w:p>
    <w:p>
      <w:pPr>
        <w:spacing w:after="0" w:line="257" w:lineRule="exact"/>
        <w:rPr>
          <w:sz w:val="20"/>
          <w:szCs w:val="20"/>
          <w:color w:val="auto"/>
        </w:rPr>
      </w:pPr>
    </w:p>
    <w:p>
      <w:pPr>
        <w:jc w:val="both"/>
        <w:ind w:left="1628" w:hanging="647"/>
        <w:spacing w:after="0" w:line="272"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ectPr>
          <w:pgSz w:w="11900" w:h="16838" w:orient="portrait"/>
          <w:cols w:equalWidth="0" w:num="1">
            <w:col w:w="10908"/>
          </w:cols>
          <w:pgMar w:left="652" w:top="932" w:right="339" w:bottom="1440" w:gutter="0" w:footer="0" w:header="0"/>
        </w:sectPr>
      </w:pPr>
    </w:p>
    <w:bookmarkStart w:id="157" w:name="page158"/>
    <w:bookmarkEnd w:id="157"/>
    <w:p>
      <w:pPr>
        <w:jc w:val="both"/>
        <w:ind w:left="1300"/>
        <w:spacing w:after="0" w:line="282" w:lineRule="auto"/>
        <w:rPr>
          <w:sz w:val="20"/>
          <w:szCs w:val="20"/>
          <w:color w:val="auto"/>
        </w:rPr>
      </w:pPr>
      <w:r>
        <w:rPr>
          <w:rFonts w:ascii="Times New Roman" w:cs="Times New Roman" w:eastAsia="Times New Roman" w:hAnsi="Times New Roman"/>
          <w:sz w:val="22"/>
          <w:szCs w:val="22"/>
          <w:color w:val="auto"/>
        </w:rPr>
        <w:t>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98" w:lineRule="exact"/>
        <w:rPr>
          <w:sz w:val="20"/>
          <w:szCs w:val="20"/>
          <w:color w:val="auto"/>
        </w:rPr>
      </w:pPr>
    </w:p>
    <w:p>
      <w:pPr>
        <w:jc w:val="both"/>
        <w:ind w:left="1300" w:hanging="647"/>
        <w:spacing w:after="0" w:line="278"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201" w:lineRule="exact"/>
        <w:rPr>
          <w:sz w:val="20"/>
          <w:szCs w:val="20"/>
          <w:color w:val="auto"/>
        </w:rPr>
      </w:pPr>
    </w:p>
    <w:p>
      <w:pPr>
        <w:jc w:val="both"/>
        <w:ind w:left="1300" w:hanging="647"/>
        <w:spacing w:after="0" w:line="269"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b w:val="1"/>
          <w:bCs w:val="1"/>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Such consideration may consist entirely of, without limitation: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74" w:lineRule="exact"/>
        <w:rPr>
          <w:sz w:val="20"/>
          <w:szCs w:val="20"/>
          <w:color w:val="auto"/>
        </w:rPr>
      </w:pPr>
    </w:p>
    <w:p>
      <w:pPr>
        <w:jc w:val="both"/>
        <w:ind w:left="1300" w:hanging="647"/>
        <w:spacing w:after="0" w:line="275" w:lineRule="auto"/>
        <w:rPr>
          <w:sz w:val="20"/>
          <w:szCs w:val="20"/>
          <w:color w:val="auto"/>
        </w:rPr>
      </w:pPr>
      <w:r>
        <w:rPr>
          <w:rFonts w:ascii="Times New Roman" w:cs="Times New Roman" w:eastAsia="Times New Roman" w:hAnsi="Times New Roman"/>
          <w:sz w:val="22"/>
          <w:szCs w:val="22"/>
          <w:color w:val="auto"/>
        </w:rPr>
        <w:t xml:space="preserve">6.6.1. </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8" w:lineRule="exact"/>
        <w:rPr>
          <w:sz w:val="20"/>
          <w:szCs w:val="20"/>
          <w:color w:val="auto"/>
        </w:rPr>
      </w:pPr>
    </w:p>
    <w:p>
      <w:pPr>
        <w:jc w:val="both"/>
        <w:ind w:left="560" w:firstLine="729"/>
        <w:spacing w:after="0" w:line="269"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and in accordance with the procedures as the Administrator may specify from time to time (which, for the avoidance of doubt, may include automatic exercise on terms specified by the Administrator) from the person entitled to exercise the Option, and (b) full payment for the Shares with respect to which the Option is exercised (together with applicable withholdings). Full payment may consist of any consideration and method of payment authorized by the Administrator and permitted by the Award Agreement and the Plan. The Administrator, in its discretion, also may determine that an Option will be automatically exercised on terms specified by the Administrator.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14</w:t>
      </w:r>
    </w:p>
    <w:p>
      <w:pPr>
        <w:sectPr>
          <w:pgSz w:w="11900" w:h="16838" w:orient="portrait"/>
          <w:cols w:equalWidth="0" w:num="1">
            <w:col w:w="10580"/>
          </w:cols>
          <w:pgMar w:left="980" w:top="936" w:right="339" w:bottom="1440" w:gutter="0" w:footer="0" w:header="0"/>
        </w:sectPr>
      </w:pPr>
    </w:p>
    <w:bookmarkStart w:id="158" w:name="page159"/>
    <w:bookmarkEnd w:id="158"/>
    <w:p>
      <w:pPr>
        <w:jc w:val="both"/>
        <w:ind w:left="100"/>
        <w:spacing w:after="0" w:line="278" w:lineRule="auto"/>
        <w:rPr>
          <w:sz w:val="20"/>
          <w:szCs w:val="20"/>
          <w:color w:val="auto"/>
        </w:rPr>
      </w:pPr>
      <w:r>
        <w:rPr>
          <w:rFonts w:ascii="Times New Roman" w:cs="Times New Roman" w:eastAsia="Times New Roman" w:hAnsi="Times New Roman"/>
          <w:sz w:val="22"/>
          <w:szCs w:val="22"/>
          <w:color w:val="auto"/>
        </w:rPr>
        <w:t>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205" w:lineRule="exact"/>
        <w:rPr>
          <w:sz w:val="20"/>
          <w:szCs w:val="20"/>
          <w:color w:val="auto"/>
        </w:rPr>
      </w:pPr>
    </w:p>
    <w:p>
      <w:pPr>
        <w:jc w:val="both"/>
        <w:ind w:left="100" w:firstLine="729"/>
        <w:spacing w:after="0" w:line="276"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(except as provided otherwise under Section 3.2 of the Plan) and for sale under the Option, by the number of Shares as to which the Option is exercised.</w:t>
      </w:r>
    </w:p>
    <w:p>
      <w:pPr>
        <w:spacing w:after="0" w:line="203" w:lineRule="exact"/>
        <w:rPr>
          <w:sz w:val="20"/>
          <w:szCs w:val="20"/>
          <w:color w:val="auto"/>
        </w:rPr>
      </w:pPr>
    </w:p>
    <w:p>
      <w:pPr>
        <w:jc w:val="both"/>
        <w:ind w:left="840" w:hanging="647"/>
        <w:spacing w:after="0" w:line="269" w:lineRule="auto"/>
        <w:rPr>
          <w:sz w:val="20"/>
          <w:szCs w:val="20"/>
          <w:color w:val="auto"/>
        </w:rPr>
      </w:pPr>
      <w:r>
        <w:rPr>
          <w:rFonts w:ascii="Times New Roman" w:cs="Times New Roman" w:eastAsia="Times New Roman" w:hAnsi="Times New Roman"/>
          <w:sz w:val="22"/>
          <w:szCs w:val="22"/>
          <w:color w:val="auto"/>
        </w:rPr>
        <w:t xml:space="preserve">6.6.2. </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of the Plan.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215" w:lineRule="exact"/>
        <w:rPr>
          <w:sz w:val="20"/>
          <w:szCs w:val="20"/>
          <w:color w:val="auto"/>
        </w:rPr>
      </w:pPr>
    </w:p>
    <w:p>
      <w:pPr>
        <w:jc w:val="both"/>
        <w:ind w:left="840" w:hanging="647"/>
        <w:spacing w:after="0" w:line="269" w:lineRule="auto"/>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If a Participant dies while a Service Provider, the Option (to the extent vested) may be exercised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b w:val="1"/>
          <w:bCs w:val="1"/>
          <w:color w:val="auto"/>
        </w:rPr>
        <w:t>Legal Representative</w:t>
      </w:r>
      <w:r>
        <w:rPr>
          <w:rFonts w:ascii="Times New Roman" w:cs="Times New Roman" w:eastAsia="Times New Roman" w:hAnsi="Times New Roman"/>
          <w:sz w:val="22"/>
          <w:szCs w:val="22"/>
          <w:color w:val="auto"/>
        </w:rPr>
        <w:t>”). If the Option is exercised pursuant to this Section 6.6.3, the Participant’s designated beneficiary or Legal Representative shall be subject to the terms of this Plan and the Award Agreement, including but not limited to the restrictions on transferability and forfeitability applicable to the Service Provider.</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6.6.4.  </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78" w:lineRule="exact"/>
        <w:rPr>
          <w:sz w:val="20"/>
          <w:szCs w:val="20"/>
          <w:color w:val="auto"/>
        </w:rPr>
      </w:pPr>
    </w:p>
    <w:p>
      <w:pPr>
        <w:jc w:val="both"/>
        <w:ind w:left="1480" w:hanging="324"/>
        <w:spacing w:after="0" w:line="276" w:lineRule="auto"/>
        <w:tabs>
          <w:tab w:leader="none" w:pos="147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would result in liability under Section 16b, then the Option will terminate on the earlier of</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15</w:t>
      </w:r>
    </w:p>
    <w:p>
      <w:pPr>
        <w:sectPr>
          <w:pgSz w:w="11900" w:h="16838" w:orient="portrait"/>
          <w:cols w:equalWidth="0" w:num="1">
            <w:col w:w="10120"/>
          </w:cols>
          <w:pgMar w:left="1440" w:top="936" w:right="339" w:bottom="1440" w:gutter="0" w:footer="0" w:header="0"/>
        </w:sectPr>
      </w:pPr>
    </w:p>
    <w:bookmarkStart w:id="159" w:name="page160"/>
    <w:bookmarkEnd w:id="159"/>
    <w:p>
      <w:pPr>
        <w:ind w:left="2268"/>
        <w:spacing w:after="0" w:line="296" w:lineRule="auto"/>
        <w:rPr>
          <w:sz w:val="20"/>
          <w:szCs w:val="20"/>
          <w:color w:val="auto"/>
        </w:rPr>
      </w:pPr>
      <w:r>
        <w:rPr>
          <w:rFonts w:ascii="Times New Roman" w:cs="Times New Roman" w:eastAsia="Times New Roman" w:hAnsi="Times New Roman"/>
          <w:sz w:val="22"/>
          <w:szCs w:val="22"/>
          <w:color w:val="auto"/>
        </w:rPr>
        <w:t>(i) the expiration of the term of the Option set forth in the Award Agreement, or (ii) the tenth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85" w:lineRule="exact"/>
        <w:rPr>
          <w:sz w:val="20"/>
          <w:szCs w:val="20"/>
          <w:color w:val="auto"/>
        </w:rPr>
      </w:pPr>
    </w:p>
    <w:p>
      <w:pPr>
        <w:jc w:val="both"/>
        <w:ind w:left="2268" w:hanging="324"/>
        <w:spacing w:after="0" w:line="271" w:lineRule="auto"/>
        <w:tabs>
          <w:tab w:leader="none" w:pos="226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the Participant’s status as a Service Provider (other than upon the Participant’s death)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21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Appreciation Rights.</w:t>
      </w:r>
    </w:p>
    <w:p>
      <w:pPr>
        <w:spacing w:after="0" w:line="260" w:lineRule="exact"/>
        <w:rPr>
          <w:rFonts w:ascii="Times New Roman" w:cs="Times New Roman" w:eastAsia="Times New Roman" w:hAnsi="Times New Roman"/>
          <w:sz w:val="22"/>
          <w:szCs w:val="22"/>
          <w:color w:val="auto"/>
        </w:rPr>
      </w:pPr>
    </w:p>
    <w:p>
      <w:pPr>
        <w:ind w:left="968"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95" w:lineRule="exact"/>
        <w:rPr>
          <w:rFonts w:ascii="Times New Roman" w:cs="Times New Roman" w:eastAsia="Times New Roman" w:hAnsi="Times New Roman"/>
          <w:sz w:val="22"/>
          <w:szCs w:val="22"/>
          <w:color w:val="auto"/>
        </w:rPr>
      </w:pPr>
    </w:p>
    <w:p>
      <w:pPr>
        <w:ind w:left="968" w:hanging="648"/>
        <w:spacing w:after="0" w:line="30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the terms and conditions of the Plan, the Administrator will have complete discretion to determine the number of Shares subject to any Award of Stock Appreciation Rights.</w:t>
      </w:r>
    </w:p>
    <w:p>
      <w:pPr>
        <w:spacing w:after="0" w:line="164" w:lineRule="exact"/>
        <w:rPr>
          <w:rFonts w:ascii="Times New Roman" w:cs="Times New Roman" w:eastAsia="Times New Roman" w:hAnsi="Times New Roman"/>
          <w:sz w:val="22"/>
          <w:szCs w:val="22"/>
          <w:color w:val="auto"/>
        </w:rPr>
      </w:pPr>
    </w:p>
    <w:p>
      <w:pPr>
        <w:ind w:left="968" w:hanging="648"/>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color w:val="auto"/>
        </w:rPr>
        <w:t>Exercise Price and Other Terms</w:t>
      </w:r>
      <w:r>
        <w:rPr>
          <w:rFonts w:ascii="Times New Roman" w:cs="Times New Roman" w:eastAsia="Times New Roman" w:hAnsi="Times New Roman"/>
          <w:sz w:val="21"/>
          <w:szCs w:val="21"/>
          <w:color w:val="auto"/>
        </w:rPr>
        <w:t>. The per Share exercise price for the Shares that will determine the amount of the payment to be received upon exercise of a Stock Appreciation Right as set forth in Section 7.6 of the Plan will be determined by the Administrator and will be no less than one hundred percent (100%) of the Fair Market Value per Share on the date of grant. Notwithstanding the foregoing provisions of this Section 7.3, Stock Appreciation Rights may be granted with a per 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95" w:lineRule="exact"/>
        <w:rPr>
          <w:rFonts w:ascii="Times New Roman" w:cs="Times New Roman" w:eastAsia="Times New Roman" w:hAnsi="Times New Roman"/>
          <w:sz w:val="22"/>
          <w:szCs w:val="22"/>
          <w:color w:val="auto"/>
        </w:rPr>
      </w:pPr>
    </w:p>
    <w:p>
      <w:pPr>
        <w:ind w:left="968" w:hanging="648"/>
        <w:spacing w:after="0" w:line="27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rFonts w:ascii="Times New Roman" w:cs="Times New Roman" w:eastAsia="Times New Roman" w:hAnsi="Times New Roman"/>
          <w:sz w:val="22"/>
          <w:szCs w:val="22"/>
          <w:color w:val="auto"/>
        </w:rPr>
      </w:pPr>
    </w:p>
    <w:p>
      <w:pPr>
        <w:ind w:left="968" w:hanging="648"/>
        <w:spacing w:after="0" w:line="27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Term and 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of the Plan relating to the maximum term (disregarding any special rules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16</w:t>
      </w:r>
    </w:p>
    <w:p>
      <w:pPr>
        <w:sectPr>
          <w:pgSz w:w="11900" w:h="16838" w:orient="portrait"/>
          <w:cols w:equalWidth="0" w:num="1">
            <w:col w:w="10908"/>
          </w:cols>
          <w:pgMar w:left="652" w:top="936" w:right="339" w:bottom="1440" w:gutter="0" w:footer="0" w:header="0"/>
        </w:sectPr>
      </w:pPr>
    </w:p>
    <w:bookmarkStart w:id="160" w:name="page161"/>
    <w:bookmarkEnd w:id="160"/>
    <w:p>
      <w:pPr>
        <w:ind w:left="968"/>
        <w:spacing w:after="0" w:line="296" w:lineRule="auto"/>
        <w:rPr>
          <w:sz w:val="20"/>
          <w:szCs w:val="20"/>
          <w:color w:val="auto"/>
        </w:rPr>
      </w:pPr>
      <w:r>
        <w:rPr>
          <w:rFonts w:ascii="Times New Roman" w:cs="Times New Roman" w:eastAsia="Times New Roman" w:hAnsi="Times New Roman"/>
          <w:sz w:val="22"/>
          <w:szCs w:val="22"/>
          <w:color w:val="auto"/>
        </w:rPr>
        <w:t>applicable only to Incentive Stock Options) and Section 6.6 of the Plan relating to exercise also will apply to Stock Appreciation Rights.</w:t>
      </w:r>
    </w:p>
    <w:p>
      <w:pPr>
        <w:spacing w:after="0" w:line="182" w:lineRule="exact"/>
        <w:rPr>
          <w:sz w:val="20"/>
          <w:szCs w:val="20"/>
          <w:color w:val="auto"/>
        </w:rPr>
      </w:pPr>
    </w:p>
    <w:p>
      <w:pPr>
        <w:ind w:left="968" w:hanging="647"/>
        <w:spacing w:after="0" w:line="300" w:lineRule="auto"/>
        <w:tabs>
          <w:tab w:leader="none" w:pos="948"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 Upon exercise of a Stock Appreciation Right, a Participant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entitled to receive payment from the Company in an amount determined by multiplying:</w:t>
      </w:r>
    </w:p>
    <w:p>
      <w:pPr>
        <w:spacing w:after="0" w:line="182" w:lineRule="exact"/>
        <w:rPr>
          <w:sz w:val="20"/>
          <w:szCs w:val="20"/>
          <w:color w:val="auto"/>
        </w:rPr>
      </w:pPr>
    </w:p>
    <w:p>
      <w:pPr>
        <w:ind w:left="2268" w:hanging="324"/>
        <w:spacing w:after="0" w:line="284" w:lineRule="auto"/>
        <w:tabs>
          <w:tab w:leader="none" w:pos="226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 exercise price; times</w:t>
      </w:r>
    </w:p>
    <w:p>
      <w:pPr>
        <w:spacing w:after="0" w:line="197" w:lineRule="exact"/>
        <w:rPr>
          <w:rFonts w:ascii="Times New Roman" w:cs="Times New Roman" w:eastAsia="Times New Roman" w:hAnsi="Times New Roman"/>
          <w:sz w:val="22"/>
          <w:szCs w:val="22"/>
          <w:color w:val="auto"/>
        </w:rPr>
      </w:pPr>
    </w:p>
    <w:p>
      <w:pPr>
        <w:ind w:left="2268" w:hanging="324"/>
        <w:spacing w:after="0"/>
        <w:tabs>
          <w:tab w:leader="none" w:pos="226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31" w:lineRule="exact"/>
        <w:rPr>
          <w:sz w:val="20"/>
          <w:szCs w:val="20"/>
          <w:color w:val="auto"/>
        </w:rPr>
      </w:pPr>
    </w:p>
    <w:p>
      <w:pPr>
        <w:ind w:left="888" w:firstLine="729"/>
        <w:spacing w:after="0" w:line="296"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82" w:lineRule="exact"/>
        <w:rPr>
          <w:sz w:val="20"/>
          <w:szCs w:val="20"/>
          <w:color w:val="auto"/>
        </w:rPr>
      </w:pPr>
    </w:p>
    <w:p>
      <w:pPr>
        <w:ind w:left="328" w:hanging="328"/>
        <w:spacing w:after="0"/>
        <w:tabs>
          <w:tab w:leader="none" w:pos="32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w:t>
      </w:r>
    </w:p>
    <w:p>
      <w:pPr>
        <w:spacing w:after="0" w:line="260" w:lineRule="exact"/>
        <w:rPr>
          <w:rFonts w:ascii="Times New Roman" w:cs="Times New Roman" w:eastAsia="Times New Roman" w:hAnsi="Times New Roman"/>
          <w:sz w:val="22"/>
          <w:szCs w:val="22"/>
          <w:color w:val="auto"/>
        </w:rPr>
      </w:pPr>
    </w:p>
    <w:p>
      <w:pPr>
        <w:ind w:left="968"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conditions of the Plan, the Administrator, at any time and from time to time, may grant Shares of Restricted Stock to Service Providers in such amounts as the Administrator, in its sole discretion, will determine.</w:t>
      </w:r>
    </w:p>
    <w:p>
      <w:pPr>
        <w:spacing w:after="0" w:line="195" w:lineRule="exact"/>
        <w:rPr>
          <w:rFonts w:ascii="Times New Roman" w:cs="Times New Roman" w:eastAsia="Times New Roman" w:hAnsi="Times New Roman"/>
          <w:sz w:val="22"/>
          <w:szCs w:val="22"/>
          <w:color w:val="auto"/>
        </w:rPr>
      </w:pPr>
    </w:p>
    <w:p>
      <w:pPr>
        <w:ind w:left="968" w:hanging="648"/>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Subject to Section 4.4 of the Plan, the Administrator, in its sole discretion, may determine that an Award of Restricted Stock will not be subject to any Period of Restriction and consideration for such Award is paid for by past services rendered as a Service Provider.</w:t>
      </w:r>
    </w:p>
    <w:p>
      <w:pPr>
        <w:spacing w:after="0" w:line="193" w:lineRule="exact"/>
        <w:rPr>
          <w:rFonts w:ascii="Times New Roman" w:cs="Times New Roman" w:eastAsia="Times New Roman" w:hAnsi="Times New Roman"/>
          <w:sz w:val="22"/>
          <w:szCs w:val="22"/>
          <w:color w:val="auto"/>
        </w:rPr>
      </w:pPr>
    </w:p>
    <w:p>
      <w:pPr>
        <w:ind w:left="968"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95" w:lineRule="exact"/>
        <w:rPr>
          <w:rFonts w:ascii="Times New Roman" w:cs="Times New Roman" w:eastAsia="Times New Roman" w:hAnsi="Times New Roman"/>
          <w:sz w:val="22"/>
          <w:szCs w:val="22"/>
          <w:color w:val="auto"/>
        </w:rPr>
      </w:pPr>
    </w:p>
    <w:p>
      <w:pPr>
        <w:ind w:left="968" w:right="20" w:hanging="648"/>
        <w:spacing w:after="0" w:line="30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64" w:lineRule="exact"/>
        <w:rPr>
          <w:rFonts w:ascii="Times New Roman" w:cs="Times New Roman" w:eastAsia="Times New Roman" w:hAnsi="Times New Roman"/>
          <w:sz w:val="22"/>
          <w:szCs w:val="22"/>
          <w:color w:val="auto"/>
        </w:rPr>
      </w:pPr>
    </w:p>
    <w:p>
      <w:pPr>
        <w:ind w:left="968" w:hanging="648"/>
        <w:spacing w:after="0" w:line="27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448"/>
        <w:spacing w:after="0"/>
        <w:rPr>
          <w:sz w:val="20"/>
          <w:szCs w:val="20"/>
          <w:color w:val="auto"/>
        </w:rPr>
      </w:pPr>
      <w:r>
        <w:rPr>
          <w:sz w:val="1"/>
          <w:szCs w:val="1"/>
          <w:color w:val="auto"/>
        </w:rPr>
        <w:drawing>
          <wp:inline distT="0" distB="0" distL="0" distR="0">
            <wp:extent cx="780415" cy="1625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ectPr>
          <w:pgSz w:w="11900" w:h="16838" w:orient="portrait"/>
          <w:cols w:equalWidth="0" w:num="1">
            <w:col w:w="10908"/>
          </w:cols>
          <w:pgMar w:left="652" w:top="936" w:right="339" w:bottom="1440" w:gutter="0" w:footer="0" w:header="0"/>
        </w:sectPr>
      </w:pPr>
    </w:p>
    <w:bookmarkStart w:id="161" w:name="page162"/>
    <w:bookmarkEnd w:id="161"/>
    <w:p>
      <w:pPr>
        <w:jc w:val="both"/>
        <w:ind w:left="1300" w:hanging="647"/>
        <w:spacing w:after="0" w:line="284" w:lineRule="auto"/>
        <w:tabs>
          <w:tab w:leader="none" w:pos="12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may exercise full voting rights with respect to those Shares, unless the Administrator determines otherwise.</w:t>
      </w:r>
    </w:p>
    <w:p>
      <w:pPr>
        <w:spacing w:after="0" w:line="195"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2"/>
          <w:szCs w:val="22"/>
          <w:b w:val="1"/>
          <w:bCs w:val="1"/>
          <w:color w:val="auto"/>
        </w:rPr>
        <w:t>Dividends and Other Distributions</w:t>
      </w:r>
      <w:r>
        <w:rPr>
          <w:rFonts w:ascii="Times New Roman" w:cs="Times New Roman" w:eastAsia="Times New Roman" w:hAnsi="Times New Roman"/>
          <w:sz w:val="22"/>
          <w:szCs w:val="22"/>
          <w:color w:val="auto"/>
        </w:rPr>
        <w:t>. During the Period of Restriction, Service Providers holding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will not be entitled to receive dividends and other distributions paid with respect to unvested Shares. Instead, to the limited extent provided in Section 25 and only if determined by the Administrator, such dividends and other distributions will accrue and be paid if (and only if) the underlying Shares vest. If any such dividends or distributions are paid in Shares, the Shares will be subject to the same restrictions on transferability and forfeitability as the Shares of Restricted Stock with respect to which they were paid.</w:t>
      </w:r>
    </w:p>
    <w:p>
      <w:pPr>
        <w:spacing w:after="0" w:line="210" w:lineRule="exact"/>
        <w:rPr>
          <w:sz w:val="20"/>
          <w:szCs w:val="20"/>
          <w:color w:val="auto"/>
        </w:rPr>
      </w:pPr>
    </w:p>
    <w:p>
      <w:pPr>
        <w:jc w:val="both"/>
        <w:ind w:left="1300" w:hanging="647"/>
        <w:spacing w:after="0" w:line="278" w:lineRule="auto"/>
        <w:tabs>
          <w:tab w:leader="none" w:pos="128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2"/>
          <w:szCs w:val="22"/>
          <w:b w:val="1"/>
          <w:bCs w:val="1"/>
          <w:color w:val="auto"/>
        </w:rPr>
        <w:t>Return of Restricted Stock to Company</w:t>
      </w:r>
      <w:r>
        <w:rPr>
          <w:rFonts w:ascii="Times New Roman" w:cs="Times New Roman" w:eastAsia="Times New Roman" w:hAnsi="Times New Roman"/>
          <w:sz w:val="22"/>
          <w:szCs w:val="22"/>
          <w:color w:val="auto"/>
        </w:rPr>
        <w:t>. On the date set forth in the Award Agreement, the Restricted Stock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restrictions have not lapsed will revert to the Company and again will become available for grant under the Plan.</w:t>
      </w:r>
    </w:p>
    <w:p>
      <w:pPr>
        <w:spacing w:after="0" w:line="201"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p>
    <w:p>
      <w:pPr>
        <w:spacing w:after="0" w:line="273" w:lineRule="exact"/>
        <w:rPr>
          <w:rFonts w:ascii="Times New Roman" w:cs="Times New Roman" w:eastAsia="Times New Roman" w:hAnsi="Times New Roman"/>
          <w:sz w:val="22"/>
          <w:szCs w:val="22"/>
          <w:color w:val="auto"/>
        </w:rPr>
      </w:pPr>
    </w:p>
    <w:p>
      <w:pPr>
        <w:ind w:left="1300" w:hanging="648"/>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204" w:lineRule="exact"/>
        <w:rPr>
          <w:rFonts w:ascii="Times New Roman" w:cs="Times New Roman" w:eastAsia="Times New Roman" w:hAnsi="Times New Roman"/>
          <w:sz w:val="22"/>
          <w:szCs w:val="22"/>
          <w:color w:val="auto"/>
        </w:rPr>
      </w:pPr>
    </w:p>
    <w:p>
      <w:pPr>
        <w:ind w:left="1300" w:hanging="648"/>
        <w:spacing w:after="0" w:line="27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08" w:lineRule="exact"/>
        <w:rPr>
          <w:rFonts w:ascii="Times New Roman" w:cs="Times New Roman" w:eastAsia="Times New Roman" w:hAnsi="Times New Roman"/>
          <w:sz w:val="22"/>
          <w:szCs w:val="22"/>
          <w:color w:val="auto"/>
        </w:rPr>
      </w:pPr>
    </w:p>
    <w:p>
      <w:pPr>
        <w:ind w:left="1300" w:hanging="648"/>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204" w:lineRule="exact"/>
        <w:rPr>
          <w:rFonts w:ascii="Times New Roman" w:cs="Times New Roman" w:eastAsia="Times New Roman" w:hAnsi="Times New Roman"/>
          <w:sz w:val="22"/>
          <w:szCs w:val="22"/>
          <w:color w:val="auto"/>
        </w:rPr>
      </w:pPr>
    </w:p>
    <w:p>
      <w:pPr>
        <w:ind w:left="1300" w:right="20"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18</w:t>
      </w:r>
    </w:p>
    <w:p>
      <w:pPr>
        <w:sectPr>
          <w:pgSz w:w="11900" w:h="16838" w:orient="portrait"/>
          <w:cols w:equalWidth="0" w:num="1">
            <w:col w:w="11240"/>
          </w:cols>
          <w:pgMar w:left="320" w:top="932" w:right="339" w:bottom="1440" w:gutter="0" w:footer="0" w:header="0"/>
        </w:sectPr>
      </w:pPr>
    </w:p>
    <w:bookmarkStart w:id="162" w:name="page163"/>
    <w:bookmarkEnd w:id="162"/>
    <w:p>
      <w:pPr>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or unvested Restricted Stock Units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forfeited to the Company.</w:t>
      </w:r>
    </w:p>
    <w:p>
      <w:pPr>
        <w:spacing w:after="0" w:line="17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Awards.</w:t>
      </w:r>
    </w:p>
    <w:p>
      <w:pPr>
        <w:spacing w:after="0" w:line="273" w:lineRule="exact"/>
        <w:rPr>
          <w:rFonts w:ascii="Times New Roman" w:cs="Times New Roman" w:eastAsia="Times New Roman" w:hAnsi="Times New Roman"/>
          <w:sz w:val="22"/>
          <w:szCs w:val="22"/>
          <w:color w:val="auto"/>
        </w:rPr>
      </w:pPr>
    </w:p>
    <w:p>
      <w:pPr>
        <w:ind w:left="1300" w:hanging="648"/>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and such other terms and conditions as the Administrator determines. Each Performance Award will have an initial value that is determined by the Administrator on or before its date of grant.</w:t>
      </w:r>
    </w:p>
    <w:p>
      <w:pPr>
        <w:spacing w:after="0" w:line="204" w:lineRule="exact"/>
        <w:rPr>
          <w:rFonts w:ascii="Times New Roman" w:cs="Times New Roman" w:eastAsia="Times New Roman" w:hAnsi="Times New Roman"/>
          <w:sz w:val="22"/>
          <w:szCs w:val="22"/>
          <w:color w:val="auto"/>
        </w:rPr>
      </w:pPr>
    </w:p>
    <w:p>
      <w:pPr>
        <w:ind w:left="1300" w:hanging="648"/>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10" w:lineRule="exact"/>
        <w:rPr>
          <w:rFonts w:ascii="Times New Roman" w:cs="Times New Roman" w:eastAsia="Times New Roman" w:hAnsi="Times New Roman"/>
          <w:sz w:val="22"/>
          <w:szCs w:val="22"/>
          <w:color w:val="auto"/>
        </w:rPr>
      </w:pPr>
    </w:p>
    <w:p>
      <w:pPr>
        <w:ind w:left="1300" w:hanging="648"/>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204" w:lineRule="exact"/>
        <w:rPr>
          <w:rFonts w:ascii="Times New Roman" w:cs="Times New Roman" w:eastAsia="Times New Roman" w:hAnsi="Times New Roman"/>
          <w:sz w:val="22"/>
          <w:szCs w:val="22"/>
          <w:color w:val="auto"/>
        </w:rPr>
      </w:pPr>
    </w:p>
    <w:p>
      <w:pPr>
        <w:ind w:left="1300"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8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w:t>
      </w:r>
    </w:p>
    <w:p>
      <w:pPr>
        <w:spacing w:after="0" w:line="34"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Awards will be forfeited to the Company, and again will be available for grant under the Plan.</w:t>
      </w:r>
    </w:p>
    <w:p>
      <w:pPr>
        <w:spacing w:after="0" w:line="283" w:lineRule="exact"/>
        <w:rPr>
          <w:rFonts w:ascii="Times New Roman" w:cs="Times New Roman" w:eastAsia="Times New Roman" w:hAnsi="Times New Roman"/>
          <w:sz w:val="22"/>
          <w:szCs w:val="22"/>
          <w:color w:val="auto"/>
        </w:rPr>
      </w:pPr>
    </w:p>
    <w:p>
      <w:pPr>
        <w:ind w:left="660" w:right="60" w:hanging="652"/>
        <w:spacing w:after="0" w:line="293" w:lineRule="auto"/>
        <w:tabs>
          <w:tab w:leader="none" w:pos="65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Grant of Stock or Other Stock-Based Awards</w:t>
      </w:r>
      <w:r>
        <w:rPr>
          <w:rFonts w:ascii="Times New Roman" w:cs="Times New Roman" w:eastAsia="Times New Roman" w:hAnsi="Times New Roman"/>
          <w:sz w:val="21"/>
          <w:szCs w:val="21"/>
          <w:color w:val="auto"/>
        </w:rPr>
        <w:t>. The Administrator is authorized, subject to limitations under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to grant to Participants such other Awards that are payable in, valued in whole or in part by reference to, or otherwise based on or related to Shares, as deemed by the Administrator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of the Company. The Administrator (in its discretion) shall determine the terms and conditions of such Awards.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19</w:t>
      </w:r>
    </w:p>
    <w:p>
      <w:pPr>
        <w:sectPr>
          <w:pgSz w:w="11900" w:h="16838" w:orient="portrait"/>
          <w:cols w:equalWidth="0" w:num="1">
            <w:col w:w="11240"/>
          </w:cols>
          <w:pgMar w:left="320" w:top="932" w:right="339" w:bottom="1440" w:gutter="0" w:footer="0" w:header="0"/>
        </w:sectPr>
      </w:pPr>
    </w:p>
    <w:bookmarkStart w:id="163" w:name="page164"/>
    <w:bookmarkEnd w:id="163"/>
    <w:p>
      <w:pPr>
        <w:jc w:val="both"/>
        <w:ind w:left="660" w:hanging="652"/>
        <w:spacing w:after="0" w:line="283" w:lineRule="auto"/>
        <w:tabs>
          <w:tab w:leader="none" w:pos="6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Compliance With Section 409A</w:t>
      </w:r>
      <w:r>
        <w:rPr>
          <w:rFonts w:ascii="Times New Roman" w:cs="Times New Roman" w:eastAsia="Times New Roman" w:hAnsi="Times New Roman"/>
          <w:sz w:val="21"/>
          <w:szCs w:val="21"/>
          <w:color w:val="auto"/>
        </w:rPr>
        <w:t>. The Plan and any Awards are intended to be designed and operated in such a manner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provided otherwise by the Administrator, each payment or benefit under this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preceding, in no event will the Company or any of its Affiliates have any responsibility, liability, or obligation to reimburse, indemnify, or hold harmless a Participant (or any other person) in respect of Awards, for any taxes, penalties or interest that may be imposed on, or other costs incurred by, Participant (or any other person) as a result of or in connection with Section 409A.</w:t>
      </w:r>
    </w:p>
    <w:p>
      <w:pPr>
        <w:spacing w:after="0" w:line="183" w:lineRule="exact"/>
        <w:rPr>
          <w:rFonts w:ascii="Times New Roman" w:cs="Times New Roman" w:eastAsia="Times New Roman" w:hAnsi="Times New Roman"/>
          <w:sz w:val="21"/>
          <w:szCs w:val="21"/>
          <w:color w:val="auto"/>
        </w:rPr>
      </w:pPr>
    </w:p>
    <w:p>
      <w:pPr>
        <w:jc w:val="both"/>
        <w:ind w:left="660" w:hanging="652"/>
        <w:spacing w:after="0" w:line="271" w:lineRule="auto"/>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and any of its Affiliates. For purposes of Incentive Stock Options, no such leave may exceed three (3) months, unless reemployment with the Company or any Parent or Subsidiary of the Company upon expiration of such leave is guaranteed by statute or contract. If such reemployment upon expiration of a leave of absence approved by the Company is not so guaranteed, then six (6) months following the first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210" w:lineRule="exact"/>
        <w:rPr>
          <w:rFonts w:ascii="Times New Roman" w:cs="Times New Roman" w:eastAsia="Times New Roman" w:hAnsi="Times New Roman"/>
          <w:sz w:val="22"/>
          <w:szCs w:val="22"/>
          <w:color w:val="auto"/>
        </w:rPr>
      </w:pPr>
    </w:p>
    <w:p>
      <w:pPr>
        <w:jc w:val="both"/>
        <w:ind w:left="660" w:hanging="652"/>
        <w:spacing w:after="0" w:line="272" w:lineRule="auto"/>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hypothecated, transferred, or disposed of in any manner other than by will or by the laws of descent and distribution (which, for purposes of clarity, shall be deemed to include through a beneficiary designation if available in accordance with Section 6.6 of the Plan), and may be exercised, during the lifetime of the Participant, only by the Participant. If the Administrator makes an Award transferable, such Award will contain such additional terms and conditions as the Administrator deems appropriate.</w:t>
      </w:r>
    </w:p>
    <w:p>
      <w:pPr>
        <w:spacing w:after="0" w:line="19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color w:val="auto"/>
        </w:rPr>
      </w:pPr>
    </w:p>
    <w:p>
      <w:pPr>
        <w:ind w:left="1300"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20</w:t>
      </w:r>
    </w:p>
    <w:p>
      <w:pPr>
        <w:sectPr>
          <w:pgSz w:w="11900" w:h="16838" w:orient="portrait"/>
          <w:cols w:equalWidth="0" w:num="1">
            <w:col w:w="11240"/>
          </w:cols>
          <w:pgMar w:left="320" w:top="932" w:right="339" w:bottom="1440" w:gutter="0" w:footer="0" w:header="0"/>
        </w:sectPr>
      </w:pPr>
    </w:p>
    <w:bookmarkStart w:id="164" w:name="page165"/>
    <w:bookmarkEnd w:id="164"/>
    <w:p>
      <w:pPr>
        <w:jc w:val="both"/>
        <w:ind w:left="640"/>
        <w:spacing w:after="0" w:line="270" w:lineRule="auto"/>
        <w:rPr>
          <w:sz w:val="20"/>
          <w:szCs w:val="20"/>
          <w:color w:val="auto"/>
        </w:rPr>
      </w:pPr>
      <w:r>
        <w:rPr>
          <w:rFonts w:ascii="Times New Roman" w:cs="Times New Roman" w:eastAsia="Times New Roman" w:hAnsi="Times New Roman"/>
          <w:sz w:val="22"/>
          <w:szCs w:val="22"/>
          <w:color w:val="auto"/>
        </w:rPr>
        <w:t>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 of the Plan. Notwithstanding the preceding, the Company will have no obligation to effect any adjustment in such manner that will or may require the issuance of fractional Shares, and any fractional Shares resulting from any adjustment may be disregarded or provided for in any manner determined by the Administrator, in its sole discretion, subject to any Applicable Laws.</w:t>
      </w:r>
    </w:p>
    <w:p>
      <w:pPr>
        <w:spacing w:after="0" w:line="216"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197"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0563C1"/>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of a merger of the Company with or into another corporation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w:t>
      </w:r>
    </w:p>
    <w:p>
      <w:pPr>
        <w:spacing w:after="0" w:line="2" w:lineRule="exact"/>
        <w:rPr>
          <w:sz w:val="20"/>
          <w:szCs w:val="20"/>
          <w:color w:val="auto"/>
        </w:rPr>
      </w:pPr>
    </w:p>
    <w:p>
      <w:pPr>
        <w:jc w:val="both"/>
        <w:ind w:left="640" w:firstLine="4"/>
        <w:spacing w:after="0" w:line="268" w:lineRule="auto"/>
        <w:tabs>
          <w:tab w:leader="none" w:pos="95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will be continued by the Company, subject to any adjustment pursuant to Section 15.1 of the Plan; (c) upon written notice to a Participant, that the Participant’s Awards will terminate upon or immediately prior to the consummation of such merger or Change in Control; (d)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(e) (i) the termination of an Award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(f)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21</w:t>
      </w:r>
    </w:p>
    <w:p>
      <w:pPr>
        <w:sectPr>
          <w:pgSz w:w="11900" w:h="16838" w:orient="portrait"/>
          <w:cols w:equalWidth="0" w:num="1">
            <w:col w:w="10580"/>
          </w:cols>
          <w:pgMar w:left="980" w:top="936" w:right="339" w:bottom="1440" w:gutter="0" w:footer="0" w:header="0"/>
        </w:sectPr>
      </w:pPr>
    </w:p>
    <w:bookmarkStart w:id="165" w:name="page166"/>
    <w:bookmarkEnd w:id="165"/>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For the purposes of this Section 15.3 and Section 15.4 of the Plan,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or Other Stock-Based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21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1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applicable under Section 409A.</w:t>
      </w:r>
    </w:p>
    <w:p>
      <w:pPr>
        <w:spacing w:after="0" w:line="196"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2"/>
          <w:szCs w:val="22"/>
          <w:b w:val="1"/>
          <w:bCs w:val="1"/>
          <w:color w:val="auto"/>
        </w:rPr>
        <w:t>Effect of a Change in Control</w:t>
      </w:r>
      <w:r>
        <w:rPr>
          <w:rFonts w:ascii="Times New Roman" w:cs="Times New Roman" w:eastAsia="Times New Roman" w:hAnsi="Times New Roman"/>
          <w:sz w:val="22"/>
          <w:szCs w:val="22"/>
          <w:color w:val="auto"/>
        </w:rPr>
        <w:t>. Unless and until otherwise determined by the Administrator for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date of such determination (pursuant to the Administrator’s authority under the Plan, including (but not limited to) Section 15.3 and Section 4.2), the provisions of this Section 15.4 shall apply in the case of a Change in Control, unless otherwise provided in the applicable Award Agreement or separate written authorized agreement with a Participant governing the specific Award.</w:t>
      </w:r>
    </w:p>
    <w:p>
      <w:pPr>
        <w:spacing w:after="0" w:line="208" w:lineRule="exact"/>
        <w:rPr>
          <w:sz w:val="20"/>
          <w:szCs w:val="20"/>
          <w:color w:val="auto"/>
        </w:rPr>
      </w:pPr>
    </w:p>
    <w:p>
      <w:pPr>
        <w:jc w:val="both"/>
        <w:ind w:left="1300" w:hanging="647"/>
        <w:spacing w:after="0" w:line="284" w:lineRule="auto"/>
        <w:rPr>
          <w:sz w:val="20"/>
          <w:szCs w:val="20"/>
          <w:color w:val="auto"/>
        </w:rPr>
      </w:pPr>
      <w:r>
        <w:rPr>
          <w:rFonts w:ascii="Times New Roman" w:cs="Times New Roman" w:eastAsia="Times New Roman" w:hAnsi="Times New Roman"/>
          <w:sz w:val="22"/>
          <w:szCs w:val="22"/>
          <w:color w:val="auto"/>
        </w:rPr>
        <w:t xml:space="preserve">15.4.1. </w:t>
      </w:r>
      <w:r>
        <w:rPr>
          <w:rFonts w:ascii="Times New Roman" w:cs="Times New Roman" w:eastAsia="Times New Roman" w:hAnsi="Times New Roman"/>
          <w:sz w:val="22"/>
          <w:szCs w:val="22"/>
          <w:b w:val="1"/>
          <w:bCs w:val="1"/>
          <w:color w:val="auto"/>
        </w:rPr>
        <w:t>Awards Assumed or Substituted</w:t>
      </w:r>
      <w:r>
        <w:rPr>
          <w:rFonts w:ascii="Times New Roman" w:cs="Times New Roman" w:eastAsia="Times New Roman" w:hAnsi="Times New Roman"/>
          <w:sz w:val="22"/>
          <w:szCs w:val="22"/>
          <w:color w:val="auto"/>
        </w:rPr>
        <w:t>. With respect to Awards assumed by the Surviving Corporation (or an affiliate thereof) or otherwise continued or substituted in connection with a Change in Control, as described in Section 15.3 of the Plan: if</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22</w:t>
      </w:r>
    </w:p>
    <w:p>
      <w:pPr>
        <w:sectPr>
          <w:pgSz w:w="11900" w:h="16838" w:orient="portrait"/>
          <w:cols w:equalWidth="0" w:num="1">
            <w:col w:w="10580"/>
          </w:cols>
          <w:pgMar w:left="980" w:top="1179" w:right="339" w:bottom="1440" w:gutter="0" w:footer="0" w:header="0"/>
        </w:sectPr>
      </w:pPr>
    </w:p>
    <w:bookmarkStart w:id="166" w:name="page167"/>
    <w:bookmarkEnd w:id="166"/>
    <w:p>
      <w:pPr>
        <w:ind w:left="1300"/>
        <w:spacing w:after="0" w:line="296" w:lineRule="auto"/>
        <w:rPr>
          <w:sz w:val="20"/>
          <w:szCs w:val="20"/>
          <w:color w:val="auto"/>
        </w:rPr>
      </w:pPr>
      <w:r>
        <w:rPr>
          <w:rFonts w:ascii="Times New Roman" w:cs="Times New Roman" w:eastAsia="Times New Roman" w:hAnsi="Times New Roman"/>
          <w:sz w:val="22"/>
          <w:szCs w:val="22"/>
          <w:color w:val="auto"/>
        </w:rPr>
        <w:t>within one year after the effective date of the Change in Control, a Participant’s employment is terminated without Cause or the Participant resigns for Good Reason, then:</w:t>
      </w:r>
    </w:p>
    <w:p>
      <w:pPr>
        <w:spacing w:after="0" w:line="186" w:lineRule="exact"/>
        <w:rPr>
          <w:sz w:val="20"/>
          <w:szCs w:val="20"/>
          <w:color w:val="auto"/>
        </w:rPr>
      </w:pPr>
    </w:p>
    <w:p>
      <w:pPr>
        <w:jc w:val="both"/>
        <w:ind w:left="1940" w:hanging="324"/>
        <w:spacing w:after="0" w:line="282" w:lineRule="auto"/>
        <w:tabs>
          <w:tab w:leader="none" w:pos="19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88" w:lineRule="exact"/>
        <w:rPr>
          <w:rFonts w:ascii="Times New Roman" w:cs="Times New Roman" w:eastAsia="Times New Roman" w:hAnsi="Times New Roman"/>
          <w:sz w:val="22"/>
          <w:szCs w:val="22"/>
          <w:color w:val="auto"/>
        </w:rPr>
      </w:pPr>
    </w:p>
    <w:p>
      <w:pPr>
        <w:jc w:val="both"/>
        <w:ind w:left="1940" w:hanging="324"/>
        <w:spacing w:after="0" w:line="282" w:lineRule="auto"/>
        <w:tabs>
          <w:tab w:leader="none" w:pos="193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that Participant’s outstanding Awards other than Options and SARs that are subject to time-based vesting restrictions shall become vested and such restrictions shall lapse as of the date of termination; and</w:t>
      </w:r>
    </w:p>
    <w:p>
      <w:pPr>
        <w:spacing w:after="0" w:line="201" w:lineRule="exact"/>
        <w:rPr>
          <w:rFonts w:ascii="Times New Roman" w:cs="Times New Roman" w:eastAsia="Times New Roman" w:hAnsi="Times New Roman"/>
          <w:sz w:val="22"/>
          <w:szCs w:val="22"/>
          <w:color w:val="auto"/>
        </w:rPr>
      </w:pPr>
    </w:p>
    <w:p>
      <w:pPr>
        <w:jc w:val="both"/>
        <w:ind w:left="1940" w:hanging="324"/>
        <w:spacing w:after="0" w:line="271" w:lineRule="auto"/>
        <w:tabs>
          <w:tab w:leader="none" w:pos="19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12 of the Plan), based upon the length of time within the performance period that has elapsed prior to the date of termination of employment.</w:t>
      </w:r>
    </w:p>
    <w:p>
      <w:pPr>
        <w:spacing w:after="0" w:line="20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1"/>
          <w:szCs w:val="21"/>
          <w:color w:val="auto"/>
        </w:rPr>
        <w:t>With regard to each Award, a Participant shall not be considered to have resigned for Good Reason unless the Award Agreement includes such provision. To the extent that this provision causes Incentive Stock Options to exceed the dollar limitation set forth in Code Section 422(d), the excess Options shall be deemed to be Nonstatutory Stock Options.</w:t>
      </w:r>
    </w:p>
    <w:p>
      <w:pPr>
        <w:spacing w:after="0" w:line="178" w:lineRule="exact"/>
        <w:rPr>
          <w:sz w:val="20"/>
          <w:szCs w:val="20"/>
          <w:color w:val="auto"/>
        </w:rPr>
      </w:pPr>
    </w:p>
    <w:p>
      <w:pPr>
        <w:jc w:val="both"/>
        <w:ind w:left="1300" w:hanging="647"/>
        <w:spacing w:after="0" w:line="275" w:lineRule="auto"/>
        <w:rPr>
          <w:sz w:val="20"/>
          <w:szCs w:val="20"/>
          <w:color w:val="auto"/>
        </w:rPr>
      </w:pPr>
      <w:r>
        <w:rPr>
          <w:rFonts w:ascii="Times New Roman" w:cs="Times New Roman" w:eastAsia="Times New Roman" w:hAnsi="Times New Roman"/>
          <w:sz w:val="22"/>
          <w:szCs w:val="22"/>
          <w:color w:val="auto"/>
        </w:rPr>
        <w:t xml:space="preserve">15.4.2. </w:t>
      </w:r>
      <w:r>
        <w:rPr>
          <w:rFonts w:ascii="Times New Roman" w:cs="Times New Roman" w:eastAsia="Times New Roman" w:hAnsi="Times New Roman"/>
          <w:sz w:val="22"/>
          <w:szCs w:val="22"/>
          <w:b w:val="1"/>
          <w:bCs w:val="1"/>
          <w:color w:val="auto"/>
        </w:rPr>
        <w:t>Awards Not Assumed or Substituted</w:t>
      </w:r>
      <w:r>
        <w:rPr>
          <w:rFonts w:ascii="Times New Roman" w:cs="Times New Roman" w:eastAsia="Times New Roman" w:hAnsi="Times New Roman"/>
          <w:sz w:val="22"/>
          <w:szCs w:val="22"/>
          <w:color w:val="auto"/>
        </w:rPr>
        <w:t>. Upon the occurrence of a Change in Control, and except with respect to any Awards assumed by the Surviving Corporation (or an affiliate thereof) or otherwise continued or substituted in connection with the Change in Control, as described in Section 15.3 of the Plan and in a manner approved by the Administrator or the Board:</w:t>
      </w:r>
    </w:p>
    <w:p>
      <w:pPr>
        <w:spacing w:after="0" w:line="208" w:lineRule="exact"/>
        <w:rPr>
          <w:sz w:val="20"/>
          <w:szCs w:val="20"/>
          <w:color w:val="auto"/>
        </w:rPr>
      </w:pPr>
    </w:p>
    <w:p>
      <w:pPr>
        <w:jc w:val="both"/>
        <w:ind w:left="1940" w:hanging="324"/>
        <w:spacing w:after="0" w:line="282" w:lineRule="auto"/>
        <w:tabs>
          <w:tab w:leader="none" w:pos="193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88" w:lineRule="exact"/>
        <w:rPr>
          <w:rFonts w:ascii="Times New Roman" w:cs="Times New Roman" w:eastAsia="Times New Roman" w:hAnsi="Times New Roman"/>
          <w:sz w:val="22"/>
          <w:szCs w:val="22"/>
          <w:color w:val="auto"/>
        </w:rPr>
      </w:pPr>
    </w:p>
    <w:p>
      <w:pPr>
        <w:jc w:val="both"/>
        <w:ind w:left="1940" w:hanging="324"/>
        <w:spacing w:after="0" w:line="282" w:lineRule="auto"/>
        <w:tabs>
          <w:tab w:leader="none" w:pos="193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Awards other than Options and SARs that are subject to time-based vesting restrictions shall become vested and such restrictions shall lapse as of the effective date of the Change in Control, and</w:t>
      </w:r>
    </w:p>
    <w:p>
      <w:pPr>
        <w:spacing w:after="0" w:line="201" w:lineRule="exact"/>
        <w:rPr>
          <w:rFonts w:ascii="Times New Roman" w:cs="Times New Roman" w:eastAsia="Times New Roman" w:hAnsi="Times New Roman"/>
          <w:sz w:val="22"/>
          <w:szCs w:val="22"/>
          <w:color w:val="auto"/>
        </w:rPr>
      </w:pPr>
    </w:p>
    <w:p>
      <w:pPr>
        <w:ind w:left="1940" w:hanging="324"/>
        <w:spacing w:after="0" w:line="296" w:lineRule="auto"/>
        <w:tabs>
          <w:tab w:leader="none" w:pos="193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payout level under all outstanding Awards that are subject to performance-based vesting requirements shall be deemed to have been</w:t>
      </w: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23</w:t>
      </w:r>
    </w:p>
    <w:p>
      <w:pPr>
        <w:sectPr>
          <w:pgSz w:w="11900" w:h="16838" w:orient="portrait"/>
          <w:cols w:equalWidth="0" w:num="1">
            <w:col w:w="10580"/>
          </w:cols>
          <w:pgMar w:left="980" w:top="936" w:right="339" w:bottom="1440" w:gutter="0" w:footer="0" w:header="0"/>
        </w:sectPr>
      </w:pPr>
    </w:p>
    <w:bookmarkStart w:id="167" w:name="page168"/>
    <w:bookmarkEnd w:id="167"/>
    <w:p>
      <w:pPr>
        <w:jc w:val="both"/>
        <w:ind w:left="2600"/>
        <w:spacing w:after="0" w:line="275" w:lineRule="auto"/>
        <w:rPr>
          <w:sz w:val="20"/>
          <w:szCs w:val="20"/>
          <w:color w:val="auto"/>
        </w:rPr>
      </w:pPr>
      <w:r>
        <w:rPr>
          <w:rFonts w:ascii="Times New Roman" w:cs="Times New Roman" w:eastAsia="Times New Roman" w:hAnsi="Times New Roman"/>
          <w:sz w:val="22"/>
          <w:szCs w:val="22"/>
          <w:color w:val="auto"/>
        </w:rPr>
        <w:t>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12 of the Plan), based upon the length of time within the performance period that has elapsed prior to the Change in Control.</w:t>
      </w:r>
    </w:p>
    <w:p>
      <w:pPr>
        <w:spacing w:after="0" w:line="198"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To the extent that this provision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225"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With respect to Awards granted to an Outside Director while such individual was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Director that are assumed, continued or substituted for, as described in Section 15.3 of the Plan, if on the date of or following such assumption, continuation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21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p>
    <w:p>
      <w:pPr>
        <w:spacing w:after="0" w:line="260" w:lineRule="exact"/>
        <w:rPr>
          <w:rFonts w:ascii="Times New Roman" w:cs="Times New Roman" w:eastAsia="Times New Roman" w:hAnsi="Times New Roman"/>
          <w:sz w:val="22"/>
          <w:szCs w:val="22"/>
          <w:color w:val="auto"/>
        </w:rPr>
      </w:pPr>
    </w:p>
    <w:p>
      <w:pPr>
        <w:ind w:left="1300" w:hanging="648"/>
        <w:spacing w:after="0" w:line="27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the Tax-Related Items.</w:t>
      </w:r>
    </w:p>
    <w:p>
      <w:pPr>
        <w:spacing w:after="0" w:line="205" w:lineRule="exact"/>
        <w:rPr>
          <w:rFonts w:ascii="Times New Roman" w:cs="Times New Roman" w:eastAsia="Times New Roman" w:hAnsi="Times New Roman"/>
          <w:sz w:val="22"/>
          <w:szCs w:val="22"/>
          <w:color w:val="auto"/>
        </w:rPr>
      </w:pPr>
    </w:p>
    <w:p>
      <w:pPr>
        <w:ind w:left="1300" w:hanging="648"/>
        <w:spacing w:after="0" w:line="27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24</w:t>
      </w:r>
    </w:p>
    <w:p>
      <w:pPr>
        <w:sectPr>
          <w:pgSz w:w="11900" w:h="16838" w:orient="portrait"/>
          <w:cols w:equalWidth="0" w:num="1">
            <w:col w:w="11240"/>
          </w:cols>
          <w:pgMar w:left="320" w:top="936" w:right="339" w:bottom="1440" w:gutter="0" w:footer="0" w:header="0"/>
        </w:sectPr>
      </w:pPr>
    </w:p>
    <w:bookmarkStart w:id="168" w:name="page169"/>
    <w:bookmarkEnd w:id="168"/>
    <w:p>
      <w:pPr>
        <w:jc w:val="both"/>
        <w:ind w:left="1292"/>
        <w:spacing w:after="0" w:line="268" w:lineRule="auto"/>
        <w:rPr>
          <w:sz w:val="20"/>
          <w:szCs w:val="20"/>
          <w:color w:val="auto"/>
        </w:rPr>
      </w:pPr>
      <w:r>
        <w:rPr>
          <w:rFonts w:ascii="Times New Roman" w:cs="Times New Roman" w:eastAsia="Times New Roman" w:hAnsi="Times New Roman"/>
          <w:sz w:val="22"/>
          <w:szCs w:val="22"/>
          <w:color w:val="auto"/>
        </w:rPr>
        <w:t>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in each case, provided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or non-U.S. marginal income tax rates and rates applicable to other Tax-Related Items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Tax-Related Items are required to be withheld.</w:t>
      </w:r>
    </w:p>
    <w:p>
      <w:pPr>
        <w:spacing w:after="0" w:line="217" w:lineRule="exact"/>
        <w:rPr>
          <w:sz w:val="20"/>
          <w:szCs w:val="20"/>
          <w:color w:val="auto"/>
        </w:rPr>
      </w:pPr>
    </w:p>
    <w:p>
      <w:pPr>
        <w:jc w:val="both"/>
        <w:ind w:left="652" w:hanging="652"/>
        <w:spacing w:after="0" w:line="273" w:lineRule="auto"/>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continuing the Participant’s service relationship with the Company or any of its Affiliates, as applicable, nor will they interfere in any way with the Participant’s right or the right of the Company and its Affiliates, as applicable, to terminate such relationship at any time with or without cause, free from any liability or claim under the Plan, to the extent permitted by Applicable Laws.</w:t>
      </w:r>
    </w:p>
    <w:p>
      <w:pPr>
        <w:spacing w:after="0" w:line="208" w:lineRule="exact"/>
        <w:rPr>
          <w:rFonts w:ascii="Times New Roman" w:cs="Times New Roman" w:eastAsia="Times New Roman" w:hAnsi="Times New Roman"/>
          <w:sz w:val="22"/>
          <w:szCs w:val="22"/>
          <w:color w:val="auto"/>
        </w:rPr>
      </w:pPr>
    </w:p>
    <w:p>
      <w:pPr>
        <w:jc w:val="both"/>
        <w:ind w:left="652" w:hanging="652"/>
        <w:spacing w:after="0" w:line="284" w:lineRule="auto"/>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granting such Award, or such other later date as is determined by the Administrator. Notice of the determination will be provided to each Participant within a reasonable time after the date of such grant.</w:t>
      </w:r>
    </w:p>
    <w:p>
      <w:pPr>
        <w:spacing w:after="0" w:line="181" w:lineRule="exact"/>
        <w:rPr>
          <w:rFonts w:ascii="Times New Roman" w:cs="Times New Roman" w:eastAsia="Times New Roman" w:hAnsi="Times New Roman"/>
          <w:sz w:val="22"/>
          <w:szCs w:val="22"/>
          <w:color w:val="auto"/>
        </w:rPr>
      </w:pPr>
    </w:p>
    <w:p>
      <w:pPr>
        <w:jc w:val="both"/>
        <w:ind w:left="652" w:hanging="652"/>
        <w:spacing w:after="0" w:line="272" w:lineRule="auto"/>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Subject to Section 23 of the Plan, the Plan will become effective upon the later to occur of (a) its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adoption by the Board, or (b) initial approval by the Company’s stockholders. The Plan will continue in effect until the ten (10) year anniversary of the Plan’s effective date, unless terminated earlier under Section 20 of the Plan.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 of the Plan).</w:t>
      </w:r>
    </w:p>
    <w:p>
      <w:pPr>
        <w:spacing w:after="0" w:line="210"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and Termination of the Plan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0" w:lineRule="exact"/>
        <w:rPr>
          <w:sz w:val="20"/>
          <w:szCs w:val="20"/>
          <w:color w:val="auto"/>
        </w:rPr>
      </w:pPr>
    </w:p>
    <w:p>
      <w:pPr>
        <w:ind w:left="9772"/>
        <w:spacing w:after="0"/>
        <w:rPr>
          <w:sz w:val="20"/>
          <w:szCs w:val="20"/>
          <w:color w:val="auto"/>
        </w:rPr>
      </w:pPr>
      <w:r>
        <w:rPr>
          <w:sz w:val="1"/>
          <w:szCs w:val="1"/>
          <w:color w:val="auto"/>
        </w:rPr>
        <w:drawing>
          <wp:inline distT="0" distB="0" distL="0" distR="0">
            <wp:extent cx="780415" cy="1625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ectPr>
          <w:pgSz w:w="11900" w:h="16838" w:orient="portrait"/>
          <w:cols w:equalWidth="0" w:num="1">
            <w:col w:w="11232"/>
          </w:cols>
          <w:pgMar w:left="328" w:top="936" w:right="339" w:bottom="1440" w:gutter="0" w:footer="0" w:header="0"/>
        </w:sectPr>
      </w:pPr>
    </w:p>
    <w:bookmarkStart w:id="169" w:name="page170"/>
    <w:bookmarkEnd w:id="169"/>
    <w:p>
      <w:pPr>
        <w:jc w:val="both"/>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or any part thereof, at any time and for any reason.</w:t>
      </w:r>
    </w:p>
    <w:p>
      <w:pPr>
        <w:spacing w:after="0" w:line="178"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and desirable to comply with Applicable Laws.</w:t>
      </w:r>
    </w:p>
    <w:p>
      <w:pPr>
        <w:spacing w:after="0" w:line="178" w:lineRule="exact"/>
        <w:rPr>
          <w:sz w:val="20"/>
          <w:szCs w:val="20"/>
          <w:color w:val="auto"/>
        </w:rPr>
      </w:pPr>
    </w:p>
    <w:p>
      <w:pPr>
        <w:jc w:val="both"/>
        <w:ind w:left="1300" w:hanging="647"/>
        <w:spacing w:after="0" w:line="284" w:lineRule="auto"/>
        <w:tabs>
          <w:tab w:leader="none" w:pos="128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b w:val="1"/>
          <w:bCs w:val="1"/>
          <w:color w:val="auto"/>
        </w:rPr>
        <w:t>Effect of Amendment or Termination</w:t>
      </w:r>
      <w:r>
        <w:rPr>
          <w:rFonts w:ascii="Times New Roman" w:cs="Times New Roman" w:eastAsia="Times New Roman" w:hAnsi="Times New Roman"/>
          <w:sz w:val="21"/>
          <w:szCs w:val="21"/>
          <w:color w:val="auto"/>
        </w:rPr>
        <w:t>. No amendment, alteration, suspension or termination of the Plan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spacing w:after="0" w:line="198"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color w:val="auto"/>
        </w:rPr>
      </w:pPr>
    </w:p>
    <w:p>
      <w:pPr>
        <w:ind w:left="1300" w:hanging="648"/>
        <w:spacing w:after="0" w:line="27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208" w:lineRule="exact"/>
        <w:rPr>
          <w:rFonts w:ascii="Times New Roman" w:cs="Times New Roman" w:eastAsia="Times New Roman" w:hAnsi="Times New Roman"/>
          <w:sz w:val="22"/>
          <w:szCs w:val="22"/>
          <w:color w:val="auto"/>
        </w:rPr>
      </w:pPr>
    </w:p>
    <w:p>
      <w:pPr>
        <w:ind w:left="1300" w:hanging="648"/>
        <w:spacing w:after="0" w:line="27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of an Option or SAR, issuance of Restricted Stock, or vesting or settlement of any other Award, the Company may require the person exercising or receiving such issuance, vesting or settlement to represent and warrant at the time of any such exercise, issuance, vesting or settlement that the Shares are being acquired only for investment and without any present intention to sell or distribute such Shares if, in the opinion of counsel for the Company, such a representation is required.</w:t>
      </w:r>
    </w:p>
    <w:p>
      <w:pPr>
        <w:spacing w:after="0" w:line="208" w:lineRule="exact"/>
        <w:rPr>
          <w:rFonts w:ascii="Times New Roman" w:cs="Times New Roman" w:eastAsia="Times New Roman" w:hAnsi="Times New Roman"/>
          <w:sz w:val="22"/>
          <w:szCs w:val="22"/>
          <w:color w:val="auto"/>
        </w:rPr>
      </w:pPr>
    </w:p>
    <w:p>
      <w:pPr>
        <w:jc w:val="both"/>
        <w:ind w:left="660" w:hanging="652"/>
        <w:spacing w:after="0" w:line="282" w:lineRule="exact"/>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Inability to Obtain Authority</w:t>
      </w:r>
      <w:r>
        <w:rPr>
          <w:rFonts w:ascii="Times New Roman" w:cs="Times New Roman" w:eastAsia="Times New Roman" w:hAnsi="Times New Roman"/>
          <w:sz w:val="22"/>
          <w:szCs w:val="22"/>
          <w:color w:val="auto"/>
        </w:rPr>
        <w:t>. If the Company determines it to be impossible or impractical to obtain authority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26</w:t>
      </w:r>
    </w:p>
    <w:p>
      <w:pPr>
        <w:sectPr>
          <w:pgSz w:w="11900" w:h="16838" w:orient="portrait"/>
          <w:cols w:equalWidth="0" w:num="1">
            <w:col w:w="11240"/>
          </w:cols>
          <w:pgMar w:left="320" w:top="1175" w:right="339" w:bottom="1440" w:gutter="0" w:footer="0" w:header="0"/>
        </w:sectPr>
      </w:pPr>
    </w:p>
    <w:bookmarkStart w:id="170" w:name="page171"/>
    <w:bookmarkEnd w:id="170"/>
    <w:p>
      <w:pPr>
        <w:ind w:left="660"/>
        <w:spacing w:after="0" w:line="296" w:lineRule="auto"/>
        <w:rPr>
          <w:sz w:val="20"/>
          <w:szCs w:val="20"/>
          <w:color w:val="auto"/>
        </w:rPr>
      </w:pPr>
      <w:r>
        <w:rPr>
          <w:rFonts w:ascii="Times New Roman" w:cs="Times New Roman" w:eastAsia="Times New Roman" w:hAnsi="Times New Roman"/>
          <w:sz w:val="22"/>
          <w:szCs w:val="22"/>
          <w:color w:val="auto"/>
        </w:rPr>
        <w:t>sell such Shares as to which such requisite authority, registration, qualification or rule compliance will not have been obtained.</w:t>
      </w:r>
    </w:p>
    <w:p>
      <w:pPr>
        <w:spacing w:after="0" w:line="182" w:lineRule="exact"/>
        <w:rPr>
          <w:sz w:val="20"/>
          <w:szCs w:val="20"/>
          <w:color w:val="auto"/>
        </w:rPr>
      </w:pPr>
    </w:p>
    <w:p>
      <w:pPr>
        <w:jc w:val="both"/>
        <w:ind w:left="660" w:hanging="652"/>
        <w:spacing w:after="0" w:line="284" w:lineRule="auto"/>
        <w:tabs>
          <w:tab w:leader="none" w:pos="6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81" w:lineRule="exact"/>
        <w:rPr>
          <w:rFonts w:ascii="Times New Roman" w:cs="Times New Roman" w:eastAsia="Times New Roman" w:hAnsi="Times New Roman"/>
          <w:sz w:val="22"/>
          <w:szCs w:val="22"/>
          <w:color w:val="auto"/>
        </w:rPr>
      </w:pPr>
    </w:p>
    <w:p>
      <w:pPr>
        <w:jc w:val="both"/>
        <w:ind w:left="660" w:hanging="652"/>
        <w:spacing w:after="0" w:line="268" w:lineRule="auto"/>
        <w:tabs>
          <w:tab w:leader="none" w:pos="6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Events</w:t>
      </w:r>
      <w:r>
        <w:rPr>
          <w:rFonts w:ascii="Times New Roman" w:cs="Times New Roman" w:eastAsia="Times New Roman" w:hAnsi="Times New Roman"/>
          <w:sz w:val="22"/>
          <w:szCs w:val="22"/>
          <w:color w:val="auto"/>
        </w:rPr>
        <w:t>. The Administrator may specify in an Award Agreement that the Participant’s rights, payments,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may be in effect at grant or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or other Applicable Laws (collectively,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Affiliate.</w:t>
      </w:r>
    </w:p>
    <w:p>
      <w:pPr>
        <w:spacing w:after="0" w:line="221" w:lineRule="exact"/>
        <w:rPr>
          <w:rFonts w:ascii="Times New Roman" w:cs="Times New Roman" w:eastAsia="Times New Roman" w:hAnsi="Times New Roman"/>
          <w:sz w:val="22"/>
          <w:szCs w:val="22"/>
          <w:color w:val="auto"/>
        </w:rPr>
      </w:pPr>
    </w:p>
    <w:p>
      <w:pPr>
        <w:jc w:val="both"/>
        <w:ind w:left="660" w:hanging="652"/>
        <w:spacing w:after="0" w:line="276" w:lineRule="auto"/>
        <w:tabs>
          <w:tab w:leader="none" w:pos="6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The Administrator is authorized to grant Dividend Equivalents with respect to Full Value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granted hereunder to Participants subject to such terms and conditions as may be selected by the Administrator. No Option or Stock Appreciation Right shall provide for Dividend Equivalents. </w:t>
      </w:r>
      <w:r>
        <w:rPr>
          <w:rFonts w:ascii="Times New Roman" w:cs="Times New Roman" w:eastAsia="Times New Roman" w:hAnsi="Times New Roman"/>
          <w:sz w:val="19"/>
          <w:szCs w:val="19"/>
          <w:color w:val="auto"/>
        </w:rPr>
        <w:t>Dividend Equivalents, if any, will be credited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 Award in such form and manner as determined by the Administrator in its sole discretion, subject to the following. Dividend Equivalents will be subject to the same vesting provisions as the Awards to which they relate and while amounts may accrue while the Dividend Equivalent is unvested, the amounts </w:t>
      </w:r>
      <w:r>
        <w:rPr>
          <w:rFonts w:ascii="Times New Roman" w:cs="Times New Roman" w:eastAsia="Times New Roman" w:hAnsi="Times New Roman"/>
          <w:sz w:val="21"/>
          <w:szCs w:val="21"/>
          <w:color w:val="auto"/>
        </w:rPr>
        <w:t>payable with respect to Dividend Equivalents will not be paid before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Dividend Equivalent or the Award to which it relates vests</w:t>
      </w:r>
      <w:r>
        <w:rPr>
          <w:rFonts w:ascii="Times New Roman" w:cs="Times New Roman" w:eastAsia="Times New Roman" w:hAnsi="Times New Roman"/>
          <w:sz w:val="19"/>
          <w:szCs w:val="19"/>
          <w:color w:val="auto"/>
        </w:rPr>
        <w:t>. In the event of a dividend or distribution paid in Shares or any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adjustment made upon a change in the capital structure of the Company as described in Section 15 (excluding ordinary dividends or other ordinary distributions), appropriate adjustments will be made to the Participant’s Award and the associated Dividend Equivalent as provided in Section 15 (which Section 15 will control over this Section 25).</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25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80415" cy="16256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ectPr>
          <w:pgSz w:w="11900" w:h="16838" w:orient="portrait"/>
          <w:cols w:equalWidth="0" w:num="1">
            <w:col w:w="11240"/>
          </w:cols>
          <w:pgMar w:left="320" w:top="936" w:right="339" w:bottom="1440" w:gutter="0" w:footer="0" w:header="0"/>
        </w:sectPr>
      </w:pPr>
    </w:p>
    <w:bookmarkStart w:id="171" w:name="page172"/>
    <w:bookmarkEnd w:id="171"/>
    <w:p>
      <w:pPr>
        <w:ind w:left="660" w:right="20" w:hanging="652"/>
        <w:spacing w:after="0" w:line="300"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Rights to Awards</w:t>
      </w:r>
      <w:r>
        <w:rPr>
          <w:rFonts w:ascii="Times New Roman" w:cs="Times New Roman" w:eastAsia="Times New Roman" w:hAnsi="Times New Roman"/>
          <w:sz w:val="22"/>
          <w:szCs w:val="22"/>
          <w:color w:val="auto"/>
        </w:rPr>
        <w:t>. No Service Provider shall have any claim to be granted any Award pursuant to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is not obligated to treat Service Providers, Participants or any other persons uniformly.</w:t>
      </w:r>
    </w:p>
    <w:p>
      <w:pPr>
        <w:spacing w:after="0" w:line="177" w:lineRule="exact"/>
        <w:rPr>
          <w:rFonts w:ascii="Times New Roman" w:cs="Times New Roman" w:eastAsia="Times New Roman" w:hAnsi="Times New Roman"/>
          <w:sz w:val="22"/>
          <w:szCs w:val="22"/>
          <w:color w:val="auto"/>
        </w:rPr>
      </w:pPr>
    </w:p>
    <w:p>
      <w:pPr>
        <w:ind w:left="660" w:right="20" w:hanging="652"/>
        <w:spacing w:after="0" w:line="300"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and all determinations made and actions taken pursuant hereto shall be governed by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U.S. State of Delaware without giving effect to the conflict of laws principles thereof.</w:t>
      </w:r>
    </w:p>
    <w:p>
      <w:pPr>
        <w:spacing w:after="0" w:line="177" w:lineRule="exact"/>
        <w:rPr>
          <w:rFonts w:ascii="Times New Roman" w:cs="Times New Roman" w:eastAsia="Times New Roman" w:hAnsi="Times New Roman"/>
          <w:sz w:val="22"/>
          <w:szCs w:val="22"/>
          <w:color w:val="auto"/>
        </w:rPr>
      </w:pPr>
    </w:p>
    <w:p>
      <w:pPr>
        <w:jc w:val="both"/>
        <w:ind w:left="660" w:hanging="652"/>
        <w:spacing w:after="0" w:line="275"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the Plan or the application of any provision hereof to any person or circumstance is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208"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780415" cy="16319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80415" cy="163195"/>
                    </a:xfrm>
                    <a:prstGeom prst="rect">
                      <a:avLst/>
                    </a:prstGeom>
                    <a:noFill/>
                    <a:ln>
                      <a:noFill/>
                    </a:ln>
                  </pic:spPr>
                </pic:pic>
              </a:graphicData>
            </a:graphic>
          </wp:inline>
        </w:drawing>
      </w:r>
      <w:r>
        <w:rPr>
          <w:rFonts w:ascii="Arial" w:cs="Arial" w:eastAsia="Arial" w:hAnsi="Arial"/>
          <w:sz w:val="16"/>
          <w:szCs w:val="16"/>
          <w:b w:val="1"/>
          <w:bCs w:val="1"/>
          <w:color w:val="auto"/>
        </w:rPr>
        <w:t xml:space="preserve"> 28</w:t>
      </w:r>
    </w:p>
    <w:p>
      <w:pPr>
        <w:sectPr>
          <w:pgSz w:w="11900" w:h="16838" w:orient="portrait"/>
          <w:cols w:equalWidth="0" w:num="1">
            <w:col w:w="11240"/>
          </w:cols>
          <w:pgMar w:left="320" w:top="1175"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For Directors</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STOCK AGREEMENT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GRANT</w:t>
      </w:r>
    </w:p>
    <w:p>
      <w:pPr>
        <w:spacing w:after="0" w:line="22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Micron Technology, Inc. Amended and Restated 2007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Agreement which includes the Notice of Restricted Stock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 Restricted Stock Award, subject to the terms and conditions of the Plan and this Award Agreement,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Grant Number: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Total Number of Shares of Restricted Stock: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Shares of Restricted Stock will be scheduled to vest in accordance with the following schedule: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Shares of Restricted Stock, the unvested Shares of Restricted Stock and Participant’s right to receive any of such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20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 and the Company agree that (1) this Restricted Stock Award is granted under and governed by the</w:t>
      </w:r>
    </w:p>
    <w:p>
      <w:pPr>
        <w:sectPr>
          <w:pgSz w:w="11900" w:h="16838" w:orient="portrait"/>
          <w:cols w:equalWidth="0" w:num="1">
            <w:col w:w="10440"/>
          </w:cols>
          <w:pgMar w:left="700" w:top="984" w:right="759" w:bottom="1440" w:gutter="0" w:footer="0" w:header="0"/>
        </w:sectPr>
      </w:pPr>
    </w:p>
    <w:bookmarkStart w:id="173" w:name="page174"/>
    <w:bookmarkEnd w:id="173"/>
    <w:p>
      <w:pPr>
        <w:jc w:val="both"/>
        <w:ind w:left="340"/>
        <w:spacing w:after="0" w:line="262" w:lineRule="auto"/>
        <w:rPr>
          <w:sz w:val="20"/>
          <w:szCs w:val="20"/>
          <w:color w:val="auto"/>
        </w:rPr>
      </w:pPr>
      <w:r>
        <w:rPr>
          <w:rFonts w:ascii="Times New Roman" w:cs="Times New Roman" w:eastAsia="Times New Roman" w:hAnsi="Times New Roman"/>
          <w:sz w:val="21"/>
          <w:szCs w:val="21"/>
          <w:color w:val="auto"/>
        </w:rPr>
        <w:t>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490855</wp:posOffset>
            </wp:positionV>
            <wp:extent cx="24688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2468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Printed Name] [Note: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780"/>
          </w:cols>
          <w:pgMar w:left="360" w:top="1422" w:right="759" w:bottom="1440" w:gutter="0" w:footer="0" w:header="0"/>
        </w:sectPr>
      </w:pPr>
    </w:p>
    <w:bookmarkStart w:id="174" w:name="page175"/>
    <w:bookmarkEnd w:id="174"/>
    <w:p>
      <w:pPr>
        <w:spacing w:after="0" w:line="194"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GRANT</w:t>
      </w:r>
    </w:p>
    <w:p>
      <w:pPr>
        <w:spacing w:after="0" w:line="224" w:lineRule="exact"/>
        <w:rPr>
          <w:sz w:val="20"/>
          <w:szCs w:val="20"/>
          <w:color w:val="auto"/>
        </w:rPr>
      </w:pPr>
    </w:p>
    <w:p>
      <w:pPr>
        <w:jc w:val="both"/>
        <w:ind w:left="-6" w:firstLine="654"/>
        <w:spacing w:after="0" w:line="250" w:lineRule="auto"/>
        <w:tabs>
          <w:tab w:leader="none" w:pos="91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 Restricted Stock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 the Stock granted under this Award Agreement that is subject to the restrictions imposed hereunder and such restrictions have not then expired or terminated.</w:t>
      </w:r>
    </w:p>
    <w:p>
      <w:pPr>
        <w:spacing w:after="0" w:line="193" w:lineRule="exact"/>
        <w:rPr>
          <w:rFonts w:ascii="Times New Roman" w:cs="Times New Roman" w:eastAsia="Times New Roman" w:hAnsi="Times New Roman"/>
          <w:sz w:val="22"/>
          <w:szCs w:val="22"/>
          <w:color w:val="auto"/>
        </w:rPr>
      </w:pPr>
    </w:p>
    <w:p>
      <w:pPr>
        <w:jc w:val="both"/>
        <w:ind w:left="-6" w:firstLine="654"/>
        <w:spacing w:after="0" w:line="257" w:lineRule="auto"/>
        <w:tabs>
          <w:tab w:leader="none" w:pos="91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and subject to Sections 4 and 7, the Shares of Restricted Stock awarded by this Award Agreement will vest in accordance with the vesting provisions set forth in the Notice of Grant, subject to Participant remaining in Continuous Status as a Participant through the applicable vesting date.</w:t>
      </w:r>
    </w:p>
    <w:p>
      <w:pPr>
        <w:spacing w:after="0" w:line="172" w:lineRule="exact"/>
        <w:rPr>
          <w:rFonts w:ascii="Times New Roman" w:cs="Times New Roman" w:eastAsia="Times New Roman" w:hAnsi="Times New Roman"/>
          <w:sz w:val="22"/>
          <w:szCs w:val="22"/>
          <w:color w:val="auto"/>
        </w:rPr>
      </w:pPr>
    </w:p>
    <w:p>
      <w:pPr>
        <w:ind w:left="1274" w:hanging="626"/>
        <w:spacing w:after="0"/>
        <w:tabs>
          <w:tab w:leader="none" w:pos="127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 w:firstLine="1302"/>
        <w:spacing w:after="0" w:line="263" w:lineRule="auto"/>
        <w:tabs>
          <w:tab w:leader="none" w:pos="1557"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Participant’s Continuous Status as a Participant ends on account of Participant’s death or Participant becoming Disabled, any Shares of Restricted Stock that both were unexpired and unvested as of the date of cessation of Continuous Status as a Participant, will vest on such date.</w:t>
      </w:r>
    </w:p>
    <w:p>
      <w:pPr>
        <w:spacing w:after="0" w:line="167" w:lineRule="exact"/>
        <w:rPr>
          <w:rFonts w:ascii="Times New Roman" w:cs="Times New Roman" w:eastAsia="Times New Roman" w:hAnsi="Times New Roman"/>
          <w:sz w:val="22"/>
          <w:szCs w:val="22"/>
          <w:color w:val="auto"/>
        </w:rPr>
      </w:pPr>
    </w:p>
    <w:p>
      <w:pPr>
        <w:jc w:val="both"/>
        <w:ind w:left="-6" w:right="20" w:firstLine="1302"/>
        <w:spacing w:after="0" w:line="257" w:lineRule="auto"/>
        <w:tabs>
          <w:tab w:leader="none" w:pos="1555"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If a Change in Control occurs before Participant’s Continuous Status as a Participant ends, any Shares of Restricted Stock that both were unexpired and unvested as of immediately preceding the Change in Control, will vest upon the consummation of the Change in Control.</w:t>
      </w:r>
    </w:p>
    <w:p>
      <w:pPr>
        <w:spacing w:after="0" w:line="172" w:lineRule="exact"/>
        <w:rPr>
          <w:rFonts w:ascii="Times New Roman" w:cs="Times New Roman" w:eastAsia="Times New Roman" w:hAnsi="Times New Roman"/>
          <w:sz w:val="22"/>
          <w:szCs w:val="22"/>
          <w:color w:val="auto"/>
        </w:rPr>
      </w:pPr>
    </w:p>
    <w:p>
      <w:pPr>
        <w:jc w:val="both"/>
        <w:ind w:left="-6" w:right="20" w:firstLine="1302"/>
        <w:spacing w:after="0" w:line="261" w:lineRule="auto"/>
        <w:tabs>
          <w:tab w:leader="none" w:pos="1557"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prior to the vesting of any or all the Share of Restricted Stock, Participant either (i) reaches the mandatory retirement age, or (ii) following service as a member of the Board for a period of at least three</w:t>
      </w:r>
    </w:p>
    <w:p>
      <w:pPr>
        <w:jc w:val="both"/>
        <w:ind w:left="-6" w:firstLine="6"/>
        <w:spacing w:after="0" w:line="245" w:lineRule="auto"/>
        <w:tabs>
          <w:tab w:leader="none" w:pos="30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prior to the effective date of his or her retirement, retires from the Board, then any Shares of Restricted Stock that both were unexpired and unvested as of immediately preceding the occurrence of such event, will vest upon the occurrence thereof.</w:t>
      </w:r>
    </w:p>
    <w:p>
      <w:pPr>
        <w:spacing w:after="0" w:line="186" w:lineRule="exact"/>
        <w:rPr>
          <w:rFonts w:ascii="Times New Roman" w:cs="Times New Roman" w:eastAsia="Times New Roman" w:hAnsi="Times New Roman"/>
          <w:sz w:val="22"/>
          <w:szCs w:val="22"/>
          <w:color w:val="auto"/>
        </w:rPr>
      </w:pPr>
    </w:p>
    <w:p>
      <w:pPr>
        <w:jc w:val="both"/>
        <w:ind w:left="-6" w:firstLine="1302"/>
        <w:spacing w:after="0" w:line="256" w:lineRule="auto"/>
        <w:tabs>
          <w:tab w:leader="none" w:pos="1555"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Committee.</w:t>
      </w:r>
    </w:p>
    <w:p>
      <w:pPr>
        <w:spacing w:after="0" w:line="176" w:lineRule="exact"/>
        <w:rPr>
          <w:rFonts w:ascii="Times New Roman" w:cs="Times New Roman" w:eastAsia="Times New Roman" w:hAnsi="Times New Roman"/>
          <w:sz w:val="22"/>
          <w:szCs w:val="22"/>
          <w:color w:val="auto"/>
        </w:rPr>
      </w:pPr>
    </w:p>
    <w:p>
      <w:pPr>
        <w:jc w:val="both"/>
        <w:ind w:left="-6" w:right="20" w:firstLine="654"/>
        <w:spacing w:after="0" w:line="263" w:lineRule="auto"/>
        <w:tabs>
          <w:tab w:leader="none" w:pos="91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w:t>
      </w:r>
    </w:p>
    <w:p>
      <w:pPr>
        <w:sectPr>
          <w:pgSz w:w="11900" w:h="16838" w:orient="portrait"/>
          <w:cols w:equalWidth="0" w:num="1">
            <w:col w:w="10434"/>
          </w:cols>
          <w:pgMar w:left="706" w:top="1440" w:right="759" w:bottom="1440" w:gutter="0" w:footer="0" w:header="0"/>
        </w:sectPr>
      </w:pPr>
    </w:p>
    <w:bookmarkStart w:id="175" w:name="page176"/>
    <w:bookmarkEnd w:id="175"/>
    <w:p>
      <w:pPr>
        <w:spacing w:after="0" w:line="3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written agreement must have been duly authorized and signed by an officer of the Company or any of its Subsidiaries or Parents), as applicable, if Participant’s Continuous Status as a Participant ceases for any or no reason, the then-unvested Shares of Restricted Stock awarded by this Award Agreement will be forfeited at no cost to the Company and Participant will have no further rights thereunder. The date of forfeiture will be the date of cessation of Continuous Status as a Participant.</w:t>
      </w:r>
    </w:p>
    <w:p>
      <w:pPr>
        <w:spacing w:after="0" w:line="181" w:lineRule="exact"/>
        <w:rPr>
          <w:sz w:val="20"/>
          <w:szCs w:val="20"/>
          <w:color w:val="auto"/>
        </w:rPr>
      </w:pPr>
    </w:p>
    <w:p>
      <w:pPr>
        <w:jc w:val="both"/>
        <w:ind w:firstLine="654"/>
        <w:spacing w:after="0" w:line="254" w:lineRule="auto"/>
        <w:tabs>
          <w:tab w:leader="none" w:pos="91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75" w:lineRule="exact"/>
        <w:rPr>
          <w:rFonts w:ascii="Times New Roman" w:cs="Times New Roman" w:eastAsia="Times New Roman" w:hAnsi="Times New Roman"/>
          <w:sz w:val="20"/>
          <w:szCs w:val="20"/>
          <w:color w:val="auto"/>
        </w:rPr>
      </w:pPr>
    </w:p>
    <w:p>
      <w:pPr>
        <w:jc w:val="both"/>
        <w:ind w:right="20" w:firstLine="654"/>
        <w:spacing w:after="0" w:line="264" w:lineRule="auto"/>
        <w:tabs>
          <w:tab w:leader="none" w:pos="918"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w:t>
      </w:r>
    </w:p>
    <w:p>
      <w:pPr>
        <w:ind w:firstLine="6"/>
        <w:spacing w:after="0" w:line="248" w:lineRule="auto"/>
        <w:tabs>
          <w:tab w:leader="none" w:pos="29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his or her status as transferee, and (b) evidence satisfactory to the Company to establish the validity of the transfer and compliance with any laws or regulations pertaining to said transfer.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301"/>
        <w:spacing w:after="0" w:line="260" w:lineRule="auto"/>
        <w:tabs>
          <w:tab w:leader="none" w:pos="156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Shares of Restricted Stock,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“83(b) Election”) with respect to the Shares of Restricted Stock, or the sale of Shares, and (iii) any other Service Recipient taxes the responsibility for which Participant has, or has agreed to bear, with respect to the issuance or vesting of the Shares of Restricted Stock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w:t>
      </w:r>
    </w:p>
    <w:p>
      <w:pPr>
        <w:sectPr>
          <w:pgSz w:w="11900" w:h="16838" w:orient="portrait"/>
          <w:cols w:equalWidth="0" w:num="1">
            <w:col w:w="10440"/>
          </w:cols>
          <w:pgMar w:left="700" w:top="1440" w:right="759" w:bottom="1440" w:gutter="0" w:footer="0" w:header="0"/>
        </w:sectPr>
      </w:pPr>
    </w:p>
    <w:bookmarkStart w:id="176" w:name="page177"/>
    <w:bookmarkEnd w:id="176"/>
    <w:p>
      <w:pPr>
        <w:spacing w:after="0" w:line="3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Stock, the subsequent sale of Shares acquired pursuant to this Award Agreement and the receipt of any dividends or other distributions (subject to Section </w:t>
      </w:r>
      <w:r>
        <w:rPr>
          <w:rFonts w:ascii="Times New Roman" w:cs="Times New Roman" w:eastAsia="Times New Roman" w:hAnsi="Times New Roman"/>
          <w:sz w:val="22"/>
          <w:szCs w:val="22"/>
          <w:u w:val="single" w:color="auto"/>
          <w:color w:val="auto"/>
        </w:rPr>
        <w:t>14(f)</w:t>
      </w:r>
      <w:r>
        <w:rPr>
          <w:rFonts w:ascii="Times New Roman" w:cs="Times New Roman" w:eastAsia="Times New Roman" w:hAnsi="Times New Roman"/>
          <w:sz w:val="22"/>
          <w:szCs w:val="22"/>
          <w:color w:val="auto"/>
        </w:rPr>
        <w:t>),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Participant acknowledges and agrees that the Shares that otherwise would be delivered to Participant will be permanently forfeited at no cost to the Company.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193" w:lineRule="exact"/>
        <w:rPr>
          <w:sz w:val="20"/>
          <w:szCs w:val="20"/>
          <w:color w:val="auto"/>
        </w:rPr>
      </w:pPr>
    </w:p>
    <w:p>
      <w:pPr>
        <w:jc w:val="both"/>
        <w:ind w:firstLine="1301"/>
        <w:spacing w:after="0" w:line="250" w:lineRule="auto"/>
        <w:tabs>
          <w:tab w:leader="none" w:pos="155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Unless Participant timely files an 83(b) Election, when Shares of Restricted Stock vest,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86" w:lineRule="exact"/>
        <w:rPr>
          <w:rFonts w:ascii="Times New Roman" w:cs="Times New Roman" w:eastAsia="Times New Roman" w:hAnsi="Times New Roman"/>
          <w:sz w:val="20"/>
          <w:szCs w:val="20"/>
          <w:color w:val="auto"/>
        </w:rPr>
      </w:pPr>
    </w:p>
    <w:p>
      <w:pPr>
        <w:jc w:val="both"/>
        <w:ind w:firstLine="1302"/>
        <w:spacing w:after="0" w:line="260" w:lineRule="auto"/>
        <w:tabs>
          <w:tab w:leader="none" w:pos="156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w:t>
      </w:r>
      <w:r>
        <w:rPr>
          <w:rFonts w:ascii="Times New Roman" w:cs="Times New Roman" w:eastAsia="Times New Roman" w:hAnsi="Times New Roman"/>
          <w:sz w:val="21"/>
          <w:szCs w:val="21"/>
          <w:color w:val="auto"/>
        </w:rPr>
        <w:t>. If the Committee determines that Participant cannot satisfy Participant’s Tax Withholding Obligation through the default procedure described in Section 7(b) or the Committee otherwise determines to permit or require that Participant satisfy Participant’s Tax Withholding Obligation by a method other than through the default procedure set forth in Section 7(b),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w:t>
      </w:r>
    </w:p>
    <w:p>
      <w:pPr>
        <w:sectPr>
          <w:pgSz w:w="11900" w:h="16838" w:orient="portrait"/>
          <w:cols w:equalWidth="0" w:num="1">
            <w:col w:w="10440"/>
          </w:cols>
          <w:pgMar w:left="700" w:top="1440" w:right="759" w:bottom="1440" w:gutter="0" w:footer="0" w:header="0"/>
        </w:sectPr>
      </w:pPr>
    </w:p>
    <w:bookmarkStart w:id="177" w:name="page178"/>
    <w:bookmarkEnd w:id="177"/>
    <w:p>
      <w:pPr>
        <w:spacing w:after="0" w:line="3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by the Committee, if such greater amount would not result in adverse financial accounting consequences), or (v) such other means as the Committee deems appropriate.</w:t>
      </w:r>
    </w:p>
    <w:p>
      <w:pPr>
        <w:spacing w:after="0" w:line="158" w:lineRule="exact"/>
        <w:rPr>
          <w:sz w:val="20"/>
          <w:szCs w:val="20"/>
          <w:color w:val="auto"/>
        </w:rPr>
      </w:pPr>
    </w:p>
    <w:p>
      <w:pPr>
        <w:jc w:val="both"/>
        <w:ind w:firstLine="1302"/>
        <w:spacing w:after="0" w:line="248" w:lineRule="auto"/>
        <w:tabs>
          <w:tab w:leader="none" w:pos="156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Rates</w:t>
      </w:r>
      <w:r>
        <w:rPr>
          <w:rFonts w:ascii="Times New Roman" w:cs="Times New Roman" w:eastAsia="Times New Roman" w:hAnsi="Times New Roman"/>
          <w:sz w:val="22"/>
          <w:szCs w:val="22"/>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of Restricted Stock, notwithstanding that a number of the Shares is held back solely for the purpose of paying the Tax Obligations.</w:t>
      </w:r>
    </w:p>
    <w:p>
      <w:pPr>
        <w:spacing w:after="0" w:line="198" w:lineRule="exact"/>
        <w:rPr>
          <w:rFonts w:ascii="Times New Roman" w:cs="Times New Roman" w:eastAsia="Times New Roman" w:hAnsi="Times New Roman"/>
          <w:sz w:val="22"/>
          <w:szCs w:val="22"/>
          <w:color w:val="auto"/>
        </w:rPr>
      </w:pPr>
    </w:p>
    <w:p>
      <w:pPr>
        <w:jc w:val="both"/>
        <w:ind w:right="20" w:firstLine="1302"/>
        <w:spacing w:after="0" w:line="248" w:lineRule="auto"/>
        <w:tabs>
          <w:tab w:leader="none" w:pos="1563"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Release Shares</w:t>
      </w:r>
      <w:r>
        <w:rPr>
          <w:rFonts w:ascii="Times New Roman" w:cs="Times New Roman" w:eastAsia="Times New Roman" w:hAnsi="Times New Roman"/>
          <w:sz w:val="22"/>
          <w:szCs w:val="22"/>
          <w:color w:val="auto"/>
        </w:rPr>
        <w:t>. For clarification purposes, in no event will the Company release Shares from the escrow established pursuant to Section 14 unless and until arrangements satisfactory to the Committee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 files a timely 83(b) Election with the IRS, or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185" w:lineRule="exact"/>
        <w:rPr>
          <w:rFonts w:ascii="Times New Roman" w:cs="Times New Roman" w:eastAsia="Times New Roman" w:hAnsi="Times New Roman"/>
          <w:sz w:val="22"/>
          <w:szCs w:val="22"/>
          <w:color w:val="auto"/>
        </w:rPr>
      </w:pPr>
    </w:p>
    <w:p>
      <w:pPr>
        <w:jc w:val="both"/>
        <w:ind w:firstLine="653"/>
        <w:spacing w:after="0" w:line="251" w:lineRule="auto"/>
        <w:tabs>
          <w:tab w:leader="none" w:pos="91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xml:space="preserve"> Participant shall be eligible to receive cash and non-cash dividends declared and paid by the Company on Shares declared for which the record date occurs while Shares of Restricted Stock subject to this Award Agreement remain outstanding. Dividends eligible to vest under this Section 8 will be subject to the same terms and conditions as the Shares of Restricted Stock on which the dividends were paid, including (but not limited to) vesting at the same time as the vesting of the Shares of Restricted Stock on which the dividends were paid. Dividends will not accrue interest and will not be credited with any investment returns related to Shares or otherwise.</w:t>
      </w:r>
    </w:p>
    <w:p>
      <w:pPr>
        <w:spacing w:after="0" w:line="181" w:lineRule="exact"/>
        <w:rPr>
          <w:rFonts w:ascii="Times New Roman" w:cs="Times New Roman" w:eastAsia="Times New Roman" w:hAnsi="Times New Roman"/>
          <w:sz w:val="22"/>
          <w:szCs w:val="22"/>
          <w:color w:val="auto"/>
        </w:rPr>
      </w:pPr>
    </w:p>
    <w:p>
      <w:pPr>
        <w:jc w:val="both"/>
        <w:ind w:firstLine="654"/>
        <w:spacing w:after="0" w:line="252" w:lineRule="auto"/>
        <w:tabs>
          <w:tab w:leader="none" w:pos="91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subject to Section 8.</w:t>
      </w:r>
    </w:p>
    <w:p>
      <w:pPr>
        <w:sectPr>
          <w:pgSz w:w="11900" w:h="16838" w:orient="portrait"/>
          <w:cols w:equalWidth="0" w:num="1">
            <w:col w:w="10440"/>
          </w:cols>
          <w:pgMar w:left="700" w:top="1440" w:right="759" w:bottom="1440" w:gutter="0" w:footer="0" w:header="0"/>
        </w:sectPr>
      </w:pPr>
    </w:p>
    <w:bookmarkStart w:id="178" w:name="page179"/>
    <w:bookmarkEnd w:id="178"/>
    <w:p>
      <w:pPr>
        <w:spacing w:after="0" w:line="117" w:lineRule="exact"/>
        <w:rPr>
          <w:sz w:val="20"/>
          <w:szCs w:val="20"/>
          <w:color w:val="auto"/>
        </w:rPr>
      </w:pPr>
    </w:p>
    <w:p>
      <w:pPr>
        <w:jc w:val="both"/>
        <w:ind w:firstLine="654"/>
        <w:spacing w:after="0" w:line="248" w:lineRule="auto"/>
        <w:tabs>
          <w:tab w:leader="none" w:pos="101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for the escrow described in Section 14 or transfer of the Shares to the Company or its assignees contemplated by this Award Agreement, and except to the limited extent provided in Section 6 and this Section 11 or as otherwise determined by the Committee, the unvested Shares subject to this Award Agreement and the rights and privileges conferred hereby cannot be transferred, assigned, pledged, hypothecated, or otherwise encumbered in any way (whether by operation of law or otherwise) and will not be subject to sale under execution, attachment or similar process until such Shares shall have vested in accordance with the provisions of this Award Agreement, except to the limited extent provided in Section 6 and this Section 11 or as otherwise determined by the Committee. Upon any attempt to transfer, assign, pledge, hypothecate, or otherwise encumber or dispose of the unvested Shares subject to this Award Agreement, or any right or privilege conferred hereby, or upon any attempted sale under any execution, attachment or similar process, except to the limited extent provided in Section 6 and this Section 11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 transfer complies with the QDRO procedures then in effect, as specified by the Committee or the Company.</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Participant acknowledges, understands and agrees that:</w:t>
      </w:r>
    </w:p>
    <w:p>
      <w:pPr>
        <w:spacing w:after="0" w:line="144"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(a)the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(b)all decisions with respect to future grants of Restricted Stock or other grants, if any, will be at the sole discretion of the Committee;</w:t>
      </w:r>
    </w:p>
    <w:p>
      <w:pPr>
        <w:sectPr>
          <w:pgSz w:w="11900" w:h="16838" w:orient="portrait"/>
          <w:cols w:equalWidth="0" w:num="1">
            <w:col w:w="10440"/>
          </w:cols>
          <w:pgMar w:left="700" w:top="1440" w:right="759" w:bottom="1440" w:gutter="0" w:footer="0" w:header="0"/>
        </w:sectPr>
      </w:pPr>
    </w:p>
    <w:bookmarkStart w:id="179" w:name="page180"/>
    <w:bookmarkEnd w:id="179"/>
    <w:p>
      <w:pPr>
        <w:spacing w:after="0" w:line="117" w:lineRule="exact"/>
        <w:rPr>
          <w:sz w:val="20"/>
          <w:szCs w:val="20"/>
          <w:color w:val="auto"/>
        </w:rPr>
      </w:pPr>
    </w:p>
    <w:p>
      <w:pPr>
        <w:ind w:left="1940" w:hanging="638"/>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(d)the Shares of Restricted Stock, and the income from and value of same, are not intended to replace any pension rights or compensation;</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(e)the Shares of Restricted Stock,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44" w:lineRule="exact"/>
        <w:rPr>
          <w:sz w:val="20"/>
          <w:szCs w:val="20"/>
          <w:color w:val="auto"/>
        </w:rPr>
      </w:pPr>
    </w:p>
    <w:p>
      <w:pPr>
        <w:jc w:val="both"/>
        <w:ind w:right="20" w:firstLine="1302"/>
        <w:spacing w:after="0" w:line="257" w:lineRule="auto"/>
        <w:tabs>
          <w:tab w:leader="none" w:pos="156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Shares of Restricted Stock and the income from and value of same, are not granted as consideration for, or in connection with, the service Participant may provide as a director of a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(g)the future value of the Shares of Restricted Stock is unknown, indeterminable, and cannot 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predicted;</w:t>
      </w:r>
    </w:p>
    <w:p>
      <w:pPr>
        <w:spacing w:after="0" w:line="20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(h)for purposes of the Shares of Restricted Stock,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an employee, officer, director or consultant (a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Provider</w:t>
      </w:r>
      <w:r>
        <w:rPr>
          <w:rFonts w:ascii="Times New Roman" w:cs="Times New Roman" w:eastAsia="Times New Roman" w:hAnsi="Times New Roman"/>
          <w:sz w:val="22"/>
          <w:szCs w:val="22"/>
          <w:color w:val="auto"/>
        </w:rPr>
        <w:t>”) or the terms of Participant’s employment or service agreement, if any), and unless otherwise expressly provided in this Award Agreement (including by reference in the Notice of Grant to other arrangements or contracts) or determined by the Committee,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grant of Shares of Restricted Stock (including whether Participant may still be considered to be providing services while on a leave of absence and consistent with local law);</w:t>
      </w:r>
    </w:p>
    <w:p>
      <w:pPr>
        <w:spacing w:after="0" w:line="189" w:lineRule="exact"/>
        <w:rPr>
          <w:sz w:val="20"/>
          <w:szCs w:val="20"/>
          <w:color w:val="auto"/>
        </w:rPr>
      </w:pPr>
    </w:p>
    <w:p>
      <w:pPr>
        <w:jc w:val="both"/>
        <w:ind w:right="20" w:firstLine="1302"/>
        <w:spacing w:after="0" w:line="256" w:lineRule="auto"/>
        <w:tabs>
          <w:tab w:leader="none" w:pos="155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Committee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6" w:lineRule="exact"/>
        <w:rPr>
          <w:rFonts w:ascii="Times New Roman" w:cs="Times New Roman" w:eastAsia="Times New Roman" w:hAnsi="Times New Roman"/>
          <w:sz w:val="22"/>
          <w:szCs w:val="22"/>
          <w:color w:val="auto"/>
        </w:rPr>
      </w:pPr>
    </w:p>
    <w:p>
      <w:pPr>
        <w:ind w:left="1560" w:hanging="258"/>
        <w:spacing w:after="0"/>
        <w:tabs>
          <w:tab w:leader="none" w:pos="15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left="2200" w:hanging="330"/>
        <w:spacing w:after="0"/>
        <w:tabs>
          <w:tab w:leader="none" w:pos="220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Award is not part of normal or expected compensation or salary for any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w:t>
      </w:r>
    </w:p>
    <w:p>
      <w:pPr>
        <w:sectPr>
          <w:pgSz w:w="11900" w:h="16838" w:orient="portrait"/>
          <w:cols w:equalWidth="0" w:num="1">
            <w:col w:w="10440"/>
          </w:cols>
          <w:pgMar w:left="700" w:top="1440" w:right="759" w:bottom="1440" w:gutter="0" w:footer="0" w:header="0"/>
        </w:sectPr>
      </w:pPr>
    </w:p>
    <w:bookmarkStart w:id="180" w:name="page181"/>
    <w:bookmarkEnd w:id="180"/>
    <w:p>
      <w:pPr>
        <w:spacing w:after="0" w:line="117" w:lineRule="exact"/>
        <w:rPr>
          <w:sz w:val="20"/>
          <w:szCs w:val="20"/>
          <w:color w:val="auto"/>
        </w:rPr>
      </w:pPr>
    </w:p>
    <w:p>
      <w:pPr>
        <w:jc w:val="both"/>
        <w:ind w:right="20" w:firstLine="1870"/>
        <w:spacing w:after="0" w:line="256" w:lineRule="auto"/>
        <w:tabs>
          <w:tab w:leader="none" w:pos="220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Shares of Restricted Stock or of any amounts due to Participant pursuant to the grant of the Shares of Restricted Stock or the subsequent sale of any such Shares; and</w:t>
      </w:r>
    </w:p>
    <w:p>
      <w:pPr>
        <w:spacing w:after="0" w:line="176" w:lineRule="exact"/>
        <w:rPr>
          <w:sz w:val="20"/>
          <w:szCs w:val="20"/>
          <w:color w:val="auto"/>
        </w:rPr>
      </w:pPr>
    </w:p>
    <w:p>
      <w:pPr>
        <w:ind w:firstLine="1864"/>
        <w:spacing w:after="0" w:line="248"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or recoupment of the Shares of Restricted Stock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Shares of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of Restricted Stock.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left="1280" w:hanging="626"/>
        <w:spacing w:after="0"/>
        <w:tabs>
          <w:tab w:leader="none" w:pos="12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of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22"/>
          <w:szCs w:val="22"/>
          <w:color w:val="auto"/>
        </w:rPr>
        <w:t>(a)All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Participant’s Continuous Status as a Participant ceases.</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(b)The Escrow Holder will not be liable for any act it may do or omit to do with respect to holding the Shares of Restricted Stock in escrow and while acting in good faith and in the exercise of its judgment.</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(c)Upon the cessation of Participant’s Continuous Status as a Participant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ectPr>
          <w:pgSz w:w="11900" w:h="16838" w:orient="portrait"/>
          <w:cols w:equalWidth="0" w:num="1">
            <w:col w:w="10440"/>
          </w:cols>
          <w:pgMar w:left="700" w:top="1440" w:right="759" w:bottom="1440" w:gutter="0" w:footer="0" w:header="0"/>
        </w:sectPr>
      </w:pPr>
    </w:p>
    <w:bookmarkStart w:id="181" w:name="page182"/>
    <w:bookmarkEnd w:id="181"/>
    <w:p>
      <w:pPr>
        <w:spacing w:after="0" w:line="11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(d)The Escrow Holder will take all steps necessary to accomplish the transfer of Shares of Restricted Stock to Participant after they vest following Participant’s request that the Escrow Holder do so.</w:t>
      </w:r>
    </w:p>
    <w:p>
      <w:pPr>
        <w:spacing w:after="0" w:line="171"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(e)Subject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73" w:lineRule="exact"/>
        <w:rPr>
          <w:sz w:val="20"/>
          <w:szCs w:val="20"/>
          <w:color w:val="auto"/>
        </w:rPr>
      </w:pPr>
    </w:p>
    <w:p>
      <w:pPr>
        <w:jc w:val="both"/>
        <w:ind w:firstLine="1301"/>
        <w:spacing w:after="0" w:line="247" w:lineRule="auto"/>
        <w:tabs>
          <w:tab w:leader="none" w:pos="156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Participant’s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Committee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91"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(g)The Company may instruct the transfer agent for its Stock to place a legend on the certificates representing the Restricted Stock or otherwise note its records as to the restrictions on transfer set forth in this Award Agreement.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or any other entitlement to Shares awarded, canceled, exercised, vested,</w:t>
      </w:r>
    </w:p>
    <w:p>
      <w:pPr>
        <w:sectPr>
          <w:pgSz w:w="11900" w:h="16838" w:orient="portrait"/>
          <w:cols w:equalWidth="0" w:num="1">
            <w:col w:w="10440"/>
          </w:cols>
          <w:pgMar w:left="700" w:top="1440" w:right="759" w:bottom="1440" w:gutter="0" w:footer="0" w:header="0"/>
        </w:sectPr>
      </w:pPr>
    </w:p>
    <w:bookmarkStart w:id="182" w:name="page183"/>
    <w:bookmarkEnd w:id="182"/>
    <w:p>
      <w:pPr>
        <w:spacing w:after="0" w:line="1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8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awarded under the Plan or future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w:t>
      </w:r>
    </w:p>
    <w:p>
      <w:pPr>
        <w:sectPr>
          <w:pgSz w:w="11900" w:h="16838" w:orient="portrait"/>
          <w:cols w:equalWidth="0" w:num="1">
            <w:col w:w="10440"/>
          </w:cols>
          <w:pgMar w:left="700" w:top="1440" w:right="759" w:bottom="1440" w:gutter="0" w:footer="0" w:header="0"/>
        </w:sectPr>
      </w:pPr>
    </w:p>
    <w:bookmarkStart w:id="183" w:name="page184"/>
    <w:bookmarkEnd w:id="183"/>
    <w:p>
      <w:pPr>
        <w:spacing w:after="0" w:line="11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20.</w:t>
      </w: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 registration, qualification or rule compliance of the Shares upon any securities exchange or under any state, federal, U.S.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Shares of Restricted Stock as the Committee may establish from time to time for reasons of administrative convenience.</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Shares of Restricted Stock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ectPr>
          <w:pgSz w:w="11900" w:h="16838" w:orient="portrait"/>
          <w:cols w:equalWidth="0" w:num="1">
            <w:col w:w="10440"/>
          </w:cols>
          <w:pgMar w:left="700" w:top="1440" w:right="759" w:bottom="1440" w:gutter="0" w:footer="0" w:header="0"/>
        </w:sectPr>
      </w:pPr>
    </w:p>
    <w:bookmarkStart w:id="184" w:name="page185"/>
    <w:bookmarkEnd w:id="184"/>
    <w:p>
      <w:pPr>
        <w:spacing w:after="0" w:line="11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71"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Committee at any time.</w:t>
      </w:r>
    </w:p>
    <w:p>
      <w:pPr>
        <w:spacing w:after="0" w:line="179"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Shares of Restricted Stock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27.</w:t>
      </w:r>
      <w:r>
        <w:rPr>
          <w:rFonts w:ascii="Times New Roman" w:cs="Times New Roman" w:eastAsia="Times New Roman" w:hAnsi="Times New Roman"/>
          <w:sz w:val="21"/>
          <w:szCs w:val="21"/>
          <w:u w:val="single" w:color="auto"/>
          <w:color w:val="auto"/>
        </w:rPr>
        <w:t>Forfeiture Under Policy or Law</w:t>
      </w:r>
      <w:r>
        <w:rPr>
          <w:rFonts w:ascii="Times New Roman" w:cs="Times New Roman" w:eastAsia="Times New Roman" w:hAnsi="Times New Roman"/>
          <w:sz w:val="21"/>
          <w:szCs w:val="21"/>
          <w:color w:val="auto"/>
        </w:rPr>
        <w:t>. Participant’s rights with respect to this Award Agreement and the Shares of Restricted Stock (including any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or as may be necessary to comply with applicable laws. For example (but not by way of limitation), as provided in any such Clawback Policy or applicable law, Participant might be required to forfeit to the Company part or all of the Shares (if any) that Participant has received under this Award Agreement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w:t>
      </w:r>
    </w:p>
    <w:p>
      <w:pPr>
        <w:sectPr>
          <w:pgSz w:w="11900" w:h="16838" w:orient="portrait"/>
          <w:cols w:equalWidth="0" w:num="1">
            <w:col w:w="10440"/>
          </w:cols>
          <w:pgMar w:left="700" w:top="1440" w:right="759" w:bottom="1440" w:gutter="0" w:footer="0" w:header="0"/>
        </w:sectPr>
      </w:pPr>
    </w:p>
    <w:bookmarkStart w:id="185" w:name="page186"/>
    <w:bookmarkEnd w:id="185"/>
    <w:p>
      <w:pPr>
        <w:spacing w:after="0" w:line="1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similar term) for Participant’s resignation under any agreement with the Company or any Parent, Subsidiary or Affiliate of the Company.</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Award of Restricted Stock to re-convey, transfer or otherwise return the Shares and/or other amounts to the Company upon the Company’s enforcement of any Clawback Policy or recovery policy.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Shares of Restricted Stock are governed by the internal substantive laws, but not the choice of law rules, of the State of Delaware, USA. For purposes of litigating any dispute that arises under the Shares of Restricted Stock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Award shall be subject to any special terms and conditions set forth in an appendix (if any) to this Award Agreement for any country whose laws are applicable to Participant and this Award of Restricted Stock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part of this Award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Insider Trading/Market Abuse Laws</w:t>
      </w:r>
      <w:r>
        <w:rPr>
          <w:rFonts w:ascii="Times New Roman" w:cs="Times New Roman" w:eastAsia="Times New Roman" w:hAnsi="Times New Roman"/>
          <w:sz w:val="22"/>
          <w:szCs w:val="22"/>
          <w:color w:val="auto"/>
        </w:rPr>
        <w:t>. Participant acknowledges that he or she may be subject to insider trading restrictions and/or market abuse laws in applicable jurisdictions including, but not limited to, the United States and Participant’s country of residence, which may affect Participant’s ability to acquire or sell Shares or rights to Shares (e.g., Restricted Stock) under the Plan during such time as Participant is considered to have “inside information” regarding the Company (as defined by the laws in the applicable jurisdictions). Local insider trading laws and regulations may prohibit the cancellation or amendment of orders Participant</w:t>
      </w:r>
    </w:p>
    <w:p>
      <w:pPr>
        <w:sectPr>
          <w:pgSz w:w="11900" w:h="16838" w:orient="portrait"/>
          <w:cols w:equalWidth="0" w:num="1">
            <w:col w:w="10440"/>
          </w:cols>
          <w:pgMar w:left="700" w:top="1440" w:right="759" w:bottom="1440" w:gutter="0" w:footer="0" w:header="0"/>
        </w:sectPr>
      </w:pPr>
    </w:p>
    <w:bookmarkStart w:id="186" w:name="page187"/>
    <w:bookmarkEnd w:id="186"/>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200" w:lineRule="exact"/>
        <w:rPr>
          <w:sz w:val="20"/>
          <w:szCs w:val="20"/>
          <w:color w:val="auto"/>
        </w:rPr>
      </w:pPr>
    </w:p>
    <w:p>
      <w:pPr>
        <w:spacing w:after="0" w:line="298" w:lineRule="exact"/>
        <w:rPr>
          <w:sz w:val="20"/>
          <w:szCs w:val="20"/>
          <w:color w:val="auto"/>
        </w:rPr>
      </w:pPr>
    </w:p>
    <w:p>
      <w:pPr>
        <w:jc w:val="center"/>
        <w:ind w:right="-39"/>
        <w:spacing w:after="0"/>
        <w:tabs>
          <w:tab w:leader="none" w:pos="180" w:val="left"/>
          <w:tab w:leader="none" w:pos="160" w:val="left"/>
        </w:tabs>
        <w:rPr>
          <w:sz w:val="20"/>
          <w:szCs w:val="20"/>
          <w:color w:val="auto"/>
        </w:rPr>
      </w:pPr>
      <w:r>
        <w:rPr>
          <w:rFonts w:ascii="Calibri" w:cs="Calibri" w:eastAsia="Calibri" w:hAnsi="Calibri"/>
          <w:sz w:val="20"/>
          <w:szCs w:val="20"/>
          <w:color w:val="auto"/>
        </w:rPr>
        <w:t>*</w:t>
        <w:tab/>
        <w:t>*</w:t>
        <w:tab/>
        <w:t>*</w:t>
      </w:r>
    </w:p>
    <w:p>
      <w:pPr>
        <w:sectPr>
          <w:pgSz w:w="11900" w:h="16838" w:orient="portrait"/>
          <w:cols w:equalWidth="0" w:num="1">
            <w:col w:w="10440"/>
          </w:cols>
          <w:pgMar w:left="700" w:top="1440" w:right="759" w:bottom="1440" w:gutter="0" w:footer="0" w:header="0"/>
        </w:sectPr>
      </w:pPr>
    </w:p>
    <w:bookmarkStart w:id="187" w:name="page188"/>
    <w:bookmarkEnd w:id="187"/>
    <w:p>
      <w:pPr>
        <w:ind w:left="9320"/>
        <w:spacing w:after="0"/>
        <w:rPr>
          <w:sz w:val="20"/>
          <w:szCs w:val="20"/>
          <w:color w:val="auto"/>
        </w:rPr>
      </w:pPr>
      <w:r>
        <w:rPr>
          <w:rFonts w:ascii="Times New Roman" w:cs="Times New Roman" w:eastAsia="Times New Roman" w:hAnsi="Times New Roman"/>
          <w:sz w:val="21"/>
          <w:szCs w:val="21"/>
          <w:b w:val="1"/>
          <w:bCs w:val="1"/>
          <w:i w:val="1"/>
          <w:iCs w:val="1"/>
          <w:color w:val="auto"/>
        </w:rPr>
        <w:t>For Officers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STOCK AGREEMENT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GRANT</w:t>
      </w:r>
    </w:p>
    <w:p>
      <w:pPr>
        <w:spacing w:after="0" w:line="22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Micron Technology, Inc. Amended and Restated 2007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Agreement which includes the Notice of Restricted Stock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 Restricted Stock Award, subject to the terms and conditions of the Plan and this Award Agreement,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Grant Number: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Total Number of Shares of Restricted Stock:</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Shares of Restricted Stock will be scheduled to vest in accordance with the following schedule: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Shares of Restricted Stock, the unvested Shares of Restricted Stock and Participant’s right to receive any of such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20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 and the Company agree that (1) this Restricted Stock Award is granted under and governed by the</w:t>
      </w:r>
    </w:p>
    <w:p>
      <w:pPr>
        <w:sectPr>
          <w:pgSz w:w="11900" w:h="16838" w:orient="portrait"/>
          <w:cols w:equalWidth="0" w:num="1">
            <w:col w:w="10440"/>
          </w:cols>
          <w:pgMar w:left="700" w:top="984" w:right="759" w:bottom="1440" w:gutter="0" w:footer="0" w:header="0"/>
        </w:sectPr>
      </w:pPr>
    </w:p>
    <w:bookmarkStart w:id="188" w:name="page189"/>
    <w:bookmarkEnd w:id="188"/>
    <w:p>
      <w:pPr>
        <w:jc w:val="both"/>
        <w:ind w:left="340"/>
        <w:spacing w:after="0" w:line="262" w:lineRule="auto"/>
        <w:rPr>
          <w:sz w:val="20"/>
          <w:szCs w:val="20"/>
          <w:color w:val="auto"/>
        </w:rPr>
      </w:pPr>
      <w:r>
        <w:rPr>
          <w:rFonts w:ascii="Times New Roman" w:cs="Times New Roman" w:eastAsia="Times New Roman" w:hAnsi="Times New Roman"/>
          <w:sz w:val="21"/>
          <w:szCs w:val="21"/>
          <w:color w:val="auto"/>
        </w:rPr>
        <w:t>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490855</wp:posOffset>
            </wp:positionV>
            <wp:extent cx="24688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24688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Printed Name] [Note: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780"/>
          </w:cols>
          <w:pgMar w:left="360" w:top="1422" w:right="759" w:bottom="1440" w:gutter="0" w:footer="0" w:header="0"/>
        </w:sectPr>
      </w:pPr>
    </w:p>
    <w:bookmarkStart w:id="189" w:name="page190"/>
    <w:bookmarkEnd w:id="189"/>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GRANT</w:t>
      </w:r>
    </w:p>
    <w:p>
      <w:pPr>
        <w:spacing w:after="0" w:line="224" w:lineRule="exact"/>
        <w:rPr>
          <w:sz w:val="20"/>
          <w:szCs w:val="20"/>
          <w:color w:val="auto"/>
        </w:rPr>
      </w:pPr>
    </w:p>
    <w:p>
      <w:pPr>
        <w:jc w:val="both"/>
        <w:ind w:left="-60" w:firstLine="654"/>
        <w:spacing w:after="0" w:line="250" w:lineRule="auto"/>
        <w:tabs>
          <w:tab w:leader="none" w:pos="85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 Restricted Stock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 the Stock granted under this Award Agreement that is subject to the restrictions imposed hereunder and such restrictions have not then expired or terminated.</w:t>
      </w:r>
    </w:p>
    <w:p>
      <w:pPr>
        <w:spacing w:after="0" w:line="193" w:lineRule="exact"/>
        <w:rPr>
          <w:rFonts w:ascii="Times New Roman" w:cs="Times New Roman" w:eastAsia="Times New Roman" w:hAnsi="Times New Roman"/>
          <w:sz w:val="22"/>
          <w:szCs w:val="22"/>
          <w:color w:val="auto"/>
        </w:rPr>
      </w:pPr>
    </w:p>
    <w:p>
      <w:pPr>
        <w:jc w:val="both"/>
        <w:ind w:left="-60" w:firstLine="654"/>
        <w:spacing w:after="0" w:line="257" w:lineRule="auto"/>
        <w:tabs>
          <w:tab w:leader="none" w:pos="85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and subject to Sections 4 and 7, the Shares of Restricted Stock awarded by this Award Agreement will vest in accordance with the vesting provisions set forth in the Notice of Grant, subject to Participant remaining in Continuous Status as a Participant through the applicable vesting date.</w:t>
      </w:r>
    </w:p>
    <w:p>
      <w:pPr>
        <w:spacing w:after="0" w:line="172" w:lineRule="exact"/>
        <w:rPr>
          <w:rFonts w:ascii="Times New Roman" w:cs="Times New Roman" w:eastAsia="Times New Roman" w:hAnsi="Times New Roman"/>
          <w:sz w:val="22"/>
          <w:szCs w:val="22"/>
          <w:color w:val="auto"/>
        </w:rPr>
      </w:pPr>
    </w:p>
    <w:p>
      <w:pPr>
        <w:ind w:left="1220" w:hanging="626"/>
        <w:spacing w:after="0"/>
        <w:tabs>
          <w:tab w:leader="none" w:pos="12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0" w:firstLine="1302"/>
        <w:spacing w:after="0" w:line="263" w:lineRule="auto"/>
        <w:tabs>
          <w:tab w:leader="none" w:pos="1503"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Participant’s Continuous Status as a Participant ends on account of Participant’s death or Participant becoming Disabled, any Shares of Restricted Stock that both were unexpired and unvested as of the date of cessation of Continuous Status as a Participant, will vest on such date.</w:t>
      </w:r>
    </w:p>
    <w:p>
      <w:pPr>
        <w:spacing w:after="0" w:line="167" w:lineRule="exact"/>
        <w:rPr>
          <w:rFonts w:ascii="Times New Roman" w:cs="Times New Roman" w:eastAsia="Times New Roman" w:hAnsi="Times New Roman"/>
          <w:sz w:val="22"/>
          <w:szCs w:val="22"/>
          <w:color w:val="auto"/>
        </w:rPr>
      </w:pPr>
    </w:p>
    <w:p>
      <w:pPr>
        <w:jc w:val="both"/>
        <w:ind w:left="-60" w:firstLine="1301"/>
        <w:spacing w:after="0" w:line="259" w:lineRule="auto"/>
        <w:tabs>
          <w:tab w:leader="none" w:pos="1501"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If a Change in Control occurs before Participant’s Continuous Status as a Participant ends, any Shares of Restricted Stock that both were unexpired and unvested as of immediately preceding the Change in Control, will vest upon the consummation of the Change in Control unless, as determined by the Committee (as constituted immediately prior to the Change in Control), such Shares of Restricted Stock have been assumed by the Surviving Corporation, if any, or otherwise equitably converted or substituted in the Change in Control. For the purposes of this Award Agreement, the Shares of Restricted Stock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for each Share of Restricted Stock to be solely shares (or other applicable equity interests) of the Surviving Corporation or its parent equal in fair market value at the time of the Change in Control to the per Share consideration received by holders of Shares in the Change in Control.</w:t>
      </w:r>
    </w:p>
    <w:p>
      <w:pPr>
        <w:sectPr>
          <w:pgSz w:w="11900" w:h="16838" w:orient="portrait"/>
          <w:cols w:equalWidth="0" w:num="1">
            <w:col w:w="10380"/>
          </w:cols>
          <w:pgMar w:left="760" w:top="1440" w:right="759" w:bottom="1440" w:gutter="0" w:footer="0" w:header="0"/>
        </w:sectPr>
      </w:pPr>
    </w:p>
    <w:bookmarkStart w:id="190" w:name="page191"/>
    <w:bookmarkEnd w:id="190"/>
    <w:p>
      <w:pPr>
        <w:spacing w:after="0" w:line="347" w:lineRule="exact"/>
        <w:rPr>
          <w:sz w:val="20"/>
          <w:szCs w:val="20"/>
          <w:color w:val="auto"/>
        </w:rPr>
      </w:pPr>
    </w:p>
    <w:p>
      <w:pPr>
        <w:jc w:val="both"/>
        <w:ind w:firstLine="1302"/>
        <w:spacing w:after="0" w:line="248" w:lineRule="auto"/>
        <w:tabs>
          <w:tab w:leader="none" w:pos="156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following a Change in Control.</w:t>
      </w:r>
      <w:r>
        <w:rPr>
          <w:rFonts w:ascii="Times New Roman" w:cs="Times New Roman" w:eastAsia="Times New Roman" w:hAnsi="Times New Roman"/>
          <w:sz w:val="22"/>
          <w:szCs w:val="22"/>
          <w:color w:val="auto"/>
        </w:rPr>
        <w:t xml:space="preserve"> If (A) a Change in Control occurs before Participant’s Continuous Status as a Participant ends, (B) as determined by the Committee (as constituted immediately prior to the Change in Control), any Shares of Restricted Stock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within one (1) year after the effective date of the Change in Control either (i) by the Company (or any such Surviving Corporation or Affiliate, as applicable) without Cause, or (ii) by Participant’s resignation for Good Reason, then any Shares of Restricted Stock that both were unexpired and unvested as of immediately preceding the termination of employment, will vest upon the termination of employment.</w:t>
      </w:r>
    </w:p>
    <w:p>
      <w:pPr>
        <w:spacing w:after="0" w:line="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For purposes of this Section 3(c),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without Participant’s consent: (A) a material diminution in Participant’s base salary (other than an across- the-board reduction in base salary that affects all peer employees); (B) a material diminution in Participant’s authority, duties, or responsibilities; or (C) the relocation of Participant’s principal office to a location that is more than twenty-five (25) miles from the location of Participant’s principal office on the effective date of the Change in Control; provided, however, that Good Reason shall not include</w:t>
      </w:r>
    </w:p>
    <w:p>
      <w:pPr>
        <w:jc w:val="both"/>
        <w:ind w:firstLine="6"/>
        <w:spacing w:after="0" w:line="246" w:lineRule="auto"/>
        <w:tabs>
          <w:tab w:leader="none" w:pos="2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relocation of Participant’s principal office which is proposed or initiated by Participant; or (ii) any relocation that results in Participant’s principal office being closer to Participant’s then-current principal residence. To the extent Participant’s principal office is Participant’s residence due to a shelter-in-place order or similar work-from-home arrangement that applies to Participant, Participant’s principal office, from which a change in location under the foregoing clause (C) will be measured, will be considered the Company’s office location where Participant’s employment with the Company primarily was based immediately prior to the commencement of such shelter-in-place order or similar work-from-home arrangement. A termination by Participant shall not constitute termination for Good Reason unless Participant shall first have delivered to the Company written notice setting forth with specificity the occurrence deemed to give rise to a right to terminate for Good Reason (which notice must be given no later than ninety (90) days after the initial occurrence of such event) (the “</w:t>
      </w:r>
      <w:r>
        <w:rPr>
          <w:rFonts w:ascii="Times New Roman" w:cs="Times New Roman" w:eastAsia="Times New Roman" w:hAnsi="Times New Roman"/>
          <w:sz w:val="22"/>
          <w:szCs w:val="22"/>
          <w:u w:val="single" w:color="auto"/>
          <w:color w:val="auto"/>
        </w:rPr>
        <w:t>Good Reason Notice</w:t>
      </w:r>
      <w:r>
        <w:rPr>
          <w:rFonts w:ascii="Times New Roman" w:cs="Times New Roman" w:eastAsia="Times New Roman" w:hAnsi="Times New Roman"/>
          <w:sz w:val="22"/>
          <w:szCs w:val="22"/>
          <w:color w:val="auto"/>
        </w:rPr>
        <w:t>”), and the Company has not taken action to correct, rescind or otherwise substantially reverse the occurrence supporting termination for Good Reason as identified by Participant within thirty (30) days following its receipt of such Good Reason Notice. Participant’s date of termination for Good Reason must occur within a period of three hundred and sixty five (365) days after the initial occurrence of an event of Good Reason.</w:t>
      </w:r>
    </w:p>
    <w:p>
      <w:pPr>
        <w:spacing w:after="0" w:line="191" w:lineRule="exact"/>
        <w:rPr>
          <w:rFonts w:ascii="Times New Roman" w:cs="Times New Roman" w:eastAsia="Times New Roman" w:hAnsi="Times New Roman"/>
          <w:sz w:val="22"/>
          <w:szCs w:val="22"/>
          <w:color w:val="auto"/>
        </w:rPr>
      </w:pPr>
    </w:p>
    <w:p>
      <w:pPr>
        <w:jc w:val="both"/>
        <w:ind w:firstLine="1302"/>
        <w:spacing w:after="0" w:line="256" w:lineRule="auto"/>
        <w:tabs>
          <w:tab w:leader="none" w:pos="156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Committee.</w:t>
      </w:r>
    </w:p>
    <w:p>
      <w:pPr>
        <w:sectPr>
          <w:pgSz w:w="11900" w:h="16838" w:orient="portrait"/>
          <w:cols w:equalWidth="0" w:num="1">
            <w:col w:w="10440"/>
          </w:cols>
          <w:pgMar w:left="700" w:top="1440" w:right="759" w:bottom="1440" w:gutter="0" w:footer="0" w:header="0"/>
        </w:sectPr>
      </w:pPr>
    </w:p>
    <w:bookmarkStart w:id="191" w:name="page192"/>
    <w:bookmarkEnd w:id="191"/>
    <w:p>
      <w:pPr>
        <w:spacing w:after="0" w:line="200" w:lineRule="exact"/>
        <w:rPr>
          <w:sz w:val="20"/>
          <w:szCs w:val="20"/>
          <w:color w:val="auto"/>
        </w:rPr>
      </w:pPr>
    </w:p>
    <w:p>
      <w:pPr>
        <w:spacing w:after="0" w:line="241" w:lineRule="exact"/>
        <w:rPr>
          <w:sz w:val="20"/>
          <w:szCs w:val="20"/>
          <w:color w:val="auto"/>
        </w:rPr>
      </w:pPr>
    </w:p>
    <w:p>
      <w:pPr>
        <w:jc w:val="both"/>
        <w:ind w:left="-5" w:right="20" w:firstLine="654"/>
        <w:spacing w:after="0" w:line="250" w:lineRule="auto"/>
        <w:tabs>
          <w:tab w:leader="none" w:pos="91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Shares of Restricted Stock awarded by this Award Agreement will be forfeited at no cost to the Company and Participant will have no further rights thereunder. The date of forfeiture will be the date of cessation of Continuous Status as a Participant.</w:t>
      </w:r>
    </w:p>
    <w:p>
      <w:pPr>
        <w:spacing w:after="0" w:line="180" w:lineRule="exact"/>
        <w:rPr>
          <w:rFonts w:ascii="Times New Roman" w:cs="Times New Roman" w:eastAsia="Times New Roman" w:hAnsi="Times New Roman"/>
          <w:sz w:val="22"/>
          <w:szCs w:val="22"/>
          <w:color w:val="auto"/>
        </w:rPr>
      </w:pPr>
    </w:p>
    <w:p>
      <w:pPr>
        <w:jc w:val="both"/>
        <w:ind w:left="-5" w:firstLine="654"/>
        <w:spacing w:after="0" w:line="251" w:lineRule="auto"/>
        <w:tabs>
          <w:tab w:leader="none" w:pos="91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1" w:lineRule="exact"/>
        <w:rPr>
          <w:rFonts w:ascii="Times New Roman" w:cs="Times New Roman" w:eastAsia="Times New Roman" w:hAnsi="Times New Roman"/>
          <w:sz w:val="22"/>
          <w:szCs w:val="22"/>
          <w:color w:val="auto"/>
        </w:rPr>
      </w:pPr>
    </w:p>
    <w:p>
      <w:pPr>
        <w:jc w:val="both"/>
        <w:ind w:left="-5" w:firstLine="653"/>
        <w:spacing w:after="0" w:line="264" w:lineRule="auto"/>
        <w:tabs>
          <w:tab w:leader="none" w:pos="913"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w:t>
      </w:r>
    </w:p>
    <w:p>
      <w:pPr>
        <w:ind w:left="-5" w:right="20" w:firstLine="5"/>
        <w:spacing w:after="0" w:line="248" w:lineRule="auto"/>
        <w:tabs>
          <w:tab w:leader="none" w:pos="2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his or her status as transferee, and (b) evidence satisfactory to the Company to establish the validity of the transfer and compliance with any laws or regulations pertaining to said transfer.</w:t>
      </w:r>
    </w:p>
    <w:p>
      <w:pPr>
        <w:spacing w:after="0" w:line="182" w:lineRule="exact"/>
        <w:rPr>
          <w:rFonts w:ascii="Times New Roman" w:cs="Times New Roman" w:eastAsia="Times New Roman" w:hAnsi="Times New Roman"/>
          <w:sz w:val="22"/>
          <w:szCs w:val="22"/>
          <w:color w:val="auto"/>
        </w:rPr>
      </w:pPr>
    </w:p>
    <w:p>
      <w:pPr>
        <w:ind w:left="1275" w:hanging="626"/>
        <w:spacing w:after="0"/>
        <w:tabs>
          <w:tab w:leader="none" w:pos="1275"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19" w:lineRule="exact"/>
        <w:rPr>
          <w:rFonts w:ascii="Times New Roman" w:cs="Times New Roman" w:eastAsia="Times New Roman" w:hAnsi="Times New Roman"/>
          <w:sz w:val="22"/>
          <w:szCs w:val="22"/>
          <w:color w:val="auto"/>
        </w:rPr>
      </w:pPr>
    </w:p>
    <w:p>
      <w:pPr>
        <w:jc w:val="both"/>
        <w:ind w:left="-5" w:firstLine="1301"/>
        <w:spacing w:after="0" w:line="248" w:lineRule="auto"/>
        <w:tabs>
          <w:tab w:leader="none" w:pos="1558"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Shares of Restricted Stock,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respect to the Shares of Restricted Stock, or the sale of Shares, and (iii) any other Service Recipient taxes the responsibility for which Participant has, or has agreed to bear, with respect to the issuance or vesting of the Shares of Restricted Stock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w:t>
      </w:r>
    </w:p>
    <w:p>
      <w:pPr>
        <w:sectPr>
          <w:pgSz w:w="11900" w:h="16838" w:orient="portrait"/>
          <w:cols w:equalWidth="0" w:num="1">
            <w:col w:w="10435"/>
          </w:cols>
          <w:pgMar w:left="705" w:top="1440" w:right="759" w:bottom="1440" w:gutter="0" w:footer="0" w:header="0"/>
        </w:sectPr>
      </w:pPr>
    </w:p>
    <w:bookmarkStart w:id="192" w:name="page193"/>
    <w:bookmarkEnd w:id="192"/>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14(f)),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Participant acknowledges and agrees that the Shares that otherwise would be delivered to Participant will be permanently forfeited at no cost to the Company.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175" w:lineRule="exact"/>
        <w:rPr>
          <w:sz w:val="20"/>
          <w:szCs w:val="20"/>
          <w:color w:val="auto"/>
        </w:rPr>
      </w:pPr>
    </w:p>
    <w:p>
      <w:pPr>
        <w:jc w:val="both"/>
        <w:ind w:firstLine="1301"/>
        <w:spacing w:after="0" w:line="250" w:lineRule="auto"/>
        <w:tabs>
          <w:tab w:leader="none" w:pos="156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Unless Participant timely files an 83(b) Election, when Shares of Restricted Stock vest,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86" w:lineRule="exact"/>
        <w:rPr>
          <w:rFonts w:ascii="Times New Roman" w:cs="Times New Roman" w:eastAsia="Times New Roman" w:hAnsi="Times New Roman"/>
          <w:sz w:val="22"/>
          <w:szCs w:val="22"/>
          <w:color w:val="auto"/>
        </w:rPr>
      </w:pPr>
    </w:p>
    <w:p>
      <w:pPr>
        <w:jc w:val="both"/>
        <w:ind w:firstLine="1302"/>
        <w:spacing w:after="0" w:line="248" w:lineRule="auto"/>
        <w:tabs>
          <w:tab w:leader="none" w:pos="156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7(b) or the Committee otherwise determines to permit or require that Participant satisfy Participant’s Tax Withholding Obligation by a method other than through the default procedure set forth in Section 7(b),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w:t>
      </w:r>
    </w:p>
    <w:p>
      <w:pPr>
        <w:sectPr>
          <w:pgSz w:w="11900" w:h="16838" w:orient="portrait"/>
          <w:cols w:equalWidth="0" w:num="1">
            <w:col w:w="10440"/>
          </w:cols>
          <w:pgMar w:left="700" w:top="1440" w:right="759" w:bottom="1440" w:gutter="0" w:footer="0" w:header="0"/>
        </w:sectPr>
      </w:pPr>
    </w:p>
    <w:bookmarkStart w:id="193" w:name="page194"/>
    <w:bookmarkEnd w:id="193"/>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1"/>
          <w:szCs w:val="21"/>
          <w:color w:val="auto"/>
        </w:rPr>
        <w:t>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151" w:lineRule="exact"/>
        <w:rPr>
          <w:sz w:val="20"/>
          <w:szCs w:val="20"/>
          <w:color w:val="auto"/>
        </w:rPr>
      </w:pPr>
    </w:p>
    <w:p>
      <w:pPr>
        <w:jc w:val="both"/>
        <w:ind w:firstLine="1302"/>
        <w:spacing w:after="0" w:line="248" w:lineRule="auto"/>
        <w:tabs>
          <w:tab w:leader="none" w:pos="156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Rates</w:t>
      </w:r>
      <w:r>
        <w:rPr>
          <w:rFonts w:ascii="Times New Roman" w:cs="Times New Roman" w:eastAsia="Times New Roman" w:hAnsi="Times New Roman"/>
          <w:sz w:val="22"/>
          <w:szCs w:val="22"/>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of Restricted Stock, notwithstanding that a number of the Shares is held back solely for the purpose of paying the Tax Obligations.</w:t>
      </w:r>
    </w:p>
    <w:p>
      <w:pPr>
        <w:spacing w:after="0" w:line="198" w:lineRule="exact"/>
        <w:rPr>
          <w:rFonts w:ascii="Times New Roman" w:cs="Times New Roman" w:eastAsia="Times New Roman" w:hAnsi="Times New Roman"/>
          <w:sz w:val="22"/>
          <w:szCs w:val="22"/>
          <w:color w:val="auto"/>
        </w:rPr>
      </w:pPr>
    </w:p>
    <w:p>
      <w:pPr>
        <w:jc w:val="both"/>
        <w:ind w:right="20" w:firstLine="1301"/>
        <w:spacing w:after="0" w:line="248" w:lineRule="auto"/>
        <w:tabs>
          <w:tab w:leader="none" w:pos="156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Release Shares</w:t>
      </w:r>
      <w:r>
        <w:rPr>
          <w:rFonts w:ascii="Times New Roman" w:cs="Times New Roman" w:eastAsia="Times New Roman" w:hAnsi="Times New Roman"/>
          <w:sz w:val="22"/>
          <w:szCs w:val="22"/>
          <w:color w:val="auto"/>
        </w:rPr>
        <w:t>. For clarification purposes, in no event will the Company release Shares from the escrow established pursuant to Section 14 unless and until arrangements satisfactory to the Committee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 files a timely 83(b) Election with the IRS, or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185" w:lineRule="exact"/>
        <w:rPr>
          <w:rFonts w:ascii="Times New Roman" w:cs="Times New Roman" w:eastAsia="Times New Roman" w:hAnsi="Times New Roman"/>
          <w:sz w:val="22"/>
          <w:szCs w:val="22"/>
          <w:color w:val="auto"/>
        </w:rPr>
      </w:pPr>
    </w:p>
    <w:p>
      <w:pPr>
        <w:jc w:val="both"/>
        <w:ind w:firstLine="653"/>
        <w:spacing w:after="0" w:line="251" w:lineRule="auto"/>
        <w:tabs>
          <w:tab w:leader="none" w:pos="91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xml:space="preserve"> Participant shall be eligible to receive cash and non-cash dividends declared and paid by the Company on Shares declared for which the record date occurs while Shares of Restricted Stock subject to this Award Agreement remain outstanding. Dividends eligible to vest under this Section 8 will be subject to the same terms and conditions as the Shares of Restricted Stock on which the dividends were paid, including (but not limited to) vesting at the same time as the vesting of the Shares of Restricted Stock on which the dividends were paid. Dividends will not accrue interest and will not be credited with any investment returns related to Shares or otherwise.</w:t>
      </w:r>
    </w:p>
    <w:p>
      <w:pPr>
        <w:spacing w:after="0" w:line="181" w:lineRule="exact"/>
        <w:rPr>
          <w:rFonts w:ascii="Times New Roman" w:cs="Times New Roman" w:eastAsia="Times New Roman" w:hAnsi="Times New Roman"/>
          <w:sz w:val="22"/>
          <w:szCs w:val="22"/>
          <w:color w:val="auto"/>
        </w:rPr>
      </w:pPr>
    </w:p>
    <w:p>
      <w:pPr>
        <w:jc w:val="both"/>
        <w:ind w:firstLine="654"/>
        <w:spacing w:after="0" w:line="250" w:lineRule="auto"/>
        <w:tabs>
          <w:tab w:leader="none" w:pos="91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subject to Section 8.</w:t>
      </w:r>
    </w:p>
    <w:p>
      <w:pPr>
        <w:sectPr>
          <w:pgSz w:w="11900" w:h="16838" w:orient="portrait"/>
          <w:cols w:equalWidth="0" w:num="1">
            <w:col w:w="10440"/>
          </w:cols>
          <w:pgMar w:left="700" w:top="1440" w:right="759" w:bottom="1440" w:gutter="0" w:footer="0" w:header="0"/>
        </w:sectPr>
      </w:pPr>
    </w:p>
    <w:bookmarkStart w:id="194" w:name="page195"/>
    <w:bookmarkEnd w:id="194"/>
    <w:p>
      <w:pPr>
        <w:spacing w:after="0" w:line="1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for the escrow described in Section 14 or transfer of the Shares to the Company or its assignees contemplated by this Award Agreement, and except to the limited extent provided in Section 6 and this Section 11 or as otherwise determined by the Committee, the unvested Shares subject to this Award Agreement and the rights and privileges conferred hereby cannot be transferred, assigned, pledged, hypothecated, or otherwise encumbered in any way (whether by operation of law or otherwise) and will not be subject to sale under execution, attachment or similar process until such Shares shall have vested in accordance with the provisions of this Award Agreement, except to the limited extent provided in Section 6 and this Section 11 or as otherwise determined by the Committee. Upon any attempt to transfer, assign, pledge, hypothecate, or otherwise encumber or dispose of the unvested Shares subject to this Award Agreement, or any right or privilege conferred hereby, or upon any attempted sale under any execution, attachment or similar process, except to the limited extent provided in Section 6 and this Section 11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 transfer complies with the QDRO procedures then in effect, as specified by the Committee or the Company.</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Participant acknowledges, understands and agrees that:</w:t>
      </w:r>
    </w:p>
    <w:p>
      <w:pPr>
        <w:spacing w:after="0" w:line="144"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(a)the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(b)all decisions with respect to future grants of Restricted Stock or other grants, if any, will be at the sole discretion of the Committee;</w:t>
      </w:r>
    </w:p>
    <w:p>
      <w:pPr>
        <w:spacing w:after="0" w:line="171" w:lineRule="exact"/>
        <w:rPr>
          <w:sz w:val="20"/>
          <w:szCs w:val="20"/>
          <w:color w:val="auto"/>
        </w:rPr>
      </w:pPr>
    </w:p>
    <w:p>
      <w:pPr>
        <w:ind w:left="1940" w:hanging="638"/>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ectPr>
          <w:pgSz w:w="11900" w:h="16838" w:orient="portrait"/>
          <w:cols w:equalWidth="0" w:num="1">
            <w:col w:w="10440"/>
          </w:cols>
          <w:pgMar w:left="700" w:top="1440" w:right="759" w:bottom="1440" w:gutter="0" w:footer="0" w:header="0"/>
        </w:sectPr>
      </w:pPr>
    </w:p>
    <w:bookmarkStart w:id="195" w:name="page196"/>
    <w:bookmarkEnd w:id="195"/>
    <w:p>
      <w:pPr>
        <w:spacing w:after="0" w:line="11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(d)the Shares of Restricted Stock, and the income from and value of same, are not intended to replace any pension rights or compensation;</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(e)the Shares of Restricted Stock,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 unless otherwise agreed with the Company in writing, the Shares of Restricted Stock and the income from and value of same, are not granted as consideration for, or in connection with, the service Participant may provide as a director of a Subsidiary; the future value of the Shares of Restricted Stock is unknown, indeterminable, and cannot be predicted;</w:t>
      </w:r>
    </w:p>
    <w:p>
      <w:pPr>
        <w:spacing w:after="0" w:line="180" w:lineRule="exact"/>
        <w:rPr>
          <w:sz w:val="20"/>
          <w:szCs w:val="20"/>
          <w:color w:val="auto"/>
        </w:rPr>
      </w:pPr>
    </w:p>
    <w:p>
      <w:pPr>
        <w:jc w:val="both"/>
        <w:ind w:firstLine="1302"/>
        <w:spacing w:after="0" w:line="247" w:lineRule="auto"/>
        <w:tabs>
          <w:tab w:leader="none" w:pos="156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Shares of Restricted Stock,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an employee, officer, director or consultant (a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Provider</w:t>
      </w:r>
      <w:r>
        <w:rPr>
          <w:rFonts w:ascii="Times New Roman" w:cs="Times New Roman" w:eastAsia="Times New Roman" w:hAnsi="Times New Roman"/>
          <w:sz w:val="22"/>
          <w:szCs w:val="22"/>
          <w:color w:val="auto"/>
        </w:rPr>
        <w:t>”) or the terms of Participant’s employment or service agreement, if any), and unless otherwise expressly provided in this Award Agreement (including by reference in the Notice of Grant to other arrangements or contracts) or determined by the Committee,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grant of Shares of Restricted Stock (including whether Participant may still be considered to be providing services while on a leave of absence and consistent with local law);</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(g)unless otherwise provided in the Plan or by the Committee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(h)the following provisions apply only if Participant is providing services outside the United States:</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(i) the Restricted Stock Award is not part of normal or expected compensation or salary for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w:t>
      </w:r>
    </w:p>
    <w:p>
      <w:pPr>
        <w:spacing w:after="0" w:line="207" w:lineRule="exact"/>
        <w:rPr>
          <w:sz w:val="20"/>
          <w:szCs w:val="20"/>
          <w:color w:val="auto"/>
        </w:rPr>
      </w:pPr>
    </w:p>
    <w:p>
      <w:pPr>
        <w:jc w:val="both"/>
        <w:ind w:right="20" w:firstLine="1870"/>
        <w:spacing w:after="0" w:line="252" w:lineRule="auto"/>
        <w:tabs>
          <w:tab w:leader="none" w:pos="220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Shares of Restricted Stock or of any amounts due to Participant pursuant to the grant of the Shares of Restricted Stock or the subsequent sale of any such Shares; and</w:t>
      </w:r>
    </w:p>
    <w:p>
      <w:pPr>
        <w:sectPr>
          <w:pgSz w:w="11900" w:h="16838" w:orient="portrait"/>
          <w:cols w:equalWidth="0" w:num="1">
            <w:col w:w="10440"/>
          </w:cols>
          <w:pgMar w:left="700" w:top="1440" w:right="759" w:bottom="1440" w:gutter="0" w:footer="0" w:header="0"/>
        </w:sectPr>
      </w:pPr>
    </w:p>
    <w:bookmarkStart w:id="196" w:name="page197"/>
    <w:bookmarkEnd w:id="196"/>
    <w:p>
      <w:pPr>
        <w:spacing w:after="0" w:line="117" w:lineRule="exact"/>
        <w:rPr>
          <w:sz w:val="20"/>
          <w:szCs w:val="20"/>
          <w:color w:val="auto"/>
        </w:rPr>
      </w:pPr>
    </w:p>
    <w:p>
      <w:pPr>
        <w:jc w:val="both"/>
        <w:ind w:firstLine="1950"/>
        <w:spacing w:after="0" w:line="248" w:lineRule="auto"/>
        <w:tabs>
          <w:tab w:leader="none" w:pos="286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or recoupment of the Shares of Restricted Stock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Shares of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of Restricted Stock.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left="1280" w:hanging="626"/>
        <w:spacing w:after="0"/>
        <w:tabs>
          <w:tab w:leader="none" w:pos="12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of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22"/>
          <w:szCs w:val="22"/>
          <w:color w:val="auto"/>
        </w:rPr>
        <w:t>(a)All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Participant’s Continuous Status as a Participant ceases.</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(b)The Escrow Holder will not be liable for any act it may do or omit to do with respect to holding the Shares of Restricted Stock in escrow and while acting in good faith and in the exercise of its judgment.</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(c)Upon the cessation of Participant’s Continuous Status as a Participant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(d)The Escrow Holder will take all steps necessary to accomplish the transfer of Shares of Restricted Stock to Participant after they vest following Participant’s request that the Escrow Holder do so.</w:t>
      </w:r>
    </w:p>
    <w:p>
      <w:pPr>
        <w:sectPr>
          <w:pgSz w:w="11900" w:h="16838" w:orient="portrait"/>
          <w:cols w:equalWidth="0" w:num="1">
            <w:col w:w="10440"/>
          </w:cols>
          <w:pgMar w:left="700" w:top="1440" w:right="759" w:bottom="1440" w:gutter="0" w:footer="0" w:header="0"/>
        </w:sectPr>
      </w:pPr>
    </w:p>
    <w:bookmarkStart w:id="197" w:name="page198"/>
    <w:bookmarkEnd w:id="197"/>
    <w:p>
      <w:pPr>
        <w:spacing w:after="0" w:line="117"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(e)Subject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67" w:lineRule="exact"/>
        <w:rPr>
          <w:sz w:val="20"/>
          <w:szCs w:val="20"/>
          <w:color w:val="auto"/>
        </w:rPr>
      </w:pPr>
    </w:p>
    <w:p>
      <w:pPr>
        <w:jc w:val="both"/>
        <w:ind w:firstLine="1301"/>
        <w:spacing w:after="0" w:line="247" w:lineRule="auto"/>
        <w:tabs>
          <w:tab w:leader="none" w:pos="156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Participant’s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Committee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91"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(g)The Company may instruct the transfer agent for its Stock to place a legend on the certificates representing the Restricted Stock or otherwise note its records as to the restrictions on transfer set forth in this Award Agreement.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w:t>
      </w:r>
    </w:p>
    <w:p>
      <w:pPr>
        <w:sectPr>
          <w:pgSz w:w="11900" w:h="16838" w:orient="portrait"/>
          <w:cols w:equalWidth="0" w:num="1">
            <w:col w:w="10440"/>
          </w:cols>
          <w:pgMar w:left="700" w:top="1440" w:right="759" w:bottom="1440" w:gutter="0" w:footer="0" w:header="0"/>
        </w:sectPr>
      </w:pPr>
    </w:p>
    <w:bookmarkStart w:id="198" w:name="page199"/>
    <w:bookmarkEnd w:id="198"/>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awarded under the Plan or future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18.</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w:t>
      </w:r>
    </w:p>
    <w:p>
      <w:pPr>
        <w:sectPr>
          <w:pgSz w:w="11900" w:h="16838" w:orient="portrait"/>
          <w:cols w:equalWidth="0" w:num="1">
            <w:col w:w="10440"/>
          </w:cols>
          <w:pgMar w:left="700" w:top="1440" w:right="759" w:bottom="1440" w:gutter="0" w:footer="0" w:header="0"/>
        </w:sectPr>
      </w:pPr>
    </w:p>
    <w:bookmarkStart w:id="199" w:name="page200"/>
    <w:bookmarkEnd w:id="199"/>
    <w:p>
      <w:pPr>
        <w:spacing w:after="0" w:line="1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20.</w:t>
      </w: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 registration, qualification or rule compliance of the Shares upon any securities exchange or under any state, federal, U.S.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Shares of Restricted Stock as the Committee may establish from time to time for reasons of administrative convenience.</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Shares of Restricted Stock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under the Plan, and has received, read and understood a description of the Plan. Participant understands</w:t>
      </w:r>
    </w:p>
    <w:p>
      <w:pPr>
        <w:sectPr>
          <w:pgSz w:w="11900" w:h="16838" w:orient="portrait"/>
          <w:cols w:equalWidth="0" w:num="1">
            <w:col w:w="10440"/>
          </w:cols>
          <w:pgMar w:left="700" w:top="1440" w:right="759" w:bottom="1440" w:gutter="0" w:footer="0" w:header="0"/>
        </w:sectPr>
      </w:pPr>
    </w:p>
    <w:bookmarkStart w:id="200" w:name="page201"/>
    <w:bookmarkEnd w:id="200"/>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the Plan is discretionary in nature and may be amended, suspended or terminated by the Committee at any time.</w:t>
      </w:r>
    </w:p>
    <w:p>
      <w:pPr>
        <w:spacing w:after="0" w:line="22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Shares of Restricted Stock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Shares of Restricted Stock (including any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forfeit to the Company part or all of the Shares (if any) that Participant has received under this Award Agreement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w:t>
      </w:r>
    </w:p>
    <w:p>
      <w:pPr>
        <w:sectPr>
          <w:pgSz w:w="11900" w:h="16838" w:orient="portrait"/>
          <w:cols w:equalWidth="0" w:num="1">
            <w:col w:w="10440"/>
          </w:cols>
          <w:pgMar w:left="700" w:top="1440" w:right="759" w:bottom="1440" w:gutter="0" w:footer="0" w:header="0"/>
        </w:sectPr>
      </w:pPr>
    </w:p>
    <w:bookmarkStart w:id="201" w:name="page202"/>
    <w:bookmarkEnd w:id="201"/>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service provider engaged by the Company to hold any Shares or other amounts acquired pursuant to the Award of Restricted Stock to re-convey, transfer or otherwise return the Shares and/or other amounts to the Company upon the Company’s enforcement of any Clawback Policy or recovery policy.</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Shares of Restricted Stock are governed by the internal substantive laws, but not the choice of law rules, of the State of Delaware, USA. For purposes of litigating any dispute that arises under the Shares of Restricted Stock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Vesting upon a Qualifying Separation from Service</w:t>
      </w:r>
      <w:r>
        <w:rPr>
          <w:rFonts w:ascii="Times New Roman" w:cs="Times New Roman" w:eastAsia="Times New Roman" w:hAnsi="Times New Roman"/>
          <w:sz w:val="22"/>
          <w:szCs w:val="22"/>
          <w:color w:val="auto"/>
        </w:rPr>
        <w:t>. To the extent that Participant and the Company have entered into a written offer letter or similar written agreement (the “</w:t>
      </w:r>
      <w:r>
        <w:rPr>
          <w:rFonts w:ascii="Times New Roman" w:cs="Times New Roman" w:eastAsia="Times New Roman" w:hAnsi="Times New Roman"/>
          <w:sz w:val="22"/>
          <w:szCs w:val="22"/>
          <w:u w:val="single" w:color="auto"/>
          <w:color w:val="auto"/>
        </w:rPr>
        <w:t>Letter</w:t>
      </w:r>
      <w:r>
        <w:rPr>
          <w:rFonts w:ascii="Times New Roman" w:cs="Times New Roman" w:eastAsia="Times New Roman" w:hAnsi="Times New Roman"/>
          <w:sz w:val="22"/>
          <w:szCs w:val="22"/>
          <w:color w:val="auto"/>
        </w:rPr>
        <w:t>”) that provides for accelerated or continued vesting of part or all of this Award if Participant experiences a “Qualifying Separation from Service” (as defined in the Letter), if Participant experiences a Qualifying Separation from Service and complies with the terms of the Letter so that Participant becomes entitled to “Severance Benefits” (as defined in the Letter), Participant also shall be entitled to partial or full vesting of this Award as a Restricted Stock award under the Letter and in accordance with the terms and conditions specified in the Letter. For the avoidance of doubt, any vesting provided under this Section 29 is subject to all of the terms and conditions of the Letter and, if Participant does not comply with the requirements of the Letter to qualify for Severance Benefits, Participant will not be entitled to any vesting under this Section 29.</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Award shall be subject to any special terms and conditions set forth in an appendix (if any) to this Award Agreement for any country whose laws are applicable to Participant and this Award of Restricted Stock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part of this Award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Insider Trading/Market Abuse Laws</w:t>
      </w:r>
      <w:r>
        <w:rPr>
          <w:rFonts w:ascii="Times New Roman" w:cs="Times New Roman" w:eastAsia="Times New Roman" w:hAnsi="Times New Roman"/>
          <w:sz w:val="22"/>
          <w:szCs w:val="22"/>
          <w:color w:val="auto"/>
        </w:rPr>
        <w:t>. Participant acknowledges that he or she may be subject to insider trading restrictions and/or market abuse laws in applicable jurisdictions including, but not limited to, the United States and Participant’s country of residence, which may</w:t>
      </w:r>
    </w:p>
    <w:p>
      <w:pPr>
        <w:sectPr>
          <w:pgSz w:w="11900" w:h="16838" w:orient="portrait"/>
          <w:cols w:equalWidth="0" w:num="1">
            <w:col w:w="10440"/>
          </w:cols>
          <w:pgMar w:left="700" w:top="1440" w:right="759" w:bottom="1440" w:gutter="0" w:footer="0" w:header="0"/>
        </w:sectPr>
      </w:pPr>
    </w:p>
    <w:bookmarkStart w:id="202" w:name="page203"/>
    <w:bookmarkEnd w:id="202"/>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affect Participant’s ability to acquire or sell Shares or rights to Shares (e.g., Restricted Stock)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 </w:t>
      </w:r>
      <w:r>
        <w:rPr>
          <w:rFonts w:ascii="Calibri" w:cs="Calibri" w:eastAsia="Calibri" w:hAnsi="Calibri"/>
          <w:sz w:val="19"/>
          <w:szCs w:val="19"/>
          <w:color w:val="auto"/>
        </w:rPr>
        <w:t>* *</w:t>
      </w:r>
    </w:p>
    <w:p>
      <w:pPr>
        <w:sectPr>
          <w:pgSz w:w="11900" w:h="16838" w:orient="portrait"/>
          <w:cols w:equalWidth="0" w:num="1">
            <w:col w:w="10440"/>
          </w:cols>
          <w:pgMar w:left="700" w:top="1440" w:right="759" w:bottom="1440" w:gutter="0" w:footer="0" w:header="0"/>
        </w:sectPr>
      </w:pPr>
    </w:p>
    <w:bookmarkStart w:id="203" w:name="page204"/>
    <w:bookmarkEnd w:id="203"/>
    <w:p>
      <w:pPr>
        <w:spacing w:after="0" w:line="1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 STOCK</w:t>
      </w:r>
    </w:p>
    <w:p>
      <w:pPr>
        <w:spacing w:after="0" w:line="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Unless otherwise defined herein, the terms defined in the Micron Technology, Inc. Amended and Restated 2007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0" w:lineRule="exact"/>
        <w:rPr>
          <w:sz w:val="20"/>
          <w:szCs w:val="20"/>
          <w:color w:val="auto"/>
        </w:rPr>
      </w:pPr>
    </w:p>
    <w:p>
      <w:pPr>
        <w:spacing w:after="0" w:line="2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 Restricted Stock Unit Award, subject to the terms and conditions of the Plan and this Award Agreement, as follows: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Total Number of Shares Subject to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Units will be scheduled to vest in accordance with the following schedule: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 and the Company agree that (1) this Restricted Stock Unit Award is granted under and governed by the terms and conditions of the Plan and this Award Agreement, which constitutes an Award Certificate for purposes of the Plan, (2) Participant acknowledges that Participant has received a copy of the Plan and</w:t>
      </w:r>
    </w:p>
    <w:p>
      <w:pPr>
        <w:sectPr>
          <w:pgSz w:w="11900" w:h="16838" w:orient="portrait"/>
          <w:cols w:equalWidth="0" w:num="1">
            <w:col w:w="10880"/>
          </w:cols>
          <w:pgMar w:left="580" w:top="1440" w:right="439" w:bottom="1440" w:gutter="0" w:footer="0" w:header="0"/>
        </w:sectPr>
      </w:pPr>
    </w:p>
    <w:bookmarkStart w:id="204" w:name="page205"/>
    <w:bookmarkEnd w:id="204"/>
    <w:p>
      <w:pPr>
        <w:jc w:val="both"/>
        <w:spacing w:after="0" w:line="263" w:lineRule="auto"/>
        <w:rPr>
          <w:sz w:val="20"/>
          <w:szCs w:val="20"/>
          <w:color w:val="auto"/>
        </w:rPr>
      </w:pPr>
      <w:r>
        <w:rPr>
          <w:rFonts w:ascii="Times New Roman" w:cs="Times New Roman" w:eastAsia="Times New Roman" w:hAnsi="Times New Roman"/>
          <w:sz w:val="21"/>
          <w:szCs w:val="21"/>
          <w:color w:val="auto"/>
        </w:rPr>
        <w:t>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482600</wp:posOffset>
            </wp:positionV>
            <wp:extent cx="24688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24688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880"/>
          </w:cols>
          <w:pgMar w:left="580" w:top="1422" w:right="439" w:bottom="1440" w:gutter="0" w:footer="0" w:header="0"/>
        </w:sectPr>
      </w:pPr>
    </w:p>
    <w:bookmarkStart w:id="205" w:name="page206"/>
    <w:bookmarkEnd w:id="205"/>
    <w:p>
      <w:pPr>
        <w:spacing w:after="0" w:line="194"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24" w:lineRule="exact"/>
        <w:rPr>
          <w:sz w:val="20"/>
          <w:szCs w:val="20"/>
          <w:color w:val="auto"/>
        </w:rPr>
      </w:pPr>
    </w:p>
    <w:p>
      <w:pPr>
        <w:jc w:val="both"/>
        <w:ind w:left="5" w:firstLine="643"/>
        <w:spacing w:after="0" w:line="252" w:lineRule="auto"/>
        <w:tabs>
          <w:tab w:leader="none" w:pos="104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 Restricted Stock Unit Award under the Plan, subject to the terms and conditions of this Award Agreement and the Plan, which is incorporated herein by reference. Subject to Section</w:t>
      </w:r>
    </w:p>
    <w:p>
      <w:pPr>
        <w:ind w:left="5"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 of the Plan, in the event of a conflict between the terms and conditions of the Plan and this Award Agreement, the terms and conditions of the Plan shall prevail.</w:t>
      </w:r>
    </w:p>
    <w:p>
      <w:pPr>
        <w:spacing w:after="0" w:line="182" w:lineRule="exact"/>
        <w:rPr>
          <w:rFonts w:ascii="Times New Roman" w:cs="Times New Roman" w:eastAsia="Times New Roman" w:hAnsi="Times New Roman"/>
          <w:sz w:val="22"/>
          <w:szCs w:val="22"/>
          <w:color w:val="auto"/>
        </w:rPr>
      </w:pPr>
    </w:p>
    <w:p>
      <w:pPr>
        <w:jc w:val="both"/>
        <w:ind w:left="5" w:firstLine="643"/>
        <w:spacing w:after="0" w:line="253" w:lineRule="auto"/>
        <w:tabs>
          <w:tab w:leader="none" w:pos="104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left="5" w:right="20" w:firstLine="643"/>
        <w:spacing w:after="0" w:line="263" w:lineRule="auto"/>
        <w:tabs>
          <w:tab w:leader="none" w:pos="104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subject to Participant remaining in Continuous Status as a Participant through the applicable vesting date.</w:t>
      </w:r>
    </w:p>
    <w:p>
      <w:pPr>
        <w:spacing w:after="0" w:line="167" w:lineRule="exact"/>
        <w:rPr>
          <w:rFonts w:ascii="Times New Roman" w:cs="Times New Roman" w:eastAsia="Times New Roman" w:hAnsi="Times New Roman"/>
          <w:sz w:val="22"/>
          <w:szCs w:val="22"/>
          <w:color w:val="auto"/>
        </w:rPr>
      </w:pPr>
    </w:p>
    <w:p>
      <w:pPr>
        <w:ind w:left="1285" w:hanging="636"/>
        <w:spacing w:after="0"/>
        <w:tabs>
          <w:tab w:leader="none" w:pos="1285"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 w:firstLine="1291"/>
        <w:spacing w:after="0" w:line="252" w:lineRule="auto"/>
        <w:tabs>
          <w:tab w:leader="none" w:pos="1689"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thirty</w:t>
      </w:r>
    </w:p>
    <w:p>
      <w:pPr>
        <w:jc w:val="both"/>
        <w:ind w:left="5" w:hanging="5"/>
        <w:spacing w:after="0" w:line="245" w:lineRule="auto"/>
        <w:tabs>
          <w:tab w:leader="none" w:pos="4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186" w:lineRule="exact"/>
        <w:rPr>
          <w:rFonts w:ascii="Times New Roman" w:cs="Times New Roman" w:eastAsia="Times New Roman" w:hAnsi="Times New Roman"/>
          <w:sz w:val="22"/>
          <w:szCs w:val="22"/>
          <w:color w:val="auto"/>
        </w:rPr>
      </w:pPr>
    </w:p>
    <w:p>
      <w:pPr>
        <w:ind w:left="1945" w:hanging="649"/>
        <w:spacing w:after="0"/>
        <w:tabs>
          <w:tab w:leader="none" w:pos="1945" w:val="left"/>
        </w:tabs>
        <w:numPr>
          <w:ilvl w:val="2"/>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5" w:right="20" w:firstLine="1939"/>
        <w:spacing w:after="0" w:line="257" w:lineRule="auto"/>
        <w:tabs>
          <w:tab w:leader="none" w:pos="2341" w:val="left"/>
        </w:tabs>
        <w:numPr>
          <w:ilvl w:val="3"/>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Participant’s Continuous Status as a Participant ends on account of Participant’s death or Participant becoming Disabled, any Restricted Stock Units that both were unexpired and unvested as of the date of cessation of Continuous Status as a Participant, will vest on such date.</w:t>
      </w:r>
    </w:p>
    <w:p>
      <w:pPr>
        <w:spacing w:after="0" w:line="172" w:lineRule="exact"/>
        <w:rPr>
          <w:rFonts w:ascii="Times New Roman" w:cs="Times New Roman" w:eastAsia="Times New Roman" w:hAnsi="Times New Roman"/>
          <w:sz w:val="22"/>
          <w:szCs w:val="22"/>
          <w:color w:val="auto"/>
        </w:rPr>
      </w:pPr>
    </w:p>
    <w:p>
      <w:pPr>
        <w:jc w:val="both"/>
        <w:ind w:left="5" w:firstLine="1939"/>
        <w:spacing w:after="0" w:line="272" w:lineRule="auto"/>
        <w:tabs>
          <w:tab w:leader="none" w:pos="2348" w:val="left"/>
        </w:tabs>
        <w:numPr>
          <w:ilvl w:val="3"/>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If a Change in Control occurs before Participant’s Continuous Status as a Participant ends,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w:t>
      </w:r>
    </w:p>
    <w:p>
      <w:pPr>
        <w:sectPr>
          <w:pgSz w:w="11900" w:h="16838" w:orient="portrait"/>
          <w:cols w:equalWidth="0" w:num="1">
            <w:col w:w="10885"/>
          </w:cols>
          <w:pgMar w:left="575" w:top="1440" w:right="439" w:bottom="1440" w:gutter="0" w:footer="0" w:header="0"/>
        </w:sectPr>
      </w:pPr>
    </w:p>
    <w:bookmarkStart w:id="206" w:name="page207"/>
    <w:bookmarkEnd w:id="206"/>
    <w:p>
      <w:pPr>
        <w:spacing w:after="0" w:line="3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01" w:lineRule="exact"/>
        <w:rPr>
          <w:sz w:val="20"/>
          <w:szCs w:val="20"/>
          <w:color w:val="auto"/>
        </w:rPr>
      </w:pPr>
    </w:p>
    <w:p>
      <w:pPr>
        <w:jc w:val="both"/>
        <w:ind w:firstLine="1939"/>
        <w:spacing w:after="0" w:line="262" w:lineRule="auto"/>
        <w:tabs>
          <w:tab w:leader="none" w:pos="233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following a Change in Control.</w:t>
      </w:r>
      <w:r>
        <w:rPr>
          <w:rFonts w:ascii="Times New Roman" w:cs="Times New Roman" w:eastAsia="Times New Roman" w:hAnsi="Times New Roman"/>
          <w:sz w:val="21"/>
          <w:szCs w:val="21"/>
          <w:color w:val="auto"/>
        </w:rPr>
        <w:t xml:space="preserve"> If (A) a Change in Control occurs before Participant’s Continuous Status as a Participant ends, (B) as determined by the Committee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172" w:lineRule="exact"/>
        <w:rPr>
          <w:rFonts w:ascii="Times New Roman" w:cs="Times New Roman" w:eastAsia="Times New Roman" w:hAnsi="Times New Roman"/>
          <w:sz w:val="21"/>
          <w:szCs w:val="21"/>
          <w:color w:val="auto"/>
        </w:rPr>
      </w:pPr>
    </w:p>
    <w:p>
      <w:pPr>
        <w:jc w:val="both"/>
        <w:ind w:firstLine="1939"/>
        <w:spacing w:after="0" w:line="250" w:lineRule="auto"/>
        <w:tabs>
          <w:tab w:leader="none" w:pos="233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1939"/>
        <w:spacing w:after="0" w:line="263" w:lineRule="auto"/>
        <w:tabs>
          <w:tab w:leader="none" w:pos="2344"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w:t>
      </w:r>
    </w:p>
    <w:p>
      <w:pPr>
        <w:sectPr>
          <w:pgSz w:w="11900" w:h="16838" w:orient="portrait"/>
          <w:cols w:equalWidth="0" w:num="1">
            <w:col w:w="10880"/>
          </w:cols>
          <w:pgMar w:left="580" w:top="1440" w:right="439" w:bottom="1440" w:gutter="0" w:footer="0" w:header="0"/>
        </w:sectPr>
      </w:pPr>
    </w:p>
    <w:bookmarkStart w:id="207" w:name="page208"/>
    <w:bookmarkEnd w:id="207"/>
    <w:p>
      <w:pPr>
        <w:spacing w:after="0" w:line="3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sz w:val="20"/>
          <w:szCs w:val="20"/>
          <w:color w:val="auto"/>
        </w:rPr>
      </w:pPr>
    </w:p>
    <w:p>
      <w:pPr>
        <w:spacing w:after="0" w:line="283" w:lineRule="exact"/>
        <w:rPr>
          <w:sz w:val="20"/>
          <w:szCs w:val="20"/>
          <w:color w:val="auto"/>
        </w:rPr>
      </w:pPr>
    </w:p>
    <w:p>
      <w:pPr>
        <w:jc w:val="both"/>
        <w:ind w:firstLine="1291"/>
        <w:spacing w:after="0" w:line="250" w:lineRule="auto"/>
        <w:tabs>
          <w:tab w:leader="none" w:pos="168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6" w:lineRule="exact"/>
        <w:rPr>
          <w:rFonts w:ascii="Times New Roman" w:cs="Times New Roman" w:eastAsia="Times New Roman" w:hAnsi="Times New Roman"/>
          <w:sz w:val="22"/>
          <w:szCs w:val="22"/>
          <w:color w:val="auto"/>
        </w:rPr>
      </w:pPr>
    </w:p>
    <w:p>
      <w:pPr>
        <w:jc w:val="both"/>
        <w:ind w:firstLine="643"/>
        <w:spacing w:after="0" w:line="250" w:lineRule="auto"/>
        <w:tabs>
          <w:tab w:leader="none" w:pos="10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 unvested Restricted Stock Units awarded by this Award Agreement will be forfeited at no cost to the Company and Participant will have no further rights thereunder. The date of forfeiture will be the date of cessation of Continuous Status as a Participant.</w:t>
      </w:r>
    </w:p>
    <w:p>
      <w:pPr>
        <w:spacing w:after="0" w:line="180"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6" w:lineRule="exact"/>
        <w:rPr>
          <w:sz w:val="20"/>
          <w:szCs w:val="20"/>
          <w:color w:val="auto"/>
        </w:rPr>
      </w:pPr>
    </w:p>
    <w:p>
      <w:pPr>
        <w:jc w:val="both"/>
        <w:ind w:firstLine="643"/>
        <w:spacing w:after="0" w:line="251" w:lineRule="auto"/>
        <w:tabs>
          <w:tab w:leader="none" w:pos="10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0880"/>
          </w:cols>
          <w:pgMar w:left="580" w:top="1440" w:right="439" w:bottom="1440" w:gutter="0" w:footer="0" w:header="0"/>
        </w:sectPr>
      </w:pPr>
    </w:p>
    <w:bookmarkStart w:id="208" w:name="page209"/>
    <w:bookmarkEnd w:id="208"/>
    <w:p>
      <w:pPr>
        <w:spacing w:after="0" w:line="117" w:lineRule="exact"/>
        <w:rPr>
          <w:sz w:val="20"/>
          <w:szCs w:val="20"/>
          <w:color w:val="auto"/>
        </w:rPr>
      </w:pPr>
    </w:p>
    <w:p>
      <w:pPr>
        <w:ind w:left="1040" w:hanging="397"/>
        <w:spacing w:after="0"/>
        <w:tabs>
          <w:tab w:leader="none" w:pos="10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91"/>
        <w:spacing w:after="0" w:line="247" w:lineRule="auto"/>
        <w:tabs>
          <w:tab w:leader="none" w:pos="168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94" w:lineRule="exact"/>
        <w:rPr>
          <w:rFonts w:ascii="Times New Roman" w:cs="Times New Roman" w:eastAsia="Times New Roman" w:hAnsi="Times New Roman"/>
          <w:sz w:val="22"/>
          <w:szCs w:val="22"/>
          <w:color w:val="auto"/>
        </w:rPr>
      </w:pPr>
    </w:p>
    <w:p>
      <w:pPr>
        <w:ind w:right="20" w:firstLine="1291"/>
        <w:spacing w:after="0" w:line="254" w:lineRule="auto"/>
        <w:tabs>
          <w:tab w:leader="none" w:pos="1696"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When Shares are issued as payment for vested Restricted Stock Units, Participant generally will recognize immediate</w:t>
      </w:r>
    </w:p>
    <w:p>
      <w:pPr>
        <w:spacing w:after="0" w:line="1" w:lineRule="exact"/>
        <w:rPr>
          <w:rFonts w:ascii="Times New Roman" w:cs="Times New Roman" w:eastAsia="Times New Roman" w:hAnsi="Times New Roman"/>
          <w:sz w:val="22"/>
          <w:szCs w:val="22"/>
          <w:color w:val="auto"/>
        </w:rPr>
      </w:pPr>
    </w:p>
    <w:p>
      <w:pPr>
        <w:jc w:val="both"/>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88" w:lineRule="exact"/>
        <w:rPr>
          <w:rFonts w:ascii="Times New Roman" w:cs="Times New Roman" w:eastAsia="Times New Roman" w:hAnsi="Times New Roman"/>
          <w:sz w:val="22"/>
          <w:szCs w:val="22"/>
          <w:color w:val="auto"/>
        </w:rPr>
      </w:pPr>
    </w:p>
    <w:p>
      <w:pPr>
        <w:jc w:val="both"/>
        <w:ind w:firstLine="1291"/>
        <w:spacing w:after="0" w:line="253" w:lineRule="auto"/>
        <w:tabs>
          <w:tab w:leader="none" w:pos="168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w:t>
      </w:r>
    </w:p>
    <w:p>
      <w:pPr>
        <w:sectPr>
          <w:pgSz w:w="11900" w:h="16838" w:orient="portrait"/>
          <w:cols w:equalWidth="0" w:num="1">
            <w:col w:w="10880"/>
          </w:cols>
          <w:pgMar w:left="580" w:top="1440" w:right="439" w:bottom="1440" w:gutter="0" w:footer="0" w:header="0"/>
        </w:sectPr>
      </w:pPr>
    </w:p>
    <w:bookmarkStart w:id="209" w:name="page210"/>
    <w:bookmarkEnd w:id="209"/>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31" w:lineRule="exact"/>
        <w:rPr>
          <w:sz w:val="20"/>
          <w:szCs w:val="20"/>
          <w:color w:val="auto"/>
        </w:rPr>
      </w:pPr>
    </w:p>
    <w:p>
      <w:pPr>
        <w:jc w:val="both"/>
        <w:ind w:firstLine="1291"/>
        <w:spacing w:after="0" w:line="250" w:lineRule="auto"/>
        <w:tabs>
          <w:tab w:leader="none" w:pos="169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93" w:lineRule="exact"/>
        <w:rPr>
          <w:rFonts w:ascii="Times New Roman" w:cs="Times New Roman" w:eastAsia="Times New Roman" w:hAnsi="Times New Roman"/>
          <w:sz w:val="22"/>
          <w:szCs w:val="22"/>
          <w:color w:val="auto"/>
        </w:rPr>
      </w:pPr>
    </w:p>
    <w:p>
      <w:pPr>
        <w:jc w:val="both"/>
        <w:ind w:firstLine="643"/>
        <w:spacing w:after="0" w:line="263" w:lineRule="auto"/>
        <w:tabs>
          <w:tab w:leader="none" w:pos="10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the Company declares and pays a cash dividend on Shares for which the record date occurs while Restricted Stock Units subject to this Award Agreement remain outstanding, then certain cash amounts (referred to as “</w:t>
      </w:r>
      <w:r>
        <w:rPr>
          <w:rFonts w:ascii="Times New Roman" w:cs="Times New Roman" w:eastAsia="Times New Roman" w:hAnsi="Times New Roman"/>
          <w:sz w:val="21"/>
          <w:szCs w:val="21"/>
          <w:u w:val="single" w:color="auto"/>
          <w:color w:val="auto"/>
        </w:rPr>
        <w:t>DEUs</w:t>
      </w:r>
      <w:r>
        <w:rPr>
          <w:rFonts w:ascii="Times New Roman" w:cs="Times New Roman" w:eastAsia="Times New Roman" w:hAnsi="Times New Roman"/>
          <w:sz w:val="21"/>
          <w:szCs w:val="21"/>
          <w:color w:val="auto"/>
        </w:rPr>
        <w:t>”) will be credited under this Award Agreement in accordance with this Section 9, but only if Participant remains in Continuous Status as a Participant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73" w:lineRule="exact"/>
        <w:rPr>
          <w:sz w:val="20"/>
          <w:szCs w:val="20"/>
          <w:color w:val="auto"/>
        </w:rPr>
      </w:pPr>
    </w:p>
    <w:p>
      <w:pPr>
        <w:ind w:left="960" w:hanging="316"/>
        <w:spacing w:after="0"/>
        <w:tabs>
          <w:tab w:leader="none" w:pos="9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is the aggregate cash amount of the DEUs to be credited with respect to that cash dividend.</w:t>
      </w:r>
    </w:p>
    <w:p>
      <w:pPr>
        <w:spacing w:after="0" w:line="219" w:lineRule="exact"/>
        <w:rPr>
          <w:rFonts w:ascii="Times New Roman" w:cs="Times New Roman" w:eastAsia="Times New Roman" w:hAnsi="Times New Roman"/>
          <w:sz w:val="22"/>
          <w:szCs w:val="22"/>
          <w:color w:val="auto"/>
        </w:rPr>
      </w:pPr>
    </w:p>
    <w:p>
      <w:pPr>
        <w:ind w:left="960" w:right="20" w:hanging="316"/>
        <w:spacing w:after="0" w:line="271" w:lineRule="auto"/>
        <w:tabs>
          <w:tab w:leader="none" w:pos="95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is the amount of the cash dividend paid by the Company to stockholders with respect to one Share. In other words, this amount is the cash amount of each DEU to be credited with respect to a particular cash dividend.</w:t>
      </w:r>
    </w:p>
    <w:p>
      <w:pPr>
        <w:spacing w:after="0" w:line="157" w:lineRule="exact"/>
        <w:rPr>
          <w:rFonts w:ascii="Times New Roman" w:cs="Times New Roman" w:eastAsia="Times New Roman" w:hAnsi="Times New Roman"/>
          <w:sz w:val="22"/>
          <w:szCs w:val="22"/>
          <w:color w:val="auto"/>
        </w:rPr>
      </w:pPr>
    </w:p>
    <w:p>
      <w:pPr>
        <w:ind w:left="960" w:right="20" w:hanging="316"/>
        <w:spacing w:after="0" w:line="271" w:lineRule="auto"/>
        <w:tabs>
          <w:tab w:leader="none" w:pos="95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number of Restricted Stock Units remaining subject to this Award Agreement as of the cash dividend record date but immediately prior to the application of this Section 9 for that cash dividend.</w:t>
      </w:r>
    </w:p>
    <w:p>
      <w:pPr>
        <w:spacing w:after="0" w:line="171" w:lineRule="exact"/>
        <w:rPr>
          <w:rFonts w:ascii="Times New Roman" w:cs="Times New Roman" w:eastAsia="Times New Roman" w:hAnsi="Times New Roman"/>
          <w:sz w:val="22"/>
          <w:szCs w:val="22"/>
          <w:color w:val="auto"/>
        </w:rPr>
      </w:pPr>
    </w:p>
    <w:p>
      <w:pPr>
        <w:jc w:val="both"/>
        <w:ind w:firstLine="1291"/>
        <w:spacing w:after="0" w:line="252" w:lineRule="auto"/>
        <w:tabs>
          <w:tab w:leader="none" w:pos="1684"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DEUs</w:t>
      </w:r>
      <w:r>
        <w:rPr>
          <w:rFonts w:ascii="Times New Roman" w:cs="Times New Roman" w:eastAsia="Times New Roman" w:hAnsi="Times New Roman"/>
          <w:sz w:val="22"/>
          <w:szCs w:val="22"/>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w:t>
      </w:r>
    </w:p>
    <w:p>
      <w:pPr>
        <w:sectPr>
          <w:pgSz w:w="11900" w:h="16838" w:orient="portrait"/>
          <w:cols w:equalWidth="0" w:num="1">
            <w:col w:w="10880"/>
          </w:cols>
          <w:pgMar w:left="580" w:top="1440" w:right="439" w:bottom="1440" w:gutter="0" w:footer="0" w:header="0"/>
        </w:sectPr>
      </w:pPr>
    </w:p>
    <w:bookmarkStart w:id="210" w:name="page211"/>
    <w:bookmarkEnd w:id="210"/>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79" w:lineRule="exact"/>
        <w:rPr>
          <w:sz w:val="20"/>
          <w:szCs w:val="20"/>
          <w:color w:val="auto"/>
        </w:rPr>
      </w:pPr>
    </w:p>
    <w:p>
      <w:pPr>
        <w:jc w:val="both"/>
        <w:ind w:firstLine="1291"/>
        <w:spacing w:after="0" w:line="253" w:lineRule="auto"/>
        <w:tabs>
          <w:tab w:leader="none" w:pos="169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General</w:t>
      </w:r>
      <w:r>
        <w:rPr>
          <w:rFonts w:ascii="Times New Roman" w:cs="Times New Roman" w:eastAsia="Times New Roman" w:hAnsi="Times New Roman"/>
          <w:sz w:val="22"/>
          <w:szCs w:val="22"/>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 paid in cash and be subject to he other provisions of this Section 9 and the Award Agreement). DEUs will not accrue interest and will not be credited with any investment returns related to Shares or otherwise.</w:t>
      </w:r>
    </w:p>
    <w:p>
      <w:pPr>
        <w:spacing w:after="0" w:line="30" w:lineRule="exact"/>
        <w:rPr>
          <w:rFonts w:ascii="Times New Roman" w:cs="Times New Roman" w:eastAsia="Times New Roman" w:hAnsi="Times New Roman"/>
          <w:sz w:val="22"/>
          <w:szCs w:val="22"/>
          <w:color w:val="auto"/>
        </w:rPr>
      </w:pPr>
    </w:p>
    <w:p>
      <w:pPr>
        <w:jc w:val="both"/>
        <w:ind w:firstLine="1291"/>
        <w:spacing w:after="0" w:line="250" w:lineRule="auto"/>
        <w:tabs>
          <w:tab w:leader="none" w:pos="1684"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179" w:lineRule="exact"/>
        <w:rPr>
          <w:rFonts w:ascii="Times New Roman" w:cs="Times New Roman" w:eastAsia="Times New Roman" w:hAnsi="Times New Roman"/>
          <w:sz w:val="22"/>
          <w:szCs w:val="22"/>
          <w:color w:val="auto"/>
        </w:rPr>
      </w:pPr>
    </w:p>
    <w:p>
      <w:pPr>
        <w:jc w:val="both"/>
        <w:ind w:firstLine="643"/>
        <w:spacing w:after="0" w:line="251" w:lineRule="auto"/>
        <w:tabs>
          <w:tab w:leader="none" w:pos="10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643"/>
        <w:spacing w:after="0" w:line="248" w:lineRule="auto"/>
        <w:tabs>
          <w:tab w:leader="none" w:pos="103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w:t>
      </w:r>
    </w:p>
    <w:p>
      <w:pPr>
        <w:sectPr>
          <w:pgSz w:w="11900" w:h="16838" w:orient="portrait"/>
          <w:cols w:equalWidth="0" w:num="1">
            <w:col w:w="10880"/>
          </w:cols>
          <w:pgMar w:left="580" w:top="1440" w:right="439" w:bottom="1440" w:gutter="0" w:footer="0" w:header="0"/>
        </w:sectPr>
      </w:pPr>
    </w:p>
    <w:bookmarkStart w:id="211" w:name="page212"/>
    <w:bookmarkEnd w:id="211"/>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SERVICE PROVIDER, SUBJECT TO APPLICABLE LAW, WHICH TERMINATION, UNLESS PROVIDED OTHERWISE UNDER APPLICABLE LAW, MAY BE AT ANY TIME, WITH OR WITHOUT CAUSE.</w:t>
      </w:r>
    </w:p>
    <w:p>
      <w:pPr>
        <w:spacing w:after="0" w:line="171" w:lineRule="exact"/>
        <w:rPr>
          <w:sz w:val="20"/>
          <w:szCs w:val="20"/>
          <w:color w:val="auto"/>
        </w:rPr>
      </w:pPr>
    </w:p>
    <w:p>
      <w:pPr>
        <w:jc w:val="both"/>
        <w:ind w:firstLine="643"/>
        <w:spacing w:after="0" w:line="261" w:lineRule="auto"/>
        <w:tabs>
          <w:tab w:leader="none" w:pos="104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1"/>
          <w:szCs w:val="21"/>
          <w:u w:val="single" w:color="auto"/>
          <w:color w:val="auto"/>
        </w:rPr>
        <w:t>QDRO</w:t>
      </w:r>
      <w:r>
        <w:rPr>
          <w:rFonts w:ascii="Times New Roman" w:cs="Times New Roman" w:eastAsia="Times New Roman" w:hAnsi="Times New Roman"/>
          <w:sz w:val="21"/>
          <w:szCs w:val="21"/>
          <w:color w:val="auto"/>
        </w:rPr>
        <w:t>”) will be permitted so long as such transfer complies with the QDRO procedures then in effect, as specified by the Committee or the Company.</w:t>
      </w:r>
    </w:p>
    <w:p>
      <w:pPr>
        <w:spacing w:after="0" w:line="39" w:lineRule="exact"/>
        <w:rPr>
          <w:rFonts w:ascii="Times New Roman" w:cs="Times New Roman" w:eastAsia="Times New Roman" w:hAnsi="Times New Roman"/>
          <w:sz w:val="21"/>
          <w:szCs w:val="21"/>
          <w:color w:val="auto"/>
        </w:rPr>
      </w:pPr>
    </w:p>
    <w:p>
      <w:pPr>
        <w:ind w:left="1040" w:hanging="397"/>
        <w:spacing w:after="0"/>
        <w:tabs>
          <w:tab w:leader="none" w:pos="104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w:t>
      </w:r>
    </w:p>
    <w:p>
      <w:pPr>
        <w:spacing w:after="0" w:line="195" w:lineRule="exact"/>
        <w:rPr>
          <w:rFonts w:ascii="Times New Roman" w:cs="Times New Roman" w:eastAsia="Times New Roman" w:hAnsi="Times New Roman"/>
          <w:sz w:val="22"/>
          <w:szCs w:val="22"/>
          <w:color w:val="auto"/>
        </w:rPr>
      </w:pPr>
    </w:p>
    <w:p>
      <w:pPr>
        <w:jc w:val="both"/>
        <w:ind w:firstLine="1291"/>
        <w:spacing w:after="0" w:line="257" w:lineRule="auto"/>
        <w:tabs>
          <w:tab w:leader="none" w:pos="168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intended to replace any pension rights or compensation;</w:t>
      </w:r>
    </w:p>
    <w:p>
      <w:pPr>
        <w:spacing w:after="0" w:line="171" w:lineRule="exact"/>
        <w:rPr>
          <w:rFonts w:ascii="Times New Roman" w:cs="Times New Roman" w:eastAsia="Times New Roman" w:hAnsi="Times New Roman"/>
          <w:sz w:val="22"/>
          <w:szCs w:val="22"/>
          <w:color w:val="auto"/>
        </w:rPr>
      </w:pPr>
    </w:p>
    <w:p>
      <w:pPr>
        <w:jc w:val="both"/>
        <w:ind w:firstLine="1291"/>
        <w:spacing w:after="0" w:line="252" w:lineRule="auto"/>
        <w:tabs>
          <w:tab w:leader="none" w:pos="168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9" w:lineRule="exact"/>
        <w:rPr>
          <w:rFonts w:ascii="Times New Roman" w:cs="Times New Roman" w:eastAsia="Times New Roman" w:hAnsi="Times New Roman"/>
          <w:sz w:val="22"/>
          <w:szCs w:val="22"/>
          <w:color w:val="auto"/>
        </w:rPr>
      </w:pPr>
    </w:p>
    <w:p>
      <w:pPr>
        <w:jc w:val="both"/>
        <w:ind w:firstLine="1291"/>
        <w:spacing w:after="0" w:line="263" w:lineRule="auto"/>
        <w:tabs>
          <w:tab w:leader="none" w:pos="1687"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67"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w:t>
      </w:r>
    </w:p>
    <w:p>
      <w:pPr>
        <w:sectPr>
          <w:pgSz w:w="11900" w:h="16838" w:orient="portrait"/>
          <w:cols w:equalWidth="0" w:num="1">
            <w:col w:w="10880"/>
          </w:cols>
          <w:pgMar w:left="580" w:top="1440" w:right="439" w:bottom="1440" w:gutter="0" w:footer="0" w:header="0"/>
        </w:sectPr>
      </w:pPr>
    </w:p>
    <w:bookmarkStart w:id="212" w:name="page213"/>
    <w:bookmarkEnd w:id="212"/>
    <w:p>
      <w:pPr>
        <w:spacing w:after="0" w:line="117" w:lineRule="exact"/>
        <w:rPr>
          <w:sz w:val="20"/>
          <w:szCs w:val="20"/>
          <w:color w:val="auto"/>
        </w:rPr>
      </w:pPr>
    </w:p>
    <w:p>
      <w:pPr>
        <w:jc w:val="both"/>
        <w:ind w:left="-860" w:firstLine="1291"/>
        <w:spacing w:after="0" w:line="247" w:lineRule="auto"/>
        <w:tabs>
          <w:tab w:leader="none" w:pos="8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06" w:lineRule="exact"/>
        <w:rPr>
          <w:rFonts w:ascii="Times New Roman" w:cs="Times New Roman" w:eastAsia="Times New Roman" w:hAnsi="Times New Roman"/>
          <w:sz w:val="22"/>
          <w:szCs w:val="22"/>
          <w:color w:val="auto"/>
        </w:rPr>
      </w:pPr>
    </w:p>
    <w:p>
      <w:pPr>
        <w:jc w:val="both"/>
        <w:ind w:left="-860" w:firstLine="1291"/>
        <w:spacing w:after="0" w:line="252" w:lineRule="auto"/>
        <w:tabs>
          <w:tab w:leader="none" w:pos="82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79" w:lineRule="exact"/>
        <w:rPr>
          <w:rFonts w:ascii="Times New Roman" w:cs="Times New Roman" w:eastAsia="Times New Roman" w:hAnsi="Times New Roman"/>
          <w:sz w:val="22"/>
          <w:szCs w:val="22"/>
          <w:color w:val="auto"/>
        </w:rPr>
      </w:pPr>
    </w:p>
    <w:p>
      <w:pPr>
        <w:ind w:left="820" w:hanging="388"/>
        <w:spacing w:after="0"/>
        <w:tabs>
          <w:tab w:leader="none" w:pos="82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33" w:lineRule="exact"/>
        <w:rPr>
          <w:rFonts w:ascii="Times New Roman" w:cs="Times New Roman" w:eastAsia="Times New Roman" w:hAnsi="Times New Roman"/>
          <w:sz w:val="22"/>
          <w:szCs w:val="22"/>
          <w:color w:val="auto"/>
        </w:rPr>
      </w:pPr>
    </w:p>
    <w:p>
      <w:pPr>
        <w:ind w:left="-860" w:right="20" w:firstLine="1940"/>
        <w:spacing w:after="0" w:line="271" w:lineRule="auto"/>
        <w:tabs>
          <w:tab w:leader="none" w:pos="1477"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7" w:lineRule="exact"/>
        <w:rPr>
          <w:rFonts w:ascii="Times New Roman" w:cs="Times New Roman" w:eastAsia="Times New Roman" w:hAnsi="Times New Roman"/>
          <w:sz w:val="22"/>
          <w:szCs w:val="22"/>
          <w:color w:val="auto"/>
        </w:rPr>
      </w:pPr>
    </w:p>
    <w:p>
      <w:pPr>
        <w:jc w:val="both"/>
        <w:ind w:left="-860" w:firstLine="1940"/>
        <w:spacing w:after="0" w:line="256" w:lineRule="auto"/>
        <w:tabs>
          <w:tab w:leader="none" w:pos="1483"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6" w:lineRule="exact"/>
        <w:rPr>
          <w:rFonts w:ascii="Times New Roman" w:cs="Times New Roman" w:eastAsia="Times New Roman" w:hAnsi="Times New Roman"/>
          <w:sz w:val="22"/>
          <w:szCs w:val="22"/>
          <w:color w:val="auto"/>
        </w:rPr>
      </w:pPr>
    </w:p>
    <w:p>
      <w:pPr>
        <w:jc w:val="both"/>
        <w:ind w:left="-860" w:firstLine="1939"/>
        <w:spacing w:after="0" w:line="261" w:lineRule="auto"/>
        <w:tabs>
          <w:tab w:leader="none" w:pos="1475"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w:t>
      </w:r>
    </w:p>
    <w:p>
      <w:pPr>
        <w:sectPr>
          <w:pgSz w:w="11900" w:h="16838" w:orient="portrait"/>
          <w:cols w:equalWidth="0" w:num="1">
            <w:col w:w="10020"/>
          </w:cols>
          <w:pgMar w:left="1440" w:top="1440" w:right="439" w:bottom="1440" w:gutter="0" w:footer="0" w:header="0"/>
        </w:sectPr>
      </w:pPr>
    </w:p>
    <w:bookmarkStart w:id="213" w:name="page214"/>
    <w:bookmarkEnd w:id="213"/>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irrevocably to have agreed not to pursue such claim and agrees to execute any and all documents necessary to request dismissal or withdrawal of such claim.</w:t>
      </w:r>
    </w:p>
    <w:p>
      <w:pPr>
        <w:spacing w:after="0" w:line="171" w:lineRule="exact"/>
        <w:rPr>
          <w:sz w:val="20"/>
          <w:szCs w:val="20"/>
          <w:color w:val="auto"/>
        </w:rPr>
      </w:pPr>
    </w:p>
    <w:p>
      <w:pPr>
        <w:jc w:val="both"/>
        <w:ind w:firstLine="643"/>
        <w:spacing w:after="0" w:line="268" w:lineRule="auto"/>
        <w:tabs>
          <w:tab w:leader="none" w:pos="104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63" w:lineRule="exact"/>
        <w:rPr>
          <w:rFonts w:ascii="Times New Roman" w:cs="Times New Roman" w:eastAsia="Times New Roman" w:hAnsi="Times New Roman"/>
          <w:sz w:val="21"/>
          <w:szCs w:val="21"/>
          <w:color w:val="auto"/>
        </w:rPr>
      </w:pPr>
    </w:p>
    <w:p>
      <w:pPr>
        <w:jc w:val="both"/>
        <w:ind w:right="20" w:firstLine="643"/>
        <w:spacing w:after="0" w:line="256" w:lineRule="auto"/>
        <w:tabs>
          <w:tab w:leader="none" w:pos="10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w:t>
      </w:r>
    </w:p>
    <w:p>
      <w:pPr>
        <w:sectPr>
          <w:pgSz w:w="11900" w:h="16838" w:orient="portrait"/>
          <w:cols w:equalWidth="0" w:num="1">
            <w:col w:w="10880"/>
          </w:cols>
          <w:pgMar w:left="580" w:top="1440" w:right="439" w:bottom="1440" w:gutter="0" w:footer="0" w:header="0"/>
        </w:sectPr>
      </w:pPr>
    </w:p>
    <w:bookmarkStart w:id="214" w:name="page215"/>
    <w:bookmarkEnd w:id="214"/>
    <w:p>
      <w:pPr>
        <w:spacing w:after="0" w:line="1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participate in the Plan. For more information on the consequences of Participant’s refusal to consent or withdrawal of consent, Participant understands that he or she may contact the Data Privacy Team.</w:t>
      </w:r>
    </w:p>
    <w:p>
      <w:pPr>
        <w:spacing w:after="0" w:line="171" w:lineRule="exact"/>
        <w:rPr>
          <w:sz w:val="20"/>
          <w:szCs w:val="20"/>
          <w:color w:val="auto"/>
        </w:rPr>
      </w:pPr>
    </w:p>
    <w:p>
      <w:pPr>
        <w:jc w:val="both"/>
        <w:ind w:firstLine="643"/>
        <w:spacing w:after="0" w:line="257"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2" w:lineRule="exact"/>
        <w:rPr>
          <w:rFonts w:ascii="Times New Roman" w:cs="Times New Roman" w:eastAsia="Times New Roman" w:hAnsi="Times New Roman"/>
          <w:sz w:val="22"/>
          <w:szCs w:val="22"/>
          <w:color w:val="auto"/>
        </w:rPr>
      </w:pPr>
    </w:p>
    <w:p>
      <w:pPr>
        <w:jc w:val="both"/>
        <w:ind w:firstLine="643"/>
        <w:spacing w:after="0" w:line="253"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8" w:lineRule="exact"/>
        <w:rPr>
          <w:rFonts w:ascii="Times New Roman" w:cs="Times New Roman" w:eastAsia="Times New Roman" w:hAnsi="Times New Roman"/>
          <w:sz w:val="22"/>
          <w:szCs w:val="22"/>
          <w:color w:val="auto"/>
        </w:rPr>
      </w:pPr>
    </w:p>
    <w:p>
      <w:pPr>
        <w:jc w:val="both"/>
        <w:ind w:right="20" w:firstLine="643"/>
        <w:spacing w:after="0" w:line="256"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7" w:lineRule="exact"/>
        <w:rPr>
          <w:rFonts w:ascii="Times New Roman" w:cs="Times New Roman" w:eastAsia="Times New Roman" w:hAnsi="Times New Roman"/>
          <w:sz w:val="22"/>
          <w:szCs w:val="22"/>
          <w:color w:val="auto"/>
        </w:rPr>
      </w:pPr>
    </w:p>
    <w:p>
      <w:pPr>
        <w:jc w:val="both"/>
        <w:ind w:firstLine="643"/>
        <w:spacing w:after="0" w:line="253"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8" w:lineRule="exact"/>
        <w:rPr>
          <w:rFonts w:ascii="Times New Roman" w:cs="Times New Roman" w:eastAsia="Times New Roman" w:hAnsi="Times New Roman"/>
          <w:sz w:val="22"/>
          <w:szCs w:val="22"/>
          <w:color w:val="auto"/>
        </w:rPr>
      </w:pPr>
    </w:p>
    <w:p>
      <w:pPr>
        <w:jc w:val="both"/>
        <w:ind w:firstLine="643"/>
        <w:spacing w:after="0" w:line="247"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06" w:lineRule="exact"/>
        <w:rPr>
          <w:rFonts w:ascii="Times New Roman" w:cs="Times New Roman" w:eastAsia="Times New Roman" w:hAnsi="Times New Roman"/>
          <w:sz w:val="22"/>
          <w:szCs w:val="22"/>
          <w:color w:val="auto"/>
        </w:rPr>
      </w:pPr>
    </w:p>
    <w:p>
      <w:pPr>
        <w:jc w:val="both"/>
        <w:ind w:firstLine="643"/>
        <w:spacing w:after="0" w:line="257" w:lineRule="auto"/>
        <w:tabs>
          <w:tab w:leader="none" w:pos="10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w:t>
      </w:r>
    </w:p>
    <w:p>
      <w:pPr>
        <w:sectPr>
          <w:pgSz w:w="11900" w:h="16838" w:orient="portrait"/>
          <w:cols w:equalWidth="0" w:num="1">
            <w:col w:w="10880"/>
          </w:cols>
          <w:pgMar w:left="580" w:top="1440" w:right="439" w:bottom="1440" w:gutter="0" w:footer="0" w:header="0"/>
        </w:sectPr>
      </w:pPr>
    </w:p>
    <w:bookmarkStart w:id="215" w:name="page216"/>
    <w:bookmarkEnd w:id="215"/>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Award Agreement or any other document related to the Plan translated into a language other than English and if the meaning of the translated version is different than the English version, the English version will control.</w:t>
      </w:r>
    </w:p>
    <w:p>
      <w:pPr>
        <w:spacing w:after="0" w:line="171" w:lineRule="exact"/>
        <w:rPr>
          <w:sz w:val="20"/>
          <w:szCs w:val="20"/>
          <w:color w:val="auto"/>
        </w:rPr>
      </w:pPr>
    </w:p>
    <w:p>
      <w:pPr>
        <w:jc w:val="both"/>
        <w:ind w:firstLine="643"/>
        <w:spacing w:after="0" w:line="250" w:lineRule="auto"/>
        <w:tabs>
          <w:tab w:leader="none" w:pos="10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80" w:lineRule="exact"/>
        <w:rPr>
          <w:rFonts w:ascii="Times New Roman" w:cs="Times New Roman" w:eastAsia="Times New Roman" w:hAnsi="Times New Roman"/>
          <w:sz w:val="22"/>
          <w:szCs w:val="22"/>
          <w:color w:val="auto"/>
        </w:rPr>
      </w:pPr>
    </w:p>
    <w:p>
      <w:pPr>
        <w:ind w:right="20" w:firstLine="643"/>
        <w:spacing w:after="0" w:line="271" w:lineRule="auto"/>
        <w:tabs>
          <w:tab w:leader="none" w:pos="10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firstLine="643"/>
        <w:spacing w:after="0" w:line="256" w:lineRule="auto"/>
        <w:tabs>
          <w:tab w:leader="none" w:pos="10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Committee at any time.</w:t>
      </w:r>
    </w:p>
    <w:p>
      <w:pPr>
        <w:spacing w:after="0" w:line="176" w:lineRule="exact"/>
        <w:rPr>
          <w:rFonts w:ascii="Times New Roman" w:cs="Times New Roman" w:eastAsia="Times New Roman" w:hAnsi="Times New Roman"/>
          <w:sz w:val="22"/>
          <w:szCs w:val="22"/>
          <w:color w:val="auto"/>
        </w:rPr>
      </w:pPr>
    </w:p>
    <w:p>
      <w:pPr>
        <w:jc w:val="both"/>
        <w:ind w:firstLine="643"/>
        <w:spacing w:after="0" w:line="248" w:lineRule="auto"/>
        <w:tabs>
          <w:tab w:leader="none" w:pos="10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84" w:lineRule="exact"/>
        <w:rPr>
          <w:rFonts w:ascii="Times New Roman" w:cs="Times New Roman" w:eastAsia="Times New Roman" w:hAnsi="Times New Roman"/>
          <w:sz w:val="22"/>
          <w:szCs w:val="22"/>
          <w:color w:val="auto"/>
        </w:rPr>
      </w:pPr>
    </w:p>
    <w:p>
      <w:pPr>
        <w:jc w:val="both"/>
        <w:ind w:firstLine="643"/>
        <w:spacing w:after="0" w:line="264" w:lineRule="auto"/>
        <w:tabs>
          <w:tab w:leader="none" w:pos="10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Under Policy or Law</w:t>
      </w:r>
      <w:r>
        <w:rPr>
          <w:rFonts w:ascii="Times New Roman" w:cs="Times New Roman" w:eastAsia="Times New Roman" w:hAnsi="Times New Roman"/>
          <w:sz w:val="21"/>
          <w:szCs w:val="21"/>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w:t>
      </w:r>
    </w:p>
    <w:p>
      <w:pPr>
        <w:sectPr>
          <w:pgSz w:w="11900" w:h="16838" w:orient="portrait"/>
          <w:cols w:equalWidth="0" w:num="1">
            <w:col w:w="10880"/>
          </w:cols>
          <w:pgMar w:left="580" w:top="1440" w:right="439" w:bottom="1440" w:gutter="0" w:footer="0" w:header="0"/>
        </w:sectPr>
      </w:pPr>
    </w:p>
    <w:bookmarkStart w:id="216" w:name="page217"/>
    <w:bookmarkEnd w:id="216"/>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195" w:lineRule="exact"/>
        <w:rPr>
          <w:sz w:val="20"/>
          <w:szCs w:val="20"/>
          <w:color w:val="auto"/>
        </w:rPr>
      </w:pPr>
    </w:p>
    <w:p>
      <w:pPr>
        <w:jc w:val="both"/>
        <w:ind w:firstLine="643"/>
        <w:spacing w:after="0" w:line="250" w:lineRule="auto"/>
        <w:tabs>
          <w:tab w:leader="none" w:pos="10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0" w:lineRule="exact"/>
        <w:rPr>
          <w:rFonts w:ascii="Times New Roman" w:cs="Times New Roman" w:eastAsia="Times New Roman" w:hAnsi="Times New Roman"/>
          <w:sz w:val="22"/>
          <w:szCs w:val="22"/>
          <w:color w:val="auto"/>
        </w:rPr>
      </w:pPr>
    </w:p>
    <w:p>
      <w:pPr>
        <w:jc w:val="both"/>
        <w:ind w:firstLine="643"/>
        <w:spacing w:after="0" w:line="252" w:lineRule="auto"/>
        <w:tabs>
          <w:tab w:leader="none" w:pos="10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92" w:lineRule="exact"/>
        <w:rPr>
          <w:rFonts w:ascii="Times New Roman" w:cs="Times New Roman" w:eastAsia="Times New Roman" w:hAnsi="Times New Roman"/>
          <w:sz w:val="22"/>
          <w:szCs w:val="22"/>
          <w:color w:val="auto"/>
        </w:rPr>
      </w:pPr>
    </w:p>
    <w:p>
      <w:pPr>
        <w:jc w:val="both"/>
        <w:ind w:firstLine="643"/>
        <w:spacing w:after="0" w:line="250" w:lineRule="auto"/>
        <w:tabs>
          <w:tab w:leader="none" w:pos="10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0" w:lineRule="exact"/>
        <w:rPr>
          <w:rFonts w:ascii="Times New Roman" w:cs="Times New Roman" w:eastAsia="Times New Roman" w:hAnsi="Times New Roman"/>
          <w:sz w:val="22"/>
          <w:szCs w:val="22"/>
          <w:color w:val="auto"/>
        </w:rPr>
      </w:pPr>
    </w:p>
    <w:p>
      <w:pPr>
        <w:ind w:left="4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0880"/>
          </w:cols>
          <w:pgMar w:left="580" w:top="1440" w:right="4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218" w:name="page219"/>
    <w:bookmarkEnd w:id="218"/>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Nonemployee Director Annual Award Deferred RSU</w:t>
      </w:r>
    </w:p>
    <w:p>
      <w:pPr>
        <w:spacing w:after="0" w:line="200" w:lineRule="exact"/>
        <w:rPr>
          <w:sz w:val="20"/>
          <w:szCs w:val="20"/>
          <w:color w:val="auto"/>
        </w:rPr>
      </w:pPr>
    </w:p>
    <w:p>
      <w:pPr>
        <w:spacing w:after="0" w:line="3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 STOCK</w:t>
      </w:r>
    </w:p>
    <w:p>
      <w:pPr>
        <w:spacing w:after="0" w:line="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Micron Technology, Inc. Amended and Restated 2007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0" w:lineRule="exact"/>
        <w:rPr>
          <w:sz w:val="20"/>
          <w:szCs w:val="20"/>
          <w:color w:val="auto"/>
        </w:rPr>
      </w:pPr>
    </w:p>
    <w:p>
      <w:pPr>
        <w:spacing w:after="0" w:line="26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 Restricted Stock Unit Award, subject to the terms and conditions of the Plan and this Award Agreement, as follows: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Total Number of Shares Subject to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10795</wp:posOffset>
            </wp:positionV>
            <wp:extent cx="20574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Units will be scheduled to vest in accordance with the following schedule: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Participant ceases to be a member of the Board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ectPr>
          <w:pgSz w:w="11900" w:h="16838" w:orient="portrait"/>
          <w:cols w:equalWidth="0" w:num="1">
            <w:col w:w="10880"/>
          </w:cols>
          <w:pgMar w:left="580" w:top="1440" w:right="439" w:bottom="1440" w:gutter="0" w:footer="0" w:header="0"/>
        </w:sectPr>
      </w:pPr>
    </w:p>
    <w:bookmarkStart w:id="219" w:name="page220"/>
    <w:bookmarkEnd w:id="219"/>
    <w:p>
      <w:pPr>
        <w:spacing w:after="0" w:line="198" w:lineRule="exact"/>
        <w:rPr>
          <w:sz w:val="20"/>
          <w:szCs w:val="20"/>
          <w:color w:val="auto"/>
        </w:rPr>
      </w:pPr>
    </w:p>
    <w:p>
      <w:pPr>
        <w:ind w:left="5" w:firstLine="648"/>
        <w:spacing w:after="0" w:line="255"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Participant and the Company agree that</w:t>
      </w:r>
    </w:p>
    <w:p>
      <w:pPr>
        <w:spacing w:after="0" w:line="1" w:lineRule="exact"/>
        <w:rPr>
          <w:sz w:val="20"/>
          <w:szCs w:val="20"/>
          <w:color w:val="auto"/>
        </w:rPr>
      </w:pPr>
    </w:p>
    <w:p>
      <w:pPr>
        <w:jc w:val="both"/>
        <w:ind w:left="5" w:hanging="5"/>
        <w:spacing w:after="0" w:line="246" w:lineRule="auto"/>
        <w:tabs>
          <w:tab w:leader="none" w:pos="32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Restricted Stock Unit Award is granted under and governed by the 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490855</wp:posOffset>
            </wp:positionV>
            <wp:extent cx="24688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77470</wp:posOffset>
            </wp:positionV>
            <wp:extent cx="24688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ectPr>
          <w:pgSz w:w="11900" w:h="16838" w:orient="portrait"/>
          <w:cols w:equalWidth="0" w:num="1">
            <w:col w:w="10885"/>
          </w:cols>
          <w:pgMar w:left="575" w:top="1440" w:right="439" w:bottom="1440" w:gutter="0" w:footer="0" w:header="0"/>
        </w:sectPr>
      </w:pPr>
    </w:p>
    <w:bookmarkStart w:id="220" w:name="page221"/>
    <w:bookmarkEnd w:id="220"/>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24" w:lineRule="exact"/>
        <w:rPr>
          <w:sz w:val="20"/>
          <w:szCs w:val="20"/>
          <w:color w:val="auto"/>
        </w:rPr>
      </w:pPr>
    </w:p>
    <w:p>
      <w:pPr>
        <w:jc w:val="both"/>
        <w:ind w:firstLine="643"/>
        <w:spacing w:after="0" w:line="249" w:lineRule="auto"/>
        <w:tabs>
          <w:tab w:leader="none" w:pos="10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 Restricted Stock Unit Award under the Plan, subject to the terms and conditions of this Award Agreement and the Plan, which is incorporated herein by reference. Subject to Section</w:t>
      </w:r>
    </w:p>
    <w:p>
      <w:pPr>
        <w:spacing w:after="0" w:line="2" w:lineRule="exact"/>
        <w:rPr>
          <w:rFonts w:ascii="Times New Roman" w:cs="Times New Roman" w:eastAsia="Times New Roman" w:hAnsi="Times New Roman"/>
          <w:sz w:val="22"/>
          <w:szCs w:val="22"/>
          <w:color w:val="auto"/>
        </w:rPr>
      </w:pPr>
    </w:p>
    <w:p>
      <w:pPr>
        <w:ind w:right="2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 of the Plan, in the event of a conflict between the terms and conditions of the Plan and this Award Agreement, the terms and conditions of the Plan shall prevail.</w:t>
      </w:r>
    </w:p>
    <w:p>
      <w:pPr>
        <w:spacing w:after="0" w:line="170" w:lineRule="exact"/>
        <w:rPr>
          <w:rFonts w:ascii="Times New Roman" w:cs="Times New Roman" w:eastAsia="Times New Roman" w:hAnsi="Times New Roman"/>
          <w:sz w:val="22"/>
          <w:szCs w:val="22"/>
          <w:color w:val="auto"/>
        </w:rPr>
      </w:pPr>
    </w:p>
    <w:p>
      <w:pPr>
        <w:jc w:val="both"/>
        <w:ind w:firstLine="643"/>
        <w:spacing w:after="0" w:line="253" w:lineRule="auto"/>
        <w:tabs>
          <w:tab w:leader="none" w:pos="10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right="20" w:firstLine="643"/>
        <w:spacing w:after="0" w:line="257" w:lineRule="auto"/>
        <w:tabs>
          <w:tab w:leader="none" w:pos="10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subject to Participant remaining a member of the Board through the applicable vesting date.</w:t>
      </w:r>
    </w:p>
    <w:p>
      <w:pPr>
        <w:spacing w:after="0" w:line="18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91"/>
        <w:spacing w:after="0" w:line="251" w:lineRule="auto"/>
        <w:tabs>
          <w:tab w:leader="none" w:pos="168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fifteen (15) days following the date the Participant’s Separation from Service, (such payment date being the “Settlement Date”). In no event will Participant be permitted, directly or indirectly, to specify the taxable year of payment of any Restricted Stock Units payable under this Award Agreement.</w:t>
      </w:r>
    </w:p>
    <w:p>
      <w:pPr>
        <w:spacing w:after="0" w:line="181"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39"/>
        <w:spacing w:after="0" w:line="257" w:lineRule="auto"/>
        <w:tabs>
          <w:tab w:leader="none" w:pos="2337"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Participant ceases to be a member of the Board on account of Participant’s death or Participant becoming Disabled, any Restricted Stock Units that both were unexpired and unvested as of the date of termination from the Board, will vest on such date.</w:t>
      </w:r>
    </w:p>
    <w:p>
      <w:pPr>
        <w:spacing w:after="0" w:line="186" w:lineRule="exact"/>
        <w:rPr>
          <w:rFonts w:ascii="Times New Roman" w:cs="Times New Roman" w:eastAsia="Times New Roman" w:hAnsi="Times New Roman"/>
          <w:sz w:val="22"/>
          <w:szCs w:val="22"/>
          <w:color w:val="auto"/>
        </w:rPr>
      </w:pPr>
    </w:p>
    <w:p>
      <w:pPr>
        <w:jc w:val="both"/>
        <w:ind w:firstLine="1939"/>
        <w:spacing w:after="0" w:line="251" w:lineRule="auto"/>
        <w:tabs>
          <w:tab w:leader="none" w:pos="2343"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If a Change in Control occurs while Participant is a member of the Board,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w:t>
      </w:r>
    </w:p>
    <w:p>
      <w:pPr>
        <w:sectPr>
          <w:pgSz w:w="11900" w:h="16838" w:orient="portrait"/>
          <w:cols w:equalWidth="0" w:num="1">
            <w:col w:w="10880"/>
          </w:cols>
          <w:pgMar w:left="580" w:top="1418" w:right="439" w:bottom="1440" w:gutter="0" w:footer="0" w:header="0"/>
        </w:sectPr>
      </w:pPr>
    </w:p>
    <w:bookmarkStart w:id="221" w:name="page222"/>
    <w:bookmarkEnd w:id="221"/>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180" w:lineRule="exact"/>
        <w:rPr>
          <w:sz w:val="20"/>
          <w:szCs w:val="20"/>
          <w:color w:val="auto"/>
        </w:rPr>
      </w:pPr>
    </w:p>
    <w:p>
      <w:pPr>
        <w:jc w:val="both"/>
        <w:ind w:firstLine="1939"/>
        <w:spacing w:after="0" w:line="256" w:lineRule="auto"/>
        <w:tabs>
          <w:tab w:leader="none" w:pos="233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after Three Years of Board Service.</w:t>
      </w:r>
      <w:r>
        <w:rPr>
          <w:rFonts w:ascii="Times New Roman" w:cs="Times New Roman" w:eastAsia="Times New Roman" w:hAnsi="Times New Roman"/>
          <w:sz w:val="22"/>
          <w:szCs w:val="22"/>
          <w:color w:val="auto"/>
        </w:rPr>
        <w:t xml:space="preserve"> If Participant ceases to be a member of the Board after having attained at least three (3) years of service on the Board prior to the effective date of Participant’s termination from the Board, any Restricted Stock Units that both were unexpired and unvested as of the date of termination, will vest on such date.</w:t>
      </w:r>
    </w:p>
    <w:p>
      <w:pPr>
        <w:spacing w:after="0" w:line="176" w:lineRule="exact"/>
        <w:rPr>
          <w:rFonts w:ascii="Times New Roman" w:cs="Times New Roman" w:eastAsia="Times New Roman" w:hAnsi="Times New Roman"/>
          <w:sz w:val="22"/>
          <w:szCs w:val="22"/>
          <w:color w:val="auto"/>
        </w:rPr>
      </w:pPr>
    </w:p>
    <w:p>
      <w:pPr>
        <w:jc w:val="both"/>
        <w:ind w:firstLine="1939"/>
        <w:spacing w:after="0" w:line="250" w:lineRule="auto"/>
        <w:tabs>
          <w:tab w:leader="none" w:pos="233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1939"/>
        <w:spacing w:after="0" w:line="248" w:lineRule="auto"/>
        <w:tabs>
          <w:tab w:leader="none" w:pos="23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ectPr>
          <w:pgSz w:w="11900" w:h="16838" w:orient="portrait"/>
          <w:cols w:equalWidth="0" w:num="1">
            <w:col w:w="10880"/>
          </w:cols>
          <w:pgMar w:left="580" w:top="1440" w:right="439" w:bottom="1440" w:gutter="0" w:footer="0" w:header="0"/>
        </w:sectPr>
      </w:pPr>
    </w:p>
    <w:bookmarkStart w:id="222" w:name="page223"/>
    <w:bookmarkEnd w:id="222"/>
    <w:p>
      <w:pPr>
        <w:spacing w:after="0" w:line="347" w:lineRule="exact"/>
        <w:rPr>
          <w:sz w:val="20"/>
          <w:szCs w:val="20"/>
          <w:color w:val="auto"/>
        </w:rPr>
      </w:pPr>
    </w:p>
    <w:p>
      <w:pPr>
        <w:jc w:val="both"/>
        <w:ind w:right="100" w:firstLine="1291"/>
        <w:spacing w:after="0" w:line="249" w:lineRule="auto"/>
        <w:tabs>
          <w:tab w:leader="none" w:pos="1684"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1" w:lineRule="exact"/>
        <w:rPr>
          <w:rFonts w:ascii="Times New Roman" w:cs="Times New Roman" w:eastAsia="Times New Roman" w:hAnsi="Times New Roman"/>
          <w:sz w:val="22"/>
          <w:szCs w:val="22"/>
          <w:color w:val="auto"/>
        </w:rPr>
      </w:pPr>
    </w:p>
    <w:p>
      <w:pPr>
        <w:jc w:val="both"/>
        <w:ind w:right="100" w:firstLine="643"/>
        <w:spacing w:after="0" w:line="251" w:lineRule="auto"/>
        <w:tabs>
          <w:tab w:leader="none" w:pos="104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from the Board</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member of the Board for any or no reason, the then-unvested Restricted Stock Units awarded by this Award Agreement will be forfeited at no cost to the Company and Participant will have no further rights thereunder. The date of forfeiture will be the date of termination from the Board.</w:t>
      </w:r>
    </w:p>
    <w:p>
      <w:pPr>
        <w:spacing w:after="0" w:line="181"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w:t>
      </w:r>
    </w:p>
    <w:p>
      <w:pPr>
        <w:spacing w:after="0" w:line="28"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22"/>
          <w:szCs w:val="22"/>
          <w:color w:val="auto"/>
        </w:rPr>
        <w:t>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6" w:lineRule="exact"/>
        <w:rPr>
          <w:sz w:val="20"/>
          <w:szCs w:val="20"/>
          <w:color w:val="auto"/>
        </w:rPr>
      </w:pPr>
    </w:p>
    <w:p>
      <w:pPr>
        <w:jc w:val="both"/>
        <w:ind w:right="100" w:firstLine="643"/>
        <w:spacing w:after="0" w:line="251" w:lineRule="auto"/>
        <w:tabs>
          <w:tab w:leader="none" w:pos="10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4" w:lineRule="exact"/>
        <w:rPr>
          <w:rFonts w:ascii="Times New Roman" w:cs="Times New Roman" w:eastAsia="Times New Roman" w:hAnsi="Times New Roman"/>
          <w:sz w:val="22"/>
          <w:szCs w:val="22"/>
          <w:color w:val="auto"/>
        </w:rPr>
      </w:pPr>
    </w:p>
    <w:p>
      <w:pPr>
        <w:ind w:left="1040" w:hanging="397"/>
        <w:spacing w:after="0"/>
        <w:tabs>
          <w:tab w:leader="none" w:pos="10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291"/>
        <w:spacing w:after="0" w:line="249" w:lineRule="auto"/>
        <w:tabs>
          <w:tab w:leader="none" w:pos="168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w:t>
      </w:r>
    </w:p>
    <w:p>
      <w:pPr>
        <w:sectPr>
          <w:pgSz w:w="11900" w:h="16838" w:orient="portrait"/>
          <w:cols w:equalWidth="0" w:num="1">
            <w:col w:w="10980"/>
          </w:cols>
          <w:pgMar w:left="580" w:top="1440" w:right="339" w:bottom="1440" w:gutter="0" w:footer="0" w:header="0"/>
        </w:sectPr>
      </w:pPr>
    </w:p>
    <w:bookmarkStart w:id="223" w:name="page224"/>
    <w:bookmarkEnd w:id="223"/>
    <w:p>
      <w:pPr>
        <w:spacing w:after="0" w:line="3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89" w:lineRule="exact"/>
        <w:rPr>
          <w:sz w:val="20"/>
          <w:szCs w:val="20"/>
          <w:color w:val="auto"/>
        </w:rPr>
      </w:pPr>
    </w:p>
    <w:p>
      <w:pPr>
        <w:jc w:val="both"/>
        <w:ind w:firstLine="1291"/>
        <w:spacing w:after="0" w:line="263" w:lineRule="auto"/>
        <w:tabs>
          <w:tab w:leader="none" w:pos="1696"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and Default Method of Tax Withholding</w:t>
      </w:r>
      <w:r>
        <w:rPr>
          <w:rFonts w:ascii="Times New Roman" w:cs="Times New Roman" w:eastAsia="Times New Roman" w:hAnsi="Times New Roman"/>
          <w:sz w:val="21"/>
          <w:szCs w:val="21"/>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1"/>
          <w:szCs w:val="21"/>
          <w:u w:val="single" w:color="auto"/>
          <w:color w:val="auto"/>
        </w:rPr>
        <w:t>Tax Withholding Obligation</w:t>
      </w:r>
      <w:r>
        <w:rPr>
          <w:rFonts w:ascii="Times New Roman" w:cs="Times New Roman" w:eastAsia="Times New Roman" w:hAnsi="Times New Roman"/>
          <w:sz w:val="21"/>
          <w:szCs w:val="21"/>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72" w:lineRule="exact"/>
        <w:rPr>
          <w:rFonts w:ascii="Times New Roman" w:cs="Times New Roman" w:eastAsia="Times New Roman" w:hAnsi="Times New Roman"/>
          <w:sz w:val="21"/>
          <w:szCs w:val="21"/>
          <w:color w:val="auto"/>
        </w:rPr>
      </w:pPr>
    </w:p>
    <w:p>
      <w:pPr>
        <w:jc w:val="both"/>
        <w:ind w:right="100" w:firstLine="1291"/>
        <w:spacing w:after="0" w:line="248" w:lineRule="auto"/>
        <w:tabs>
          <w:tab w:leader="none" w:pos="168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ectPr>
          <w:pgSz w:w="11900" w:h="16838" w:orient="portrait"/>
          <w:cols w:equalWidth="0" w:num="1">
            <w:col w:w="10980"/>
          </w:cols>
          <w:pgMar w:left="580" w:top="1440" w:right="339" w:bottom="1440" w:gutter="0" w:footer="0" w:header="0"/>
        </w:sectPr>
      </w:pPr>
    </w:p>
    <w:bookmarkStart w:id="224" w:name="page225"/>
    <w:bookmarkEnd w:id="224"/>
    <w:p>
      <w:pPr>
        <w:spacing w:after="0" w:line="117" w:lineRule="exact"/>
        <w:rPr>
          <w:sz w:val="20"/>
          <w:szCs w:val="20"/>
          <w:color w:val="auto"/>
        </w:rPr>
      </w:pPr>
    </w:p>
    <w:p>
      <w:pPr>
        <w:jc w:val="both"/>
        <w:ind w:left="-643" w:firstLine="1291"/>
        <w:spacing w:after="0" w:line="250" w:lineRule="auto"/>
        <w:tabs>
          <w:tab w:leader="none" w:pos="1053"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93" w:lineRule="exact"/>
        <w:rPr>
          <w:rFonts w:ascii="Times New Roman" w:cs="Times New Roman" w:eastAsia="Times New Roman" w:hAnsi="Times New Roman"/>
          <w:sz w:val="22"/>
          <w:szCs w:val="22"/>
          <w:color w:val="auto"/>
        </w:rPr>
      </w:pPr>
    </w:p>
    <w:p>
      <w:pPr>
        <w:jc w:val="both"/>
        <w:ind w:left="-643" w:firstLine="643"/>
        <w:spacing w:after="0" w:line="263" w:lineRule="auto"/>
        <w:tabs>
          <w:tab w:leader="none" w:pos="396"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the Company declares and pays a cash dividend on Shares for which the record date occurs while Restricted Stock Units subject to this Award Agreement remain outstanding, then certain cash amounts (referred to as “</w:t>
      </w:r>
      <w:r>
        <w:rPr>
          <w:rFonts w:ascii="Times New Roman" w:cs="Times New Roman" w:eastAsia="Times New Roman" w:hAnsi="Times New Roman"/>
          <w:sz w:val="21"/>
          <w:szCs w:val="21"/>
          <w:u w:val="single" w:color="auto"/>
          <w:color w:val="auto"/>
        </w:rPr>
        <w:t>DEUs</w:t>
      </w:r>
      <w:r>
        <w:rPr>
          <w:rFonts w:ascii="Times New Roman" w:cs="Times New Roman" w:eastAsia="Times New Roman" w:hAnsi="Times New Roman"/>
          <w:sz w:val="21"/>
          <w:szCs w:val="21"/>
          <w:color w:val="auto"/>
        </w:rPr>
        <w:t>”) will be credited under this Award Agreement in accordance with this Section 9, but only if Participant remains in Continuous Status as a Participant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73" w:lineRule="exact"/>
        <w:rPr>
          <w:sz w:val="20"/>
          <w:szCs w:val="20"/>
          <w:color w:val="auto"/>
        </w:rPr>
      </w:pPr>
    </w:p>
    <w:p>
      <w:pPr>
        <w:ind w:left="317" w:hanging="316"/>
        <w:spacing w:after="0"/>
        <w:tabs>
          <w:tab w:leader="none" w:pos="31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is the aggregate cash amount of the DEUs to be credited with respect to that cash dividend.</w:t>
      </w:r>
    </w:p>
    <w:p>
      <w:pPr>
        <w:spacing w:after="0" w:line="219" w:lineRule="exact"/>
        <w:rPr>
          <w:rFonts w:ascii="Times New Roman" w:cs="Times New Roman" w:eastAsia="Times New Roman" w:hAnsi="Times New Roman"/>
          <w:sz w:val="22"/>
          <w:szCs w:val="22"/>
          <w:color w:val="auto"/>
        </w:rPr>
      </w:pPr>
    </w:p>
    <w:p>
      <w:pPr>
        <w:ind w:left="317" w:right="20" w:hanging="316"/>
        <w:spacing w:after="0" w:line="271" w:lineRule="auto"/>
        <w:tabs>
          <w:tab w:leader="none" w:pos="31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is the amount of the cash dividend paid by the Company to stockholders with respect to one Share. In other words, this amount is the cash amount of each DEU to be credited with respect to a particular cash dividend.</w:t>
      </w:r>
    </w:p>
    <w:p>
      <w:pPr>
        <w:spacing w:after="0" w:line="157" w:lineRule="exact"/>
        <w:rPr>
          <w:rFonts w:ascii="Times New Roman" w:cs="Times New Roman" w:eastAsia="Times New Roman" w:hAnsi="Times New Roman"/>
          <w:sz w:val="22"/>
          <w:szCs w:val="22"/>
          <w:color w:val="auto"/>
        </w:rPr>
      </w:pPr>
    </w:p>
    <w:p>
      <w:pPr>
        <w:ind w:left="317" w:right="20" w:hanging="316"/>
        <w:spacing w:after="0" w:line="271" w:lineRule="auto"/>
        <w:tabs>
          <w:tab w:leader="none" w:pos="31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number of Restricted Stock Units remaining subject to this Award Agreement as of the cash dividend record date but immediately prior to the application of this Section 9 for that cash dividend.</w:t>
      </w:r>
    </w:p>
    <w:p>
      <w:pPr>
        <w:spacing w:after="0" w:line="171" w:lineRule="exact"/>
        <w:rPr>
          <w:rFonts w:ascii="Times New Roman" w:cs="Times New Roman" w:eastAsia="Times New Roman" w:hAnsi="Times New Roman"/>
          <w:sz w:val="22"/>
          <w:szCs w:val="22"/>
          <w:color w:val="auto"/>
        </w:rPr>
      </w:pPr>
    </w:p>
    <w:p>
      <w:pPr>
        <w:jc w:val="both"/>
        <w:ind w:left="-643" w:firstLine="1291"/>
        <w:spacing w:after="0" w:line="249" w:lineRule="auto"/>
        <w:tabs>
          <w:tab w:leader="none" w:pos="104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DEUs</w:t>
      </w:r>
      <w:r>
        <w:rPr>
          <w:rFonts w:ascii="Times New Roman" w:cs="Times New Roman" w:eastAsia="Times New Roman" w:hAnsi="Times New Roman"/>
          <w:sz w:val="22"/>
          <w:szCs w:val="22"/>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81" w:lineRule="exact"/>
        <w:rPr>
          <w:rFonts w:ascii="Times New Roman" w:cs="Times New Roman" w:eastAsia="Times New Roman" w:hAnsi="Times New Roman"/>
          <w:sz w:val="22"/>
          <w:szCs w:val="22"/>
          <w:color w:val="auto"/>
        </w:rPr>
      </w:pPr>
    </w:p>
    <w:p>
      <w:pPr>
        <w:jc w:val="both"/>
        <w:ind w:left="-643" w:firstLine="1291"/>
        <w:spacing w:after="0" w:line="253" w:lineRule="auto"/>
        <w:tabs>
          <w:tab w:leader="none" w:pos="1053"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General</w:t>
      </w:r>
      <w:r>
        <w:rPr>
          <w:rFonts w:ascii="Times New Roman" w:cs="Times New Roman" w:eastAsia="Times New Roman" w:hAnsi="Times New Roman"/>
          <w:sz w:val="22"/>
          <w:szCs w:val="22"/>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 paid in cash and be subject to the other provisions of this Section 9 and the Award Agreement). DEUs will not accrue interest and will not be credited with any investment returns related to Shares or otherwise.</w:t>
      </w:r>
    </w:p>
    <w:p>
      <w:pPr>
        <w:sectPr>
          <w:pgSz w:w="11900" w:h="16838" w:orient="portrait"/>
          <w:cols w:equalWidth="0" w:num="1">
            <w:col w:w="10237"/>
          </w:cols>
          <w:pgMar w:left="1223" w:top="1440" w:right="439" w:bottom="1440" w:gutter="0" w:footer="0" w:header="0"/>
        </w:sectPr>
      </w:pPr>
    </w:p>
    <w:bookmarkStart w:id="225" w:name="page226"/>
    <w:bookmarkEnd w:id="225"/>
    <w:p>
      <w:pPr>
        <w:spacing w:after="0" w:line="117" w:lineRule="exact"/>
        <w:rPr>
          <w:sz w:val="20"/>
          <w:szCs w:val="20"/>
          <w:color w:val="auto"/>
        </w:rPr>
      </w:pPr>
    </w:p>
    <w:p>
      <w:pPr>
        <w:jc w:val="both"/>
        <w:ind w:left="-643" w:firstLine="1291"/>
        <w:spacing w:after="0" w:line="250" w:lineRule="auto"/>
        <w:tabs>
          <w:tab w:leader="none" w:pos="1041"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179" w:lineRule="exact"/>
        <w:rPr>
          <w:rFonts w:ascii="Times New Roman" w:cs="Times New Roman" w:eastAsia="Times New Roman" w:hAnsi="Times New Roman"/>
          <w:sz w:val="22"/>
          <w:szCs w:val="22"/>
          <w:color w:val="auto"/>
        </w:rPr>
      </w:pPr>
    </w:p>
    <w:p>
      <w:pPr>
        <w:jc w:val="both"/>
        <w:ind w:left="-643" w:firstLine="643"/>
        <w:spacing w:after="0" w:line="251" w:lineRule="auto"/>
        <w:tabs>
          <w:tab w:leader="none" w:pos="39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left="-643" w:firstLine="643"/>
        <w:spacing w:after="0" w:line="247" w:lineRule="auto"/>
        <w:tabs>
          <w:tab w:leader="none" w:pos="38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REMAINING A MEMBER OF THE BOARD,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2" w:lineRule="exact"/>
        <w:rPr>
          <w:rFonts w:ascii="Times New Roman" w:cs="Times New Roman" w:eastAsia="Times New Roman" w:hAnsi="Times New Roman"/>
          <w:sz w:val="22"/>
          <w:szCs w:val="22"/>
          <w:color w:val="auto"/>
        </w:rPr>
      </w:pPr>
    </w:p>
    <w:p>
      <w:pPr>
        <w:jc w:val="both"/>
        <w:ind w:left="-643" w:firstLine="643"/>
        <w:spacing w:after="0" w:line="250" w:lineRule="auto"/>
        <w:tabs>
          <w:tab w:leader="none" w:pos="39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w:t>
      </w:r>
    </w:p>
    <w:p>
      <w:pPr>
        <w:sectPr>
          <w:pgSz w:w="11900" w:h="16838" w:orient="portrait"/>
          <w:cols w:equalWidth="0" w:num="1">
            <w:col w:w="10237"/>
          </w:cols>
          <w:pgMar w:left="1223" w:top="1440" w:right="439" w:bottom="1440" w:gutter="0" w:footer="0" w:header="0"/>
        </w:sectPr>
      </w:pPr>
    </w:p>
    <w:bookmarkStart w:id="226" w:name="page227"/>
    <w:bookmarkEnd w:id="226"/>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complies with the QDRO procedures then in effect, as specified by the Committee or the Company.</w:t>
      </w:r>
    </w:p>
    <w:p>
      <w:pPr>
        <w:spacing w:after="0" w:line="220" w:lineRule="exact"/>
        <w:rPr>
          <w:sz w:val="20"/>
          <w:szCs w:val="20"/>
          <w:color w:val="auto"/>
        </w:rPr>
      </w:pPr>
    </w:p>
    <w:p>
      <w:pPr>
        <w:ind w:left="1040" w:hanging="397"/>
        <w:spacing w:after="0"/>
        <w:tabs>
          <w:tab w:leader="none" w:pos="10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w:t>
      </w:r>
    </w:p>
    <w:p>
      <w:pPr>
        <w:spacing w:after="0" w:line="207" w:lineRule="exact"/>
        <w:rPr>
          <w:rFonts w:ascii="Times New Roman" w:cs="Times New Roman" w:eastAsia="Times New Roman" w:hAnsi="Times New Roman"/>
          <w:sz w:val="22"/>
          <w:szCs w:val="22"/>
          <w:color w:val="auto"/>
        </w:rPr>
      </w:pPr>
    </w:p>
    <w:p>
      <w:pPr>
        <w:jc w:val="both"/>
        <w:ind w:firstLine="1291"/>
        <w:spacing w:after="0" w:line="257" w:lineRule="auto"/>
        <w:tabs>
          <w:tab w:leader="none" w:pos="168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37"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intended to replace any pension rights or compensation;</w:t>
      </w:r>
    </w:p>
    <w:p>
      <w:pPr>
        <w:spacing w:after="0" w:line="171" w:lineRule="exact"/>
        <w:rPr>
          <w:rFonts w:ascii="Times New Roman" w:cs="Times New Roman" w:eastAsia="Times New Roman" w:hAnsi="Times New Roman"/>
          <w:sz w:val="22"/>
          <w:szCs w:val="22"/>
          <w:color w:val="auto"/>
        </w:rPr>
      </w:pPr>
    </w:p>
    <w:p>
      <w:pPr>
        <w:jc w:val="both"/>
        <w:ind w:firstLine="1291"/>
        <w:spacing w:after="0" w:line="252" w:lineRule="auto"/>
        <w:tabs>
          <w:tab w:leader="none" w:pos="168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9" w:lineRule="exact"/>
        <w:rPr>
          <w:rFonts w:ascii="Times New Roman" w:cs="Times New Roman" w:eastAsia="Times New Roman" w:hAnsi="Times New Roman"/>
          <w:sz w:val="22"/>
          <w:szCs w:val="22"/>
          <w:color w:val="auto"/>
        </w:rPr>
      </w:pPr>
    </w:p>
    <w:p>
      <w:pPr>
        <w:jc w:val="both"/>
        <w:ind w:firstLine="1291"/>
        <w:spacing w:after="0" w:line="263" w:lineRule="auto"/>
        <w:tabs>
          <w:tab w:leader="none" w:pos="1687"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67"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w:t>
      </w:r>
    </w:p>
    <w:p>
      <w:pPr>
        <w:spacing w:after="0" w:line="157" w:lineRule="exact"/>
        <w:rPr>
          <w:rFonts w:ascii="Times New Roman" w:cs="Times New Roman" w:eastAsia="Times New Roman" w:hAnsi="Times New Roman"/>
          <w:sz w:val="22"/>
          <w:szCs w:val="22"/>
          <w:color w:val="auto"/>
        </w:rPr>
      </w:pPr>
    </w:p>
    <w:p>
      <w:pPr>
        <w:jc w:val="both"/>
        <w:ind w:firstLine="1291"/>
        <w:spacing w:after="0" w:line="248" w:lineRule="auto"/>
        <w:tabs>
          <w:tab w:leader="none" w:pos="1696"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ectPr>
          <w:pgSz w:w="11900" w:h="16838" w:orient="portrait"/>
          <w:cols w:equalWidth="0" w:num="1">
            <w:col w:w="10880"/>
          </w:cols>
          <w:pgMar w:left="580" w:top="1440" w:right="439" w:bottom="1440" w:gutter="0" w:footer="0" w:header="0"/>
        </w:sectPr>
      </w:pPr>
    </w:p>
    <w:bookmarkStart w:id="227" w:name="page228"/>
    <w:bookmarkEnd w:id="227"/>
    <w:p>
      <w:pPr>
        <w:spacing w:after="0" w:line="117" w:lineRule="exact"/>
        <w:rPr>
          <w:sz w:val="20"/>
          <w:szCs w:val="20"/>
          <w:color w:val="auto"/>
        </w:rPr>
      </w:pPr>
    </w:p>
    <w:p>
      <w:pPr>
        <w:jc w:val="both"/>
        <w:ind w:firstLine="1291"/>
        <w:spacing w:after="0" w:line="253" w:lineRule="auto"/>
        <w:tabs>
          <w:tab w:leader="none" w:pos="1689"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 the following provisions apply only if Participant is providing services outside the United States:</w:t>
      </w:r>
    </w:p>
    <w:p>
      <w:pPr>
        <w:spacing w:after="0" w:line="43" w:lineRule="exact"/>
        <w:rPr>
          <w:rFonts w:ascii="Times New Roman" w:cs="Times New Roman" w:eastAsia="Times New Roman" w:hAnsi="Times New Roman"/>
          <w:sz w:val="22"/>
          <w:szCs w:val="22"/>
          <w:color w:val="auto"/>
        </w:rPr>
      </w:pPr>
    </w:p>
    <w:p>
      <w:pPr>
        <w:ind w:right="20" w:firstLine="1939"/>
        <w:spacing w:after="0" w:line="271" w:lineRule="auto"/>
        <w:tabs>
          <w:tab w:leader="none" w:pos="2337" w:val="left"/>
        </w:tabs>
        <w:numPr>
          <w:ilvl w:val="2"/>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7" w:lineRule="exact"/>
        <w:rPr>
          <w:rFonts w:ascii="Times New Roman" w:cs="Times New Roman" w:eastAsia="Times New Roman" w:hAnsi="Times New Roman"/>
          <w:sz w:val="22"/>
          <w:szCs w:val="22"/>
          <w:color w:val="auto"/>
        </w:rPr>
      </w:pPr>
    </w:p>
    <w:p>
      <w:pPr>
        <w:jc w:val="both"/>
        <w:ind w:firstLine="1940"/>
        <w:spacing w:after="0" w:line="252" w:lineRule="auto"/>
        <w:tabs>
          <w:tab w:leader="none" w:pos="2343" w:val="left"/>
        </w:tabs>
        <w:numPr>
          <w:ilvl w:val="2"/>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92" w:lineRule="exact"/>
        <w:rPr>
          <w:rFonts w:ascii="Times New Roman" w:cs="Times New Roman" w:eastAsia="Times New Roman" w:hAnsi="Times New Roman"/>
          <w:sz w:val="22"/>
          <w:szCs w:val="22"/>
          <w:color w:val="auto"/>
        </w:rPr>
      </w:pPr>
    </w:p>
    <w:p>
      <w:pPr>
        <w:jc w:val="both"/>
        <w:ind w:firstLine="1939"/>
        <w:spacing w:after="0" w:line="248" w:lineRule="auto"/>
        <w:tabs>
          <w:tab w:leader="none" w:pos="2335" w:val="left"/>
        </w:tabs>
        <w:numPr>
          <w:ilvl w:val="2"/>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22"/>
          <w:szCs w:val="22"/>
          <w:color w:val="auto"/>
        </w:rPr>
      </w:pPr>
    </w:p>
    <w:p>
      <w:pPr>
        <w:jc w:val="both"/>
        <w:ind w:firstLine="643"/>
        <w:spacing w:after="0" w:line="268" w:lineRule="auto"/>
        <w:tabs>
          <w:tab w:leader="none" w:pos="104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63" w:lineRule="exact"/>
        <w:rPr>
          <w:rFonts w:ascii="Times New Roman" w:cs="Times New Roman" w:eastAsia="Times New Roman" w:hAnsi="Times New Roman"/>
          <w:sz w:val="21"/>
          <w:szCs w:val="21"/>
          <w:color w:val="auto"/>
        </w:rPr>
      </w:pPr>
    </w:p>
    <w:p>
      <w:pPr>
        <w:jc w:val="both"/>
        <w:ind w:right="20" w:firstLine="643"/>
        <w:spacing w:after="0" w:line="256" w:lineRule="auto"/>
        <w:tabs>
          <w:tab w:leader="none" w:pos="10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w:t>
      </w:r>
    </w:p>
    <w:p>
      <w:pPr>
        <w:sectPr>
          <w:pgSz w:w="11900" w:h="16838" w:orient="portrait"/>
          <w:cols w:equalWidth="0" w:num="1">
            <w:col w:w="10880"/>
          </w:cols>
          <w:pgMar w:left="580" w:top="1440" w:right="439" w:bottom="1440" w:gutter="0" w:footer="0" w:header="0"/>
        </w:sectPr>
      </w:pPr>
    </w:p>
    <w:bookmarkStart w:id="228" w:name="page229"/>
    <w:bookmarkEnd w:id="228"/>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outstanding in Participant’s favor (“</w:t>
      </w:r>
      <w:r>
        <w:rPr>
          <w:rFonts w:ascii="Times New Roman" w:cs="Times New Roman" w:eastAsia="Times New Roman" w:hAnsi="Times New Roman"/>
          <w:sz w:val="21"/>
          <w:szCs w:val="21"/>
          <w:u w:val="single" w:color="auto"/>
          <w:color w:val="auto"/>
        </w:rPr>
        <w:t>Data</w:t>
      </w:r>
      <w:r>
        <w:rPr>
          <w:rFonts w:ascii="Times New Roman" w:cs="Times New Roman" w:eastAsia="Times New Roman" w:hAnsi="Times New Roman"/>
          <w:sz w:val="21"/>
          <w:szCs w:val="21"/>
          <w:color w:val="auto"/>
        </w:rPr>
        <w:t>”), for the exclusive purpose of implementing, administering, and managing the Plan.</w:t>
      </w:r>
    </w:p>
    <w:p>
      <w:pPr>
        <w:spacing w:after="0" w:line="23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9" w:lineRule="exact"/>
        <w:rPr>
          <w:sz w:val="20"/>
          <w:szCs w:val="20"/>
          <w:color w:val="auto"/>
        </w:rPr>
      </w:pPr>
    </w:p>
    <w:p>
      <w:pPr>
        <w:jc w:val="both"/>
        <w:ind w:firstLine="643"/>
        <w:spacing w:after="0" w:line="257" w:lineRule="auto"/>
        <w:tabs>
          <w:tab w:leader="none" w:pos="10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2" w:lineRule="exact"/>
        <w:rPr>
          <w:rFonts w:ascii="Times New Roman" w:cs="Times New Roman" w:eastAsia="Times New Roman" w:hAnsi="Times New Roman"/>
          <w:sz w:val="22"/>
          <w:szCs w:val="22"/>
          <w:color w:val="auto"/>
        </w:rPr>
      </w:pPr>
    </w:p>
    <w:p>
      <w:pPr>
        <w:jc w:val="both"/>
        <w:ind w:firstLine="643"/>
        <w:spacing w:after="0" w:line="253" w:lineRule="auto"/>
        <w:tabs>
          <w:tab w:leader="none" w:pos="10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8" w:lineRule="exact"/>
        <w:rPr>
          <w:rFonts w:ascii="Times New Roman" w:cs="Times New Roman" w:eastAsia="Times New Roman" w:hAnsi="Times New Roman"/>
          <w:sz w:val="22"/>
          <w:szCs w:val="22"/>
          <w:color w:val="auto"/>
        </w:rPr>
      </w:pPr>
    </w:p>
    <w:p>
      <w:pPr>
        <w:jc w:val="both"/>
        <w:ind w:right="20" w:firstLine="643"/>
        <w:spacing w:after="0" w:line="256" w:lineRule="auto"/>
        <w:tabs>
          <w:tab w:leader="none" w:pos="10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ectPr>
          <w:pgSz w:w="11900" w:h="16838" w:orient="portrait"/>
          <w:cols w:equalWidth="0" w:num="1">
            <w:col w:w="10880"/>
          </w:cols>
          <w:pgMar w:left="580" w:top="1440" w:right="439" w:bottom="1440" w:gutter="0" w:footer="0" w:header="0"/>
        </w:sectPr>
      </w:pPr>
    </w:p>
    <w:bookmarkStart w:id="229" w:name="page230"/>
    <w:bookmarkEnd w:id="229"/>
    <w:p>
      <w:pPr>
        <w:spacing w:after="0" w:line="117" w:lineRule="exact"/>
        <w:rPr>
          <w:sz w:val="20"/>
          <w:szCs w:val="20"/>
          <w:color w:val="auto"/>
        </w:rPr>
      </w:pPr>
    </w:p>
    <w:p>
      <w:pPr>
        <w:jc w:val="both"/>
        <w:ind w:left="-643" w:firstLine="643"/>
        <w:spacing w:after="0" w:line="253"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8" w:lineRule="exact"/>
        <w:rPr>
          <w:rFonts w:ascii="Times New Roman" w:cs="Times New Roman" w:eastAsia="Times New Roman" w:hAnsi="Times New Roman"/>
          <w:sz w:val="22"/>
          <w:szCs w:val="22"/>
          <w:color w:val="auto"/>
        </w:rPr>
      </w:pPr>
    </w:p>
    <w:p>
      <w:pPr>
        <w:jc w:val="both"/>
        <w:ind w:left="-643" w:firstLine="643"/>
        <w:spacing w:after="0" w:line="247"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06" w:lineRule="exact"/>
        <w:rPr>
          <w:rFonts w:ascii="Times New Roman" w:cs="Times New Roman" w:eastAsia="Times New Roman" w:hAnsi="Times New Roman"/>
          <w:sz w:val="22"/>
          <w:szCs w:val="22"/>
          <w:color w:val="auto"/>
        </w:rPr>
      </w:pPr>
    </w:p>
    <w:p>
      <w:pPr>
        <w:jc w:val="both"/>
        <w:ind w:left="-643" w:firstLine="643"/>
        <w:spacing w:after="0" w:line="250"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Times New Roman" w:cs="Times New Roman" w:eastAsia="Times New Roman" w:hAnsi="Times New Roman"/>
          <w:sz w:val="22"/>
          <w:szCs w:val="22"/>
          <w:color w:val="auto"/>
        </w:rPr>
      </w:pPr>
    </w:p>
    <w:p>
      <w:pPr>
        <w:jc w:val="both"/>
        <w:ind w:left="-643" w:firstLine="643"/>
        <w:spacing w:after="0" w:line="250"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80" w:lineRule="exact"/>
        <w:rPr>
          <w:rFonts w:ascii="Times New Roman" w:cs="Times New Roman" w:eastAsia="Times New Roman" w:hAnsi="Times New Roman"/>
          <w:sz w:val="22"/>
          <w:szCs w:val="22"/>
          <w:color w:val="auto"/>
        </w:rPr>
      </w:pPr>
    </w:p>
    <w:p>
      <w:pPr>
        <w:ind w:left="-643" w:right="20" w:firstLine="643"/>
        <w:spacing w:after="0" w:line="271"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left="-643" w:firstLine="643"/>
        <w:spacing w:after="0" w:line="263" w:lineRule="auto"/>
        <w:tabs>
          <w:tab w:leader="none" w:pos="3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Restricted Stock Units under the Plan, and has received, read and understood a description of the Plan. Participant understands that the Plan</w:t>
      </w:r>
    </w:p>
    <w:p>
      <w:pPr>
        <w:sectPr>
          <w:pgSz w:w="11900" w:h="16838" w:orient="portrait"/>
          <w:cols w:equalWidth="0" w:num="1">
            <w:col w:w="10237"/>
          </w:cols>
          <w:pgMar w:left="1223" w:top="1440" w:right="439" w:bottom="1440" w:gutter="0" w:footer="0" w:header="0"/>
        </w:sectPr>
      </w:pPr>
    </w:p>
    <w:bookmarkStart w:id="230" w:name="page231"/>
    <w:bookmarkEnd w:id="230"/>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discretionary in nature and may be amended, suspended, or terminated by the Committee at any time.</w:t>
      </w:r>
    </w:p>
    <w:p>
      <w:pPr>
        <w:spacing w:after="0" w:line="220" w:lineRule="exact"/>
        <w:rPr>
          <w:sz w:val="20"/>
          <w:szCs w:val="20"/>
          <w:color w:val="auto"/>
        </w:rPr>
      </w:pPr>
    </w:p>
    <w:p>
      <w:pPr>
        <w:jc w:val="both"/>
        <w:ind w:firstLine="643"/>
        <w:spacing w:after="0" w:line="248" w:lineRule="auto"/>
        <w:tabs>
          <w:tab w:leader="none" w:pos="10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7" w:lineRule="exact"/>
        <w:rPr>
          <w:rFonts w:ascii="Times New Roman" w:cs="Times New Roman" w:eastAsia="Times New Roman" w:hAnsi="Times New Roman"/>
          <w:sz w:val="22"/>
          <w:szCs w:val="22"/>
          <w:color w:val="auto"/>
        </w:rPr>
      </w:pPr>
    </w:p>
    <w:p>
      <w:pPr>
        <w:jc w:val="both"/>
        <w:ind w:firstLine="643"/>
        <w:spacing w:after="0" w:line="247" w:lineRule="auto"/>
        <w:tabs>
          <w:tab w:leader="none" w:pos="10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181" w:lineRule="exact"/>
        <w:rPr>
          <w:sz w:val="20"/>
          <w:szCs w:val="20"/>
          <w:color w:val="auto"/>
        </w:rPr>
      </w:pPr>
    </w:p>
    <w:p>
      <w:pPr>
        <w:jc w:val="both"/>
        <w:ind w:firstLine="643"/>
        <w:spacing w:after="0" w:line="263" w:lineRule="auto"/>
        <w:tabs>
          <w:tab w:leader="none" w:pos="104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USA. For purposes of litigating any dispute that arises under these Restricted Stock Units</w:t>
      </w:r>
    </w:p>
    <w:p>
      <w:pPr>
        <w:sectPr>
          <w:pgSz w:w="11900" w:h="16838" w:orient="portrait"/>
          <w:cols w:equalWidth="0" w:num="1">
            <w:col w:w="10880"/>
          </w:cols>
          <w:pgMar w:left="580" w:top="1440" w:right="439" w:bottom="1440" w:gutter="0" w:footer="0" w:header="0"/>
        </w:sectPr>
      </w:pPr>
    </w:p>
    <w:bookmarkStart w:id="231" w:name="page232"/>
    <w:bookmarkEnd w:id="231"/>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79" w:lineRule="exact"/>
        <w:rPr>
          <w:sz w:val="20"/>
          <w:szCs w:val="20"/>
          <w:color w:val="auto"/>
        </w:rPr>
      </w:pPr>
    </w:p>
    <w:p>
      <w:pPr>
        <w:jc w:val="both"/>
        <w:ind w:firstLine="643"/>
        <w:spacing w:after="0" w:line="256" w:lineRule="auto"/>
        <w:tabs>
          <w:tab w:leader="none" w:pos="10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rFonts w:ascii="Times New Roman" w:cs="Times New Roman" w:eastAsia="Times New Roman" w:hAnsi="Times New Roman"/>
          <w:sz w:val="22"/>
          <w:szCs w:val="22"/>
          <w:color w:val="auto"/>
        </w:rPr>
      </w:pPr>
    </w:p>
    <w:p>
      <w:pPr>
        <w:jc w:val="both"/>
        <w:ind w:firstLine="643"/>
        <w:spacing w:after="0" w:line="250" w:lineRule="auto"/>
        <w:tabs>
          <w:tab w:leader="none" w:pos="10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0" w:lineRule="exact"/>
        <w:rPr>
          <w:rFonts w:ascii="Times New Roman" w:cs="Times New Roman" w:eastAsia="Times New Roman" w:hAnsi="Times New Roman"/>
          <w:sz w:val="22"/>
          <w:szCs w:val="22"/>
          <w:color w:val="auto"/>
        </w:rPr>
      </w:pPr>
    </w:p>
    <w:p>
      <w:pPr>
        <w:ind w:left="4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0880"/>
          </w:cols>
          <w:pgMar w:left="580" w:top="1440" w:right="4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 STOCK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1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233" w:name="page234"/>
    <w:bookmarkEnd w:id="233"/>
    <w:p>
      <w:pPr>
        <w:ind w:left="4340"/>
        <w:spacing w:after="0"/>
        <w:rPr>
          <w:sz w:val="20"/>
          <w:szCs w:val="20"/>
          <w:color w:val="auto"/>
        </w:rPr>
      </w:pPr>
      <w:r>
        <w:rPr>
          <w:rFonts w:ascii="Times New Roman" w:cs="Times New Roman" w:eastAsia="Times New Roman" w:hAnsi="Times New Roman"/>
          <w:sz w:val="22"/>
          <w:szCs w:val="22"/>
          <w:color w:val="auto"/>
        </w:rPr>
        <w:t>Nonemployee Director Annual Retainer Deferred RSU</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 STOCK</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24"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Micron Technology, Inc. Amended and Restated 2007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09" w:lineRule="exact"/>
        <w:rPr>
          <w:sz w:val="20"/>
          <w:szCs w:val="20"/>
          <w:color w:val="auto"/>
        </w:rPr>
      </w:pPr>
    </w:p>
    <w:p>
      <w:pPr>
        <w:jc w:val="both"/>
        <w:ind w:left="220" w:right="20"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 Restricted Stock Unit Award, subject to the terms and conditions of the Plan and this Award Agreement, as follows: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10795</wp:posOffset>
            </wp:positionV>
            <wp:extent cx="2057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19685</wp:posOffset>
            </wp:positionV>
            <wp:extent cx="20574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10795</wp:posOffset>
            </wp:positionV>
            <wp:extent cx="20574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Total Number of Shares Subject to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19685</wp:posOffset>
            </wp:positionV>
            <wp:extent cx="20574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Restricted Stock Units will be fully vested on the Date of Grant.</w:t>
      </w:r>
    </w:p>
    <w:p>
      <w:pPr>
        <w:spacing w:after="0" w:line="220" w:lineRule="exact"/>
        <w:rPr>
          <w:sz w:val="20"/>
          <w:szCs w:val="20"/>
          <w:color w:val="auto"/>
        </w:rPr>
      </w:pPr>
    </w:p>
    <w:p>
      <w:pPr>
        <w:jc w:val="both"/>
        <w:ind w:left="220" w:firstLine="648"/>
        <w:spacing w:after="0" w:line="255"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Participant and the Company agree that</w:t>
      </w:r>
    </w:p>
    <w:p>
      <w:pPr>
        <w:spacing w:after="0" w:line="1" w:lineRule="exact"/>
        <w:rPr>
          <w:sz w:val="20"/>
          <w:szCs w:val="20"/>
          <w:color w:val="auto"/>
        </w:rPr>
      </w:pPr>
    </w:p>
    <w:p>
      <w:pPr>
        <w:jc w:val="both"/>
        <w:ind w:left="220" w:hanging="5"/>
        <w:spacing w:after="0" w:line="246" w:lineRule="auto"/>
        <w:tabs>
          <w:tab w:leader="none" w:pos="53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Restricted Stock Unit Award is granted under and governed by the 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00"/>
          </w:cols>
          <w:pgMar w:left="360" w:top="774" w:right="439" w:bottom="1440" w:gutter="0" w:footer="0" w:header="0"/>
        </w:sectPr>
      </w:pPr>
    </w:p>
    <w:bookmarkStart w:id="234" w:name="page235"/>
    <w:bookmarkEnd w:id="234"/>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490855</wp:posOffset>
            </wp:positionV>
            <wp:extent cx="24688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24688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099"/>
          </w:cols>
          <w:pgMar w:left="360" w:top="1440" w:right="1440" w:bottom="1440" w:gutter="0" w:footer="0" w:header="0"/>
        </w:sectPr>
      </w:pPr>
    </w:p>
    <w:bookmarkStart w:id="235" w:name="page236"/>
    <w:bookmarkEnd w:id="235"/>
    <w:p>
      <w:pPr>
        <w:spacing w:after="0" w:line="1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24" w:lineRule="exact"/>
        <w:rPr>
          <w:sz w:val="20"/>
          <w:szCs w:val="20"/>
          <w:color w:val="auto"/>
        </w:rPr>
      </w:pPr>
    </w:p>
    <w:p>
      <w:pPr>
        <w:jc w:val="both"/>
        <w:ind w:firstLine="643"/>
        <w:spacing w:after="0" w:line="252" w:lineRule="auto"/>
        <w:tabs>
          <w:tab w:leader="none" w:pos="104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 Restricted Stock Unit Award under the Plan, subject to the terms and conditions of this Award Agreement and the Plan, which is incorporated herein by reference. Subject to Section</w:t>
      </w:r>
    </w:p>
    <w:p>
      <w:pPr>
        <w:ind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 of the Plan, in the event of a conflict between the terms and conditions of the Plan and this Award Agreement, the terms and conditions of the Plan shall prevail.</w:t>
      </w:r>
    </w:p>
    <w:p>
      <w:pPr>
        <w:spacing w:after="0" w:line="182" w:lineRule="exact"/>
        <w:rPr>
          <w:rFonts w:ascii="Times New Roman" w:cs="Times New Roman" w:eastAsia="Times New Roman" w:hAnsi="Times New Roman"/>
          <w:sz w:val="22"/>
          <w:szCs w:val="22"/>
          <w:color w:val="auto"/>
        </w:rPr>
      </w:pPr>
    </w:p>
    <w:p>
      <w:pPr>
        <w:jc w:val="both"/>
        <w:ind w:firstLine="643"/>
        <w:spacing w:after="0" w:line="253" w:lineRule="auto"/>
        <w:tabs>
          <w:tab w:leader="none" w:pos="104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right="20" w:firstLine="643"/>
        <w:spacing w:after="0" w:line="263" w:lineRule="auto"/>
        <w:tabs>
          <w:tab w:leader="none" w:pos="104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provisions set forth in the Notice of Grant, subject to Participant remaining in Continuous Status as a Participant through the applicable vesting date.</w:t>
      </w:r>
    </w:p>
    <w:p>
      <w:pPr>
        <w:spacing w:after="0" w:line="167"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91"/>
        <w:spacing w:after="0" w:line="251" w:lineRule="auto"/>
        <w:tabs>
          <w:tab w:leader="none" w:pos="1684"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fifteen (15) days following the date the Participant’s Separation from Service, (such payment date being the “Settlement Date”). In no event will Participant be permitted, directly or indirectly, to specify the taxable year of payment of any Restricted Stock Units payable under this Award Agreement.</w:t>
      </w:r>
    </w:p>
    <w:p>
      <w:pPr>
        <w:spacing w:after="0" w:line="181"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right="20" w:firstLine="1939"/>
        <w:spacing w:after="0" w:line="263" w:lineRule="auto"/>
        <w:tabs>
          <w:tab w:leader="none" w:pos="2337"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Participant’s Continuous Status as a Participant ends on account of Participant’s death or Participant becoming Disabled, any Restricted Stock Units that both were unexpired and unvested as of the date of cessation of Continuous Status as a Participant, will vest on such date.</w:t>
      </w:r>
    </w:p>
    <w:p>
      <w:pPr>
        <w:spacing w:after="0" w:line="167" w:lineRule="exact"/>
        <w:rPr>
          <w:rFonts w:ascii="Times New Roman" w:cs="Times New Roman" w:eastAsia="Times New Roman" w:hAnsi="Times New Roman"/>
          <w:sz w:val="22"/>
          <w:szCs w:val="22"/>
          <w:color w:val="auto"/>
        </w:rPr>
      </w:pPr>
    </w:p>
    <w:p>
      <w:pPr>
        <w:jc w:val="both"/>
        <w:ind w:firstLine="1939"/>
        <w:spacing w:after="0" w:line="253" w:lineRule="auto"/>
        <w:tabs>
          <w:tab w:leader="none" w:pos="2343"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If a Change in Control occurs before Participant’s Continuous Status as a Participant ends,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 any, or otherwise equitably converted or substituted in the Change in Control. For the purposes of this</w:t>
      </w:r>
    </w:p>
    <w:p>
      <w:pPr>
        <w:sectPr>
          <w:pgSz w:w="11900" w:h="16838" w:orient="portrait"/>
          <w:cols w:equalWidth="0" w:num="1">
            <w:col w:w="10880"/>
          </w:cols>
          <w:pgMar w:left="580" w:top="1440" w:right="439" w:bottom="1440" w:gutter="0" w:footer="0" w:header="0"/>
        </w:sectPr>
      </w:pPr>
    </w:p>
    <w:bookmarkStart w:id="236" w:name="page237"/>
    <w:bookmarkEnd w:id="236"/>
    <w:p>
      <w:pPr>
        <w:spacing w:after="0" w:line="3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Award Agreement, the Restricted Stock Units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04" w:lineRule="exact"/>
        <w:rPr>
          <w:sz w:val="20"/>
          <w:szCs w:val="20"/>
          <w:color w:val="auto"/>
        </w:rPr>
      </w:pPr>
    </w:p>
    <w:p>
      <w:pPr>
        <w:jc w:val="both"/>
        <w:ind w:firstLine="1939"/>
        <w:spacing w:after="0" w:line="262" w:lineRule="auto"/>
        <w:tabs>
          <w:tab w:leader="none" w:pos="233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following a Change in Control.</w:t>
      </w:r>
      <w:r>
        <w:rPr>
          <w:rFonts w:ascii="Times New Roman" w:cs="Times New Roman" w:eastAsia="Times New Roman" w:hAnsi="Times New Roman"/>
          <w:sz w:val="21"/>
          <w:szCs w:val="21"/>
          <w:color w:val="auto"/>
        </w:rPr>
        <w:t xml:space="preserve"> If (A) a Change in Control occurs before Participant’s Continuous Status as a Participant ends, (B) as determined by the Committee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172" w:lineRule="exact"/>
        <w:rPr>
          <w:rFonts w:ascii="Times New Roman" w:cs="Times New Roman" w:eastAsia="Times New Roman" w:hAnsi="Times New Roman"/>
          <w:sz w:val="21"/>
          <w:szCs w:val="21"/>
          <w:color w:val="auto"/>
        </w:rPr>
      </w:pPr>
    </w:p>
    <w:p>
      <w:pPr>
        <w:jc w:val="both"/>
        <w:ind w:firstLine="1939"/>
        <w:spacing w:after="0" w:line="250" w:lineRule="auto"/>
        <w:tabs>
          <w:tab w:leader="none" w:pos="233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Discretionary Acceleration.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1939"/>
        <w:spacing w:after="0" w:line="248" w:lineRule="auto"/>
        <w:tabs>
          <w:tab w:leader="none" w:pos="234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w:t>
      </w:r>
    </w:p>
    <w:p>
      <w:pPr>
        <w:sectPr>
          <w:pgSz w:w="11900" w:h="16838" w:orient="portrait"/>
          <w:cols w:equalWidth="0" w:num="1">
            <w:col w:w="10880"/>
          </w:cols>
          <w:pgMar w:left="580" w:top="1440" w:right="439" w:bottom="1440" w:gutter="0" w:footer="0" w:header="0"/>
        </w:sectPr>
      </w:pPr>
    </w:p>
    <w:bookmarkStart w:id="237" w:name="page238"/>
    <w:bookmarkEnd w:id="237"/>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Stock Units will be paid in Shares to Participant’s estate as soon as practicable following his or her death.</w:t>
      </w:r>
    </w:p>
    <w:p>
      <w:pPr>
        <w:spacing w:after="0" w:line="220" w:lineRule="exact"/>
        <w:rPr>
          <w:sz w:val="20"/>
          <w:szCs w:val="20"/>
          <w:color w:val="auto"/>
        </w:rPr>
      </w:pPr>
    </w:p>
    <w:p>
      <w:pPr>
        <w:jc w:val="both"/>
        <w:ind w:firstLine="1291"/>
        <w:spacing w:after="0" w:line="249" w:lineRule="auto"/>
        <w:tabs>
          <w:tab w:leader="none" w:pos="168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1" w:lineRule="exact"/>
        <w:rPr>
          <w:rFonts w:ascii="Times New Roman" w:cs="Times New Roman" w:eastAsia="Times New Roman" w:hAnsi="Times New Roman"/>
          <w:sz w:val="22"/>
          <w:szCs w:val="22"/>
          <w:color w:val="auto"/>
        </w:rPr>
      </w:pPr>
    </w:p>
    <w:p>
      <w:pPr>
        <w:jc w:val="both"/>
        <w:ind w:right="100" w:firstLine="643"/>
        <w:spacing w:after="0" w:line="250" w:lineRule="auto"/>
        <w:tabs>
          <w:tab w:leader="none" w:pos="10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 unvested Restricted Stock Units awarded by this Award Agreement will be forfeited at no cost to the Company and Participant will have no further rights thereunder. The date of forfeiture will be the date of cessation of Continuous Status as a Participant.</w:t>
      </w:r>
    </w:p>
    <w:p>
      <w:pPr>
        <w:spacing w:after="0" w:line="193" w:lineRule="exact"/>
        <w:rPr>
          <w:rFonts w:ascii="Times New Roman" w:cs="Times New Roman" w:eastAsia="Times New Roman" w:hAnsi="Times New Roman"/>
          <w:sz w:val="22"/>
          <w:szCs w:val="22"/>
          <w:color w:val="auto"/>
        </w:rPr>
      </w:pPr>
    </w:p>
    <w:p>
      <w:pPr>
        <w:jc w:val="both"/>
        <w:ind w:firstLine="643"/>
        <w:spacing w:after="0" w:line="250" w:lineRule="auto"/>
        <w:tabs>
          <w:tab w:leader="none" w:pos="10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94" w:lineRule="exact"/>
        <w:rPr>
          <w:rFonts w:ascii="Times New Roman" w:cs="Times New Roman" w:eastAsia="Times New Roman" w:hAnsi="Times New Roman"/>
          <w:sz w:val="22"/>
          <w:szCs w:val="22"/>
          <w:color w:val="auto"/>
        </w:rPr>
      </w:pPr>
    </w:p>
    <w:p>
      <w:pPr>
        <w:jc w:val="both"/>
        <w:ind w:firstLine="643"/>
        <w:spacing w:after="0" w:line="248" w:lineRule="auto"/>
        <w:tabs>
          <w:tab w:leader="none" w:pos="10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xml:space="preserve">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3" w:lineRule="exact"/>
        <w:rPr>
          <w:rFonts w:ascii="Times New Roman" w:cs="Times New Roman" w:eastAsia="Times New Roman" w:hAnsi="Times New Roman"/>
          <w:sz w:val="22"/>
          <w:szCs w:val="22"/>
          <w:color w:val="auto"/>
        </w:rPr>
      </w:pPr>
    </w:p>
    <w:p>
      <w:pPr>
        <w:ind w:left="1040" w:hanging="397"/>
        <w:spacing w:after="0"/>
        <w:tabs>
          <w:tab w:leader="none" w:pos="1040" w:val="left"/>
        </w:tabs>
        <w:numPr>
          <w:ilvl w:val="0"/>
          <w:numId w:val="2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Obligations.</w:t>
      </w:r>
    </w:p>
    <w:p>
      <w:pPr>
        <w:spacing w:after="0" w:line="206" w:lineRule="exact"/>
        <w:rPr>
          <w:sz w:val="20"/>
          <w:szCs w:val="20"/>
          <w:color w:val="auto"/>
        </w:rPr>
      </w:pPr>
    </w:p>
    <w:p>
      <w:pPr>
        <w:jc w:val="both"/>
        <w:ind w:firstLine="643"/>
        <w:spacing w:after="0" w:line="250" w:lineRule="auto"/>
        <w:tabs>
          <w:tab w:leader="none" w:pos="10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(including Participant’s Federal Insurance</w:t>
      </w:r>
    </w:p>
    <w:p>
      <w:pPr>
        <w:sectPr>
          <w:pgSz w:w="11900" w:h="16838" w:orient="portrait"/>
          <w:cols w:equalWidth="0" w:num="1">
            <w:col w:w="10980"/>
          </w:cols>
          <w:pgMar w:left="580" w:top="1440" w:right="339" w:bottom="1440" w:gutter="0" w:footer="0" w:header="0"/>
        </w:sectPr>
      </w:pPr>
    </w:p>
    <w:bookmarkStart w:id="238" w:name="page239"/>
    <w:bookmarkEnd w:id="238"/>
    <w:p>
      <w:pPr>
        <w:spacing w:after="0" w:line="3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56" w:lineRule="exact"/>
        <w:rPr>
          <w:sz w:val="20"/>
          <w:szCs w:val="20"/>
          <w:color w:val="auto"/>
        </w:rPr>
      </w:pPr>
    </w:p>
    <w:p>
      <w:pPr>
        <w:ind w:firstLine="643"/>
        <w:spacing w:after="0" w:line="229" w:lineRule="auto"/>
        <w:tabs>
          <w:tab w:leader="none" w:pos="104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When Shares are issued as payment for vested Restricted Stock Units, Participant generally will recognize immediate</w:t>
      </w:r>
    </w:p>
    <w:p>
      <w:pPr>
        <w:jc w:val="both"/>
        <w:ind w:right="10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1"/>
          <w:szCs w:val="21"/>
          <w:u w:val="single" w:color="auto"/>
          <w:color w:val="auto"/>
        </w:rPr>
        <w:t>Tax Withholding Obligation</w:t>
      </w:r>
      <w:r>
        <w:rPr>
          <w:rFonts w:ascii="Times New Roman" w:cs="Times New Roman" w:eastAsia="Times New Roman" w:hAnsi="Times New Roman"/>
          <w:sz w:val="21"/>
          <w:szCs w:val="21"/>
          <w:color w:val="auto"/>
        </w:rPr>
        <w:t>”) will</w:t>
      </w:r>
    </w:p>
    <w:p>
      <w:pPr>
        <w:spacing w:after="0" w:line="2"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22"/>
          <w:szCs w:val="22"/>
          <w:color w:val="auto"/>
        </w:rPr>
        <w:t>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79" w:lineRule="exact"/>
        <w:rPr>
          <w:sz w:val="20"/>
          <w:szCs w:val="20"/>
          <w:color w:val="auto"/>
        </w:rPr>
      </w:pPr>
    </w:p>
    <w:p>
      <w:pPr>
        <w:jc w:val="both"/>
        <w:ind w:right="100" w:firstLine="1291"/>
        <w:spacing w:after="0" w:line="249" w:lineRule="auto"/>
        <w:tabs>
          <w:tab w:leader="none" w:pos="168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w:t>
      </w:r>
    </w:p>
    <w:p>
      <w:pPr>
        <w:sectPr>
          <w:pgSz w:w="11900" w:h="16838" w:orient="portrait"/>
          <w:cols w:equalWidth="0" w:num="1">
            <w:col w:w="10980"/>
          </w:cols>
          <w:pgMar w:left="580" w:top="1440" w:right="339" w:bottom="1440" w:gutter="0" w:footer="0" w:header="0"/>
        </w:sectPr>
      </w:pPr>
    </w:p>
    <w:bookmarkStart w:id="239" w:name="page240"/>
    <w:bookmarkEnd w:id="239"/>
    <w:p>
      <w:pPr>
        <w:spacing w:after="0" w:line="34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1"/>
          <w:szCs w:val="21"/>
          <w:color w:val="auto"/>
        </w:rPr>
        <w:t>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163" w:lineRule="exact"/>
        <w:rPr>
          <w:sz w:val="20"/>
          <w:szCs w:val="20"/>
          <w:color w:val="auto"/>
        </w:rPr>
      </w:pPr>
    </w:p>
    <w:p>
      <w:pPr>
        <w:jc w:val="both"/>
        <w:ind w:right="100" w:firstLine="1291"/>
        <w:spacing w:after="0" w:line="250" w:lineRule="auto"/>
        <w:tabs>
          <w:tab w:leader="none" w:pos="1696"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93" w:lineRule="exact"/>
        <w:rPr>
          <w:rFonts w:ascii="Times New Roman" w:cs="Times New Roman" w:eastAsia="Times New Roman" w:hAnsi="Times New Roman"/>
          <w:sz w:val="22"/>
          <w:szCs w:val="22"/>
          <w:color w:val="auto"/>
        </w:rPr>
      </w:pPr>
    </w:p>
    <w:p>
      <w:pPr>
        <w:jc w:val="both"/>
        <w:ind w:firstLine="643"/>
        <w:spacing w:after="0" w:line="257" w:lineRule="auto"/>
        <w:tabs>
          <w:tab w:leader="none" w:pos="103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The Participant shall not have voting, dividend or any other rights as a stockholder of the Company with respect to the Restricted Stock Units. Upon conversion of the Restricted Stock Units into Shares, the Participant will obtain full voting, dividend and other rights as a stockholder of the Company.</w:t>
      </w:r>
    </w:p>
    <w:p>
      <w:pPr>
        <w:spacing w:after="0" w:line="172" w:lineRule="exact"/>
        <w:rPr>
          <w:rFonts w:ascii="Times New Roman" w:cs="Times New Roman" w:eastAsia="Times New Roman" w:hAnsi="Times New Roman"/>
          <w:sz w:val="22"/>
          <w:szCs w:val="22"/>
          <w:color w:val="auto"/>
        </w:rPr>
      </w:pPr>
    </w:p>
    <w:p>
      <w:pPr>
        <w:jc w:val="both"/>
        <w:ind w:firstLine="643"/>
        <w:spacing w:after="0" w:line="251" w:lineRule="auto"/>
        <w:tabs>
          <w:tab w:leader="none" w:pos="103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rFonts w:ascii="Times New Roman" w:cs="Times New Roman" w:eastAsia="Times New Roman" w:hAnsi="Times New Roman"/>
          <w:sz w:val="22"/>
          <w:szCs w:val="22"/>
          <w:color w:val="auto"/>
        </w:rPr>
      </w:pPr>
    </w:p>
    <w:p>
      <w:pPr>
        <w:jc w:val="both"/>
        <w:ind w:firstLine="643"/>
        <w:spacing w:after="0" w:line="261" w:lineRule="auto"/>
        <w:tabs>
          <w:tab w:leader="none" w:pos="1048"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ectPr>
          <w:pgSz w:w="11900" w:h="16838" w:orient="portrait"/>
          <w:cols w:equalWidth="0" w:num="1">
            <w:col w:w="10980"/>
          </w:cols>
          <w:pgMar w:left="580" w:top="1440" w:right="339" w:bottom="1440" w:gutter="0" w:footer="0" w:header="0"/>
        </w:sectPr>
      </w:pPr>
    </w:p>
    <w:bookmarkStart w:id="240" w:name="page241"/>
    <w:bookmarkEnd w:id="240"/>
    <w:p>
      <w:pPr>
        <w:spacing w:after="0" w:line="117" w:lineRule="exact"/>
        <w:rPr>
          <w:sz w:val="20"/>
          <w:szCs w:val="20"/>
          <w:color w:val="auto"/>
        </w:rPr>
      </w:pPr>
    </w:p>
    <w:p>
      <w:pPr>
        <w:jc w:val="both"/>
        <w:ind w:firstLine="643"/>
        <w:spacing w:after="0" w:line="263" w:lineRule="auto"/>
        <w:tabs>
          <w:tab w:leader="none" w:pos="104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1"/>
          <w:szCs w:val="21"/>
          <w:u w:val="single" w:color="auto"/>
          <w:color w:val="auto"/>
        </w:rPr>
        <w:t>QDRO</w:t>
      </w:r>
      <w:r>
        <w:rPr>
          <w:rFonts w:ascii="Times New Roman" w:cs="Times New Roman" w:eastAsia="Times New Roman" w:hAnsi="Times New Roman"/>
          <w:sz w:val="21"/>
          <w:szCs w:val="21"/>
          <w:color w:val="auto"/>
        </w:rPr>
        <w:t>”) will be permitted so long as such transfer complies with the QDRO procedures then in effect, as specified by the Committee or the Company.</w:t>
      </w:r>
    </w:p>
    <w:p>
      <w:pPr>
        <w:spacing w:after="0" w:line="169" w:lineRule="exact"/>
        <w:rPr>
          <w:rFonts w:ascii="Times New Roman" w:cs="Times New Roman" w:eastAsia="Times New Roman" w:hAnsi="Times New Roman"/>
          <w:sz w:val="21"/>
          <w:szCs w:val="21"/>
          <w:color w:val="auto"/>
        </w:rPr>
      </w:pPr>
    </w:p>
    <w:p>
      <w:pPr>
        <w:ind w:left="1040" w:hanging="397"/>
        <w:spacing w:after="0"/>
        <w:tabs>
          <w:tab w:leader="none" w:pos="104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w:t>
      </w:r>
    </w:p>
    <w:p>
      <w:pPr>
        <w:spacing w:after="0" w:line="195" w:lineRule="exact"/>
        <w:rPr>
          <w:rFonts w:ascii="Times New Roman" w:cs="Times New Roman" w:eastAsia="Times New Roman" w:hAnsi="Times New Roman"/>
          <w:sz w:val="22"/>
          <w:szCs w:val="22"/>
          <w:color w:val="auto"/>
        </w:rPr>
      </w:pPr>
    </w:p>
    <w:p>
      <w:pPr>
        <w:jc w:val="both"/>
        <w:ind w:firstLine="1291"/>
        <w:spacing w:after="0" w:line="263" w:lineRule="auto"/>
        <w:tabs>
          <w:tab w:leader="none" w:pos="1684"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67"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Committee;</w:t>
      </w:r>
    </w:p>
    <w:p>
      <w:pPr>
        <w:spacing w:after="0" w:line="157"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1291"/>
        <w:spacing w:after="0" w:line="284" w:lineRule="auto"/>
        <w:tabs>
          <w:tab w:leader="none" w:pos="1696"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intended to replace any pension rights or compensation;</w:t>
      </w:r>
    </w:p>
    <w:p>
      <w:pPr>
        <w:spacing w:after="0" w:line="143" w:lineRule="exact"/>
        <w:rPr>
          <w:rFonts w:ascii="Times New Roman" w:cs="Times New Roman" w:eastAsia="Times New Roman" w:hAnsi="Times New Roman"/>
          <w:sz w:val="22"/>
          <w:szCs w:val="22"/>
          <w:color w:val="auto"/>
        </w:rPr>
      </w:pPr>
    </w:p>
    <w:p>
      <w:pPr>
        <w:jc w:val="both"/>
        <w:ind w:firstLine="1291"/>
        <w:spacing w:after="0" w:line="252" w:lineRule="auto"/>
        <w:tabs>
          <w:tab w:leader="none" w:pos="1684"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92" w:lineRule="exact"/>
        <w:rPr>
          <w:rFonts w:ascii="Times New Roman" w:cs="Times New Roman" w:eastAsia="Times New Roman" w:hAnsi="Times New Roman"/>
          <w:sz w:val="22"/>
          <w:szCs w:val="22"/>
          <w:color w:val="auto"/>
        </w:rPr>
      </w:pPr>
    </w:p>
    <w:p>
      <w:pPr>
        <w:jc w:val="both"/>
        <w:ind w:firstLine="1291"/>
        <w:spacing w:after="0" w:line="257" w:lineRule="auto"/>
        <w:tabs>
          <w:tab w:leader="none" w:pos="168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2" w:lineRule="exact"/>
        <w:rPr>
          <w:rFonts w:ascii="Times New Roman" w:cs="Times New Roman" w:eastAsia="Times New Roman" w:hAnsi="Times New Roman"/>
          <w:sz w:val="22"/>
          <w:szCs w:val="22"/>
          <w:color w:val="auto"/>
        </w:rPr>
      </w:pPr>
    </w:p>
    <w:p>
      <w:pPr>
        <w:ind w:firstLine="1291"/>
        <w:spacing w:after="0" w:line="271" w:lineRule="auto"/>
        <w:tabs>
          <w:tab w:leader="none" w:pos="1696"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w:t>
      </w:r>
    </w:p>
    <w:p>
      <w:pPr>
        <w:spacing w:after="0" w:line="171" w:lineRule="exact"/>
        <w:rPr>
          <w:rFonts w:ascii="Times New Roman" w:cs="Times New Roman" w:eastAsia="Times New Roman" w:hAnsi="Times New Roman"/>
          <w:sz w:val="22"/>
          <w:szCs w:val="22"/>
          <w:color w:val="auto"/>
        </w:rPr>
      </w:pPr>
    </w:p>
    <w:p>
      <w:pPr>
        <w:jc w:val="both"/>
        <w:ind w:firstLine="1291"/>
        <w:spacing w:after="0" w:line="250" w:lineRule="auto"/>
        <w:tabs>
          <w:tab w:leader="none" w:pos="1696"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w:t>
      </w:r>
    </w:p>
    <w:p>
      <w:pPr>
        <w:sectPr>
          <w:pgSz w:w="11900" w:h="16838" w:orient="portrait"/>
          <w:cols w:equalWidth="0" w:num="1">
            <w:col w:w="10880"/>
          </w:cols>
          <w:pgMar w:left="580" w:top="1440" w:right="439" w:bottom="1440" w:gutter="0" w:footer="0" w:header="0"/>
        </w:sectPr>
      </w:pPr>
    </w:p>
    <w:bookmarkStart w:id="241" w:name="page242"/>
    <w:bookmarkEnd w:id="241"/>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80" w:lineRule="exact"/>
        <w:rPr>
          <w:sz w:val="20"/>
          <w:szCs w:val="20"/>
          <w:color w:val="auto"/>
        </w:rPr>
      </w:pPr>
    </w:p>
    <w:p>
      <w:pPr>
        <w:jc w:val="both"/>
        <w:ind w:firstLine="1292"/>
        <w:spacing w:after="0" w:line="252" w:lineRule="auto"/>
        <w:tabs>
          <w:tab w:leader="none" w:pos="1689"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92" w:lineRule="exact"/>
        <w:rPr>
          <w:rFonts w:ascii="Times New Roman" w:cs="Times New Roman" w:eastAsia="Times New Roman" w:hAnsi="Times New Roman"/>
          <w:sz w:val="22"/>
          <w:szCs w:val="22"/>
          <w:color w:val="auto"/>
        </w:rPr>
      </w:pPr>
    </w:p>
    <w:p>
      <w:pPr>
        <w:ind w:left="1680" w:hanging="388"/>
        <w:spacing w:after="0"/>
        <w:tabs>
          <w:tab w:leader="none" w:pos="168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right="20" w:firstLine="1940"/>
        <w:spacing w:after="0" w:line="271" w:lineRule="auto"/>
        <w:tabs>
          <w:tab w:leader="none" w:pos="2337"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7" w:lineRule="exact"/>
        <w:rPr>
          <w:rFonts w:ascii="Times New Roman" w:cs="Times New Roman" w:eastAsia="Times New Roman" w:hAnsi="Times New Roman"/>
          <w:sz w:val="22"/>
          <w:szCs w:val="22"/>
          <w:color w:val="auto"/>
        </w:rPr>
      </w:pPr>
    </w:p>
    <w:p>
      <w:pPr>
        <w:jc w:val="both"/>
        <w:ind w:firstLine="1940"/>
        <w:spacing w:after="0" w:line="256" w:lineRule="auto"/>
        <w:tabs>
          <w:tab w:leader="none" w:pos="2343"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6" w:lineRule="exact"/>
        <w:rPr>
          <w:rFonts w:ascii="Times New Roman" w:cs="Times New Roman" w:eastAsia="Times New Roman" w:hAnsi="Times New Roman"/>
          <w:sz w:val="22"/>
          <w:szCs w:val="22"/>
          <w:color w:val="auto"/>
        </w:rPr>
      </w:pPr>
    </w:p>
    <w:p>
      <w:pPr>
        <w:jc w:val="both"/>
        <w:ind w:firstLine="1939"/>
        <w:spacing w:after="0" w:line="248" w:lineRule="auto"/>
        <w:tabs>
          <w:tab w:leader="none" w:pos="2335"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22"/>
          <w:szCs w:val="22"/>
          <w:color w:val="auto"/>
        </w:rPr>
      </w:pPr>
    </w:p>
    <w:p>
      <w:pPr>
        <w:jc w:val="both"/>
        <w:ind w:right="20" w:firstLine="643"/>
        <w:spacing w:after="0" w:line="257" w:lineRule="auto"/>
        <w:tabs>
          <w:tab w:leader="none" w:pos="103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w:t>
      </w:r>
    </w:p>
    <w:p>
      <w:pPr>
        <w:sectPr>
          <w:pgSz w:w="11900" w:h="16838" w:orient="portrait"/>
          <w:cols w:equalWidth="0" w:num="1">
            <w:col w:w="10880"/>
          </w:cols>
          <w:pgMar w:left="580" w:top="1440" w:right="439" w:bottom="1440" w:gutter="0" w:footer="0" w:header="0"/>
        </w:sectPr>
      </w:pPr>
    </w:p>
    <w:bookmarkStart w:id="242" w:name="page243"/>
    <w:bookmarkEnd w:id="242"/>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Participant is hereby advised to consult with his or her own personal tax, legal, and financial advisors regarding his or her participation in the Plan before taking any action related to the Plan.</w:t>
      </w:r>
    </w:p>
    <w:p>
      <w:pPr>
        <w:spacing w:after="0" w:line="171" w:lineRule="exact"/>
        <w:rPr>
          <w:sz w:val="20"/>
          <w:szCs w:val="20"/>
          <w:color w:val="auto"/>
        </w:rPr>
      </w:pPr>
    </w:p>
    <w:p>
      <w:pPr>
        <w:jc w:val="both"/>
        <w:ind w:firstLine="643"/>
        <w:spacing w:after="0" w:line="248" w:lineRule="auto"/>
        <w:tabs>
          <w:tab w:leader="none" w:pos="10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 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9" w:lineRule="exact"/>
        <w:rPr>
          <w:sz w:val="20"/>
          <w:szCs w:val="20"/>
          <w:color w:val="auto"/>
        </w:rPr>
      </w:pPr>
    </w:p>
    <w:p>
      <w:pPr>
        <w:jc w:val="both"/>
        <w:ind w:firstLine="643"/>
        <w:spacing w:after="0" w:line="257" w:lineRule="auto"/>
        <w:tabs>
          <w:tab w:leader="none" w:pos="104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ectPr>
          <w:pgSz w:w="11900" w:h="16838" w:orient="portrait"/>
          <w:cols w:equalWidth="0" w:num="1">
            <w:col w:w="10880"/>
          </w:cols>
          <w:pgMar w:left="580" w:top="1440" w:right="439" w:bottom="1440" w:gutter="0" w:footer="0" w:header="0"/>
        </w:sectPr>
      </w:pPr>
    </w:p>
    <w:bookmarkStart w:id="243" w:name="page244"/>
    <w:bookmarkEnd w:id="243"/>
    <w:p>
      <w:pPr>
        <w:spacing w:after="0" w:line="117" w:lineRule="exact"/>
        <w:rPr>
          <w:sz w:val="20"/>
          <w:szCs w:val="20"/>
          <w:color w:val="auto"/>
        </w:rPr>
      </w:pPr>
    </w:p>
    <w:p>
      <w:pPr>
        <w:jc w:val="both"/>
        <w:ind w:left="-643" w:firstLine="643"/>
        <w:spacing w:after="0" w:line="253" w:lineRule="auto"/>
        <w:tabs>
          <w:tab w:leader="none" w:pos="39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8" w:lineRule="exact"/>
        <w:rPr>
          <w:rFonts w:ascii="Times New Roman" w:cs="Times New Roman" w:eastAsia="Times New Roman" w:hAnsi="Times New Roman"/>
          <w:sz w:val="22"/>
          <w:szCs w:val="22"/>
          <w:color w:val="auto"/>
        </w:rPr>
      </w:pPr>
    </w:p>
    <w:p>
      <w:pPr>
        <w:jc w:val="both"/>
        <w:ind w:left="-643" w:firstLine="643"/>
        <w:spacing w:after="0" w:line="256" w:lineRule="auto"/>
        <w:tabs>
          <w:tab w:leader="none" w:pos="4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6" w:lineRule="exact"/>
        <w:rPr>
          <w:rFonts w:ascii="Times New Roman" w:cs="Times New Roman" w:eastAsia="Times New Roman" w:hAnsi="Times New Roman"/>
          <w:sz w:val="20"/>
          <w:szCs w:val="20"/>
          <w:color w:val="auto"/>
        </w:rPr>
      </w:pPr>
    </w:p>
    <w:p>
      <w:pPr>
        <w:jc w:val="both"/>
        <w:ind w:left="-643" w:firstLine="643"/>
        <w:spacing w:after="0" w:line="253" w:lineRule="auto"/>
        <w:tabs>
          <w:tab w:leader="none" w:pos="39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8" w:lineRule="exact"/>
        <w:rPr>
          <w:rFonts w:ascii="Times New Roman" w:cs="Times New Roman" w:eastAsia="Times New Roman" w:hAnsi="Times New Roman"/>
          <w:sz w:val="22"/>
          <w:szCs w:val="22"/>
          <w:color w:val="auto"/>
        </w:rPr>
      </w:pPr>
    </w:p>
    <w:p>
      <w:pPr>
        <w:jc w:val="both"/>
        <w:ind w:left="-643" w:firstLine="643"/>
        <w:spacing w:after="0" w:line="248" w:lineRule="auto"/>
        <w:tabs>
          <w:tab w:leader="none" w:pos="39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192" w:lineRule="exact"/>
        <w:rPr>
          <w:rFonts w:ascii="Times New Roman" w:cs="Times New Roman" w:eastAsia="Times New Roman" w:hAnsi="Times New Roman"/>
          <w:sz w:val="22"/>
          <w:szCs w:val="22"/>
          <w:color w:val="auto"/>
        </w:rPr>
      </w:pPr>
    </w:p>
    <w:p>
      <w:pPr>
        <w:jc w:val="both"/>
        <w:ind w:left="-643" w:firstLine="643"/>
        <w:spacing w:after="0" w:line="250" w:lineRule="auto"/>
        <w:tabs>
          <w:tab w:leader="none" w:pos="39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Times New Roman" w:cs="Times New Roman" w:eastAsia="Times New Roman" w:hAnsi="Times New Roman"/>
          <w:sz w:val="22"/>
          <w:szCs w:val="22"/>
          <w:color w:val="auto"/>
        </w:rPr>
      </w:pPr>
    </w:p>
    <w:p>
      <w:pPr>
        <w:jc w:val="both"/>
        <w:ind w:left="-643" w:firstLine="643"/>
        <w:spacing w:after="0" w:line="257" w:lineRule="auto"/>
        <w:tabs>
          <w:tab w:leader="none" w:pos="39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w:t>
      </w:r>
    </w:p>
    <w:p>
      <w:pPr>
        <w:sectPr>
          <w:pgSz w:w="11900" w:h="16838" w:orient="portrait"/>
          <w:cols w:equalWidth="0" w:num="1">
            <w:col w:w="10237"/>
          </w:cols>
          <w:pgMar w:left="1223" w:top="1440" w:right="439" w:bottom="1440" w:gutter="0" w:footer="0" w:header="0"/>
        </w:sectPr>
      </w:pPr>
    </w:p>
    <w:bookmarkStart w:id="244" w:name="page245"/>
    <w:bookmarkEnd w:id="244"/>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28" w:lineRule="exact"/>
        <w:rPr>
          <w:sz w:val="20"/>
          <w:szCs w:val="20"/>
          <w:color w:val="auto"/>
        </w:rPr>
      </w:pPr>
    </w:p>
    <w:p>
      <w:pPr>
        <w:ind w:right="20" w:firstLine="643"/>
        <w:spacing w:after="0" w:line="284" w:lineRule="auto"/>
        <w:tabs>
          <w:tab w:leader="none" w:pos="10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43" w:lineRule="exact"/>
        <w:rPr>
          <w:rFonts w:ascii="Times New Roman" w:cs="Times New Roman" w:eastAsia="Times New Roman" w:hAnsi="Times New Roman"/>
          <w:sz w:val="22"/>
          <w:szCs w:val="22"/>
          <w:color w:val="auto"/>
        </w:rPr>
      </w:pPr>
    </w:p>
    <w:p>
      <w:pPr>
        <w:jc w:val="both"/>
        <w:ind w:firstLine="643"/>
        <w:spacing w:after="0" w:line="252" w:lineRule="auto"/>
        <w:tabs>
          <w:tab w:leader="none" w:pos="10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Committee at any time.</w:t>
      </w:r>
    </w:p>
    <w:p>
      <w:pPr>
        <w:spacing w:after="0" w:line="179" w:lineRule="exact"/>
        <w:rPr>
          <w:rFonts w:ascii="Times New Roman" w:cs="Times New Roman" w:eastAsia="Times New Roman" w:hAnsi="Times New Roman"/>
          <w:sz w:val="22"/>
          <w:szCs w:val="22"/>
          <w:color w:val="auto"/>
        </w:rPr>
      </w:pPr>
    </w:p>
    <w:p>
      <w:pPr>
        <w:jc w:val="both"/>
        <w:ind w:firstLine="643"/>
        <w:spacing w:after="0" w:line="249" w:lineRule="auto"/>
        <w:tabs>
          <w:tab w:leader="none" w:pos="10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84" w:lineRule="exact"/>
        <w:rPr>
          <w:rFonts w:ascii="Times New Roman" w:cs="Times New Roman" w:eastAsia="Times New Roman" w:hAnsi="Times New Roman"/>
          <w:sz w:val="22"/>
          <w:szCs w:val="22"/>
          <w:color w:val="auto"/>
        </w:rPr>
      </w:pPr>
    </w:p>
    <w:p>
      <w:pPr>
        <w:jc w:val="both"/>
        <w:ind w:firstLine="643"/>
        <w:spacing w:after="0" w:line="247" w:lineRule="auto"/>
        <w:tabs>
          <w:tab w:leader="none" w:pos="10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ectPr>
          <w:pgSz w:w="11900" w:h="16838" w:orient="portrait"/>
          <w:cols w:equalWidth="0" w:num="1">
            <w:col w:w="10880"/>
          </w:cols>
          <w:pgMar w:left="580" w:top="1440" w:right="439" w:bottom="1440" w:gutter="0" w:footer="0" w:header="0"/>
        </w:sectPr>
      </w:pPr>
    </w:p>
    <w:bookmarkStart w:id="245" w:name="page246"/>
    <w:bookmarkEnd w:id="245"/>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181" w:lineRule="exact"/>
        <w:rPr>
          <w:sz w:val="20"/>
          <w:szCs w:val="20"/>
          <w:color w:val="auto"/>
        </w:rPr>
      </w:pPr>
    </w:p>
    <w:p>
      <w:pPr>
        <w:jc w:val="both"/>
        <w:ind w:firstLine="643"/>
        <w:spacing w:after="0" w:line="252" w:lineRule="auto"/>
        <w:tabs>
          <w:tab w:leader="none" w:pos="10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79" w:lineRule="exact"/>
        <w:rPr>
          <w:rFonts w:ascii="Times New Roman" w:cs="Times New Roman" w:eastAsia="Times New Roman" w:hAnsi="Times New Roman"/>
          <w:sz w:val="22"/>
          <w:szCs w:val="22"/>
          <w:color w:val="auto"/>
        </w:rPr>
      </w:pPr>
    </w:p>
    <w:p>
      <w:pPr>
        <w:jc w:val="both"/>
        <w:ind w:firstLine="643"/>
        <w:spacing w:after="0" w:line="252" w:lineRule="auto"/>
        <w:tabs>
          <w:tab w:leader="none" w:pos="10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9" w:lineRule="exact"/>
        <w:rPr>
          <w:rFonts w:ascii="Times New Roman" w:cs="Times New Roman" w:eastAsia="Times New Roman" w:hAnsi="Times New Roman"/>
          <w:sz w:val="22"/>
          <w:szCs w:val="22"/>
          <w:color w:val="auto"/>
        </w:rPr>
      </w:pPr>
    </w:p>
    <w:p>
      <w:pPr>
        <w:jc w:val="both"/>
        <w:ind w:firstLine="643"/>
        <w:spacing w:after="0" w:line="252" w:lineRule="auto"/>
        <w:tabs>
          <w:tab w:leader="none" w:pos="10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79" w:lineRule="exact"/>
        <w:rPr>
          <w:rFonts w:ascii="Times New Roman" w:cs="Times New Roman" w:eastAsia="Times New Roman" w:hAnsi="Times New Roman"/>
          <w:sz w:val="22"/>
          <w:szCs w:val="22"/>
          <w:color w:val="auto"/>
        </w:rPr>
      </w:pPr>
    </w:p>
    <w:p>
      <w:pPr>
        <w:ind w:left="4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0880"/>
          </w:cols>
          <w:pgMar w:left="580" w:top="1440" w:right="4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RESTRICTED STOCK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62"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247" w:name="page248"/>
    <w:bookmarkEnd w:id="247"/>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PERFORMANCE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PERFORMANCE UNIT GRANT</w:t>
      </w:r>
    </w:p>
    <w:p>
      <w:pPr>
        <w:spacing w:after="0" w:line="2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Unless otherwise defined herein, the terms defined in the Micron Technology, Inc. Amended and Restated 2007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will have the same defined meanings in this Performance Unit Agreement which includes the Notice of Performance Unit Grant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xml:space="preserve">”), the Terms and Conditions of Performance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Additional Terms of Data Center SSD Performance Units,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all other exhibits, appendices, and addenda attached hereto (collectively,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an Award of performance-based Restricted Stock Units (the “</w:t>
      </w:r>
      <w:r>
        <w:rPr>
          <w:rFonts w:ascii="Times New Roman" w:cs="Times New Roman" w:eastAsia="Times New Roman" w:hAnsi="Times New Roman"/>
          <w:sz w:val="22"/>
          <w:szCs w:val="22"/>
          <w:u w:val="single" w:color="auto"/>
          <w:color w:val="auto"/>
        </w:rPr>
        <w:t>Data Center SSD Performance Units</w:t>
      </w:r>
      <w:r>
        <w:rPr>
          <w:rFonts w:ascii="Times New Roman" w:cs="Times New Roman" w:eastAsia="Times New Roman" w:hAnsi="Times New Roman"/>
          <w:sz w:val="22"/>
          <w:szCs w:val="22"/>
          <w:color w:val="auto"/>
        </w:rPr>
        <w:t>”), subject to the terms and conditions of the Plan and this Award Agreement, as follows:</w:t>
      </w:r>
    </w:p>
    <w:p>
      <w:pPr>
        <w:sectPr>
          <w:pgSz w:w="11900" w:h="16838" w:orient="portrait"/>
          <w:cols w:equalWidth="0" w:num="1">
            <w:col w:w="10420"/>
          </w:cols>
          <w:pgMar w:left="700" w:top="1440" w:right="7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Grant Number:</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of Grant:</w:t>
      </w:r>
    </w:p>
    <w:p>
      <w:pPr>
        <w:spacing w:after="0" w:line="247" w:lineRule="exact"/>
        <w:rPr>
          <w:sz w:val="20"/>
          <w:szCs w:val="20"/>
          <w:color w:val="auto"/>
        </w:rPr>
      </w:pPr>
    </w:p>
    <w:p>
      <w:pPr>
        <w:ind w:left="80"/>
        <w:spacing w:after="0" w:line="296" w:lineRule="auto"/>
        <w:rPr>
          <w:sz w:val="20"/>
          <w:szCs w:val="20"/>
          <w:color w:val="auto"/>
        </w:rPr>
      </w:pPr>
      <w:r>
        <w:rPr>
          <w:rFonts w:ascii="Times New Roman" w:cs="Times New Roman" w:eastAsia="Times New Roman" w:hAnsi="Times New Roman"/>
          <w:sz w:val="22"/>
          <w:szCs w:val="22"/>
          <w:color w:val="auto"/>
        </w:rPr>
        <w:t>Target Number of Shares Subject to Data Center SSD Performance Units:</w:t>
      </w:r>
    </w:p>
    <w:p>
      <w:pPr>
        <w:spacing w:after="0" w:line="199" w:lineRule="exact"/>
        <w:rPr>
          <w:sz w:val="20"/>
          <w:szCs w:val="20"/>
          <w:color w:val="auto"/>
        </w:rPr>
      </w:pPr>
    </w:p>
    <w:p>
      <w:pPr>
        <w:ind w:left="80" w:right="100"/>
        <w:spacing w:after="0" w:line="296" w:lineRule="auto"/>
        <w:rPr>
          <w:sz w:val="20"/>
          <w:szCs w:val="20"/>
          <w:color w:val="auto"/>
        </w:rPr>
      </w:pPr>
      <w:r>
        <w:rPr>
          <w:rFonts w:ascii="Times New Roman" w:cs="Times New Roman" w:eastAsia="Times New Roman" w:hAnsi="Times New Roman"/>
          <w:sz w:val="22"/>
          <w:szCs w:val="22"/>
          <w:color w:val="auto"/>
        </w:rPr>
        <w:t>Maximum Number of Shares Subject to Data Center SSD Performance Units: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540" w:hanging="3"/>
        <w:spacing w:after="0" w:line="258" w:lineRule="auto"/>
        <w:rPr>
          <w:sz w:val="20"/>
          <w:szCs w:val="20"/>
          <w:color w:val="auto"/>
        </w:rPr>
      </w:pPr>
      <w:r>
        <w:rPr>
          <w:rFonts w:ascii="Times New Roman" w:cs="Times New Roman" w:eastAsia="Times New Roman" w:hAnsi="Times New Roman"/>
          <w:sz w:val="22"/>
          <w:szCs w:val="22"/>
          <w:color w:val="auto"/>
        </w:rPr>
        <w:t>266% of Target Number of Shares Subject to Data Center SSD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-498475</wp:posOffset>
            </wp:positionV>
            <wp:extent cx="3128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-1021715</wp:posOffset>
            </wp:positionV>
            <wp:extent cx="31286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-1338580</wp:posOffset>
            </wp:positionV>
            <wp:extent cx="31286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-44450</wp:posOffset>
            </wp:positionV>
            <wp:extent cx="21824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2182495" cy="8890"/>
                    </a:xfrm>
                    <a:prstGeom prst="rect">
                      <a:avLst/>
                    </a:prstGeom>
                    <a:noFill/>
                  </pic:spPr>
                </pic:pic>
              </a:graphicData>
            </a:graphic>
          </wp:anchor>
        </w:drawing>
      </w:r>
    </w:p>
    <w:p>
      <w:pPr>
        <w:spacing w:after="0" w:line="800" w:lineRule="exact"/>
        <w:rPr>
          <w:sz w:val="20"/>
          <w:szCs w:val="20"/>
          <w:color w:val="auto"/>
        </w:rPr>
      </w:pPr>
    </w:p>
    <w:p>
      <w:pPr>
        <w:sectPr>
          <w:pgSz w:w="11900" w:h="16838" w:orient="portrait"/>
          <w:cols w:equalWidth="0" w:num="2">
            <w:col w:w="4720" w:space="280"/>
            <w:col w:w="5420"/>
          </w:cols>
          <w:pgMar w:left="700" w:top="1440" w:right="779" w:bottom="1440" w:gutter="0" w:footer="0" w:header="0"/>
          <w:type w:val="continuous"/>
        </w:sectPr>
      </w:pPr>
    </w:p>
    <w:p>
      <w:pPr>
        <w:spacing w:after="0" w:line="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any acceleration provisions contained in the Plan or set forth below, the Data Center SSD Performance Units will be scheduled to vest in accordance with, and be subject to, the Additional Terms of Data Center SSD Performance Units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Data Center SSD Performance Units, the unvested Data Center SSD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w:t>
      </w:r>
    </w:p>
    <w:p>
      <w:pPr>
        <w:sectPr>
          <w:pgSz w:w="11900" w:h="16838" w:orient="portrait"/>
          <w:cols w:equalWidth="0" w:num="1">
            <w:col w:w="10420"/>
          </w:cols>
          <w:pgMar w:left="700" w:top="1440" w:right="779" w:bottom="1440" w:gutter="0" w:footer="0" w:header="0"/>
          <w:type w:val="continuous"/>
        </w:sectPr>
      </w:pPr>
    </w:p>
    <w:bookmarkStart w:id="248" w:name="page249"/>
    <w:bookmarkEnd w:id="248"/>
    <w:p>
      <w:pPr>
        <w:jc w:val="both"/>
        <w:spacing w:after="0" w:line="261" w:lineRule="auto"/>
        <w:rPr>
          <w:sz w:val="20"/>
          <w:szCs w:val="20"/>
          <w:color w:val="auto"/>
        </w:rPr>
      </w:pPr>
      <w:r>
        <w:rPr>
          <w:rFonts w:ascii="Times New Roman" w:cs="Times New Roman" w:eastAsia="Times New Roman" w:hAnsi="Times New Roman"/>
          <w:sz w:val="21"/>
          <w:szCs w:val="21"/>
          <w:color w:val="auto"/>
        </w:rPr>
        <w:t>and the Company agree that (1) this Data Center SSD Performance Unit Award is granted under and governed by the 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490855</wp:posOffset>
            </wp:positionV>
            <wp:extent cx="24688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85725</wp:posOffset>
            </wp:positionV>
            <wp:extent cx="24688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440"/>
          </w:cols>
          <w:pgMar w:left="700" w:top="1422" w:right="759" w:bottom="1440" w:gutter="0" w:footer="0" w:header="0"/>
        </w:sectPr>
      </w:pPr>
    </w:p>
    <w:bookmarkStart w:id="249" w:name="page250"/>
    <w:bookmarkEnd w:id="249"/>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PERFORMANCE UNIT GRANT</w:t>
      </w:r>
    </w:p>
    <w:p>
      <w:pPr>
        <w:spacing w:after="0" w:line="224" w:lineRule="exact"/>
        <w:rPr>
          <w:sz w:val="20"/>
          <w:szCs w:val="20"/>
          <w:color w:val="auto"/>
        </w:rPr>
      </w:pPr>
    </w:p>
    <w:p>
      <w:pPr>
        <w:jc w:val="both"/>
        <w:ind w:firstLine="654"/>
        <w:spacing w:after="0" w:line="251"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Data Center SSD Performance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Performance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Award of performance-based Restricted Stock Units (and referred to herein as Data Center SSD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1" w:lineRule="exact"/>
        <w:rPr>
          <w:rFonts w:ascii="Times New Roman" w:cs="Times New Roman" w:eastAsia="Times New Roman" w:hAnsi="Times New Roman"/>
          <w:sz w:val="22"/>
          <w:szCs w:val="22"/>
          <w:color w:val="auto"/>
        </w:rPr>
      </w:pPr>
    </w:p>
    <w:p>
      <w:pPr>
        <w:jc w:val="both"/>
        <w:ind w:firstLine="654"/>
        <w:spacing w:after="0" w:line="253"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Data Center SSD Performance Unit represents the right to receive a Share on the date it vests. Unless and until the Data Center SSD Performance Units will have vested in the manner set forth in Section 3 or 4, Participant will have no right to payment of any such Data Center SSD Performance Units. Prior to actual payment of any vested Data Center SSD Performance Units, such Data Center SSD Performance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firstLine="654"/>
        <w:spacing w:after="0" w:line="263" w:lineRule="auto"/>
        <w:tabs>
          <w:tab w:leader="none" w:pos="91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Data Center SSD Performance Units awarded by this Award Agreement will vest in accordance with the vesting provisions set forth in the Notice of Grant, subject to Participant remaining in Continuous Status as a Participant through the applicable vesting date.</w:t>
      </w:r>
    </w:p>
    <w:p>
      <w:pPr>
        <w:spacing w:after="0" w:line="167" w:lineRule="exact"/>
        <w:rPr>
          <w:rFonts w:ascii="Times New Roman" w:cs="Times New Roman" w:eastAsia="Times New Roman" w:hAnsi="Times New Roman"/>
          <w:sz w:val="22"/>
          <w:szCs w:val="22"/>
          <w:color w:val="auto"/>
        </w:rPr>
      </w:pPr>
    </w:p>
    <w:p>
      <w:pPr>
        <w:ind w:left="1280" w:hanging="626"/>
        <w:spacing w:after="0"/>
        <w:tabs>
          <w:tab w:leader="none" w:pos="12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1"/>
        <w:spacing w:after="0" w:line="251" w:lineRule="auto"/>
        <w:tabs>
          <w:tab w:leader="none" w:pos="1563"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Data Center SSD Performance Units that vest will be paid to Participant (or in the event of Participant’s death, to his or her properly designated beneficiary or estate) in Shares. Subject to this Section 4 and Section 9, such vested Data Center SSD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In no event will Participant be permitted, directly or indirectly, to specify the taxable year of payment of any Data Center SSD Performance Units payable under this Award Agreement.</w:t>
      </w:r>
    </w:p>
    <w:p>
      <w:pPr>
        <w:spacing w:after="0" w:line="181" w:lineRule="exact"/>
        <w:rPr>
          <w:rFonts w:ascii="Times New Roman" w:cs="Times New Roman" w:eastAsia="Times New Roman" w:hAnsi="Times New Roman"/>
          <w:sz w:val="22"/>
          <w:szCs w:val="22"/>
          <w:color w:val="auto"/>
        </w:rPr>
      </w:pPr>
    </w:p>
    <w:p>
      <w:pPr>
        <w:ind w:left="1940" w:hanging="638"/>
        <w:spacing w:after="0"/>
        <w:tabs>
          <w:tab w:leader="none" w:pos="194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0"/>
        <w:spacing w:after="0" w:line="263" w:lineRule="auto"/>
        <w:tabs>
          <w:tab w:leader="none" w:pos="2202"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Participant’s Continuous Status as a Participant ends on account of the Participant’s death or the Participant becoming Disabled, any Data Center SSD Performance Units that both were unexpired and unvested as of the date of cessation of Continuous Status as a Participant, will vest on such date.</w:t>
      </w:r>
    </w:p>
    <w:p>
      <w:pPr>
        <w:spacing w:after="0" w:line="16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w:t>
      </w:r>
    </w:p>
    <w:p>
      <w:pPr>
        <w:sectPr>
          <w:pgSz w:w="11900" w:h="16838" w:orient="portrait"/>
          <w:cols w:equalWidth="0" w:num="1">
            <w:col w:w="10760"/>
          </w:cols>
          <w:pgMar w:left="700" w:top="1440" w:right="439" w:bottom="1440" w:gutter="0" w:footer="0" w:header="0"/>
        </w:sectPr>
      </w:pPr>
    </w:p>
    <w:bookmarkStart w:id="250" w:name="page251"/>
    <w:bookmarkEnd w:id="250"/>
    <w:p>
      <w:pPr>
        <w:ind w:right="140"/>
        <w:spacing w:after="0" w:line="271" w:lineRule="auto"/>
        <w:rPr>
          <w:sz w:val="20"/>
          <w:szCs w:val="20"/>
          <w:color w:val="auto"/>
        </w:rPr>
      </w:pPr>
      <w:r>
        <w:rPr>
          <w:rFonts w:ascii="Times New Roman" w:cs="Times New Roman" w:eastAsia="Times New Roman" w:hAnsi="Times New Roman"/>
          <w:sz w:val="22"/>
          <w:szCs w:val="22"/>
          <w:color w:val="auto"/>
        </w:rPr>
        <w:t>before the Participant’s Continuous Status as a Participant ends, any Data Center SSD Performance Units will be treated in accordance with the terms of the Plan.</w:t>
      </w:r>
    </w:p>
    <w:p>
      <w:pPr>
        <w:spacing w:after="0" w:line="158" w:lineRule="exact"/>
        <w:rPr>
          <w:sz w:val="20"/>
          <w:szCs w:val="20"/>
          <w:color w:val="auto"/>
        </w:rPr>
      </w:pPr>
    </w:p>
    <w:p>
      <w:pPr>
        <w:jc w:val="both"/>
        <w:ind w:firstLine="1950"/>
        <w:spacing w:after="0" w:line="250" w:lineRule="auto"/>
        <w:tabs>
          <w:tab w:leader="none" w:pos="2862" w:val="left"/>
        </w:tabs>
        <w:numPr>
          <w:ilvl w:val="3"/>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Data Center SSD Performance Units at any time, subject to the terms of the Plan. If so accelerated, such Data Center SSD Performance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1949"/>
        <w:spacing w:after="0" w:line="262" w:lineRule="auto"/>
        <w:tabs>
          <w:tab w:leader="none" w:pos="2850" w:val="left"/>
        </w:tabs>
        <w:numPr>
          <w:ilvl w:val="3"/>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Grant Date), if the vesting of the balance, or some lesser portion of the balance, of the Data Center SSD Performance Units is accelerated in connection with the cessation of Participant’s status as an employee, officer, director or consultant (a “</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(provided that such termination is a “separation from service” within the meaning of Section 409A, as determined by the Committee), other than due to Participant’s death, and if</w:t>
      </w:r>
    </w:p>
    <w:p>
      <w:pPr>
        <w:spacing w:after="0" w:line="1" w:lineRule="exact"/>
        <w:rPr>
          <w:rFonts w:ascii="Times New Roman" w:cs="Times New Roman" w:eastAsia="Times New Roman" w:hAnsi="Times New Roman"/>
          <w:sz w:val="21"/>
          <w:szCs w:val="21"/>
          <w:color w:val="auto"/>
        </w:rPr>
      </w:pPr>
    </w:p>
    <w:p>
      <w:pPr>
        <w:jc w:val="both"/>
        <w:ind w:firstLine="5"/>
        <w:spacing w:after="0" w:line="245" w:lineRule="auto"/>
        <w:tabs>
          <w:tab w:leader="none" w:pos="33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a U.S. taxpayer and a “specified employee” within the meaning of Section 409A at the time of such termination as a Service Provider and (y) the payment of such accelerated Data Center SSD Performance Units will result in the imposition of additional tax under Section 409A if paid to Participant on or within the six (6) month period following the cessation of Participant’s status as a Service Provider, then the payment of such accelerated Data Center SSD Performance Units will not be made until the date six (6) months and one (1) day following the date of cessation of Participant’s status as a Service Provider, unless Participant dies following his or her termination as a Service Provider, in which case, the Data Center SSD Performance Units will be paid in Shares to Participant’s estate as soon as practicable following his or her death.</w:t>
      </w:r>
    </w:p>
    <w:p>
      <w:pPr>
        <w:spacing w:after="0" w:line="205" w:lineRule="exact"/>
        <w:rPr>
          <w:rFonts w:ascii="Times New Roman" w:cs="Times New Roman" w:eastAsia="Times New Roman" w:hAnsi="Times New Roman"/>
          <w:sz w:val="22"/>
          <w:szCs w:val="22"/>
          <w:color w:val="auto"/>
        </w:rPr>
      </w:pPr>
    </w:p>
    <w:p>
      <w:pPr>
        <w:jc w:val="both"/>
        <w:ind w:firstLine="1301"/>
        <w:spacing w:after="0" w:line="249" w:lineRule="auto"/>
        <w:tabs>
          <w:tab w:leader="none" w:pos="1563" w:val="left"/>
        </w:tabs>
        <w:numPr>
          <w:ilvl w:val="2"/>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Data Center SSD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1" w:lineRule="exact"/>
        <w:rPr>
          <w:rFonts w:ascii="Times New Roman" w:cs="Times New Roman" w:eastAsia="Times New Roman" w:hAnsi="Times New Roman"/>
          <w:sz w:val="22"/>
          <w:szCs w:val="22"/>
          <w:color w:val="auto"/>
        </w:rPr>
      </w:pPr>
    </w:p>
    <w:p>
      <w:pPr>
        <w:jc w:val="both"/>
        <w:ind w:firstLine="653"/>
        <w:spacing w:after="0" w:line="253" w:lineRule="auto"/>
        <w:tabs>
          <w:tab w:leader="none" w:pos="91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Data Center SSD Performance Units awarded by this Award</w:t>
      </w:r>
    </w:p>
    <w:p>
      <w:pPr>
        <w:sectPr>
          <w:pgSz w:w="11900" w:h="16838" w:orient="portrait"/>
          <w:cols w:equalWidth="0" w:num="1">
            <w:col w:w="10760"/>
          </w:cols>
          <w:pgMar w:left="700" w:top="1422" w:right="439" w:bottom="1440" w:gutter="0" w:footer="0" w:header="0"/>
        </w:sectPr>
      </w:pPr>
    </w:p>
    <w:bookmarkStart w:id="251" w:name="page252"/>
    <w:bookmarkEnd w:id="251"/>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Agreement will be forfeited at no cost to the Company and Participant will have no further rights thereunder. The date of forfeiture will be the date of cessation of Continuous Status as a Participant.</w:t>
      </w:r>
    </w:p>
    <w:p>
      <w:pPr>
        <w:spacing w:after="0" w:line="23" w:lineRule="exact"/>
        <w:rPr>
          <w:sz w:val="20"/>
          <w:szCs w:val="20"/>
          <w:color w:val="auto"/>
        </w:rPr>
      </w:pPr>
    </w:p>
    <w:p>
      <w:pPr>
        <w:ind w:left="1300" w:hanging="646"/>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6" w:lineRule="exact"/>
        <w:rPr>
          <w:sz w:val="20"/>
          <w:szCs w:val="20"/>
          <w:color w:val="auto"/>
        </w:rPr>
      </w:pPr>
    </w:p>
    <w:p>
      <w:pPr>
        <w:jc w:val="both"/>
        <w:ind w:firstLine="654"/>
        <w:spacing w:after="0" w:line="251" w:lineRule="auto"/>
        <w:tabs>
          <w:tab w:leader="none" w:pos="91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1" w:lineRule="exact"/>
        <w:rPr>
          <w:rFonts w:ascii="Times New Roman" w:cs="Times New Roman" w:eastAsia="Times New Roman" w:hAnsi="Times New Roman"/>
          <w:sz w:val="22"/>
          <w:szCs w:val="22"/>
          <w:color w:val="auto"/>
        </w:rPr>
      </w:pPr>
    </w:p>
    <w:p>
      <w:pPr>
        <w:ind w:left="1300" w:hanging="646"/>
        <w:spacing w:after="0"/>
        <w:tabs>
          <w:tab w:leader="none" w:pos="130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19" w:lineRule="exact"/>
        <w:rPr>
          <w:rFonts w:ascii="Times New Roman" w:cs="Times New Roman" w:eastAsia="Times New Roman" w:hAnsi="Times New Roman"/>
          <w:sz w:val="22"/>
          <w:szCs w:val="22"/>
          <w:color w:val="auto"/>
        </w:rPr>
      </w:pPr>
    </w:p>
    <w:p>
      <w:pPr>
        <w:jc w:val="both"/>
        <w:ind w:firstLine="1296"/>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 or, if different, Participant’s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or any Parent or Subsidiary to which Participant is providing services (together, the “</w:t>
      </w:r>
      <w:r>
        <w:rPr>
          <w:rFonts w:ascii="Times New Roman" w:cs="Times New Roman" w:eastAsia="Times New Roman" w:hAnsi="Times New Roman"/>
          <w:sz w:val="21"/>
          <w:szCs w:val="21"/>
          <w:u w:val="single" w:color="auto"/>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Data Center SSD Performance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Data Center SSD Performance Units or sale of Shares, and (iii) any other Service Recipient taxes the responsibility for which Participant has, or has agreed to bear, with respect to the Data Center SSD Performance Units (or settlement thereof or issuance of Shares thereunder) (collectively,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is and remains Participant’s sole responsibility and may exceed the amount actually withheld by the applicable Service Recipient(s). Participant further acknowledges that no Service Recipient</w:t>
      </w:r>
    </w:p>
    <w:p>
      <w:pPr>
        <w:spacing w:after="0" w:line="3" w:lineRule="exact"/>
        <w:rPr>
          <w:rFonts w:ascii="Times New Roman" w:cs="Times New Roman" w:eastAsia="Times New Roman" w:hAnsi="Times New Roman"/>
          <w:sz w:val="22"/>
          <w:szCs w:val="22"/>
          <w:color w:val="auto"/>
        </w:rPr>
      </w:pPr>
    </w:p>
    <w:p>
      <w:pPr>
        <w:jc w:val="both"/>
        <w:ind w:firstLine="5"/>
        <w:spacing w:after="0" w:line="246" w:lineRule="auto"/>
        <w:tabs>
          <w:tab w:leader="none" w:pos="39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any representations or undertakings regarding the treatment of any Tax Obligations in connection with any aspect of the Data Center SSD Performance Units, including, but not limited to, the grant, vesting or settlement of the Data Center SSD Performance Units, the subsequent sale of Shares acquired pursuant to such settlement and the receipt of any dividends or other distributions, and (B) makes any commitment to and is under any obligation to structure the terms of the grant or any aspect of the Data Center SSD Performance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w:t>
      </w:r>
    </w:p>
    <w:p>
      <w:pPr>
        <w:sectPr>
          <w:pgSz w:w="11900" w:h="16838" w:orient="portrait"/>
          <w:cols w:equalWidth="0" w:num="1">
            <w:col w:w="10760"/>
          </w:cols>
          <w:pgMar w:left="700" w:top="1440" w:right="439" w:bottom="1440" w:gutter="0" w:footer="0" w:header="0"/>
        </w:sectPr>
      </w:pPr>
    </w:p>
    <w:bookmarkStart w:id="252" w:name="page253"/>
    <w:bookmarkEnd w:id="252"/>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8" w:lineRule="exact"/>
        <w:rPr>
          <w:sz w:val="20"/>
          <w:szCs w:val="20"/>
          <w:color w:val="auto"/>
        </w:rPr>
      </w:pPr>
    </w:p>
    <w:p>
      <w:pPr>
        <w:jc w:val="both"/>
        <w:ind w:firstLine="1301"/>
        <w:spacing w:after="0" w:line="250" w:lineRule="auto"/>
        <w:tabs>
          <w:tab w:leader="none" w:pos="1561"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When Shares are issued as payment for vested Data Center SSD Performance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86" w:lineRule="exact"/>
        <w:rPr>
          <w:rFonts w:ascii="Times New Roman" w:cs="Times New Roman" w:eastAsia="Times New Roman" w:hAnsi="Times New Roman"/>
          <w:sz w:val="22"/>
          <w:szCs w:val="22"/>
          <w:color w:val="auto"/>
        </w:rPr>
      </w:pPr>
    </w:p>
    <w:p>
      <w:pPr>
        <w:jc w:val="both"/>
        <w:ind w:firstLine="1302"/>
        <w:spacing w:after="0" w:line="247" w:lineRule="auto"/>
        <w:tabs>
          <w:tab w:leader="none" w:pos="1563" w:val="left"/>
        </w:tabs>
        <w:numPr>
          <w:ilvl w:val="2"/>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w:t>
      </w:r>
    </w:p>
    <w:p>
      <w:pPr>
        <w:jc w:val="both"/>
        <w:ind w:right="20" w:firstLine="5"/>
        <w:spacing w:after="0" w:line="247" w:lineRule="auto"/>
        <w:tabs>
          <w:tab w:leader="none" w:pos="387"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197" w:lineRule="exact"/>
        <w:rPr>
          <w:rFonts w:ascii="Times New Roman" w:cs="Times New Roman" w:eastAsia="Times New Roman" w:hAnsi="Times New Roman"/>
          <w:sz w:val="22"/>
          <w:szCs w:val="22"/>
          <w:color w:val="auto"/>
        </w:rPr>
      </w:pPr>
    </w:p>
    <w:p>
      <w:pPr>
        <w:jc w:val="both"/>
        <w:ind w:firstLine="1302"/>
        <w:spacing w:after="0" w:line="249" w:lineRule="auto"/>
        <w:tabs>
          <w:tab w:leader="none" w:pos="1561"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Data Center SSD Performance Units otherwise are scheduled to vest pursuant to Sections 3 or 4 or Participant’s Tax Withholding Obligations otherwise become due, Participant will permanently forfeit such Data Center SSD Performance Units to which Participant’s Tax Withholding Obligation relates and any right to receive Shares thereunder and such Data Center SSD Performance Units will be returned to the Company at no cost to the Company.</w:t>
      </w:r>
    </w:p>
    <w:p>
      <w:pPr>
        <w:spacing w:after="0" w:line="181" w:lineRule="exact"/>
        <w:rPr>
          <w:rFonts w:ascii="Times New Roman" w:cs="Times New Roman" w:eastAsia="Times New Roman" w:hAnsi="Times New Roman"/>
          <w:sz w:val="22"/>
          <w:szCs w:val="22"/>
          <w:color w:val="auto"/>
        </w:rPr>
      </w:pPr>
    </w:p>
    <w:p>
      <w:pPr>
        <w:ind w:firstLine="654"/>
        <w:spacing w:after="0" w:line="271" w:lineRule="auto"/>
        <w:tabs>
          <w:tab w:leader="none" w:pos="918"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If the Company declares and pays a cash dividend on Shares for which the record date occurs while Data Center SSD Performance Units subject to this Award</w:t>
      </w:r>
    </w:p>
    <w:p>
      <w:pPr>
        <w:sectPr>
          <w:pgSz w:w="11900" w:h="16838" w:orient="portrait"/>
          <w:cols w:equalWidth="0" w:num="1">
            <w:col w:w="10760"/>
          </w:cols>
          <w:pgMar w:left="700" w:top="1440" w:right="439" w:bottom="1440" w:gutter="0" w:footer="0" w:header="0"/>
        </w:sectPr>
      </w:pPr>
    </w:p>
    <w:bookmarkStart w:id="253" w:name="page254"/>
    <w:bookmarkEnd w:id="253"/>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Agreement remain outstanding, then certain cash amounts (referred to as “</w:t>
      </w:r>
      <w:r>
        <w:rPr>
          <w:rFonts w:ascii="Times New Roman" w:cs="Times New Roman" w:eastAsia="Times New Roman" w:hAnsi="Times New Roman"/>
          <w:sz w:val="22"/>
          <w:szCs w:val="22"/>
          <w:u w:val="single" w:color="auto"/>
          <w:color w:val="auto"/>
        </w:rPr>
        <w:t>DEUs</w:t>
      </w:r>
      <w:r>
        <w:rPr>
          <w:rFonts w:ascii="Times New Roman" w:cs="Times New Roman" w:eastAsia="Times New Roman" w:hAnsi="Times New Roman"/>
          <w:sz w:val="22"/>
          <w:szCs w:val="22"/>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30" w:lineRule="exact"/>
        <w:rPr>
          <w:sz w:val="20"/>
          <w:szCs w:val="20"/>
          <w:color w:val="auto"/>
        </w:rPr>
      </w:pPr>
    </w:p>
    <w:p>
      <w:pPr>
        <w:ind w:left="980" w:hanging="326"/>
        <w:spacing w:after="0"/>
        <w:tabs>
          <w:tab w:leader="none" w:pos="98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is the aggregate cash amount of the DEUs to be credited with respect to that cash dividend.</w:t>
      </w:r>
    </w:p>
    <w:p>
      <w:pPr>
        <w:spacing w:after="0" w:line="233" w:lineRule="exact"/>
        <w:rPr>
          <w:rFonts w:ascii="Times New Roman" w:cs="Times New Roman" w:eastAsia="Times New Roman" w:hAnsi="Times New Roman"/>
          <w:sz w:val="22"/>
          <w:szCs w:val="22"/>
          <w:color w:val="auto"/>
        </w:rPr>
      </w:pPr>
    </w:p>
    <w:p>
      <w:pPr>
        <w:ind w:left="980" w:right="20" w:hanging="326"/>
        <w:spacing w:after="0" w:line="295" w:lineRule="auto"/>
        <w:tabs>
          <w:tab w:leader="none" w:pos="97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is the amount of the cash dividend paid by the Company to stockholders with respect to one Share. In other words, this amount is the cash amount of each DEU to be credited with respect to a particular cash dividend.</w:t>
      </w:r>
    </w:p>
    <w:p>
      <w:pPr>
        <w:spacing w:after="0" w:line="135" w:lineRule="exact"/>
        <w:rPr>
          <w:rFonts w:ascii="Times New Roman" w:cs="Times New Roman" w:eastAsia="Times New Roman" w:hAnsi="Times New Roman"/>
          <w:sz w:val="21"/>
          <w:szCs w:val="21"/>
          <w:color w:val="auto"/>
        </w:rPr>
      </w:pPr>
    </w:p>
    <w:p>
      <w:pPr>
        <w:ind w:left="980" w:right="20" w:hanging="327"/>
        <w:spacing w:after="0" w:line="271" w:lineRule="auto"/>
        <w:tabs>
          <w:tab w:leader="none" w:pos="97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number of Data Center SSD Performance Units remaining subject to this Award Agreement as of the cash dividend record date but immediately prior to the application of this Section 9 for that cash dividend.</w:t>
      </w:r>
    </w:p>
    <w:p>
      <w:pPr>
        <w:spacing w:after="0" w:line="157" w:lineRule="exact"/>
        <w:rPr>
          <w:rFonts w:ascii="Times New Roman" w:cs="Times New Roman" w:eastAsia="Times New Roman" w:hAnsi="Times New Roman"/>
          <w:sz w:val="22"/>
          <w:szCs w:val="22"/>
          <w:color w:val="auto"/>
        </w:rPr>
      </w:pPr>
    </w:p>
    <w:p>
      <w:pPr>
        <w:jc w:val="both"/>
        <w:ind w:firstLine="1302"/>
        <w:spacing w:after="0" w:line="249" w:lineRule="auto"/>
        <w:tabs>
          <w:tab w:leader="none" w:pos="1563"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DEUs</w:t>
      </w:r>
      <w:r>
        <w:rPr>
          <w:rFonts w:ascii="Times New Roman" w:cs="Times New Roman" w:eastAsia="Times New Roman" w:hAnsi="Times New Roman"/>
          <w:sz w:val="22"/>
          <w:szCs w:val="22"/>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95" w:lineRule="exact"/>
        <w:rPr>
          <w:rFonts w:ascii="Times New Roman" w:cs="Times New Roman" w:eastAsia="Times New Roman" w:hAnsi="Times New Roman"/>
          <w:sz w:val="22"/>
          <w:szCs w:val="22"/>
          <w:color w:val="auto"/>
        </w:rPr>
      </w:pPr>
    </w:p>
    <w:p>
      <w:pPr>
        <w:jc w:val="both"/>
        <w:ind w:firstLine="1301"/>
        <w:spacing w:after="0" w:line="251" w:lineRule="auto"/>
        <w:tabs>
          <w:tab w:leader="none" w:pos="1561"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General</w:t>
      </w:r>
      <w:r>
        <w:rPr>
          <w:rFonts w:ascii="Times New Roman" w:cs="Times New Roman" w:eastAsia="Times New Roman" w:hAnsi="Times New Roman"/>
          <w:sz w:val="22"/>
          <w:szCs w:val="22"/>
          <w:color w:val="auto"/>
        </w:rPr>
        <w:t>. DEUs credited under this Section 9 will be subject to the same terms and conditions as the other Shares underlying the Data Center SSD Performance Units on which the DEUs were paid including (but not limited to) being settled at the same time as the settlement of the Data Center SSD Performance Units on which the DEUs were paid (but DEUs will be paid in cash and subject to the other provisions of this Section 9 and the Award Agreement). DEUs will not accrue interest and will not be credited with any investment returns related to Shares or otherwise.</w:t>
      </w:r>
    </w:p>
    <w:p>
      <w:pPr>
        <w:spacing w:after="0" w:line="181" w:lineRule="exact"/>
        <w:rPr>
          <w:rFonts w:ascii="Times New Roman" w:cs="Times New Roman" w:eastAsia="Times New Roman" w:hAnsi="Times New Roman"/>
          <w:sz w:val="22"/>
          <w:szCs w:val="22"/>
          <w:color w:val="auto"/>
        </w:rPr>
      </w:pPr>
    </w:p>
    <w:p>
      <w:pPr>
        <w:jc w:val="both"/>
        <w:ind w:firstLine="1301"/>
        <w:spacing w:after="0" w:line="249" w:lineRule="auto"/>
        <w:tabs>
          <w:tab w:leader="none" w:pos="1563"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Data Center SSD Performance Units,</w:t>
      </w:r>
    </w:p>
    <w:p>
      <w:pPr>
        <w:sectPr>
          <w:pgSz w:w="11900" w:h="16838" w:orient="portrait"/>
          <w:cols w:equalWidth="0" w:num="1">
            <w:col w:w="10760"/>
          </w:cols>
          <w:pgMar w:left="700" w:top="1440" w:right="439" w:bottom="1440" w:gutter="0" w:footer="0" w:header="0"/>
        </w:sectPr>
      </w:pPr>
    </w:p>
    <w:bookmarkStart w:id="254" w:name="page255"/>
    <w:bookmarkEnd w:id="254"/>
    <w:p>
      <w:pPr>
        <w:spacing w:after="0" w:line="1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DEUs or cash will be credited with respect to any Data Center SSD Performance Units that previously vested and were settled.</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Data Center SSD PERFORMANCE UNITS PURSUANT TO THE VESTING SCHEDULE HEREOF IS EARNED ONLY BY REMAINING IN CONTINUOUS STATUS AS A PARTICIPANT, WHICH UNLESS PROVIDED OTHERWISE UNDER APPLICABLE LAW IS AT THE WILL OF THE APPLICABLE SERVICE RECIPIENT AND NOT THROUGH THE ACT OF BEING HIRED, BEING GRANTED THIS Data Center SSD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 transfer complies with the QDRO procedures then in effect, as specified by the Committee or the Company.</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Data Center SSD Performance Units, Participant acknowledges, understands and agrees that:</w:t>
      </w:r>
    </w:p>
    <w:p>
      <w:pPr>
        <w:sectPr>
          <w:pgSz w:w="11900" w:h="16838" w:orient="portrait"/>
          <w:cols w:equalWidth="0" w:num="1">
            <w:col w:w="10760"/>
          </w:cols>
          <w:pgMar w:left="700" w:top="1440" w:right="439" w:bottom="1440" w:gutter="0" w:footer="0" w:header="0"/>
        </w:sectPr>
      </w:pPr>
    </w:p>
    <w:bookmarkStart w:id="255" w:name="page256"/>
    <w:bookmarkEnd w:id="255"/>
    <w:p>
      <w:pPr>
        <w:spacing w:after="0" w:line="11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(a)the grant of the Data Center SSD Performance Units is voluntary and occasional and does not create any contractual or other right to receive future grants of equity awards, or benefits in lieu of equity awards, even if equity awards have been granted in the past;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(b)all decisions with respect to future equity award grants, if any, will be at the sole discretion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w:t>
      </w:r>
    </w:p>
    <w:p>
      <w:pPr>
        <w:spacing w:after="0" w:line="196" w:lineRule="exact"/>
        <w:rPr>
          <w:sz w:val="20"/>
          <w:szCs w:val="20"/>
          <w:color w:val="auto"/>
        </w:rPr>
      </w:pPr>
    </w:p>
    <w:p>
      <w:pPr>
        <w:ind w:left="1940" w:hanging="638"/>
        <w:spacing w:after="0"/>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20" w:lineRule="exact"/>
        <w:rPr>
          <w:sz w:val="20"/>
          <w:szCs w:val="20"/>
          <w:color w:val="auto"/>
        </w:rPr>
      </w:pPr>
    </w:p>
    <w:p>
      <w:pPr>
        <w:jc w:val="both"/>
        <w:ind w:right="20" w:firstLine="1296"/>
        <w:spacing w:after="0" w:line="281" w:lineRule="auto"/>
        <w:rPr>
          <w:sz w:val="20"/>
          <w:szCs w:val="20"/>
          <w:color w:val="auto"/>
        </w:rPr>
      </w:pPr>
      <w:r>
        <w:rPr>
          <w:rFonts w:ascii="Times New Roman" w:cs="Times New Roman" w:eastAsia="Times New Roman" w:hAnsi="Times New Roman"/>
          <w:sz w:val="22"/>
          <w:szCs w:val="22"/>
          <w:color w:val="auto"/>
        </w:rPr>
        <w:t>(d)the Data Center SSD Performance Units and the Shares subject to the Data Center SSD Performance Units are not intended to replace any pension rights or compensation;</w:t>
      </w:r>
    </w:p>
    <w:p>
      <w:pPr>
        <w:spacing w:after="0" w:line="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(e)the Data Center SSD Performance Units and the Shares subject to the Data Center SSD Performance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20" w:firstLine="1302"/>
        <w:spacing w:after="0" w:line="271" w:lineRule="auto"/>
        <w:tabs>
          <w:tab w:leader="none" w:pos="156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Data Center SSD Performance Units is unknown, indeterminable, and cannot be predicted;</w:t>
      </w:r>
    </w:p>
    <w:p>
      <w:pPr>
        <w:spacing w:after="0" w:line="15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(g)for purposes of the Data Center SSD Performance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Data Center SSD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Data Center SSD Performance Units grant (including whether Participant may still be considered to be providing services while on a leave of absence and consistent with local law);</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(h)unless otherwise provided in the Plan or by the Committee in its discretion, the Data Center SSD Performance Units and the benefits evidenced by this Award Agreement do not create any entitlement to have the Data Center SSD Performance Units or any such benefits transferred to, or assumed by, another company nor be exchanged, cashed out or substituted for, in connection with any corporate transaction affecting the Shares;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 the following provisions apply only if Participant is providing services outside the United States:</w:t>
      </w:r>
    </w:p>
    <w:p>
      <w:pPr>
        <w:sectPr>
          <w:pgSz w:w="11900" w:h="16838" w:orient="portrait"/>
          <w:cols w:equalWidth="0" w:num="1">
            <w:col w:w="10760"/>
          </w:cols>
          <w:pgMar w:left="700" w:top="1440" w:right="439" w:bottom="1440" w:gutter="0" w:footer="0" w:header="0"/>
        </w:sectPr>
      </w:pPr>
    </w:p>
    <w:bookmarkStart w:id="256" w:name="page257"/>
    <w:bookmarkEnd w:id="256"/>
    <w:p>
      <w:pPr>
        <w:spacing w:after="0" w:line="117" w:lineRule="exact"/>
        <w:rPr>
          <w:sz w:val="20"/>
          <w:szCs w:val="20"/>
          <w:color w:val="auto"/>
        </w:rPr>
      </w:pPr>
    </w:p>
    <w:p>
      <w:pPr>
        <w:ind w:firstLine="1949"/>
        <w:spacing w:after="0" w:line="271" w:lineRule="auto"/>
        <w:tabs>
          <w:tab w:leader="none" w:pos="220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Center SSD Performance Units and the Shares subject to the Data Center SSD Performance Units are not part of normal or expected compensation or salary for any purpose;</w:t>
      </w:r>
    </w:p>
    <w:p>
      <w:pPr>
        <w:spacing w:after="0" w:line="171"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21"/>
          <w:szCs w:val="21"/>
          <w:color w:val="auto"/>
        </w:rPr>
        <w:t>(ii)Participant acknowledges and agrees that no Service Recipient shall be liable for any foreign exchange rate fluctuation between Participant’s local currency and the United States Dollar that may affect the value of the Data Center SSD Performance Units or of any amounts due to Participant pursuant to the settlement of the Data Center SSD Performance Units or the subsequent sale of any Shares acquired upon settlement; and no claim or entitlement to compensation or damages shall arise from the forfeiture of the Data Center SSD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Data Center SSD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Data Center SSD Performance Units. Participant is hereby advised to consult with his or her own personal tax, legal, and financial advisors regarding his or her participation in the Plan before taking any action related to the Plan.</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Data Center SSD Performance Unit grant materials by and among, as applicable, the Service Recipients for the exclusive purpose of implementing, administering and managing Participant’s participation in the Plan.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Data Center SSD Performance Units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w:t>
      </w:r>
    </w:p>
    <w:p>
      <w:pPr>
        <w:sectPr>
          <w:pgSz w:w="11900" w:h="16838" w:orient="portrait"/>
          <w:cols w:equalWidth="0" w:num="1">
            <w:col w:w="10760"/>
          </w:cols>
          <w:pgMar w:left="700" w:top="1440" w:right="439" w:bottom="1440" w:gutter="0" w:footer="0" w:header="0"/>
        </w:sectPr>
      </w:pPr>
    </w:p>
    <w:bookmarkStart w:id="257" w:name="page258"/>
    <w:bookmarkEnd w:id="257"/>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Data Center SSD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w:t>
      </w:r>
    </w:p>
    <w:p>
      <w:pPr>
        <w:sectPr>
          <w:pgSz w:w="11900" w:h="16838" w:orient="portrait"/>
          <w:cols w:equalWidth="0" w:num="1">
            <w:col w:w="10760"/>
          </w:cols>
          <w:pgMar w:left="700" w:top="1440" w:right="439" w:bottom="1440" w:gutter="0" w:footer="0" w:header="0"/>
        </w:sectPr>
      </w:pPr>
    </w:p>
    <w:bookmarkStart w:id="258" w:name="page259"/>
    <w:bookmarkEnd w:id="258"/>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administrators, successors and assigns. The rights and obligations of Participant under this Award Agreement may be assigned only with the prior written consent of the Company.</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Data Center SSD Performance Units as the Committee may establish from time to time for reasons of administrative convenience.</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Data Center SSD Performance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Data Center SSD Performance Units under the Plan, and has received, read and understood a description of the Plan. Participant understands that the Plan is discretionary in nature and may be amended, suspended, or terminated by the Committee at any time.</w:t>
      </w:r>
    </w:p>
    <w:p>
      <w:pPr>
        <w:spacing w:after="0" w:line="1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25.</w:t>
      </w:r>
      <w:r>
        <w:rPr>
          <w:rFonts w:ascii="Times New Roman" w:cs="Times New Roman" w:eastAsia="Times New Roman" w:hAnsi="Times New Roman"/>
          <w:sz w:val="21"/>
          <w:szCs w:val="21"/>
          <w:u w:val="single" w:color="auto"/>
          <w:color w:val="auto"/>
        </w:rPr>
        <w:t>Modifications to the Award Agreement</w:t>
      </w:r>
      <w:r>
        <w:rPr>
          <w:rFonts w:ascii="Times New Roman" w:cs="Times New Roman" w:eastAsia="Times New Roman" w:hAnsi="Times New Roman"/>
          <w:sz w:val="21"/>
          <w:szCs w:val="2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w:t>
      </w:r>
    </w:p>
    <w:p>
      <w:pPr>
        <w:sectPr>
          <w:pgSz w:w="11900" w:h="16838" w:orient="portrait"/>
          <w:cols w:equalWidth="0" w:num="1">
            <w:col w:w="10760"/>
          </w:cols>
          <w:pgMar w:left="700" w:top="1440" w:right="439" w:bottom="1440" w:gutter="0" w:footer="0" w:header="0"/>
        </w:sectPr>
      </w:pPr>
    </w:p>
    <w:bookmarkStart w:id="259" w:name="page260"/>
    <w:bookmarkEnd w:id="259"/>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Data Center SSD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3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Award of Data Center SSD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Data Center SSD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Data Center SSD Performance Units to re-convey, transfer or otherwise return the Shares and/or other amounts to the Company upon the Company’s enforcement of any Clawback Policy or recovery policy.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Data Center SSD Performance Units are governed by the internal substantive laws, but not the choice of law rules, of the State of Delaware. For purposes of litigating any dispute that arises under these Data Center SSD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ectPr>
          <w:pgSz w:w="11900" w:h="16838" w:orient="portrait"/>
          <w:cols w:equalWidth="0" w:num="1">
            <w:col w:w="10760"/>
          </w:cols>
          <w:pgMar w:left="700" w:top="1440" w:right="439" w:bottom="1440" w:gutter="0" w:footer="0" w:header="0"/>
        </w:sectPr>
      </w:pPr>
    </w:p>
    <w:bookmarkStart w:id="260" w:name="page261"/>
    <w:bookmarkEnd w:id="260"/>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Data Center SSD Performance Unit grant shall be subject to any special terms and conditions set forth in an appendix (if any) to this Award Agreement for any country whose laws are applicable to Participant and this Data Center SSD Performance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0"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261" w:name="page262"/>
    <w:bookmarkEnd w:id="261"/>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ADDITIONAL TERMS OF DATA CENTER SSD PERFORMANCE UNITS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Data Center SSD Performance Units may be earned, in whole or in part, based on (i) Participant’s Continuous Status as a Participant, and (ii) the achievement of the performance goals, as set forth below.</w:t>
      </w:r>
    </w:p>
    <w:p>
      <w:pPr>
        <w:spacing w:after="0" w:line="15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u w:val="single" w:color="auto"/>
          <w:color w:val="auto"/>
        </w:rPr>
        <w:t>Performance Period</w:t>
      </w:r>
      <w:r>
        <w:rPr>
          <w:rFonts w:ascii="Times New Roman" w:cs="Times New Roman" w:eastAsia="Times New Roman" w:hAnsi="Times New Roman"/>
          <w:sz w:val="21"/>
          <w:szCs w:val="21"/>
          <w:color w:val="auto"/>
        </w:rPr>
        <w:t>. For purposes of this Award of Data Center SSD Performance Units,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of three fiscal years of the Company (“</w:t>
      </w:r>
      <w:r>
        <w:rPr>
          <w:rFonts w:ascii="Times New Roman" w:cs="Times New Roman" w:eastAsia="Times New Roman" w:hAnsi="Times New Roman"/>
          <w:sz w:val="21"/>
          <w:szCs w:val="21"/>
          <w:u w:val="single" w:color="auto"/>
          <w:color w:val="auto"/>
        </w:rPr>
        <w:t>Fiscal Years</w:t>
      </w:r>
      <w:r>
        <w:rPr>
          <w:rFonts w:ascii="Times New Roman" w:cs="Times New Roman" w:eastAsia="Times New Roman" w:hAnsi="Times New Roman"/>
          <w:sz w:val="21"/>
          <w:szCs w:val="21"/>
          <w:color w:val="auto"/>
        </w:rPr>
        <w:t>”) beginning August 30, 2024, and ending on September 2, 2027.</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Data Center SSD Performance Units are eligible to be earned, assuming at- target achievement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market share or shipments relating to Data Center SSD (as defined below) (such performance goal, the “</w:t>
      </w:r>
      <w:r>
        <w:rPr>
          <w:rFonts w:ascii="Times New Roman" w:cs="Times New Roman" w:eastAsia="Times New Roman" w:hAnsi="Times New Roman"/>
          <w:sz w:val="22"/>
          <w:szCs w:val="22"/>
          <w:u w:val="single" w:color="auto"/>
          <w:color w:val="auto"/>
        </w:rPr>
        <w:t>Data Center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SSD Goal</w:t>
      </w:r>
      <w:r>
        <w:rPr>
          <w:rFonts w:ascii="Times New Roman" w:cs="Times New Roman" w:eastAsia="Times New Roman" w:hAnsi="Times New Roman"/>
          <w:sz w:val="22"/>
          <w:szCs w:val="22"/>
          <w:color w:val="auto"/>
        </w:rPr>
        <w:t>”), as described further below. The Target Number of Shares Subject to Data Center SSD Performance Units (as set forth in the Notice of Grant), as may be adjusted as specified herein, is referred to herein as “</w:t>
      </w:r>
      <w:r>
        <w:rPr>
          <w:rFonts w:ascii="Times New Roman" w:cs="Times New Roman" w:eastAsia="Times New Roman" w:hAnsi="Times New Roman"/>
          <w:sz w:val="22"/>
          <w:szCs w:val="22"/>
          <w:u w:val="single" w:color="auto"/>
          <w:color w:val="auto"/>
        </w:rPr>
        <w:t>Target Units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Data Center SSD Goal</w:t>
      </w:r>
      <w:r>
        <w:rPr>
          <w:rFonts w:ascii="Times New Roman" w:cs="Times New Roman" w:eastAsia="Times New Roman" w:hAnsi="Times New Roman"/>
          <w:sz w:val="22"/>
          <w:szCs w:val="22"/>
          <w:color w:val="auto"/>
        </w:rPr>
        <w:t>. The actual number of Data Center SSD Performance Units that may be earned under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determined by reference to the payout factor (the “</w:t>
      </w:r>
      <w:r>
        <w:rPr>
          <w:rFonts w:ascii="Times New Roman" w:cs="Times New Roman" w:eastAsia="Times New Roman" w:hAnsi="Times New Roman"/>
          <w:sz w:val="22"/>
          <w:szCs w:val="22"/>
          <w:u w:val="single" w:color="auto"/>
          <w:color w:val="auto"/>
        </w:rPr>
        <w:t>Data Center SSD Payout Factor</w:t>
      </w:r>
      <w:r>
        <w:rPr>
          <w:rFonts w:ascii="Times New Roman" w:cs="Times New Roman" w:eastAsia="Times New Roman" w:hAnsi="Times New Roman"/>
          <w:sz w:val="22"/>
          <w:szCs w:val="22"/>
          <w:color w:val="auto"/>
        </w:rPr>
        <w:t>”) and based on the performance achievement level of the Data Center SSD Goal, as set forth below, subject to adjustment as set forth below.</w:t>
      </w:r>
    </w:p>
    <w:p>
      <w:pPr>
        <w:spacing w:after="0" w:line="165" w:lineRule="exact"/>
        <w:rPr>
          <w:sz w:val="20"/>
          <w:szCs w:val="20"/>
          <w:color w:val="auto"/>
        </w:rPr>
      </w:pPr>
    </w:p>
    <w:p>
      <w:pPr>
        <w:jc w:val="both"/>
        <w:ind w:left="660" w:hanging="330"/>
        <w:spacing w:after="0" w:line="257" w:lineRule="auto"/>
        <w:tabs>
          <w:tab w:leader="none" w:pos="65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2026, the actual number of Data Center SSD Performance Units earned, if any, under this Award will be determined by multiplying (i) the number of Target Units, by (ii) the applicable Data Center SSD Payout Factor.</w:t>
      </w:r>
    </w:p>
    <w:p>
      <w:pPr>
        <w:spacing w:after="0" w:line="172" w:lineRule="exact"/>
        <w:rPr>
          <w:rFonts w:ascii="Times New Roman" w:cs="Times New Roman" w:eastAsia="Times New Roman" w:hAnsi="Times New Roman"/>
          <w:sz w:val="22"/>
          <w:szCs w:val="22"/>
          <w:color w:val="auto"/>
        </w:rPr>
      </w:pPr>
    </w:p>
    <w:p>
      <w:pPr>
        <w:jc w:val="both"/>
        <w:ind w:left="660" w:hanging="330"/>
        <w:spacing w:after="0" w:line="253" w:lineRule="auto"/>
        <w:tabs>
          <w:tab w:leader="none" w:pos="65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2027, to the extent that the applicable Data Center SSD Payout Factor exceeds the Data Center SSD Payout Factor of Fiscal Year 2026, then the actual number of Data Center SSD Performance Units earned, if any, under this Award in Fiscal Year 2027 will be determined by multiplying (i) the number of Target Units, by (ii) the excess of the applicable Data Center SSD Payout Factor in Fiscal Year 2027 over the Data Center SSD Payout Factor of Fiscal Year 2026.</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Data Center SSD Payout Factor may range from 0.00x to a maximum of 2.00x. Therefore, more or less than 100% of the Target Units may be earned during the Performance Period based on the level of achievement measured against the Data Center SSD Goal. Additionally, the Data Center SSD Payout Factor determined pursuant to the below may be increased as a result of the Operational Additional Performance Conditions (as defined below).</w:t>
      </w:r>
    </w:p>
    <w:p>
      <w:pPr>
        <w:sectPr>
          <w:pgSz w:w="11900" w:h="16838" w:orient="portrait"/>
          <w:cols w:equalWidth="0" w:num="1">
            <w:col w:w="10760"/>
          </w:cols>
          <w:pgMar w:left="700" w:top="1440" w:right="439" w:bottom="1440" w:gutter="0" w:footer="0" w:header="0"/>
        </w:sectPr>
      </w:pPr>
    </w:p>
    <w:bookmarkStart w:id="262" w:name="page263"/>
    <w:bookmarkEnd w:id="262"/>
    <w:tbl>
      <w:tblPr>
        <w:tblLayout w:type="fixed"/>
        <w:tblInd w:w="10" w:type="dxa"/>
        <w:tblCellMar>
          <w:top w:w="0" w:type="dxa"/>
          <w:left w:w="0" w:type="dxa"/>
          <w:bottom w:w="0" w:type="dxa"/>
          <w:right w:w="0" w:type="dxa"/>
        </w:tblCellMar>
      </w:tblPr>
      <w:tr>
        <w:trPr>
          <w:trHeight w:val="531"/>
        </w:trPr>
        <w:tc>
          <w:tcPr>
            <w:tcW w:w="980" w:type="dxa"/>
            <w:vAlign w:val="bottom"/>
            <w:tcBorders>
              <w:top w:val="single" w:sz="8" w:color="auto"/>
              <w:left w:val="single" w:sz="8" w:color="auto"/>
              <w:bottom w:val="single" w:sz="8" w:color="D9D9D9"/>
              <w:right w:val="single" w:sz="8" w:color="D9D9D9"/>
            </w:tcBorders>
            <w:shd w:val="clear" w:color="auto" w:fill="D9D9D9"/>
          </w:tcPr>
          <w:p>
            <w:pPr>
              <w:spacing w:after="0"/>
              <w:rPr>
                <w:sz w:val="24"/>
                <w:szCs w:val="24"/>
                <w:color w:val="auto"/>
              </w:rPr>
            </w:pPr>
          </w:p>
        </w:tc>
        <w:tc>
          <w:tcPr>
            <w:tcW w:w="14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0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4860" w:type="dxa"/>
            <w:vAlign w:val="bottom"/>
            <w:tcBorders>
              <w:top w:val="single" w:sz="8" w:color="auto"/>
              <w:bottom w:val="single" w:sz="8" w:color="D9D9D9"/>
              <w:right w:val="single" w:sz="8" w:color="D9D9D9"/>
            </w:tcBorders>
            <w:gridSpan w:val="3"/>
            <w:shd w:val="clear" w:color="auto" w:fill="D9D9D9"/>
          </w:tcPr>
          <w:p>
            <w:pPr>
              <w:ind w:left="1140"/>
              <w:spacing w:after="0"/>
              <w:rPr>
                <w:sz w:val="20"/>
                <w:szCs w:val="20"/>
                <w:color w:val="auto"/>
              </w:rPr>
            </w:pPr>
            <w:r>
              <w:rPr>
                <w:rFonts w:ascii="Times New Roman" w:cs="Times New Roman" w:eastAsia="Times New Roman" w:hAnsi="Times New Roman"/>
                <w:sz w:val="20"/>
                <w:szCs w:val="20"/>
                <w:b w:val="1"/>
                <w:bCs w:val="1"/>
                <w:color w:val="auto"/>
              </w:rPr>
              <w:t>Data Center SSD Payout Factor</w:t>
            </w:r>
          </w:p>
        </w:tc>
        <w:tc>
          <w:tcPr>
            <w:tcW w:w="16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tcBorders>
              <w:top w:val="single" w:sz="8" w:color="auto"/>
              <w:left w:val="single" w:sz="8" w:color="auto"/>
              <w:right w:val="single" w:sz="8" w:color="auto"/>
            </w:tcBorders>
            <w:vMerge w:val="restart"/>
            <w:shd w:val="clear" w:color="auto" w:fill="D9D9D9"/>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Fiscal</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Data Center</w:t>
            </w:r>
          </w:p>
        </w:tc>
        <w:tc>
          <w:tcPr>
            <w:tcW w:w="1500" w:type="dxa"/>
            <w:vAlign w:val="bottom"/>
            <w:tcBorders>
              <w:top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SSD Goal</w:t>
            </w:r>
          </w:p>
        </w:tc>
        <w:tc>
          <w:tcPr>
            <w:tcW w:w="1500" w:type="dxa"/>
            <w:vAlign w:val="bottom"/>
            <w:tcBorders>
              <w:right w:val="single" w:sz="8" w:color="auto"/>
            </w:tcBorders>
            <w:vMerge w:val="restart"/>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rPr>
              <w:t>0.00x</w:t>
            </w:r>
          </w:p>
        </w:tc>
        <w:tc>
          <w:tcPr>
            <w:tcW w:w="1620" w:type="dxa"/>
            <w:vAlign w:val="bottom"/>
            <w:tcBorders>
              <w:right w:val="single" w:sz="8" w:color="auto"/>
            </w:tcBorders>
            <w:vMerge w:val="restart"/>
            <w:shd w:val="clear" w:color="auto" w:fill="D9D9D9"/>
          </w:tcPr>
          <w:p>
            <w:pPr>
              <w:ind w:left="620"/>
              <w:spacing w:after="0"/>
              <w:rPr>
                <w:sz w:val="20"/>
                <w:szCs w:val="20"/>
                <w:color w:val="auto"/>
              </w:rPr>
            </w:pPr>
            <w:r>
              <w:rPr>
                <w:rFonts w:ascii="Times New Roman" w:cs="Times New Roman" w:eastAsia="Times New Roman" w:hAnsi="Times New Roman"/>
                <w:sz w:val="20"/>
                <w:szCs w:val="20"/>
                <w:b w:val="1"/>
                <w:bCs w:val="1"/>
                <w:color w:val="auto"/>
              </w:rPr>
              <w:t>0.5x</w:t>
            </w:r>
          </w:p>
        </w:tc>
        <w:tc>
          <w:tcPr>
            <w:tcW w:w="1620" w:type="dxa"/>
            <w:vAlign w:val="bottom"/>
            <w:tcBorders>
              <w:right w:val="single" w:sz="8" w:color="auto"/>
            </w:tcBorders>
            <w:vMerge w:val="restart"/>
            <w:shd w:val="clear" w:color="auto" w:fill="D9D9D9"/>
          </w:tcPr>
          <w:p>
            <w:pPr>
              <w:ind w:left="620"/>
              <w:spacing w:after="0"/>
              <w:rPr>
                <w:sz w:val="20"/>
                <w:szCs w:val="20"/>
                <w:color w:val="auto"/>
              </w:rPr>
            </w:pPr>
            <w:r>
              <w:rPr>
                <w:rFonts w:ascii="Times New Roman" w:cs="Times New Roman" w:eastAsia="Times New Roman" w:hAnsi="Times New Roman"/>
                <w:sz w:val="20"/>
                <w:szCs w:val="20"/>
                <w:b w:val="1"/>
                <w:bCs w:val="1"/>
                <w:color w:val="auto"/>
              </w:rPr>
              <w:t>1.0x</w:t>
            </w:r>
          </w:p>
        </w:tc>
        <w:tc>
          <w:tcPr>
            <w:tcW w:w="1620" w:type="dxa"/>
            <w:vAlign w:val="bottom"/>
            <w:tcBorders>
              <w:right w:val="single" w:sz="8" w:color="auto"/>
            </w:tcBorders>
            <w:vMerge w:val="restart"/>
            <w:shd w:val="clear" w:color="auto" w:fill="D9D9D9"/>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7"/>
              </w:rPr>
              <w:t>1.50x</w:t>
            </w:r>
          </w:p>
        </w:tc>
        <w:tc>
          <w:tcPr>
            <w:tcW w:w="1620" w:type="dxa"/>
            <w:vAlign w:val="bottom"/>
            <w:tcBorders>
              <w:right w:val="single" w:sz="8" w:color="auto"/>
            </w:tcBorders>
            <w:vMerge w:val="restart"/>
            <w:shd w:val="clear" w:color="auto" w:fill="D9D9D9"/>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7"/>
              </w:rPr>
              <w:t>2.00x</w:t>
            </w:r>
          </w:p>
        </w:tc>
        <w:tc>
          <w:tcPr>
            <w:tcW w:w="0" w:type="dxa"/>
            <w:vAlign w:val="bottom"/>
          </w:tcPr>
          <w:p>
            <w:pPr>
              <w:spacing w:after="0"/>
              <w:rPr>
                <w:sz w:val="1"/>
                <w:szCs w:val="1"/>
                <w:color w:val="auto"/>
              </w:rPr>
            </w:pPr>
          </w:p>
        </w:tc>
      </w:tr>
      <w:tr>
        <w:trPr>
          <w:trHeight w:val="141"/>
        </w:trPr>
        <w:tc>
          <w:tcPr>
            <w:tcW w:w="980" w:type="dxa"/>
            <w:vAlign w:val="bottom"/>
            <w:tcBorders>
              <w:left w:val="single" w:sz="8" w:color="auto"/>
              <w:right w:val="single" w:sz="8" w:color="auto"/>
            </w:tcBorders>
            <w:vMerge w:val="restart"/>
            <w:shd w:val="clear" w:color="auto" w:fill="D9D9D9"/>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Year</w:t>
            </w:r>
          </w:p>
        </w:tc>
        <w:tc>
          <w:tcPr>
            <w:tcW w:w="1400" w:type="dxa"/>
            <w:vAlign w:val="bottom"/>
            <w:tcBorders>
              <w:right w:val="single" w:sz="8" w:color="auto"/>
            </w:tcBorders>
            <w:vMerge w:val="continue"/>
            <w:shd w:val="clear" w:color="auto" w:fill="D9D9D9"/>
          </w:tcPr>
          <w:p>
            <w:pPr>
              <w:spacing w:after="0"/>
              <w:rPr>
                <w:sz w:val="12"/>
                <w:szCs w:val="12"/>
                <w:color w:val="auto"/>
              </w:rPr>
            </w:pPr>
          </w:p>
        </w:tc>
        <w:tc>
          <w:tcPr>
            <w:tcW w:w="1500" w:type="dxa"/>
            <w:vAlign w:val="bottom"/>
            <w:tcBorders>
              <w:right w:val="single" w:sz="8" w:color="auto"/>
            </w:tcBorders>
            <w:vMerge w:val="continue"/>
            <w:shd w:val="clear" w:color="auto" w:fill="D9D9D9"/>
          </w:tcPr>
          <w:p>
            <w:pPr>
              <w:spacing w:after="0"/>
              <w:rPr>
                <w:sz w:val="12"/>
                <w:szCs w:val="12"/>
                <w:color w:val="auto"/>
              </w:rPr>
            </w:pPr>
          </w:p>
        </w:tc>
        <w:tc>
          <w:tcPr>
            <w:tcW w:w="1620" w:type="dxa"/>
            <w:vAlign w:val="bottom"/>
            <w:tcBorders>
              <w:right w:val="single" w:sz="8" w:color="auto"/>
            </w:tcBorders>
            <w:vMerge w:val="continue"/>
            <w:shd w:val="clear" w:color="auto" w:fill="D9D9D9"/>
          </w:tcPr>
          <w:p>
            <w:pPr>
              <w:spacing w:after="0"/>
              <w:rPr>
                <w:sz w:val="12"/>
                <w:szCs w:val="12"/>
                <w:color w:val="auto"/>
              </w:rPr>
            </w:pPr>
          </w:p>
        </w:tc>
        <w:tc>
          <w:tcPr>
            <w:tcW w:w="1620" w:type="dxa"/>
            <w:vAlign w:val="bottom"/>
            <w:tcBorders>
              <w:right w:val="single" w:sz="8" w:color="auto"/>
            </w:tcBorders>
            <w:vMerge w:val="continue"/>
            <w:shd w:val="clear" w:color="auto" w:fill="D9D9D9"/>
          </w:tcPr>
          <w:p>
            <w:pPr>
              <w:spacing w:after="0"/>
              <w:rPr>
                <w:sz w:val="12"/>
                <w:szCs w:val="12"/>
                <w:color w:val="auto"/>
              </w:rPr>
            </w:pPr>
          </w:p>
        </w:tc>
        <w:tc>
          <w:tcPr>
            <w:tcW w:w="1620" w:type="dxa"/>
            <w:vAlign w:val="bottom"/>
            <w:tcBorders>
              <w:right w:val="single" w:sz="8" w:color="auto"/>
            </w:tcBorders>
            <w:vMerge w:val="continue"/>
            <w:shd w:val="clear" w:color="auto" w:fill="D9D9D9"/>
          </w:tcPr>
          <w:p>
            <w:pPr>
              <w:spacing w:after="0"/>
              <w:rPr>
                <w:sz w:val="12"/>
                <w:szCs w:val="12"/>
                <w:color w:val="auto"/>
              </w:rPr>
            </w:pPr>
          </w:p>
        </w:tc>
        <w:tc>
          <w:tcPr>
            <w:tcW w:w="162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8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1400" w:type="dxa"/>
            <w:vAlign w:val="bottom"/>
            <w:tcBorders>
              <w:bottom w:val="single" w:sz="8" w:color="D9D9D9"/>
              <w:right w:val="single" w:sz="8" w:color="auto"/>
            </w:tcBorders>
            <w:shd w:val="clear" w:color="auto" w:fill="D9D9D9"/>
          </w:tcPr>
          <w:p>
            <w:pPr>
              <w:spacing w:after="0"/>
              <w:rPr>
                <w:sz w:val="12"/>
                <w:szCs w:val="12"/>
                <w:color w:val="auto"/>
              </w:rPr>
            </w:pPr>
          </w:p>
        </w:tc>
        <w:tc>
          <w:tcPr>
            <w:tcW w:w="1500" w:type="dxa"/>
            <w:vAlign w:val="bottom"/>
            <w:tcBorders>
              <w:bottom w:val="single" w:sz="8" w:color="D9D9D9"/>
              <w:right w:val="single" w:sz="8" w:color="auto"/>
            </w:tcBorders>
            <w:shd w:val="clear" w:color="auto" w:fill="D9D9D9"/>
          </w:tcPr>
          <w:p>
            <w:pPr>
              <w:spacing w:after="0"/>
              <w:rPr>
                <w:sz w:val="12"/>
                <w:szCs w:val="12"/>
                <w:color w:val="auto"/>
              </w:rPr>
            </w:pPr>
          </w:p>
        </w:tc>
        <w:tc>
          <w:tcPr>
            <w:tcW w:w="1620" w:type="dxa"/>
            <w:vAlign w:val="bottom"/>
            <w:tcBorders>
              <w:bottom w:val="single" w:sz="8" w:color="D9D9D9"/>
              <w:right w:val="single" w:sz="8" w:color="auto"/>
            </w:tcBorders>
            <w:shd w:val="clear" w:color="auto" w:fill="D9D9D9"/>
          </w:tcPr>
          <w:p>
            <w:pPr>
              <w:spacing w:after="0"/>
              <w:rPr>
                <w:sz w:val="12"/>
                <w:szCs w:val="12"/>
                <w:color w:val="auto"/>
              </w:rPr>
            </w:pPr>
          </w:p>
        </w:tc>
        <w:tc>
          <w:tcPr>
            <w:tcW w:w="1620" w:type="dxa"/>
            <w:vAlign w:val="bottom"/>
            <w:tcBorders>
              <w:bottom w:val="single" w:sz="8" w:color="D9D9D9"/>
              <w:right w:val="single" w:sz="8" w:color="auto"/>
            </w:tcBorders>
            <w:shd w:val="clear" w:color="auto" w:fill="D9D9D9"/>
          </w:tcPr>
          <w:p>
            <w:pPr>
              <w:spacing w:after="0"/>
              <w:rPr>
                <w:sz w:val="12"/>
                <w:szCs w:val="12"/>
                <w:color w:val="auto"/>
              </w:rPr>
            </w:pPr>
          </w:p>
        </w:tc>
        <w:tc>
          <w:tcPr>
            <w:tcW w:w="1620" w:type="dxa"/>
            <w:vAlign w:val="bottom"/>
            <w:tcBorders>
              <w:bottom w:val="single" w:sz="8" w:color="D9D9D9"/>
              <w:right w:val="single" w:sz="8" w:color="auto"/>
            </w:tcBorders>
            <w:shd w:val="clear" w:color="auto" w:fill="D9D9D9"/>
          </w:tcPr>
          <w:p>
            <w:pPr>
              <w:spacing w:after="0"/>
              <w:rPr>
                <w:sz w:val="12"/>
                <w:szCs w:val="12"/>
                <w:color w:val="auto"/>
              </w:rPr>
            </w:pPr>
          </w:p>
        </w:tc>
        <w:tc>
          <w:tcPr>
            <w:tcW w:w="1620" w:type="dxa"/>
            <w:vAlign w:val="bottom"/>
            <w:tcBorders>
              <w:bottom w:val="single" w:sz="8" w:color="D9D9D9"/>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980" w:type="dxa"/>
            <w:vAlign w:val="bottom"/>
            <w:tcBorders>
              <w:top w:val="single" w:sz="8" w:color="auto"/>
              <w:left w:val="single" w:sz="8" w:color="auto"/>
              <w:right w:val="single" w:sz="8" w:color="auto"/>
            </w:tcBorders>
          </w:tcPr>
          <w:p>
            <w:pPr>
              <w:spacing w:after="0"/>
              <w:rPr>
                <w:sz w:val="24"/>
                <w:szCs w:val="24"/>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Data Center</w:t>
            </w:r>
          </w:p>
        </w:tc>
        <w:tc>
          <w:tcPr>
            <w:tcW w:w="1500" w:type="dxa"/>
            <w:vAlign w:val="bottom"/>
            <w:tcBorders>
              <w:top w:val="single" w:sz="8" w:color="auto"/>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rPr>
              <w:t>9.00% or</w:t>
            </w:r>
          </w:p>
        </w:tc>
        <w:tc>
          <w:tcPr>
            <w:tcW w:w="1620" w:type="dxa"/>
            <w:vAlign w:val="bottom"/>
            <w:tcBorders>
              <w:top w:val="single" w:sz="8" w:color="auto"/>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10.00% or</w:t>
            </w:r>
          </w:p>
        </w:tc>
        <w:tc>
          <w:tcPr>
            <w:tcW w:w="1620" w:type="dxa"/>
            <w:vAlign w:val="bottom"/>
            <w:tcBorders>
              <w:top w:val="single" w:sz="8" w:color="auto"/>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12.00% or</w:t>
            </w:r>
          </w:p>
        </w:tc>
        <w:tc>
          <w:tcPr>
            <w:tcW w:w="1620" w:type="dxa"/>
            <w:vAlign w:val="bottom"/>
            <w:tcBorders>
              <w:top w:val="single" w:sz="8" w:color="auto"/>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13.00% or</w:t>
            </w:r>
          </w:p>
        </w:tc>
        <w:tc>
          <w:tcPr>
            <w:tcW w:w="1620" w:type="dxa"/>
            <w:vAlign w:val="bottom"/>
            <w:tcBorders>
              <w:top w:val="single" w:sz="8" w:color="auto"/>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14.00% or</w:t>
            </w:r>
          </w:p>
        </w:tc>
        <w:tc>
          <w:tcPr>
            <w:tcW w:w="0" w:type="dxa"/>
            <w:vAlign w:val="bottom"/>
          </w:tcPr>
          <w:p>
            <w:pPr>
              <w:spacing w:after="0"/>
              <w:rPr>
                <w:sz w:val="1"/>
                <w:szCs w:val="1"/>
                <w:color w:val="auto"/>
              </w:rPr>
            </w:pPr>
          </w:p>
        </w:tc>
      </w:tr>
      <w:tr>
        <w:trPr>
          <w:trHeight w:val="54"/>
        </w:trPr>
        <w:tc>
          <w:tcPr>
            <w:tcW w:w="980" w:type="dxa"/>
            <w:vAlign w:val="bottom"/>
            <w:tcBorders>
              <w:left w:val="single" w:sz="8" w:color="auto"/>
              <w:right w:val="single" w:sz="8" w:color="auto"/>
            </w:tcBorders>
          </w:tcPr>
          <w:p>
            <w:pPr>
              <w:spacing w:after="0"/>
              <w:rPr>
                <w:sz w:val="4"/>
                <w:szCs w:val="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SSD Market</w:t>
            </w:r>
          </w:p>
        </w:tc>
        <w:tc>
          <w:tcPr>
            <w:tcW w:w="150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980" w:type="dxa"/>
            <w:vAlign w:val="bottom"/>
            <w:tcBorders>
              <w:left w:val="single" w:sz="8" w:color="auto"/>
              <w:right w:val="single" w:sz="8" w:color="auto"/>
            </w:tcBorders>
          </w:tcPr>
          <w:p>
            <w:pPr>
              <w:jc w:val="right"/>
              <w:ind w:right="201"/>
              <w:spacing w:after="0" w:line="198" w:lineRule="exact"/>
              <w:rPr>
                <w:sz w:val="20"/>
                <w:szCs w:val="20"/>
                <w:color w:val="auto"/>
              </w:rPr>
            </w:pPr>
            <w:r>
              <w:rPr>
                <w:rFonts w:ascii="Times New Roman" w:cs="Times New Roman" w:eastAsia="Times New Roman" w:hAnsi="Times New Roman"/>
                <w:sz w:val="20"/>
                <w:szCs w:val="20"/>
                <w:color w:val="auto"/>
              </w:rPr>
              <w:t>2026</w:t>
            </w:r>
          </w:p>
        </w:tc>
        <w:tc>
          <w:tcPr>
            <w:tcW w:w="1400" w:type="dxa"/>
            <w:vAlign w:val="bottom"/>
            <w:tcBorders>
              <w:right w:val="single" w:sz="8" w:color="auto"/>
            </w:tcBorders>
            <w:vMerge w:val="continue"/>
          </w:tcPr>
          <w:p>
            <w:pPr>
              <w:spacing w:after="0"/>
              <w:rPr>
                <w:sz w:val="17"/>
                <w:szCs w:val="17"/>
                <w:color w:val="auto"/>
              </w:rPr>
            </w:pPr>
          </w:p>
        </w:tc>
        <w:tc>
          <w:tcPr>
            <w:tcW w:w="1500" w:type="dxa"/>
            <w:vAlign w:val="bottom"/>
            <w:tcBorders>
              <w:right w:val="single" w:sz="8" w:color="auto"/>
            </w:tcBorders>
          </w:tcPr>
          <w:p>
            <w:pPr>
              <w:jc w:val="center"/>
              <w:ind w:right="181"/>
              <w:spacing w:after="0" w:line="198" w:lineRule="exact"/>
              <w:rPr>
                <w:sz w:val="20"/>
                <w:szCs w:val="20"/>
                <w:color w:val="auto"/>
              </w:rPr>
            </w:pPr>
            <w:r>
              <w:rPr>
                <w:rFonts w:ascii="Times New Roman" w:cs="Times New Roman" w:eastAsia="Times New Roman" w:hAnsi="Times New Roman"/>
                <w:sz w:val="20"/>
                <w:szCs w:val="20"/>
                <w:color w:val="auto"/>
                <w:w w:val="97"/>
              </w:rPr>
              <w:t>33.00 B</w:t>
            </w:r>
          </w:p>
        </w:tc>
        <w:tc>
          <w:tcPr>
            <w:tcW w:w="1620" w:type="dxa"/>
            <w:vAlign w:val="bottom"/>
            <w:tcBorders>
              <w:right w:val="single" w:sz="8" w:color="auto"/>
            </w:tcBorders>
            <w:vMerge w:val="continue"/>
          </w:tcPr>
          <w:p>
            <w:pPr>
              <w:spacing w:after="0"/>
              <w:rPr>
                <w:sz w:val="17"/>
                <w:szCs w:val="17"/>
                <w:color w:val="auto"/>
              </w:rPr>
            </w:pPr>
          </w:p>
        </w:tc>
        <w:tc>
          <w:tcPr>
            <w:tcW w:w="1620" w:type="dxa"/>
            <w:vAlign w:val="bottom"/>
            <w:tcBorders>
              <w:right w:val="single" w:sz="8" w:color="auto"/>
            </w:tcBorders>
            <w:vMerge w:val="continue"/>
          </w:tcPr>
          <w:p>
            <w:pPr>
              <w:spacing w:after="0"/>
              <w:rPr>
                <w:sz w:val="17"/>
                <w:szCs w:val="17"/>
                <w:color w:val="auto"/>
              </w:rPr>
            </w:pPr>
          </w:p>
        </w:tc>
        <w:tc>
          <w:tcPr>
            <w:tcW w:w="1620" w:type="dxa"/>
            <w:vAlign w:val="bottom"/>
            <w:tcBorders>
              <w:right w:val="single" w:sz="8" w:color="auto"/>
            </w:tcBorders>
            <w:vMerge w:val="continue"/>
          </w:tcPr>
          <w:p>
            <w:pPr>
              <w:spacing w:after="0"/>
              <w:rPr>
                <w:sz w:val="17"/>
                <w:szCs w:val="17"/>
                <w:color w:val="auto"/>
              </w:rPr>
            </w:pPr>
          </w:p>
        </w:tc>
        <w:tc>
          <w:tcPr>
            <w:tcW w:w="16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Share</w:t>
            </w:r>
          </w:p>
        </w:tc>
        <w:tc>
          <w:tcPr>
            <w:tcW w:w="150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rPr>
              <w:t>GBs*</w:t>
            </w:r>
          </w:p>
        </w:tc>
        <w:tc>
          <w:tcPr>
            <w:tcW w:w="162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rPr>
              <w:t>40.00 B GBs</w:t>
            </w:r>
          </w:p>
        </w:tc>
        <w:tc>
          <w:tcPr>
            <w:tcW w:w="162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rPr>
              <w:t>46.00 B GBs</w:t>
            </w:r>
          </w:p>
        </w:tc>
        <w:tc>
          <w:tcPr>
            <w:tcW w:w="162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rPr>
              <w:t>55.00 B GBs</w:t>
            </w:r>
          </w:p>
        </w:tc>
        <w:tc>
          <w:tcPr>
            <w:tcW w:w="162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color w:val="auto"/>
              </w:rPr>
              <w:t>58.00 B GBs</w:t>
            </w:r>
          </w:p>
        </w:tc>
        <w:tc>
          <w:tcPr>
            <w:tcW w:w="0" w:type="dxa"/>
            <w:vAlign w:val="bottom"/>
          </w:tcPr>
          <w:p>
            <w:pPr>
              <w:spacing w:after="0"/>
              <w:rPr>
                <w:sz w:val="1"/>
                <w:szCs w:val="1"/>
                <w:color w:val="auto"/>
              </w:rPr>
            </w:pPr>
          </w:p>
        </w:tc>
      </w:tr>
      <w:tr>
        <w:trPr>
          <w:trHeight w:val="176"/>
        </w:trPr>
        <w:tc>
          <w:tcPr>
            <w:tcW w:w="980" w:type="dxa"/>
            <w:vAlign w:val="bottom"/>
            <w:tcBorders>
              <w:left w:val="single" w:sz="8" w:color="auto"/>
              <w:bottom w:val="single" w:sz="8" w:color="auto"/>
              <w:right w:val="single" w:sz="8" w:color="auto"/>
            </w:tcBorders>
          </w:tcPr>
          <w:p>
            <w:pPr>
              <w:spacing w:after="0"/>
              <w:rPr>
                <w:sz w:val="15"/>
                <w:szCs w:val="15"/>
                <w:color w:val="auto"/>
              </w:rPr>
            </w:pPr>
          </w:p>
        </w:tc>
        <w:tc>
          <w:tcPr>
            <w:tcW w:w="1400" w:type="dxa"/>
            <w:vAlign w:val="bottom"/>
            <w:tcBorders>
              <w:right w:val="single" w:sz="8" w:color="auto"/>
            </w:tcBorders>
          </w:tcPr>
          <w:p>
            <w:pPr>
              <w:ind w:left="460"/>
              <w:spacing w:after="0" w:line="156" w:lineRule="exact"/>
              <w:rPr>
                <w:sz w:val="20"/>
                <w:szCs w:val="20"/>
                <w:color w:val="auto"/>
              </w:rPr>
            </w:pPr>
            <w:r>
              <w:rPr>
                <w:rFonts w:ascii="Times New Roman" w:cs="Times New Roman" w:eastAsia="Times New Roman" w:hAnsi="Times New Roman"/>
                <w:sz w:val="18"/>
                <w:szCs w:val="18"/>
                <w:color w:val="auto"/>
              </w:rPr>
              <w:t>or Data</w:t>
            </w:r>
          </w:p>
        </w:tc>
        <w:tc>
          <w:tcPr>
            <w:tcW w:w="15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98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Center</w:t>
            </w:r>
          </w:p>
        </w:tc>
        <w:tc>
          <w:tcPr>
            <w:tcW w:w="150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rPr>
              <w:t>9.50% or</w:t>
            </w:r>
          </w:p>
        </w:tc>
        <w:tc>
          <w:tcPr>
            <w:tcW w:w="162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10.50% or</w:t>
            </w:r>
          </w:p>
        </w:tc>
        <w:tc>
          <w:tcPr>
            <w:tcW w:w="162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12.50% or</w:t>
            </w:r>
          </w:p>
        </w:tc>
        <w:tc>
          <w:tcPr>
            <w:tcW w:w="162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13.50% or</w:t>
            </w:r>
          </w:p>
        </w:tc>
        <w:tc>
          <w:tcPr>
            <w:tcW w:w="1620" w:type="dxa"/>
            <w:vAlign w:val="bottom"/>
            <w:tcBorders>
              <w:right w:val="single" w:sz="8" w:color="auto"/>
            </w:tcBorders>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14.50% or</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right w:val="single" w:sz="8" w:color="auto"/>
            </w:tcBorders>
            <w:vMerge w:val="restart"/>
          </w:tcPr>
          <w:p>
            <w:pPr>
              <w:jc w:val="right"/>
              <w:ind w:right="201"/>
              <w:spacing w:after="0"/>
              <w:rPr>
                <w:sz w:val="20"/>
                <w:szCs w:val="20"/>
                <w:color w:val="auto"/>
              </w:rPr>
            </w:pPr>
            <w:r>
              <w:rPr>
                <w:rFonts w:ascii="Times New Roman" w:cs="Times New Roman" w:eastAsia="Times New Roman" w:hAnsi="Times New Roman"/>
                <w:sz w:val="20"/>
                <w:szCs w:val="20"/>
                <w:color w:val="auto"/>
              </w:rPr>
              <w:t>2027</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SSD Bit</w:t>
            </w:r>
          </w:p>
        </w:tc>
        <w:tc>
          <w:tcPr>
            <w:tcW w:w="15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80" w:type="dxa"/>
            <w:vAlign w:val="bottom"/>
            <w:tcBorders>
              <w:left w:val="single" w:sz="8" w:color="auto"/>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8"/>
              </w:rPr>
              <w:t>46.50 B GBs</w:t>
            </w:r>
          </w:p>
        </w:tc>
        <w:tc>
          <w:tcPr>
            <w:tcW w:w="162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rPr>
              <w:t>54.50 B GBs</w:t>
            </w:r>
          </w:p>
        </w:tc>
        <w:tc>
          <w:tcPr>
            <w:tcW w:w="162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rPr>
              <w:t>62.00 B GBs</w:t>
            </w:r>
          </w:p>
        </w:tc>
        <w:tc>
          <w:tcPr>
            <w:tcW w:w="162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rPr>
              <w:t>78.00 B GBs</w:t>
            </w:r>
          </w:p>
        </w:tc>
        <w:tc>
          <w:tcPr>
            <w:tcW w:w="1620" w:type="dxa"/>
            <w:vAlign w:val="bottom"/>
            <w:tcBorders>
              <w:right w:val="single" w:sz="8" w:color="auto"/>
            </w:tcBorders>
            <w:vMerge w:val="restart"/>
          </w:tcPr>
          <w:p>
            <w:pPr>
              <w:jc w:val="center"/>
              <w:ind w:right="241"/>
              <w:spacing w:after="0"/>
              <w:rPr>
                <w:sz w:val="20"/>
                <w:szCs w:val="20"/>
                <w:color w:val="auto"/>
              </w:rPr>
            </w:pPr>
            <w:r>
              <w:rPr>
                <w:rFonts w:ascii="Times New Roman" w:cs="Times New Roman" w:eastAsia="Times New Roman" w:hAnsi="Times New Roman"/>
                <w:sz w:val="20"/>
                <w:szCs w:val="20"/>
                <w:color w:val="auto"/>
              </w:rPr>
              <w:t>80.00 B GBs</w:t>
            </w:r>
          </w:p>
        </w:tc>
        <w:tc>
          <w:tcPr>
            <w:tcW w:w="0" w:type="dxa"/>
            <w:vAlign w:val="bottom"/>
          </w:tcPr>
          <w:p>
            <w:pPr>
              <w:spacing w:after="0"/>
              <w:rPr>
                <w:sz w:val="1"/>
                <w:szCs w:val="1"/>
                <w:color w:val="auto"/>
              </w:rPr>
            </w:pPr>
          </w:p>
        </w:tc>
      </w:tr>
      <w:tr>
        <w:trPr>
          <w:trHeight w:val="164"/>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Shipments</w:t>
            </w:r>
          </w:p>
        </w:tc>
        <w:tc>
          <w:tcPr>
            <w:tcW w:w="150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980" w:type="dxa"/>
            <w:vAlign w:val="bottom"/>
            <w:tcBorders>
              <w:left w:val="single" w:sz="8" w:color="auto"/>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80" w:type="dxa"/>
            <w:vAlign w:val="bottom"/>
            <w:tcBorders>
              <w:left w:val="single" w:sz="8" w:color="auto"/>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0" w:hanging="154"/>
        <w:spacing w:after="0"/>
        <w:tabs>
          <w:tab w:leader="none" w:pos="16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Refers to billion gigabytes.</w:t>
      </w:r>
    </w:p>
    <w:p>
      <w:pPr>
        <w:spacing w:after="0" w:line="219" w:lineRule="exact"/>
        <w:rPr>
          <w:rFonts w:ascii="Times New Roman" w:cs="Times New Roman" w:eastAsia="Times New Roman" w:hAnsi="Times New Roman"/>
          <w:sz w:val="22"/>
          <w:szCs w:val="22"/>
          <w:color w:val="auto"/>
        </w:rPr>
      </w:pPr>
    </w:p>
    <w:p>
      <w:pPr>
        <w:jc w:val="both"/>
        <w:ind w:left="660" w:hanging="331"/>
        <w:spacing w:after="0" w:line="256" w:lineRule="auto"/>
        <w:tabs>
          <w:tab w:leader="none" w:pos="654"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Data Center SSD Payout Factor for a particular Fiscal Year shown in the table above will be determined by the higher of (x) the Data Center SSD Payout Factor applicable to Data Center SSD Market Share (as defined below) achieved for such Fiscal Year, or (y) the Data Center SSD Payout Factor applicable to Data Center SSD Bit Shipments (as defined below) achieved for such Fiscal Year (the “</w:t>
      </w:r>
      <w:r>
        <w:rPr>
          <w:rFonts w:ascii="Times New Roman" w:cs="Times New Roman" w:eastAsia="Times New Roman" w:hAnsi="Times New Roman"/>
          <w:sz w:val="22"/>
          <w:szCs w:val="22"/>
          <w:u w:val="single" w:color="auto"/>
          <w:color w:val="auto"/>
        </w:rPr>
        <w:t>Achieved Data Center SSD Level</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660" w:hanging="330"/>
        <w:spacing w:after="0" w:line="251" w:lineRule="auto"/>
        <w:tabs>
          <w:tab w:leader="none" w:pos="65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Achieved Data Center SSD Level is between performance levels shown in the table above, the Data Center SSD Payout Factor will be determined based on straight line interpolation. For the avoidance of doubt and notwithstanding any contrary provision of the Award Agreement, if performance for the Data Center SSD Goal (in other words, for both Data Center SSD Market Share and Data Center SSD Bit Shipments) in a particular Fiscal Year is equal to or below the performance specified in the 0.00x column in the above table, the Data Center SSD Payout Factor for such Fiscal Year will be zero.</w:t>
      </w:r>
    </w:p>
    <w:p>
      <w:pPr>
        <w:spacing w:after="0" w:line="181" w:lineRule="exact"/>
        <w:rPr>
          <w:rFonts w:ascii="Times New Roman" w:cs="Times New Roman" w:eastAsia="Times New Roman" w:hAnsi="Times New Roman"/>
          <w:sz w:val="22"/>
          <w:szCs w:val="22"/>
          <w:color w:val="auto"/>
        </w:rPr>
      </w:pPr>
    </w:p>
    <w:p>
      <w:pPr>
        <w:ind w:left="660" w:right="20" w:hanging="330"/>
        <w:spacing w:after="0" w:line="271" w:lineRule="auto"/>
        <w:tabs>
          <w:tab w:leader="none" w:pos="65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Data Center SSD Market Share performance result, Data Center SSD Bit Shipments performance result, and Data Center SSD Payout Factor will be rounded to the second decimal place, as needed.</w:t>
      </w:r>
    </w:p>
    <w:p>
      <w:pPr>
        <w:spacing w:after="0" w:line="157"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Center SSD</w:t>
      </w:r>
      <w:r>
        <w:rPr>
          <w:rFonts w:ascii="Times New Roman" w:cs="Times New Roman" w:eastAsia="Times New Roman" w:hAnsi="Times New Roman"/>
          <w:sz w:val="22"/>
          <w:szCs w:val="22"/>
          <w:color w:val="auto"/>
        </w:rPr>
        <w:t>” refers to solid state drives (SSDs) sold into the data center market segment.</w:t>
      </w:r>
    </w:p>
    <w:p>
      <w:pPr>
        <w:spacing w:after="0" w:line="219"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Center SSD Bit Shipments</w:t>
      </w:r>
      <w:r>
        <w:rPr>
          <w:rFonts w:ascii="Times New Roman" w:cs="Times New Roman" w:eastAsia="Times New Roman" w:hAnsi="Times New Roman"/>
          <w:sz w:val="22"/>
          <w:szCs w:val="22"/>
          <w:color w:val="auto"/>
        </w:rPr>
        <w:t>” refers to the Company’s bit shipments of Data Center SSDs.</w:t>
      </w:r>
    </w:p>
    <w:p>
      <w:pPr>
        <w:spacing w:after="0" w:line="219" w:lineRule="exact"/>
        <w:rPr>
          <w:rFonts w:ascii="Times New Roman" w:cs="Times New Roman" w:eastAsia="Times New Roman" w:hAnsi="Times New Roman"/>
          <w:sz w:val="22"/>
          <w:szCs w:val="22"/>
          <w:color w:val="auto"/>
        </w:rPr>
      </w:pPr>
    </w:p>
    <w:p>
      <w:pPr>
        <w:jc w:val="both"/>
        <w:ind w:left="660" w:hanging="330"/>
        <w:spacing w:after="0" w:line="272" w:lineRule="auto"/>
        <w:tabs>
          <w:tab w:leader="none" w:pos="655"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Center SSD Market Share</w:t>
      </w:r>
      <w:r>
        <w:rPr>
          <w:rFonts w:ascii="Times New Roman" w:cs="Times New Roman" w:eastAsia="Times New Roman" w:hAnsi="Times New Roman"/>
          <w:sz w:val="21"/>
          <w:szCs w:val="21"/>
          <w:color w:val="auto"/>
        </w:rPr>
        <w:t>” refers to the Company’s revenue with respect to its Data Center SSD, determined in accordance with U.S. Generally Accepted Accounting Principles (“GAAP”) as a percentage of total addressable market (TAM) with respect to revenue for SSDs sold into the data center market segment. The Data Center SSD Market Share will be measured pursuant to an internal Market Intelligence (MI) assessment, in part by leveraging</w:t>
      </w:r>
    </w:p>
    <w:p>
      <w:pPr>
        <w:sectPr>
          <w:pgSz w:w="11900" w:h="16838" w:orient="portrait"/>
          <w:cols w:equalWidth="0" w:num="1">
            <w:col w:w="10760"/>
          </w:cols>
          <w:pgMar w:left="700" w:top="1429" w:right="439" w:bottom="1440" w:gutter="0" w:footer="0" w:header="0"/>
        </w:sectPr>
      </w:pPr>
    </w:p>
    <w:bookmarkStart w:id="263" w:name="page264"/>
    <w:bookmarkEnd w:id="263"/>
    <w:p>
      <w:pPr>
        <w:spacing w:after="0" w:line="18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third-party reports, (x) for the 2026 Fiscal Year, over the period beginning with the third quarter of calendar year 2025 through and inclusive of the second quarter of calendar year 2026, and (y) for the 2027 Fiscal Year, over the period beginning with the third quarter of calendar year 2026 through and inclusive of the second quarter of calendar year 2027.</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Operational Additional Performance Conditions</w:t>
      </w:r>
      <w:r>
        <w:rPr>
          <w:rFonts w:ascii="Times New Roman" w:cs="Times New Roman" w:eastAsia="Times New Roman" w:hAnsi="Times New Roman"/>
          <w:sz w:val="22"/>
          <w:szCs w:val="22"/>
          <w:color w:val="auto"/>
        </w:rPr>
        <w:t>. The Data Center SSD Payout Factor may be increased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achievement of the NAND free cash flow and U.S. DRAM manufacturing expansion goals described below (the “</w:t>
      </w:r>
      <w:r>
        <w:rPr>
          <w:rFonts w:ascii="Times New Roman" w:cs="Times New Roman" w:eastAsia="Times New Roman" w:hAnsi="Times New Roman"/>
          <w:sz w:val="22"/>
          <w:szCs w:val="22"/>
          <w:u w:val="single" w:color="auto"/>
          <w:color w:val="auto"/>
        </w:rPr>
        <w:t>Operational Additional Performance Conditions</w:t>
      </w:r>
      <w:r>
        <w:rPr>
          <w:rFonts w:ascii="Times New Roman" w:cs="Times New Roman" w:eastAsia="Times New Roman" w:hAnsi="Times New Roman"/>
          <w:sz w:val="22"/>
          <w:szCs w:val="22"/>
          <w:color w:val="auto"/>
        </w:rPr>
        <w: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21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Operational</w:t>
            </w:r>
          </w:p>
        </w:tc>
        <w:tc>
          <w:tcPr>
            <w:tcW w:w="5440" w:type="dxa"/>
            <w:vAlign w:val="bottom"/>
            <w:tcBorders>
              <w:top w:val="single" w:sz="8" w:color="auto"/>
              <w:right w:val="single" w:sz="8" w:color="auto"/>
            </w:tcBorders>
            <w:shd w:val="clear" w:color="auto" w:fill="D9D9D9"/>
          </w:tcPr>
          <w:p>
            <w:pPr>
              <w:spacing w:after="0"/>
              <w:rPr>
                <w:sz w:val="24"/>
                <w:szCs w:val="24"/>
                <w:color w:val="auto"/>
              </w:rPr>
            </w:pP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Amount Added to Data</w:t>
            </w: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5440" w:type="dxa"/>
            <w:vAlign w:val="bottom"/>
            <w:tcBorders>
              <w:right w:val="single" w:sz="8" w:color="auto"/>
            </w:tcBorders>
            <w:shd w:val="clear" w:color="auto" w:fill="D9D9D9"/>
          </w:tcPr>
          <w:p>
            <w:pPr>
              <w:spacing w:after="0"/>
              <w:rPr>
                <w:sz w:val="11"/>
                <w:szCs w:val="11"/>
                <w:color w:val="auto"/>
              </w:rPr>
            </w:pPr>
          </w:p>
        </w:tc>
        <w:tc>
          <w:tcPr>
            <w:tcW w:w="2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Center SSD Payout Factor</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Additional</w:t>
            </w:r>
          </w:p>
        </w:tc>
        <w:tc>
          <w:tcPr>
            <w:tcW w:w="5440" w:type="dxa"/>
            <w:vAlign w:val="bottom"/>
            <w:tcBorders>
              <w:right w:val="single" w:sz="8" w:color="auto"/>
            </w:tcBorders>
            <w:shd w:val="clear" w:color="auto" w:fill="D9D9D9"/>
          </w:tcPr>
          <w:p>
            <w:pPr>
              <w:spacing w:after="0"/>
              <w:rPr>
                <w:sz w:val="9"/>
                <w:szCs w:val="9"/>
                <w:color w:val="auto"/>
              </w:rPr>
            </w:pPr>
          </w:p>
        </w:tc>
        <w:tc>
          <w:tcPr>
            <w:tcW w:w="27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5440" w:type="dxa"/>
            <w:vAlign w:val="bottom"/>
            <w:tcBorders>
              <w:right w:val="single" w:sz="8" w:color="auto"/>
            </w:tcBorders>
            <w:vMerge w:val="restart"/>
            <w:shd w:val="clear" w:color="auto" w:fill="D9D9D9"/>
          </w:tcPr>
          <w:p>
            <w:pPr>
              <w:ind w:left="1040"/>
              <w:spacing w:after="0"/>
              <w:rPr>
                <w:sz w:val="20"/>
                <w:szCs w:val="20"/>
                <w:color w:val="auto"/>
              </w:rPr>
            </w:pPr>
            <w:r>
              <w:rPr>
                <w:rFonts w:ascii="Times New Roman" w:cs="Times New Roman" w:eastAsia="Times New Roman" w:hAnsi="Times New Roman"/>
                <w:sz w:val="20"/>
                <w:szCs w:val="20"/>
                <w:b w:val="1"/>
                <w:bCs w:val="1"/>
                <w:color w:val="auto"/>
              </w:rPr>
              <w:t>Required Achievement Level</w:t>
            </w:r>
          </w:p>
        </w:tc>
        <w:tc>
          <w:tcPr>
            <w:tcW w:w="2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Determined Above</w:t>
            </w:r>
          </w:p>
        </w:tc>
        <w:tc>
          <w:tcPr>
            <w:tcW w:w="0" w:type="dxa"/>
            <w:vAlign w:val="bottom"/>
          </w:tcPr>
          <w:p>
            <w:pPr>
              <w:spacing w:after="0"/>
              <w:rPr>
                <w:sz w:val="1"/>
                <w:szCs w:val="1"/>
                <w:color w:val="auto"/>
              </w:rPr>
            </w:pPr>
          </w:p>
        </w:tc>
      </w:tr>
      <w:tr>
        <w:trPr>
          <w:trHeight w:val="141"/>
        </w:trPr>
        <w:tc>
          <w:tcPr>
            <w:tcW w:w="21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5440" w:type="dxa"/>
            <w:vAlign w:val="bottom"/>
            <w:tcBorders>
              <w:right w:val="single" w:sz="8" w:color="auto"/>
            </w:tcBorders>
            <w:vMerge w:val="continue"/>
            <w:shd w:val="clear" w:color="auto" w:fill="D9D9D9"/>
          </w:tcPr>
          <w:p>
            <w:pPr>
              <w:spacing w:after="0"/>
              <w:rPr>
                <w:sz w:val="12"/>
                <w:szCs w:val="12"/>
                <w:color w:val="auto"/>
              </w:rPr>
            </w:pPr>
          </w:p>
        </w:tc>
        <w:tc>
          <w:tcPr>
            <w:tcW w:w="276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12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5440" w:type="dxa"/>
            <w:vAlign w:val="bottom"/>
            <w:tcBorders>
              <w:right w:val="single" w:sz="8" w:color="auto"/>
            </w:tcBorders>
            <w:shd w:val="clear" w:color="auto" w:fill="D9D9D9"/>
          </w:tcPr>
          <w:p>
            <w:pPr>
              <w:spacing w:after="0"/>
              <w:rPr>
                <w:sz w:val="8"/>
                <w:szCs w:val="8"/>
                <w:color w:val="auto"/>
              </w:rPr>
            </w:pPr>
          </w:p>
        </w:tc>
        <w:tc>
          <w:tcPr>
            <w:tcW w:w="276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12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Conditions Goal</w:t>
            </w:r>
          </w:p>
        </w:tc>
        <w:tc>
          <w:tcPr>
            <w:tcW w:w="5440" w:type="dxa"/>
            <w:vAlign w:val="bottom"/>
            <w:tcBorders>
              <w:bottom w:val="single" w:sz="8" w:color="D9D9D9"/>
              <w:right w:val="single" w:sz="8" w:color="auto"/>
            </w:tcBorders>
            <w:shd w:val="clear" w:color="auto" w:fill="D9D9D9"/>
          </w:tcPr>
          <w:p>
            <w:pPr>
              <w:spacing w:after="0"/>
              <w:rPr>
                <w:sz w:val="24"/>
                <w:szCs w:val="24"/>
                <w:color w:val="auto"/>
              </w:rPr>
            </w:pPr>
          </w:p>
        </w:tc>
        <w:tc>
          <w:tcPr>
            <w:tcW w:w="276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120" w:type="dxa"/>
            <w:vAlign w:val="bottom"/>
            <w:tcBorders>
              <w:top w:val="single" w:sz="8" w:color="auto"/>
              <w:left w:val="single" w:sz="8" w:color="auto"/>
              <w:right w:val="single" w:sz="8" w:color="auto"/>
            </w:tcBorders>
          </w:tcPr>
          <w:p>
            <w:pPr>
              <w:spacing w:after="0"/>
              <w:rPr>
                <w:sz w:val="24"/>
                <w:szCs w:val="24"/>
                <w:color w:val="auto"/>
              </w:rPr>
            </w:pPr>
          </w:p>
        </w:tc>
        <w:tc>
          <w:tcPr>
            <w:tcW w:w="54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Deliver at least $500M positive free cash flow for NAND across</w:t>
            </w:r>
          </w:p>
        </w:tc>
        <w:tc>
          <w:tcPr>
            <w:tcW w:w="2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NAND free cash flow</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any consecutive four fiscal quarters from first fiscal quarter of</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0.33x</w:t>
            </w:r>
          </w:p>
        </w:tc>
        <w:tc>
          <w:tcPr>
            <w:tcW w:w="0" w:type="dxa"/>
            <w:vAlign w:val="bottom"/>
          </w:tcPr>
          <w:p>
            <w:pPr>
              <w:spacing w:after="0"/>
              <w:rPr>
                <w:sz w:val="1"/>
                <w:szCs w:val="1"/>
                <w:color w:val="auto"/>
              </w:rPr>
            </w:pPr>
          </w:p>
        </w:tc>
      </w:tr>
      <w:tr>
        <w:trPr>
          <w:trHeight w:val="137"/>
        </w:trPr>
        <w:tc>
          <w:tcPr>
            <w:tcW w:w="2120" w:type="dxa"/>
            <w:vAlign w:val="bottom"/>
            <w:tcBorders>
              <w:left w:val="single" w:sz="8" w:color="auto"/>
              <w:right w:val="single" w:sz="8" w:color="auto"/>
            </w:tcBorders>
          </w:tcPr>
          <w:p>
            <w:pPr>
              <w:spacing w:after="0"/>
              <w:rPr>
                <w:sz w:val="11"/>
                <w:szCs w:val="11"/>
                <w:color w:val="auto"/>
              </w:rPr>
            </w:pPr>
          </w:p>
        </w:tc>
        <w:tc>
          <w:tcPr>
            <w:tcW w:w="5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Fiscal Year 2026 through and inclusive of fourth fiscal quarter of</w:t>
            </w:r>
          </w:p>
        </w:tc>
        <w:tc>
          <w:tcPr>
            <w:tcW w:w="2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20" w:type="dxa"/>
            <w:vAlign w:val="bottom"/>
            <w:tcBorders>
              <w:left w:val="single" w:sz="8" w:color="auto"/>
              <w:right w:val="single" w:sz="8" w:color="auto"/>
            </w:tcBorders>
          </w:tcPr>
          <w:p>
            <w:pPr>
              <w:spacing w:after="0"/>
              <w:rPr>
                <w:sz w:val="8"/>
                <w:szCs w:val="8"/>
                <w:color w:val="auto"/>
              </w:rPr>
            </w:pPr>
          </w:p>
        </w:tc>
        <w:tc>
          <w:tcPr>
            <w:tcW w:w="544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2120" w:type="dxa"/>
            <w:vAlign w:val="bottom"/>
            <w:tcBorders>
              <w:left w:val="single" w:sz="8" w:color="auto"/>
              <w:right w:val="single" w:sz="8" w:color="auto"/>
            </w:tcBorders>
          </w:tcPr>
          <w:p>
            <w:pPr>
              <w:spacing w:after="0"/>
              <w:rPr>
                <w:sz w:val="22"/>
                <w:szCs w:val="22"/>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Fiscal Year 2007</w:t>
            </w:r>
          </w:p>
        </w:tc>
        <w:tc>
          <w:tcPr>
            <w:tcW w:w="2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544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120" w:type="dxa"/>
            <w:vAlign w:val="bottom"/>
            <w:tcBorders>
              <w:left w:val="single" w:sz="8" w:color="auto"/>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9"/>
              </w:rPr>
              <w:t>U.S. DRAM</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First wafer at the Company’s Boise fab site is out by December 31,</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0.33x</w:t>
            </w: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right w:val="single" w:sz="8" w:color="auto"/>
            </w:tcBorders>
          </w:tcPr>
          <w:p>
            <w:pPr>
              <w:jc w:val="center"/>
              <w:ind w:right="241"/>
              <w:spacing w:after="0" w:line="229" w:lineRule="exact"/>
              <w:rPr>
                <w:sz w:val="20"/>
                <w:szCs w:val="20"/>
                <w:color w:val="auto"/>
              </w:rPr>
            </w:pPr>
            <w:r>
              <w:rPr>
                <w:rFonts w:ascii="Times New Roman" w:cs="Times New Roman" w:eastAsia="Times New Roman" w:hAnsi="Times New Roman"/>
                <w:sz w:val="20"/>
                <w:szCs w:val="20"/>
                <w:b w:val="1"/>
                <w:bCs w:val="1"/>
                <w:color w:val="auto"/>
                <w:w w:val="98"/>
              </w:rPr>
              <w:t>manufacturing</w:t>
            </w:r>
          </w:p>
        </w:tc>
        <w:tc>
          <w:tcPr>
            <w:tcW w:w="5440" w:type="dxa"/>
            <w:vAlign w:val="bottom"/>
            <w:tcBorders>
              <w:right w:val="single" w:sz="8" w:color="auto"/>
            </w:tcBorders>
          </w:tcPr>
          <w:p>
            <w:pPr>
              <w:ind w:left="60"/>
              <w:spacing w:after="0" w:line="229" w:lineRule="exact"/>
              <w:rPr>
                <w:sz w:val="20"/>
                <w:szCs w:val="20"/>
                <w:color w:val="auto"/>
              </w:rPr>
            </w:pPr>
            <w:r>
              <w:rPr>
                <w:rFonts w:ascii="Times New Roman" w:cs="Times New Roman" w:eastAsia="Times New Roman" w:hAnsi="Times New Roman"/>
                <w:sz w:val="20"/>
                <w:szCs w:val="20"/>
                <w:color w:val="auto"/>
              </w:rPr>
              <w:t>2026</w:t>
            </w:r>
          </w:p>
        </w:tc>
        <w:tc>
          <w:tcPr>
            <w:tcW w:w="27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Borders>
              <w:left w:val="single" w:sz="8" w:color="auto"/>
              <w:bottom w:val="single" w:sz="8" w:color="auto"/>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b w:val="1"/>
                <w:bCs w:val="1"/>
                <w:color w:val="auto"/>
                <w:w w:val="98"/>
              </w:rPr>
              <w:t>expansion</w:t>
            </w:r>
          </w:p>
        </w:tc>
        <w:tc>
          <w:tcPr>
            <w:tcW w:w="544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right="20" w:hanging="330"/>
        <w:spacing w:after="0" w:line="271" w:lineRule="auto"/>
        <w:tabs>
          <w:tab w:leader="none" w:pos="65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NAND free cash flow will be determined, based on the Company’s financial planning and analysis internal allocation model, as the amount of free cash flow generated from the Company’s NAND business.</w:t>
      </w:r>
    </w:p>
    <w:p>
      <w:pPr>
        <w:spacing w:after="0" w:line="157"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wafer out is the first full flow wafer output from the Boise fab site with any yield.</w:t>
      </w:r>
    </w:p>
    <w:p>
      <w:pPr>
        <w:spacing w:after="0" w:line="219"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example of the operation of the Operational Additional Performance Conditions is set forth below:</w:t>
      </w:r>
    </w:p>
    <w:p>
      <w:pPr>
        <w:spacing w:after="0" w:line="112" w:lineRule="exact"/>
        <w:rPr>
          <w:sz w:val="20"/>
          <w:szCs w:val="20"/>
          <w:color w:val="auto"/>
        </w:rPr>
      </w:pPr>
    </w:p>
    <w:p>
      <w:pPr>
        <w:ind w:left="1300" w:hanging="322"/>
        <w:spacing w:after="0"/>
        <w:tabs>
          <w:tab w:leader="none" w:pos="1300" w:val="left"/>
        </w:tabs>
        <w:numPr>
          <w:ilvl w:val="0"/>
          <w:numId w:val="2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Assume that for Fiscal Year 2026, the Data Center SSD Payout Factor is determined to be 1.0x.</w:t>
      </w:r>
    </w:p>
    <w:p>
      <w:pPr>
        <w:spacing w:after="0" w:line="120" w:lineRule="exact"/>
        <w:rPr>
          <w:rFonts w:ascii="Courier New" w:cs="Courier New" w:eastAsia="Courier New" w:hAnsi="Courier New"/>
          <w:sz w:val="22"/>
          <w:szCs w:val="22"/>
          <w:color w:val="auto"/>
        </w:rPr>
      </w:pPr>
    </w:p>
    <w:p>
      <w:pPr>
        <w:ind w:left="1300" w:right="20" w:hanging="322"/>
        <w:spacing w:after="0" w:line="253" w:lineRule="auto"/>
        <w:tabs>
          <w:tab w:leader="none" w:pos="1295" w:val="left"/>
        </w:tabs>
        <w:numPr>
          <w:ilvl w:val="0"/>
          <w:numId w:val="2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Assume achievement of the NAND free cash flow goal during Fiscal Year 2026 but that the U.S. DRAM manufacturing expansion goal is not achieved in Fiscal Year 2026.</w:t>
      </w:r>
    </w:p>
    <w:p>
      <w:pPr>
        <w:spacing w:after="0" w:line="54" w:lineRule="exact"/>
        <w:rPr>
          <w:rFonts w:ascii="Courier New" w:cs="Courier New" w:eastAsia="Courier New" w:hAnsi="Courier New"/>
          <w:sz w:val="22"/>
          <w:szCs w:val="22"/>
          <w:color w:val="auto"/>
        </w:rPr>
      </w:pPr>
    </w:p>
    <w:p>
      <w:pPr>
        <w:jc w:val="both"/>
        <w:ind w:left="1300" w:right="20" w:hanging="322"/>
        <w:spacing w:after="0" w:line="248" w:lineRule="auto"/>
        <w:tabs>
          <w:tab w:leader="none" w:pos="1295" w:val="left"/>
        </w:tabs>
        <w:numPr>
          <w:ilvl w:val="0"/>
          <w:numId w:val="2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Data Center SSD Payout Factor will be increased by 0.33x, to 1.33x. (If both the NAND free cash flow goal and the U.S. DRAM manufacturing expansion goal were achieved, the Data Center SSD Payout Factor would be increased by 0.66x to 1.66x.)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and Banked Units</w:t>
      </w:r>
      <w:r>
        <w:rPr>
          <w:rFonts w:ascii="Times New Roman" w:cs="Times New Roman" w:eastAsia="Times New Roman" w:hAnsi="Times New Roman"/>
          <w:sz w:val="22"/>
          <w:szCs w:val="22"/>
          <w:color w:val="auto"/>
        </w:rPr>
        <w:t>. Achievement levels with respect to the Data Center SSD Payout Factor, as well as any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Operational Additional Performance Conditions, will be measured at the end of each of:</w:t>
      </w:r>
    </w:p>
    <w:p>
      <w:pPr>
        <w:spacing w:after="0" w:line="15" w:lineRule="exact"/>
        <w:rPr>
          <w:sz w:val="20"/>
          <w:szCs w:val="20"/>
          <w:color w:val="auto"/>
        </w:rPr>
      </w:pPr>
    </w:p>
    <w:p>
      <w:pPr>
        <w:ind w:left="640" w:hanging="310"/>
        <w:spacing w:after="0"/>
        <w:tabs>
          <w:tab w:leader="none" w:pos="64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2026, and</w:t>
      </w:r>
    </w:p>
    <w:p>
      <w:pPr>
        <w:sectPr>
          <w:pgSz w:w="11900" w:h="16838" w:orient="portrait"/>
          <w:cols w:equalWidth="0" w:num="1">
            <w:col w:w="10760"/>
          </w:cols>
          <w:pgMar w:left="700" w:top="1440" w:right="439" w:bottom="1440" w:gutter="0" w:footer="0" w:header="0"/>
        </w:sectPr>
      </w:pPr>
    </w:p>
    <w:bookmarkStart w:id="264" w:name="page265"/>
    <w:bookmarkEnd w:id="264"/>
    <w:p>
      <w:pPr>
        <w:ind w:left="640" w:hanging="310"/>
        <w:spacing w:after="0"/>
        <w:tabs>
          <w:tab w:leader="none" w:pos="64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2027.</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 later than 60 days after the end of each of Fiscal Years 2026 and 2027, the Committee shall determine and certify the results of such achievement under this Award of Data Center SSD Performance Units (such date, the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Data Center SSD Performance Units that are earned by achievement of the Data Center SSD Goal and/or Operational Additional Performance Conditions, as applicable, are referred to herein as “</w:t>
      </w:r>
      <w:r>
        <w:rPr>
          <w:rFonts w:ascii="Times New Roman" w:cs="Times New Roman" w:eastAsia="Times New Roman" w:hAnsi="Times New Roman"/>
          <w:sz w:val="22"/>
          <w:szCs w:val="22"/>
          <w:u w:val="single" w:color="auto"/>
          <w:color w:val="auto"/>
        </w:rPr>
        <w:t>Banked Units</w:t>
      </w:r>
      <w:r>
        <w:rPr>
          <w:rFonts w:ascii="Times New Roman" w:cs="Times New Roman" w:eastAsia="Times New Roman" w:hAnsi="Times New Roman"/>
          <w:sz w:val="22"/>
          <w:szCs w:val="22"/>
          <w:color w:val="auto"/>
        </w:rPr>
        <w:t>” (regardless of whether such Data Center SSD Performance Units have vested).</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As of the Certification Date that immediately follows the end of Fiscal Year 2027, 100% of any then-unvested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Banked Units (for the avoidance of doubt, inclusive of any Data Center SSD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Data Center SSD Performance Units have become Banked Units, such Banked Units will continue to vest and be paid pursuant to the original schedule.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Vesting Upon a Qualifying Event</w:t>
      </w:r>
      <w:r>
        <w:rPr>
          <w:rFonts w:ascii="Times New Roman" w:cs="Times New Roman" w:eastAsia="Times New Roman" w:hAnsi="Times New Roman"/>
          <w:sz w:val="22"/>
          <w:szCs w:val="22"/>
          <w:color w:val="auto"/>
        </w:rPr>
        <w:t>. This paragraph shall apply only to the extent that Participant and the Company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 written offer letter or similar written agreement (the “</w:t>
      </w:r>
      <w:r>
        <w:rPr>
          <w:rFonts w:ascii="Times New Roman" w:cs="Times New Roman" w:eastAsia="Times New Roman" w:hAnsi="Times New Roman"/>
          <w:sz w:val="22"/>
          <w:szCs w:val="22"/>
          <w:u w:val="single" w:color="auto"/>
          <w:color w:val="auto"/>
        </w:rPr>
        <w:t>Letter</w:t>
      </w:r>
      <w:r>
        <w:rPr>
          <w:rFonts w:ascii="Times New Roman" w:cs="Times New Roman" w:eastAsia="Times New Roman" w:hAnsi="Times New Roman"/>
          <w:sz w:val="22"/>
          <w:szCs w:val="22"/>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u w:val="single" w:color="auto"/>
          <w:color w:val="auto"/>
        </w:rPr>
        <w:t>Payout Timing (Conversion to Shares)</w:t>
      </w:r>
      <w:r>
        <w:rPr>
          <w:rFonts w:ascii="Times New Roman" w:cs="Times New Roman" w:eastAsia="Times New Roman" w:hAnsi="Times New Roman"/>
          <w:sz w:val="22"/>
          <w:szCs w:val="22"/>
          <w:color w:val="auto"/>
        </w:rPr>
        <w:t>. The Banked Units vesting as of the Certification Date that immediately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end of Fiscal Year 2027 (such Data Center SSD Performance Units, the “</w:t>
      </w:r>
      <w:r>
        <w:rPr>
          <w:rFonts w:ascii="Times New Roman" w:cs="Times New Roman" w:eastAsia="Times New Roman" w:hAnsi="Times New Roman"/>
          <w:sz w:val="22"/>
          <w:szCs w:val="22"/>
          <w:u w:val="single" w:color="auto"/>
          <w:color w:val="auto"/>
        </w:rPr>
        <w:t>Vested Data Center SSD Performance Units</w:t>
      </w:r>
      <w:r>
        <w:rPr>
          <w:rFonts w:ascii="Times New Roman" w:cs="Times New Roman" w:eastAsia="Times New Roman" w:hAnsi="Times New Roman"/>
          <w:sz w:val="22"/>
          <w:szCs w:val="22"/>
          <w:color w:val="auto"/>
        </w:rPr>
        <w:t>”) shall automatically convert to Shares on the Certification Date (the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except that if Participant is terminated for Cause, no further Data Center SSD Performance Units shall vest after the date of termination.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Certain Award Limitations</w:t>
      </w:r>
      <w:r>
        <w:rPr>
          <w:rFonts w:ascii="Times New Roman" w:cs="Times New Roman" w:eastAsia="Times New Roman" w:hAnsi="Times New Roman"/>
          <w:sz w:val="22"/>
          <w:szCs w:val="22"/>
          <w:color w:val="auto"/>
        </w:rPr>
        <w:t>. The maximum number of Data Center SSD Performance Units that may vest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is the Maximum Number of Shares Subject to Data Center SSD Performance Units as set forth in the Notice of Grant.</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Concurrently with this Award of Data Center SSD Performance Units, Participant is receiving (a) an award of HBM3E Performance Units, which are performance-based Restricted Stock Units that may be earned based on achievement of certain goals related to HBM3E+ market share or bit shipments (the “</w:t>
      </w:r>
      <w:r>
        <w:rPr>
          <w:rFonts w:ascii="Times New Roman" w:cs="Times New Roman" w:eastAsia="Times New Roman" w:hAnsi="Times New Roman"/>
          <w:sz w:val="22"/>
          <w:szCs w:val="22"/>
          <w:u w:val="single" w:color="auto"/>
          <w:color w:val="auto"/>
        </w:rPr>
        <w:t>HBM3E Award</w:t>
      </w:r>
      <w:r>
        <w:rPr>
          <w:rFonts w:ascii="Times New Roman" w:cs="Times New Roman" w:eastAsia="Times New Roman" w:hAnsi="Times New Roman"/>
          <w:sz w:val="22"/>
          <w:szCs w:val="22"/>
          <w:color w:val="auto"/>
        </w:rPr>
        <w:t>”), as described in the award agreement covering the HBM3E Award, and (b)</w:t>
      </w:r>
    </w:p>
    <w:p>
      <w:pPr>
        <w:sectPr>
          <w:pgSz w:w="11900" w:h="16838" w:orient="portrait"/>
          <w:cols w:equalWidth="0" w:num="1">
            <w:col w:w="10760"/>
          </w:cols>
          <w:pgMar w:left="700" w:top="1408" w:right="439" w:bottom="1440" w:gutter="0" w:footer="0" w:header="0"/>
        </w:sectPr>
      </w:pPr>
    </w:p>
    <w:bookmarkStart w:id="265" w:name="page266"/>
    <w:bookmarkEnd w:id="265"/>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an award of rTSR CAGR Performance Units, which are performance-based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22"/>
          <w:szCs w:val="22"/>
          <w:u w:val="single" w:color="auto"/>
          <w:color w:val="auto"/>
        </w:rPr>
        <w:t>rTSR CAGR Award</w:t>
      </w:r>
      <w:r>
        <w:rPr>
          <w:rFonts w:ascii="Times New Roman" w:cs="Times New Roman" w:eastAsia="Times New Roman" w:hAnsi="Times New Roman"/>
          <w:sz w:val="22"/>
          <w:szCs w:val="22"/>
          <w:color w:val="auto"/>
        </w:rPr>
        <w:t>”), as described in the award agreement covering the rTSR CAGR Award. This Award of Data Center SSD Performance Units, together with the HBM3E Award and the rTSR CAGR Award, are referred to as the “</w:t>
      </w:r>
      <w:r>
        <w:rPr>
          <w:rFonts w:ascii="Times New Roman" w:cs="Times New Roman" w:eastAsia="Times New Roman" w:hAnsi="Times New Roman"/>
          <w:sz w:val="22"/>
          <w:szCs w:val="22"/>
          <w:u w:val="single" w:color="auto"/>
          <w:color w:val="auto"/>
        </w:rPr>
        <w:t>FY 2025 Performance Awards</w:t>
      </w:r>
      <w:r>
        <w:rPr>
          <w:rFonts w:ascii="Times New Roman" w:cs="Times New Roman" w:eastAsia="Times New Roman" w:hAnsi="Times New Roman"/>
          <w:sz w:val="22"/>
          <w:szCs w:val="22"/>
          <w:color w:val="auto"/>
        </w:rPr>
        <w:t>,” and the total number of Restricted Stock Units under the FY 2025 Performance Awards (the “</w:t>
      </w:r>
      <w:r>
        <w:rPr>
          <w:rFonts w:ascii="Times New Roman" w:cs="Times New Roman" w:eastAsia="Times New Roman" w:hAnsi="Times New Roman"/>
          <w:sz w:val="22"/>
          <w:szCs w:val="22"/>
          <w:u w:val="single" w:color="auto"/>
          <w:color w:val="auto"/>
        </w:rPr>
        <w:t>Performance Units</w:t>
      </w:r>
      <w:r>
        <w:rPr>
          <w:rFonts w:ascii="Times New Roman" w:cs="Times New Roman" w:eastAsia="Times New Roman" w:hAnsi="Times New Roman"/>
          <w:sz w:val="22"/>
          <w:szCs w:val="22"/>
          <w:color w:val="auto"/>
        </w:rPr>
        <w:t>”) eligible to be earned under the FY 2025 Performance Awards assuming at-target achievement is referred to as the “</w:t>
      </w:r>
      <w:r>
        <w:rPr>
          <w:rFonts w:ascii="Times New Roman" w:cs="Times New Roman" w:eastAsia="Times New Roman" w:hAnsi="Times New Roman"/>
          <w:sz w:val="22"/>
          <w:szCs w:val="22"/>
          <w:u w:val="single" w:color="auto"/>
          <w:color w:val="auto"/>
        </w:rPr>
        <w:t>Target Total Award</w:t>
      </w:r>
      <w:r>
        <w:rPr>
          <w:rFonts w:ascii="Times New Roman" w:cs="Times New Roman" w:eastAsia="Times New Roman" w:hAnsi="Times New Roman"/>
          <w:sz w:val="22"/>
          <w:szCs w:val="22"/>
          <w:color w:val="auto"/>
        </w:rPr>
        <w:t>” and is calculated as the sum of (i) the Target Number of Shares Subject to Data Center SSD Performance Units under this Award of Data Center SSD Performance Units, plus (ii) the Target Number of Shares Subject to HBM3E Performance Units as specified in the HBM3E Award, plus (iii) the Target Number of Shares Subject to rTSR CAGR Performance Units as specified in the rTSR CAGR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22"/>
          <w:szCs w:val="22"/>
          <w:u w:val="single" w:color="auto"/>
          <w:color w:val="auto"/>
        </w:rPr>
        <w:t>2x Limit</w:t>
      </w:r>
      <w:r>
        <w:rPr>
          <w:rFonts w:ascii="Times New Roman" w:cs="Times New Roman" w:eastAsia="Times New Roman" w:hAnsi="Times New Roman"/>
          <w:sz w:val="22"/>
          <w:szCs w:val="22"/>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such that the aggregate number of Performance Units becoming earned as of such date with respect to the FY 2025 Performance Awards upon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have become earned previously during the Performance Period with respect to the FY 2025 Performance Awards, is equal to the 2x Limit.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number of Performance Units that have been earned will exist in any remaining Performance Period Fiscal Year(s).</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pacing w:after="0" w:line="16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 As provided in further detail in Section 26 of the Terms and Conditions of Performance Unit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comprising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this Award Agreement, the Data Center SSD Performance Units are subject to any Clawback Policy, or other recovery obligation as may be necessary to comply with applicable laws.</w:t>
      </w:r>
    </w:p>
    <w:p>
      <w:pPr>
        <w:spacing w:after="0" w:line="184"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267" w:name="page268"/>
    <w:bookmarkEnd w:id="267"/>
    <w:p>
      <w:pPr>
        <w:jc w:val="center"/>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268" w:name="page269"/>
    <w:bookmarkEnd w:id="268"/>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PERFORMANCE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PERFORMANCE UNIT GRANT</w:t>
      </w:r>
    </w:p>
    <w:p>
      <w:pPr>
        <w:spacing w:after="0" w:line="237"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1"/>
          <w:szCs w:val="21"/>
          <w:color w:val="auto"/>
        </w:rPr>
        <w:t>Unless otherwise defined herein, the terms defined in the Micron Technology, Inc. Amended and Restated 2007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will have the same defined meanings in this Performance Unit Agreement which includes the Notice of Performance Unit Grant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xml:space="preserve">”), the Terms and Conditions of Performance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Additional Terms of HBM3E+ Performance Units,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all other exhibits, appendices, and addenda attached hereto (collectively,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an Award of performance-based Restricted Stock Units (the “</w:t>
      </w:r>
      <w:r>
        <w:rPr>
          <w:rFonts w:ascii="Times New Roman" w:cs="Times New Roman" w:eastAsia="Times New Roman" w:hAnsi="Times New Roman"/>
          <w:sz w:val="22"/>
          <w:szCs w:val="22"/>
          <w:u w:val="single" w:color="auto"/>
          <w:color w:val="auto"/>
        </w:rPr>
        <w:t>HBM3E+ Performance Units</w:t>
      </w:r>
      <w:r>
        <w:rPr>
          <w:rFonts w:ascii="Times New Roman" w:cs="Times New Roman" w:eastAsia="Times New Roman" w:hAnsi="Times New Roman"/>
          <w:sz w:val="22"/>
          <w:szCs w:val="22"/>
          <w:color w:val="auto"/>
        </w:rPr>
        <w:t>”), subject to the terms and conditions of the Plan and this Award Agreement, as follows:</w:t>
      </w:r>
    </w:p>
    <w:p>
      <w:pPr>
        <w:sectPr>
          <w:pgSz w:w="11900" w:h="16838" w:orient="portrait"/>
          <w:cols w:equalWidth="0" w:num="1">
            <w:col w:w="10440"/>
          </w:cols>
          <w:pgMar w:left="700" w:top="1440" w:right="7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Grant Number:</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of Grant:</w:t>
      </w:r>
    </w:p>
    <w:p>
      <w:pPr>
        <w:spacing w:after="0" w:line="247" w:lineRule="exact"/>
        <w:rPr>
          <w:sz w:val="20"/>
          <w:szCs w:val="20"/>
          <w:color w:val="auto"/>
        </w:rPr>
      </w:pPr>
    </w:p>
    <w:p>
      <w:pPr>
        <w:ind w:left="80" w:right="200"/>
        <w:spacing w:after="0" w:line="296" w:lineRule="auto"/>
        <w:rPr>
          <w:sz w:val="20"/>
          <w:szCs w:val="20"/>
          <w:color w:val="auto"/>
        </w:rPr>
      </w:pPr>
      <w:r>
        <w:rPr>
          <w:rFonts w:ascii="Times New Roman" w:cs="Times New Roman" w:eastAsia="Times New Roman" w:hAnsi="Times New Roman"/>
          <w:sz w:val="22"/>
          <w:szCs w:val="22"/>
          <w:color w:val="auto"/>
        </w:rPr>
        <w:t>Target Number of Shares Subject to HBM3E+ Performance Units:</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Maximum Number of Shares Subject to</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HBM3E+ Performance Units:</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560" w:hanging="3"/>
        <w:spacing w:after="0" w:line="258" w:lineRule="auto"/>
        <w:rPr>
          <w:sz w:val="20"/>
          <w:szCs w:val="20"/>
          <w:color w:val="auto"/>
        </w:rPr>
      </w:pPr>
      <w:r>
        <w:rPr>
          <w:rFonts w:ascii="Times New Roman" w:cs="Times New Roman" w:eastAsia="Times New Roman" w:hAnsi="Times New Roman"/>
          <w:sz w:val="22"/>
          <w:szCs w:val="22"/>
          <w:color w:val="auto"/>
        </w:rPr>
        <w:t>266% of Target Number of Shares Subject to HBM3E+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-498475</wp:posOffset>
            </wp:positionV>
            <wp:extent cx="3128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-1021715</wp:posOffset>
            </wp:positionV>
            <wp:extent cx="31286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-1338580</wp:posOffset>
            </wp:positionV>
            <wp:extent cx="31286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-44450</wp:posOffset>
            </wp:positionV>
            <wp:extent cx="17799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spacing w:after="0" w:line="800" w:lineRule="exact"/>
        <w:rPr>
          <w:sz w:val="20"/>
          <w:szCs w:val="20"/>
          <w:color w:val="auto"/>
        </w:rPr>
      </w:pPr>
    </w:p>
    <w:p>
      <w:pPr>
        <w:sectPr>
          <w:pgSz w:w="11900" w:h="16838" w:orient="portrait"/>
          <w:cols w:equalWidth="0" w:num="2">
            <w:col w:w="4280" w:space="720"/>
            <w:col w:w="5440"/>
          </w:cols>
          <w:pgMar w:left="700" w:top="1440" w:right="759" w:bottom="1440" w:gutter="0" w:footer="0" w:header="0"/>
          <w:type w:val="continuous"/>
        </w:sectPr>
      </w:pPr>
    </w:p>
    <w:p>
      <w:pPr>
        <w:spacing w:after="0" w:line="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any acceleration provisions contained in the Plan or set forth below, the HBM3E+ Performance Units will be scheduled to vest in accordance with, and be subject to, the Additional Terms of HBM3E+ Performance Units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HBM3E+ Performance Units, the unvested HBM3E+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w:t>
      </w:r>
    </w:p>
    <w:p>
      <w:pPr>
        <w:sectPr>
          <w:pgSz w:w="11900" w:h="16838" w:orient="portrait"/>
          <w:cols w:equalWidth="0" w:num="1">
            <w:col w:w="10440"/>
          </w:cols>
          <w:pgMar w:left="700" w:top="1440" w:right="759" w:bottom="1440" w:gutter="0" w:footer="0" w:header="0"/>
          <w:type w:val="continuous"/>
        </w:sectPr>
      </w:pPr>
    </w:p>
    <w:bookmarkStart w:id="269" w:name="page270"/>
    <w:bookmarkEnd w:id="269"/>
    <w:p>
      <w:pPr>
        <w:jc w:val="both"/>
        <w:spacing w:after="0" w:line="261" w:lineRule="auto"/>
        <w:rPr>
          <w:sz w:val="20"/>
          <w:szCs w:val="20"/>
          <w:color w:val="auto"/>
        </w:rPr>
      </w:pPr>
      <w:r>
        <w:rPr>
          <w:rFonts w:ascii="Times New Roman" w:cs="Times New Roman" w:eastAsia="Times New Roman" w:hAnsi="Times New Roman"/>
          <w:sz w:val="21"/>
          <w:szCs w:val="21"/>
          <w:color w:val="auto"/>
        </w:rPr>
        <w:t>and the Company agree that (1) this HBM3E+ Performance Unit Award is granted under and governed by the terms and conditions of the Plan and this Award Agreement, which constitutes an Award 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490855</wp:posOffset>
            </wp:positionV>
            <wp:extent cx="24688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85725</wp:posOffset>
            </wp:positionV>
            <wp:extent cx="2468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ectPr>
          <w:pgSz w:w="11900" w:h="16838" w:orient="portrait"/>
          <w:cols w:equalWidth="0" w:num="1">
            <w:col w:w="10440"/>
          </w:cols>
          <w:pgMar w:left="700" w:top="1422" w:right="759" w:bottom="1440" w:gutter="0" w:footer="0" w:header="0"/>
        </w:sectPr>
      </w:pPr>
    </w:p>
    <w:bookmarkStart w:id="270" w:name="page271"/>
    <w:bookmarkEnd w:id="270"/>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PERFORMANCE UNIT GRANT</w:t>
      </w:r>
    </w:p>
    <w:p>
      <w:pPr>
        <w:spacing w:after="0" w:line="224" w:lineRule="exact"/>
        <w:rPr>
          <w:sz w:val="20"/>
          <w:szCs w:val="20"/>
          <w:color w:val="auto"/>
        </w:rPr>
      </w:pPr>
    </w:p>
    <w:p>
      <w:pPr>
        <w:jc w:val="both"/>
        <w:ind w:firstLine="654"/>
        <w:spacing w:after="0" w:line="251" w:lineRule="auto"/>
        <w:tabs>
          <w:tab w:leader="none" w:pos="91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HBM3E+ Performance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Performance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Award of performance-based Restricted Stock Units (and referred to herein as HBM3E+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1" w:lineRule="exact"/>
        <w:rPr>
          <w:rFonts w:ascii="Times New Roman" w:cs="Times New Roman" w:eastAsia="Times New Roman" w:hAnsi="Times New Roman"/>
          <w:sz w:val="22"/>
          <w:szCs w:val="22"/>
          <w:color w:val="auto"/>
        </w:rPr>
      </w:pPr>
    </w:p>
    <w:p>
      <w:pPr>
        <w:jc w:val="both"/>
        <w:ind w:firstLine="654"/>
        <w:spacing w:after="0" w:line="253" w:lineRule="auto"/>
        <w:tabs>
          <w:tab w:leader="none" w:pos="91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HBM3E+ Performance Unit represents the right to receive a Share on the date it vests. Unless and until the HBM3E+ Performance Units will have vested in the manner set forth in Section 3 or 4, Participant will have no right to payment of any such HBM3E+ Performance Units. Prior to actual payment of any vested HBM3E+ Performance Units, such HBM3E+ Performance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right="20" w:firstLine="654"/>
        <w:spacing w:after="0" w:line="263" w:lineRule="auto"/>
        <w:tabs>
          <w:tab w:leader="none" w:pos="91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HBM3E+ Performance Units awarded by this Award Agreement will vest in accordance with the vesting provisions set forth in the Notice of Grant, subject to Participant remaining in Continuous Status as a Participant through the applicable vesting date.</w:t>
      </w:r>
    </w:p>
    <w:p>
      <w:pPr>
        <w:spacing w:after="0" w:line="167" w:lineRule="exact"/>
        <w:rPr>
          <w:rFonts w:ascii="Times New Roman" w:cs="Times New Roman" w:eastAsia="Times New Roman" w:hAnsi="Times New Roman"/>
          <w:sz w:val="22"/>
          <w:szCs w:val="22"/>
          <w:color w:val="auto"/>
        </w:rPr>
      </w:pPr>
    </w:p>
    <w:p>
      <w:pPr>
        <w:ind w:left="1280" w:hanging="626"/>
        <w:spacing w:after="0"/>
        <w:tabs>
          <w:tab w:leader="none" w:pos="12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2"/>
        <w:spacing w:after="0" w:line="251" w:lineRule="auto"/>
        <w:tabs>
          <w:tab w:leader="none" w:pos="1563"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HBM3E+ Performance Units that vest will be paid to Participant (or in the event of Participant’s death, to his or her properly designated beneficiary or estate) in Shares. Subject to this Section 4 and Section 9, such vested HBM3E+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In no event will Participant be permitted, directly or indirectly, to specify the taxable year of payment of any HBM3E+ Performance Units payable under this Award Agreement.</w:t>
      </w:r>
    </w:p>
    <w:p>
      <w:pPr>
        <w:spacing w:after="0" w:line="181" w:lineRule="exact"/>
        <w:rPr>
          <w:rFonts w:ascii="Times New Roman" w:cs="Times New Roman" w:eastAsia="Times New Roman" w:hAnsi="Times New Roman"/>
          <w:sz w:val="22"/>
          <w:szCs w:val="22"/>
          <w:color w:val="auto"/>
        </w:rPr>
      </w:pPr>
    </w:p>
    <w:p>
      <w:pPr>
        <w:ind w:left="1940" w:hanging="638"/>
        <w:spacing w:after="0"/>
        <w:tabs>
          <w:tab w:leader="none" w:pos="194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0"/>
        <w:spacing w:after="0" w:line="263" w:lineRule="auto"/>
        <w:tabs>
          <w:tab w:leader="none" w:pos="2202" w:val="left"/>
        </w:tabs>
        <w:numPr>
          <w:ilvl w:val="2"/>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Participant’s Continuous Status as a Participant ends on account of the Participant’s death or the Participant becoming Disabled, any HBM3E+ Performance Units that both were unexpired and unvested as of the date of cessation of Continuous Status as a Participant, will vest on such date.</w:t>
      </w:r>
    </w:p>
    <w:p>
      <w:pPr>
        <w:spacing w:after="0" w:line="16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w:t>
      </w:r>
    </w:p>
    <w:p>
      <w:pPr>
        <w:sectPr>
          <w:pgSz w:w="11900" w:h="16838" w:orient="portrait"/>
          <w:cols w:equalWidth="0" w:num="1">
            <w:col w:w="10760"/>
          </w:cols>
          <w:pgMar w:left="700" w:top="1440" w:right="439" w:bottom="1440" w:gutter="0" w:footer="0" w:header="0"/>
        </w:sectPr>
      </w:pPr>
    </w:p>
    <w:bookmarkStart w:id="271" w:name="page272"/>
    <w:bookmarkEnd w:id="271"/>
    <w:p>
      <w:pPr>
        <w:ind w:right="780"/>
        <w:spacing w:after="0" w:line="271" w:lineRule="auto"/>
        <w:rPr>
          <w:sz w:val="20"/>
          <w:szCs w:val="20"/>
          <w:color w:val="auto"/>
        </w:rPr>
      </w:pPr>
      <w:r>
        <w:rPr>
          <w:rFonts w:ascii="Times New Roman" w:cs="Times New Roman" w:eastAsia="Times New Roman" w:hAnsi="Times New Roman"/>
          <w:sz w:val="22"/>
          <w:szCs w:val="22"/>
          <w:color w:val="auto"/>
        </w:rPr>
        <w:t>before the Participant’s Continuous Status as a Participant ends, any HBM3E+ Performance Units will be treated in accordance with the terms of the Plan.</w:t>
      </w:r>
    </w:p>
    <w:p>
      <w:pPr>
        <w:spacing w:after="0" w:line="158" w:lineRule="exact"/>
        <w:rPr>
          <w:sz w:val="20"/>
          <w:szCs w:val="20"/>
          <w:color w:val="auto"/>
        </w:rPr>
      </w:pPr>
    </w:p>
    <w:p>
      <w:pPr>
        <w:jc w:val="both"/>
        <w:ind w:firstLine="1949"/>
        <w:spacing w:after="0" w:line="250" w:lineRule="auto"/>
        <w:tabs>
          <w:tab w:leader="none" w:pos="2862" w:val="left"/>
        </w:tabs>
        <w:numPr>
          <w:ilvl w:val="3"/>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HBM3E+ Performance Units at any time, subject to the terms of the Plan. If so accelerated, such HBM3E+ Performance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right="20" w:firstLine="1949"/>
        <w:spacing w:after="0" w:line="262" w:lineRule="auto"/>
        <w:tabs>
          <w:tab w:leader="none" w:pos="2850" w:val="left"/>
        </w:tabs>
        <w:numPr>
          <w:ilvl w:val="3"/>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Grant Date), if the vesting of the balance, or some lesser portion of the balance, of the HBM3E+ Performance Units is accelerated in connection with the cessation of Participant’s status as an employee, officer, director or consultant (a “</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(provided that such termination is a “separation from service” within the meaning of Section 409A, as determined by the Committee), other than due to Participant’s death, and if</w:t>
      </w:r>
    </w:p>
    <w:p>
      <w:pPr>
        <w:spacing w:after="0" w:line="1" w:lineRule="exact"/>
        <w:rPr>
          <w:rFonts w:ascii="Times New Roman" w:cs="Times New Roman" w:eastAsia="Times New Roman" w:hAnsi="Times New Roman"/>
          <w:sz w:val="21"/>
          <w:szCs w:val="21"/>
          <w:color w:val="auto"/>
        </w:rPr>
      </w:pPr>
    </w:p>
    <w:p>
      <w:pPr>
        <w:jc w:val="both"/>
        <w:ind w:firstLine="5"/>
        <w:spacing w:after="0" w:line="259" w:lineRule="auto"/>
        <w:tabs>
          <w:tab w:leader="none" w:pos="338"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 U.S. taxpayer and a “specified employee” within the meaning of Section 409A at the time of such termination as a Service Provider and (y) the payment of such accelerated HBM3E+ Performance Units will result in the imposition of additional tax under Section 409A if paid to Participant on or within the six (6) month period following the cessation of Participant’s status as a Service Provider, then the payment of such accelerated HBM3E+ Performance Units will not be made until the date six (6) months and one (1) day following the date of cessation of Participant’s status as a Service Provider, unless Participant dies following his or her termination as a Service Provider, in which case, the HBM3E+ Performance Units will be paid in Shares to Participant’s estate as soon as practicable following his or her death.</w:t>
      </w:r>
    </w:p>
    <w:p>
      <w:pPr>
        <w:spacing w:after="0" w:line="176" w:lineRule="exact"/>
        <w:rPr>
          <w:rFonts w:ascii="Times New Roman" w:cs="Times New Roman" w:eastAsia="Times New Roman" w:hAnsi="Times New Roman"/>
          <w:sz w:val="21"/>
          <w:szCs w:val="21"/>
          <w:color w:val="auto"/>
        </w:rPr>
      </w:pPr>
    </w:p>
    <w:p>
      <w:pPr>
        <w:jc w:val="both"/>
        <w:ind w:firstLine="1301"/>
        <w:spacing w:after="0" w:line="250" w:lineRule="auto"/>
        <w:tabs>
          <w:tab w:leader="none" w:pos="1563"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HBM3E+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6" w:lineRule="exact"/>
        <w:rPr>
          <w:rFonts w:ascii="Times New Roman" w:cs="Times New Roman" w:eastAsia="Times New Roman" w:hAnsi="Times New Roman"/>
          <w:sz w:val="22"/>
          <w:szCs w:val="22"/>
          <w:color w:val="auto"/>
        </w:rPr>
      </w:pPr>
    </w:p>
    <w:p>
      <w:pPr>
        <w:jc w:val="both"/>
        <w:ind w:firstLine="653"/>
        <w:spacing w:after="0" w:line="253" w:lineRule="auto"/>
        <w:tabs>
          <w:tab w:leader="none" w:pos="918"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HBM3E+ Performance Units awarded by this Award Agreement</w:t>
      </w:r>
    </w:p>
    <w:p>
      <w:pPr>
        <w:sectPr>
          <w:pgSz w:w="11900" w:h="16838" w:orient="portrait"/>
          <w:cols w:equalWidth="0" w:num="1">
            <w:col w:w="10760"/>
          </w:cols>
          <w:pgMar w:left="700" w:top="1422" w:right="439" w:bottom="1440" w:gutter="0" w:footer="0" w:header="0"/>
        </w:sectPr>
      </w:pPr>
    </w:p>
    <w:bookmarkStart w:id="272" w:name="page273"/>
    <w:bookmarkEnd w:id="272"/>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will be forfeited at no cost to the Company and Participant will have no further rights thereunder. The date of forfeiture will be the date of cessation of Continuous Status as a Participant.</w:t>
      </w:r>
    </w:p>
    <w:p>
      <w:pPr>
        <w:spacing w:after="0" w:line="23" w:lineRule="exact"/>
        <w:rPr>
          <w:sz w:val="20"/>
          <w:szCs w:val="20"/>
          <w:color w:val="auto"/>
        </w:rPr>
      </w:pPr>
    </w:p>
    <w:p>
      <w:pPr>
        <w:ind w:left="1300" w:hanging="646"/>
        <w:spacing w:after="0"/>
        <w:tabs>
          <w:tab w:leader="none" w:pos="130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6" w:lineRule="exact"/>
        <w:rPr>
          <w:sz w:val="20"/>
          <w:szCs w:val="20"/>
          <w:color w:val="auto"/>
        </w:rPr>
      </w:pPr>
    </w:p>
    <w:p>
      <w:pPr>
        <w:jc w:val="both"/>
        <w:ind w:firstLine="654"/>
        <w:spacing w:after="0" w:line="251" w:lineRule="auto"/>
        <w:tabs>
          <w:tab w:leader="none" w:pos="91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1" w:lineRule="exact"/>
        <w:rPr>
          <w:rFonts w:ascii="Times New Roman" w:cs="Times New Roman" w:eastAsia="Times New Roman" w:hAnsi="Times New Roman"/>
          <w:sz w:val="22"/>
          <w:szCs w:val="22"/>
          <w:color w:val="auto"/>
        </w:rPr>
      </w:pPr>
    </w:p>
    <w:p>
      <w:pPr>
        <w:ind w:left="1300" w:hanging="646"/>
        <w:spacing w:after="0"/>
        <w:tabs>
          <w:tab w:leader="none" w:pos="130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19" w:lineRule="exact"/>
        <w:rPr>
          <w:rFonts w:ascii="Times New Roman" w:cs="Times New Roman" w:eastAsia="Times New Roman" w:hAnsi="Times New Roman"/>
          <w:sz w:val="22"/>
          <w:szCs w:val="22"/>
          <w:color w:val="auto"/>
        </w:rPr>
      </w:pPr>
    </w:p>
    <w:p>
      <w:pPr>
        <w:jc w:val="both"/>
        <w:ind w:firstLine="1301"/>
        <w:spacing w:after="0" w:line="247" w:lineRule="auto"/>
        <w:tabs>
          <w:tab w:leader="none" w:pos="1563"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or any Parent or Subsidiary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HBM3E+ Performance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HBM3E+ Performance Units or sale of Shares, and (iii) any other Service Recipient taxes the responsibility for which Participant has, or has agreed to bear, with respect to the HBM3E+ Performance Units (or settlement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HBM3E+ Performance Units, including, but not limited to, the grant, vesting or settlement of the HBM3E+ Performance Units, the subsequent sale of Shares acquired pursuant to such settlement and the receipt of any dividends or other distributions, and (B) makes any commitment to and is under any obligation to structure the terms of the grant or any aspect of the HBM3E+ Performance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w:t>
      </w:r>
    </w:p>
    <w:p>
      <w:pPr>
        <w:sectPr>
          <w:pgSz w:w="11900" w:h="16838" w:orient="portrait"/>
          <w:cols w:equalWidth="0" w:num="1">
            <w:col w:w="10760"/>
          </w:cols>
          <w:pgMar w:left="700" w:top="1440" w:right="439" w:bottom="1440" w:gutter="0" w:footer="0" w:header="0"/>
        </w:sectPr>
      </w:pPr>
    </w:p>
    <w:bookmarkStart w:id="273" w:name="page274"/>
    <w:bookmarkEnd w:id="273"/>
    <w:p>
      <w:pPr>
        <w:spacing w:after="0" w:line="11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9" w:lineRule="exact"/>
        <w:rPr>
          <w:sz w:val="20"/>
          <w:szCs w:val="20"/>
          <w:color w:val="auto"/>
        </w:rPr>
      </w:pPr>
    </w:p>
    <w:p>
      <w:pPr>
        <w:jc w:val="both"/>
        <w:ind w:firstLine="1301"/>
        <w:spacing w:after="0" w:line="249" w:lineRule="auto"/>
        <w:tabs>
          <w:tab w:leader="none" w:pos="156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When Shares are issued as payment for vested HBM3E+ Performance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95" w:lineRule="exact"/>
        <w:rPr>
          <w:rFonts w:ascii="Times New Roman" w:cs="Times New Roman" w:eastAsia="Times New Roman" w:hAnsi="Times New Roman"/>
          <w:sz w:val="22"/>
          <w:szCs w:val="22"/>
          <w:color w:val="auto"/>
        </w:rPr>
      </w:pPr>
    </w:p>
    <w:p>
      <w:pPr>
        <w:jc w:val="both"/>
        <w:ind w:firstLine="1301"/>
        <w:spacing w:after="0" w:line="260" w:lineRule="auto"/>
        <w:tabs>
          <w:tab w:leader="none" w:pos="1563"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w:t>
      </w:r>
      <w:r>
        <w:rPr>
          <w:rFonts w:ascii="Times New Roman" w:cs="Times New Roman" w:eastAsia="Times New Roman" w:hAnsi="Times New Roman"/>
          <w:sz w:val="21"/>
          <w:szCs w:val="21"/>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171" w:lineRule="exact"/>
        <w:rPr>
          <w:rFonts w:ascii="Times New Roman" w:cs="Times New Roman" w:eastAsia="Times New Roman" w:hAnsi="Times New Roman"/>
          <w:sz w:val="21"/>
          <w:szCs w:val="21"/>
          <w:color w:val="auto"/>
        </w:rPr>
      </w:pPr>
    </w:p>
    <w:p>
      <w:pPr>
        <w:jc w:val="both"/>
        <w:ind w:firstLine="1302"/>
        <w:spacing w:after="0" w:line="250" w:lineRule="auto"/>
        <w:tabs>
          <w:tab w:leader="none" w:pos="156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HBM3E+ Performance Units otherwise are scheduled to vest pursuant to Sections 3 or 4 or Participant’s Tax Withholding Obligations otherwise become due, Participant will permanently forfeit such HBM3E+ Performance Units to which Participant’s Tax Withholding Obligation relates and any right to receive Shares thereunder and such HBM3E+ Performance Units will be returned to the Company at no cost to the Company.</w:t>
      </w:r>
    </w:p>
    <w:p>
      <w:pPr>
        <w:spacing w:after="0" w:line="186" w:lineRule="exact"/>
        <w:rPr>
          <w:rFonts w:ascii="Times New Roman" w:cs="Times New Roman" w:eastAsia="Times New Roman" w:hAnsi="Times New Roman"/>
          <w:sz w:val="22"/>
          <w:szCs w:val="22"/>
          <w:color w:val="auto"/>
        </w:rPr>
      </w:pPr>
    </w:p>
    <w:p>
      <w:pPr>
        <w:jc w:val="both"/>
        <w:ind w:firstLine="653"/>
        <w:spacing w:after="0" w:line="257" w:lineRule="auto"/>
        <w:tabs>
          <w:tab w:leader="none" w:pos="91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If the Company declares and pays a cash dividend on Shares for which the record date occurs while HBM3E+ Performance Units subject to this Award Agreement remain outstanding, then certain cash amounts (referred to as “</w:t>
      </w:r>
      <w:r>
        <w:rPr>
          <w:rFonts w:ascii="Times New Roman" w:cs="Times New Roman" w:eastAsia="Times New Roman" w:hAnsi="Times New Roman"/>
          <w:sz w:val="22"/>
          <w:szCs w:val="22"/>
          <w:u w:val="single" w:color="auto"/>
          <w:color w:val="auto"/>
        </w:rPr>
        <w:t>DEUs</w:t>
      </w:r>
      <w:r>
        <w:rPr>
          <w:rFonts w:ascii="Times New Roman" w:cs="Times New Roman" w:eastAsia="Times New Roman" w:hAnsi="Times New Roman"/>
          <w:sz w:val="22"/>
          <w:szCs w:val="22"/>
          <w:color w:val="auto"/>
        </w:rPr>
        <w:t>”) will be credited under this</w:t>
      </w:r>
    </w:p>
    <w:p>
      <w:pPr>
        <w:sectPr>
          <w:pgSz w:w="11900" w:h="16838" w:orient="portrait"/>
          <w:cols w:equalWidth="0" w:num="1">
            <w:col w:w="10760"/>
          </w:cols>
          <w:pgMar w:left="700" w:top="1440" w:right="439" w:bottom="1440" w:gutter="0" w:footer="0" w:header="0"/>
        </w:sectPr>
      </w:pPr>
    </w:p>
    <w:bookmarkStart w:id="274" w:name="page275"/>
    <w:bookmarkEnd w:id="274"/>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28" w:lineRule="exact"/>
        <w:rPr>
          <w:sz w:val="20"/>
          <w:szCs w:val="20"/>
          <w:color w:val="auto"/>
        </w:rPr>
      </w:pPr>
    </w:p>
    <w:p>
      <w:pPr>
        <w:ind w:left="980" w:hanging="326"/>
        <w:spacing w:after="0"/>
        <w:tabs>
          <w:tab w:leader="none" w:pos="9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is the aggregate cash amount of the DEUs to be credited with respect to that cash dividend.</w:t>
      </w:r>
    </w:p>
    <w:p>
      <w:pPr>
        <w:spacing w:after="0" w:line="219" w:lineRule="exact"/>
        <w:rPr>
          <w:rFonts w:ascii="Times New Roman" w:cs="Times New Roman" w:eastAsia="Times New Roman" w:hAnsi="Times New Roman"/>
          <w:sz w:val="22"/>
          <w:szCs w:val="22"/>
          <w:color w:val="auto"/>
        </w:rPr>
      </w:pPr>
    </w:p>
    <w:p>
      <w:pPr>
        <w:ind w:left="980" w:right="20" w:hanging="326"/>
        <w:spacing w:after="0" w:line="309" w:lineRule="auto"/>
        <w:tabs>
          <w:tab w:leader="none" w:pos="975"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is the amount of the cash dividend paid by the Company to stockholders with respect to one Share. In other words, this amount is the cash amount of each DEU to be credited with respect to a particular cash dividend.</w:t>
      </w:r>
    </w:p>
    <w:p>
      <w:pPr>
        <w:spacing w:after="0" w:line="120" w:lineRule="exact"/>
        <w:rPr>
          <w:rFonts w:ascii="Times New Roman" w:cs="Times New Roman" w:eastAsia="Times New Roman" w:hAnsi="Times New Roman"/>
          <w:sz w:val="21"/>
          <w:szCs w:val="21"/>
          <w:color w:val="auto"/>
        </w:rPr>
      </w:pPr>
    </w:p>
    <w:p>
      <w:pPr>
        <w:ind w:left="980" w:hanging="327"/>
        <w:spacing w:after="0" w:line="271" w:lineRule="auto"/>
        <w:tabs>
          <w:tab w:leader="none" w:pos="97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number of HBM3E+ Performance Units remaining subject to this Award Agreement as of the cash dividend record date but immediately prior to the application of this Section 9 for that cash dividend.</w:t>
      </w:r>
    </w:p>
    <w:p>
      <w:pPr>
        <w:spacing w:after="0" w:line="157" w:lineRule="exact"/>
        <w:rPr>
          <w:rFonts w:ascii="Times New Roman" w:cs="Times New Roman" w:eastAsia="Times New Roman" w:hAnsi="Times New Roman"/>
          <w:sz w:val="22"/>
          <w:szCs w:val="22"/>
          <w:color w:val="auto"/>
        </w:rPr>
      </w:pPr>
    </w:p>
    <w:p>
      <w:pPr>
        <w:jc w:val="both"/>
        <w:ind w:firstLine="1302"/>
        <w:spacing w:after="0" w:line="249" w:lineRule="auto"/>
        <w:tabs>
          <w:tab w:leader="none" w:pos="1563"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DEUs</w:t>
      </w:r>
      <w:r>
        <w:rPr>
          <w:rFonts w:ascii="Times New Roman" w:cs="Times New Roman" w:eastAsia="Times New Roman" w:hAnsi="Times New Roman"/>
          <w:sz w:val="22"/>
          <w:szCs w:val="22"/>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81" w:lineRule="exact"/>
        <w:rPr>
          <w:rFonts w:ascii="Times New Roman" w:cs="Times New Roman" w:eastAsia="Times New Roman" w:hAnsi="Times New Roman"/>
          <w:sz w:val="22"/>
          <w:szCs w:val="22"/>
          <w:color w:val="auto"/>
        </w:rPr>
      </w:pPr>
    </w:p>
    <w:p>
      <w:pPr>
        <w:jc w:val="both"/>
        <w:ind w:right="20" w:firstLine="1301"/>
        <w:spacing w:after="0" w:line="253" w:lineRule="auto"/>
        <w:tabs>
          <w:tab w:leader="none" w:pos="156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General</w:t>
      </w:r>
      <w:r>
        <w:rPr>
          <w:rFonts w:ascii="Times New Roman" w:cs="Times New Roman" w:eastAsia="Times New Roman" w:hAnsi="Times New Roman"/>
          <w:sz w:val="22"/>
          <w:szCs w:val="22"/>
          <w:color w:val="auto"/>
        </w:rPr>
        <w:t>. DEUs credited under this Section 9 will be subject to the same terms and conditions as the other Shares underlying the HBM3E+ Performance Units on which the DEUs were paid including (but not limited to) being settled at the same time as the settlement of the HBM3E+ Performance Units on which the DEUs were paid (but DEUs will be paid in cash and subject to the other provisions of this Section 9 and the Award Agreement). DEUs will not accrue interest and will not be credited with any investment returns related to Shares or otherwise.</w:t>
      </w:r>
    </w:p>
    <w:p>
      <w:pPr>
        <w:spacing w:after="0" w:line="178" w:lineRule="exact"/>
        <w:rPr>
          <w:rFonts w:ascii="Times New Roman" w:cs="Times New Roman" w:eastAsia="Times New Roman" w:hAnsi="Times New Roman"/>
          <w:sz w:val="22"/>
          <w:szCs w:val="22"/>
          <w:color w:val="auto"/>
        </w:rPr>
      </w:pPr>
    </w:p>
    <w:p>
      <w:pPr>
        <w:jc w:val="both"/>
        <w:ind w:firstLine="1301"/>
        <w:spacing w:after="0" w:line="250" w:lineRule="auto"/>
        <w:tabs>
          <w:tab w:leader="none" w:pos="1563"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HBM3E+ Performance Units, DEUs or cash will be credited with respect to any HBM3E+ Performance Units that previously vested and were settled.</w:t>
      </w:r>
    </w:p>
    <w:p>
      <w:pPr>
        <w:sectPr>
          <w:pgSz w:w="11900" w:h="16838" w:orient="portrait"/>
          <w:cols w:equalWidth="0" w:num="1">
            <w:col w:w="10760"/>
          </w:cols>
          <w:pgMar w:left="700" w:top="1440" w:right="439" w:bottom="1440" w:gutter="0" w:footer="0" w:header="0"/>
        </w:sectPr>
      </w:pPr>
    </w:p>
    <w:bookmarkStart w:id="275" w:name="page276"/>
    <w:bookmarkEnd w:id="275"/>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4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HBM3E+ PERFORMANCE UNITS PURSUANT TO THE VESTING SCHEDULE HEREOF IS EARNED ONLY BY REMAINING IN CONTINUOUS STATUS AS A PARTICIPANT, WHICH UNLESS PROVIDED OTHERWISE UNDER APPLICABLE LAW IS AT THE WILL OF THE APPLICABLE SERVICE RECIPIENT AND NOT THROUGH THE ACT OF BEING HIRED, BEING GRANTED THIS HBM3E+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 transfer complies with the QDRO procedures then in effect, as specified by the Committee or the Company.</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HBM3E+ Performance Units, Participant acknowledges, understands and agrees that: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(a)the grant of the HBM3E+ Performance Units is voluntary and occasional and does not create any contractual or other right to receive future grants of equity awards, or benefits in lieu of equity awards, even if equity awards have been granted in the past;</w:t>
      </w:r>
    </w:p>
    <w:p>
      <w:pPr>
        <w:sectPr>
          <w:pgSz w:w="11900" w:h="16838" w:orient="portrait"/>
          <w:cols w:equalWidth="0" w:num="1">
            <w:col w:w="10760"/>
          </w:cols>
          <w:pgMar w:left="700" w:top="1440" w:right="439" w:bottom="1440" w:gutter="0" w:footer="0" w:header="0"/>
        </w:sectPr>
      </w:pPr>
    </w:p>
    <w:bookmarkStart w:id="276" w:name="page277"/>
    <w:bookmarkEnd w:id="276"/>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(b)all decisions with respect to future equity award grants, if any, will be at the sole discretion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w:t>
      </w:r>
    </w:p>
    <w:p>
      <w:pPr>
        <w:spacing w:after="0" w:line="209" w:lineRule="exact"/>
        <w:rPr>
          <w:sz w:val="20"/>
          <w:szCs w:val="20"/>
          <w:color w:val="auto"/>
        </w:rPr>
      </w:pPr>
    </w:p>
    <w:p>
      <w:pPr>
        <w:ind w:left="1940" w:hanging="638"/>
        <w:spacing w:after="0"/>
        <w:tabs>
          <w:tab w:leader="none" w:pos="19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(d)the HBM3E+ Performance Units and the Shares subject to the HBM3E+ Performance Units are not intended to replace any pension rights or compensation;</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(e)the HBM3E+ Performance Units and the Shares subject to the HBM3E+ Performance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20" w:firstLine="1302"/>
        <w:spacing w:after="0" w:line="271" w:lineRule="auto"/>
        <w:tabs>
          <w:tab w:leader="none" w:pos="156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HBM3E+ Performance Units is unknown, indeterminable, and cannot be predicted;</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(g)for purposes of the HBM3E+ Performance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HBM3E+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HBM3E+ Performance Units grant (including whether Participant may still be considered to be providing services while on a leave of absence and consistent with local law);</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(h)unless otherwise provided in the Plan or by the Committee in its discretion, the HBM3E+ Performance Units and the benefits evidenced by this Award Agreement do not create any entitlement to have the HBM3E+ Performance Units or any such benefits transferred to, or assumed by, another company nor be exchanged, cashed out or substituted for, in connection with any corporate transaction affecting the Shares; and</w:t>
      </w:r>
    </w:p>
    <w:p>
      <w:pPr>
        <w:spacing w:after="0" w:line="179" w:lineRule="exact"/>
        <w:rPr>
          <w:sz w:val="20"/>
          <w:szCs w:val="20"/>
          <w:color w:val="auto"/>
        </w:rPr>
      </w:pPr>
    </w:p>
    <w:p>
      <w:pPr>
        <w:ind w:left="1560" w:hanging="258"/>
        <w:spacing w:after="0"/>
        <w:tabs>
          <w:tab w:leader="none" w:pos="156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33" w:lineRule="exact"/>
        <w:rPr>
          <w:rFonts w:ascii="Times New Roman" w:cs="Times New Roman" w:eastAsia="Times New Roman" w:hAnsi="Times New Roman"/>
          <w:sz w:val="22"/>
          <w:szCs w:val="22"/>
          <w:color w:val="auto"/>
        </w:rPr>
      </w:pPr>
    </w:p>
    <w:p>
      <w:pPr>
        <w:ind w:firstLine="1950"/>
        <w:spacing w:after="0" w:line="271" w:lineRule="auto"/>
        <w:tabs>
          <w:tab w:leader="none" w:pos="2202"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HBM3E+ Performance Units and the Shares subject to the HBM3E+ Performance Units are not part of normal or expected compensation or salary for any purpose;</w:t>
      </w:r>
    </w:p>
    <w:p>
      <w:pPr>
        <w:sectPr>
          <w:pgSz w:w="11900" w:h="16838" w:orient="portrait"/>
          <w:cols w:equalWidth="0" w:num="1">
            <w:col w:w="10760"/>
          </w:cols>
          <w:pgMar w:left="700" w:top="1440" w:right="439" w:bottom="1440" w:gutter="0" w:footer="0" w:header="0"/>
        </w:sectPr>
      </w:pPr>
    </w:p>
    <w:bookmarkStart w:id="277" w:name="page278"/>
    <w:bookmarkEnd w:id="277"/>
    <w:p>
      <w:pPr>
        <w:spacing w:after="0" w:line="11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2"/>
          <w:szCs w:val="22"/>
          <w:color w:val="auto"/>
        </w:rPr>
        <w:t>(ii)Participant acknowledges and agrees that no Service Recipient shall be liable for any foreign exchange rate fluctuation between Participant’s local currency and the United States Dollar that may affect the value of the HBM3E+ Performance Units or of any amounts due to Participant pursuant to the settlement of the HBM3E+ Performance Units or the subsequent sale of any Shares acquired upon settlement; and</w:t>
      </w:r>
    </w:p>
    <w:p>
      <w:pPr>
        <w:spacing w:after="0" w:line="176" w:lineRule="exact"/>
        <w:rPr>
          <w:sz w:val="20"/>
          <w:szCs w:val="20"/>
          <w:color w:val="auto"/>
        </w:rPr>
      </w:pPr>
    </w:p>
    <w:p>
      <w:pPr>
        <w:jc w:val="both"/>
        <w:ind w:firstLine="1949"/>
        <w:spacing w:after="0" w:line="248" w:lineRule="auto"/>
        <w:tabs>
          <w:tab w:leader="none" w:pos="286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the forfeiture of the HBM3E+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HBM3E+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HBM3E+ Performance Units. Participant is hereby advised to consult with his or her own personal tax, legal, and financial advisors regarding his or her participation in the Plan before taking any action related to the Plan.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HBM3E+ Performance Unit grant materials by and among, as applicable, the Service Recipients for the exclusive purpose of implementing, administering and managing Participant’s participation in the Plan.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HBM3E+ Performance Units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w:t>
      </w:r>
    </w:p>
    <w:p>
      <w:pPr>
        <w:sectPr>
          <w:pgSz w:w="11900" w:h="16838" w:orient="portrait"/>
          <w:cols w:equalWidth="0" w:num="1">
            <w:col w:w="10760"/>
          </w:cols>
          <w:pgMar w:left="700" w:top="1440" w:right="439" w:bottom="1440" w:gutter="0" w:footer="0" w:header="0"/>
        </w:sectPr>
      </w:pPr>
    </w:p>
    <w:bookmarkStart w:id="278" w:name="page279"/>
    <w:bookmarkEnd w:id="278"/>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HBM3E+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ectPr>
          <w:pgSz w:w="11900" w:h="16838" w:orient="portrait"/>
          <w:cols w:equalWidth="0" w:num="1">
            <w:col w:w="10760"/>
          </w:cols>
          <w:pgMar w:left="700" w:top="1440" w:right="439" w:bottom="1440" w:gutter="0" w:footer="0" w:header="0"/>
        </w:sectPr>
      </w:pPr>
    </w:p>
    <w:bookmarkStart w:id="279" w:name="page280"/>
    <w:bookmarkEnd w:id="279"/>
    <w:p>
      <w:pPr>
        <w:spacing w:after="0" w:line="1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HBM3E+ Performance Units as the Committee may establish from time to time for reasons of administrative convenience.</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HBM3E+ Performance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HBM3E+ Performance Units under the Plan, and has received, read and understood a description of the Plan. Participant understands that the Plan is discretionary in nature and may be amended, suspended, or terminated by the Committee at any time.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w:t>
      </w:r>
    </w:p>
    <w:p>
      <w:pPr>
        <w:sectPr>
          <w:pgSz w:w="11900" w:h="16838" w:orient="portrait"/>
          <w:cols w:equalWidth="0" w:num="1">
            <w:col w:w="10760"/>
          </w:cols>
          <w:pgMar w:left="700" w:top="1440" w:right="439" w:bottom="1440" w:gutter="0" w:footer="0" w:header="0"/>
        </w:sectPr>
      </w:pPr>
    </w:p>
    <w:bookmarkStart w:id="280" w:name="page281"/>
    <w:bookmarkEnd w:id="280"/>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HBM3E+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Award of HBM3E+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HBM3E+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HBM3E+ Performance Units to re-convey, transfer or otherwise return the Shares and/or other amounts to the Company upon the Company’s enforcement of any Clawback Policy or recovery policy.</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27.</w:t>
      </w:r>
      <w:r>
        <w:rPr>
          <w:rFonts w:ascii="Times New Roman" w:cs="Times New Roman" w:eastAsia="Times New Roman" w:hAnsi="Times New Roman"/>
          <w:sz w:val="21"/>
          <w:szCs w:val="21"/>
          <w:u w:val="single" w:color="auto"/>
          <w:color w:val="auto"/>
        </w:rPr>
        <w:t>Governing Law; Venue; Severability</w:t>
      </w:r>
      <w:r>
        <w:rPr>
          <w:rFonts w:ascii="Times New Roman" w:cs="Times New Roman" w:eastAsia="Times New Roman" w:hAnsi="Times New Roman"/>
          <w:sz w:val="21"/>
          <w:szCs w:val="21"/>
          <w:color w:val="auto"/>
        </w:rPr>
        <w:t>. This Award Agreement and the HBM3E+ Performance Units are governed by the internal substantive laws, but not the choice of law rules, of the State of Delaware. For purposes of litigating any dispute that arises under these HBM3E+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w:t>
      </w:r>
    </w:p>
    <w:p>
      <w:pPr>
        <w:sectPr>
          <w:pgSz w:w="11900" w:h="16838" w:orient="portrait"/>
          <w:cols w:equalWidth="0" w:num="1">
            <w:col w:w="10760"/>
          </w:cols>
          <w:pgMar w:left="700" w:top="1440" w:right="439" w:bottom="1440" w:gutter="0" w:footer="0" w:header="0"/>
        </w:sectPr>
      </w:pPr>
    </w:p>
    <w:bookmarkStart w:id="281" w:name="page282"/>
    <w:bookmarkEnd w:id="281"/>
    <w:p>
      <w:pPr>
        <w:spacing w:after="0" w:line="1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agreement of the parties with respect to the subject matter hereof and supersede in their entirety all prior undertakings and agreements of the Company and Participant with respect to the subject matter hereof.</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HBM3E+ Performance Unit grant shall be subject to any special terms and conditions set forth in an appendix (if any) to this Award Agreement for any country whose laws are applicable to Participant and this HBM3E+ Performance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0"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282" w:name="page283"/>
    <w:bookmarkEnd w:id="282"/>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ADDITIONAL TERMS OF HBM3E+ PERFORMANCE UNITS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HBM3E+ Performance Units may be earned, in whole or in part, based on (i) Participant’s Continuous Status as a Participant, and (ii) the achievement of the performance goals, as set forth below.</w:t>
      </w:r>
    </w:p>
    <w:p>
      <w:pPr>
        <w:spacing w:after="0" w:line="15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u w:val="single" w:color="auto"/>
          <w:color w:val="auto"/>
        </w:rPr>
        <w:t>Performance Period</w:t>
      </w:r>
      <w:r>
        <w:rPr>
          <w:rFonts w:ascii="Times New Roman" w:cs="Times New Roman" w:eastAsia="Times New Roman" w:hAnsi="Times New Roman"/>
          <w:sz w:val="21"/>
          <w:szCs w:val="21"/>
          <w:color w:val="auto"/>
        </w:rPr>
        <w:t>. For purposes of this Award of HBM3E+ Performance Units,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the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three fiscal years of the Company (“</w:t>
      </w:r>
      <w:r>
        <w:rPr>
          <w:rFonts w:ascii="Times New Roman" w:cs="Times New Roman" w:eastAsia="Times New Roman" w:hAnsi="Times New Roman"/>
          <w:sz w:val="21"/>
          <w:szCs w:val="21"/>
          <w:u w:val="single" w:color="auto"/>
          <w:color w:val="auto"/>
        </w:rPr>
        <w:t>Fiscal Years</w:t>
      </w:r>
      <w:r>
        <w:rPr>
          <w:rFonts w:ascii="Times New Roman" w:cs="Times New Roman" w:eastAsia="Times New Roman" w:hAnsi="Times New Roman"/>
          <w:sz w:val="21"/>
          <w:szCs w:val="21"/>
          <w:color w:val="auto"/>
        </w:rPr>
        <w:t>”) beginning August 30, 2024, and ending on September 2, 2027.</w:t>
      </w:r>
    </w:p>
    <w:p>
      <w:pPr>
        <w:spacing w:after="0" w:line="14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HBM3E+ Performance Units are eligible to be earned, assuming at-target achievement of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share or shipments relating to HBM3E+ (as defined below) (such performance goal, the “</w:t>
      </w:r>
      <w:r>
        <w:rPr>
          <w:rFonts w:ascii="Times New Roman" w:cs="Times New Roman" w:eastAsia="Times New Roman" w:hAnsi="Times New Roman"/>
          <w:sz w:val="22"/>
          <w:szCs w:val="22"/>
          <w:u w:val="single" w:color="auto"/>
          <w:color w:val="auto"/>
        </w:rPr>
        <w:t>HBM3E+ Goal</w:t>
      </w:r>
      <w:r>
        <w:rPr>
          <w:rFonts w:ascii="Times New Roman" w:cs="Times New Roman" w:eastAsia="Times New Roman" w:hAnsi="Times New Roman"/>
          <w:sz w:val="22"/>
          <w:szCs w:val="22"/>
          <w:color w:val="auto"/>
        </w:rPr>
        <w:t>”), as described further below. The Target Number of Shares Subject to HBM3E+ Performance Units (as set forth in the Notice of Grant), as may be adjusted as specified herein, is referred to herein as “</w:t>
      </w:r>
      <w:r>
        <w:rPr>
          <w:rFonts w:ascii="Times New Roman" w:cs="Times New Roman" w:eastAsia="Times New Roman" w:hAnsi="Times New Roman"/>
          <w:sz w:val="22"/>
          <w:szCs w:val="22"/>
          <w:u w:val="single" w:color="auto"/>
          <w:color w:val="auto"/>
        </w:rPr>
        <w:t>Target Units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HBM3E+ Goal</w:t>
      </w:r>
      <w:r>
        <w:rPr>
          <w:rFonts w:ascii="Times New Roman" w:cs="Times New Roman" w:eastAsia="Times New Roman" w:hAnsi="Times New Roman"/>
          <w:sz w:val="22"/>
          <w:szCs w:val="22"/>
          <w:color w:val="auto"/>
        </w:rPr>
        <w:t>. The actual number of HBM3E+ Performance Units that may be earned under this Award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reference to the payout factor (the “</w:t>
      </w:r>
      <w:r>
        <w:rPr>
          <w:rFonts w:ascii="Times New Roman" w:cs="Times New Roman" w:eastAsia="Times New Roman" w:hAnsi="Times New Roman"/>
          <w:sz w:val="22"/>
          <w:szCs w:val="22"/>
          <w:u w:val="single" w:color="auto"/>
          <w:color w:val="auto"/>
        </w:rPr>
        <w:t>HBM3E+ Payout Factor</w:t>
      </w:r>
      <w:r>
        <w:rPr>
          <w:rFonts w:ascii="Times New Roman" w:cs="Times New Roman" w:eastAsia="Times New Roman" w:hAnsi="Times New Roman"/>
          <w:sz w:val="22"/>
          <w:szCs w:val="22"/>
          <w:color w:val="auto"/>
        </w:rPr>
        <w:t>”) and based on the performance achievement level of the HBM3E+ Goal, as set forth below, subject to adjustment as set forth below.</w:t>
      </w:r>
    </w:p>
    <w:p>
      <w:pPr>
        <w:spacing w:after="0" w:line="165" w:lineRule="exact"/>
        <w:rPr>
          <w:sz w:val="20"/>
          <w:szCs w:val="20"/>
          <w:color w:val="auto"/>
        </w:rPr>
      </w:pPr>
    </w:p>
    <w:p>
      <w:pPr>
        <w:ind w:left="660" w:hanging="330"/>
        <w:spacing w:after="0" w:line="271" w:lineRule="auto"/>
        <w:tabs>
          <w:tab w:leader="none" w:pos="65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2026, the actual number of HBM3E+ Performance Units earned, if any, under this Award will be determined by multiplying (i) the number of Target Units, by (ii) the applicable HBM3E+ Payout Factor.</w:t>
      </w:r>
    </w:p>
    <w:p>
      <w:pPr>
        <w:spacing w:after="0" w:line="157" w:lineRule="exact"/>
        <w:rPr>
          <w:rFonts w:ascii="Times New Roman" w:cs="Times New Roman" w:eastAsia="Times New Roman" w:hAnsi="Times New Roman"/>
          <w:sz w:val="22"/>
          <w:szCs w:val="22"/>
          <w:color w:val="auto"/>
        </w:rPr>
      </w:pPr>
    </w:p>
    <w:p>
      <w:pPr>
        <w:jc w:val="both"/>
        <w:ind w:left="660" w:hanging="331"/>
        <w:spacing w:after="0" w:line="255" w:lineRule="auto"/>
        <w:tabs>
          <w:tab w:leader="none" w:pos="65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Fiscal Year 2027, to the extent that the applicable HBM3E+ Payout Factor exceeds the HBM3E+ Payout Factor of Fiscal Year 2026, then the actual number of HBM3E+ Performance Units earned, if any, under this Award in Fiscal Year 2027 will be determined by multiplying</w:t>
      </w:r>
    </w:p>
    <w:p>
      <w:pPr>
        <w:ind w:left="660"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number of Target Units, by (ii) the excess of the applicable HBM3E+ Payout Factor in Fiscal Year 2027 over the HBM3E+ Payout Factor of Fiscal Year 2026.</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HBM3E+ Payout Factor may range from 0.00x to a maximum of 2.00x. Therefore, more or less than 100% of the Target Units may be earned during the Performance Period based on the level of achievement measured against the HBM3E+ Goal. Additionally, the HBM3E+ Payout Factor determined pursuant to the below may be increased as a result of the Operational Additional Performance Conditions (as defined below).</w:t>
      </w:r>
    </w:p>
    <w:p>
      <w:pPr>
        <w:sectPr>
          <w:pgSz w:w="11900" w:h="16838" w:orient="portrait"/>
          <w:cols w:equalWidth="0" w:num="1">
            <w:col w:w="10760"/>
          </w:cols>
          <w:pgMar w:left="700" w:top="1440" w:right="439" w:bottom="1440" w:gutter="0" w:footer="0" w:header="0"/>
        </w:sectPr>
      </w:pPr>
    </w:p>
    <w:bookmarkStart w:id="283" w:name="page284"/>
    <w:bookmarkEnd w:id="283"/>
    <w:tbl>
      <w:tblPr>
        <w:tblLayout w:type="fixed"/>
        <w:tblInd w:w="10" w:type="dxa"/>
        <w:tblCellMar>
          <w:top w:w="0" w:type="dxa"/>
          <w:left w:w="0" w:type="dxa"/>
          <w:bottom w:w="0" w:type="dxa"/>
          <w:right w:w="0" w:type="dxa"/>
        </w:tblCellMar>
      </w:tblPr>
      <w:tr>
        <w:trPr>
          <w:trHeight w:val="531"/>
        </w:trPr>
        <w:tc>
          <w:tcPr>
            <w:tcW w:w="1620" w:type="dxa"/>
            <w:vAlign w:val="bottom"/>
            <w:tcBorders>
              <w:top w:val="single" w:sz="8" w:color="auto"/>
              <w:left w:val="single" w:sz="8" w:color="auto"/>
              <w:bottom w:val="single" w:sz="8" w:color="D9D9D9"/>
              <w:right w:val="single" w:sz="8" w:color="D9D9D9"/>
            </w:tcBorders>
            <w:shd w:val="clear" w:color="auto" w:fill="D9D9D9"/>
          </w:tcPr>
          <w:p>
            <w:pPr>
              <w:spacing w:after="0"/>
              <w:rPr>
                <w:sz w:val="24"/>
                <w:szCs w:val="24"/>
                <w:color w:val="auto"/>
              </w:rPr>
            </w:pPr>
          </w:p>
        </w:tc>
        <w:tc>
          <w:tcPr>
            <w:tcW w:w="18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46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3020" w:type="dxa"/>
            <w:vAlign w:val="bottom"/>
            <w:tcBorders>
              <w:top w:val="single" w:sz="8" w:color="auto"/>
              <w:bottom w:val="single" w:sz="8" w:color="D9D9D9"/>
            </w:tcBorders>
            <w:gridSpan w:val="3"/>
            <w:shd w:val="clear" w:color="auto" w:fill="D9D9D9"/>
          </w:tcPr>
          <w:p>
            <w:pPr>
              <w:ind w:left="900"/>
              <w:spacing w:after="0"/>
              <w:rPr>
                <w:sz w:val="20"/>
                <w:szCs w:val="20"/>
                <w:color w:val="auto"/>
              </w:rPr>
            </w:pPr>
            <w:r>
              <w:rPr>
                <w:rFonts w:ascii="Times New Roman" w:cs="Times New Roman" w:eastAsia="Times New Roman" w:hAnsi="Times New Roman"/>
                <w:sz w:val="20"/>
                <w:szCs w:val="20"/>
                <w:b w:val="1"/>
                <w:bCs w:val="1"/>
                <w:color w:val="auto"/>
              </w:rPr>
              <w:t>HBM3E+ Payout Factor</w:t>
            </w:r>
          </w:p>
        </w:tc>
        <w:tc>
          <w:tcPr>
            <w:tcW w:w="136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9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Fiscal Year</w:t>
            </w:r>
          </w:p>
        </w:tc>
        <w:tc>
          <w:tcPr>
            <w:tcW w:w="1820" w:type="dxa"/>
            <w:vAlign w:val="bottom"/>
            <w:tcBorders>
              <w:top w:val="single" w:sz="8" w:color="auto"/>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20"/>
                <w:szCs w:val="20"/>
                <w:b w:val="1"/>
                <w:bCs w:val="1"/>
                <w:color w:val="auto"/>
              </w:rPr>
              <w:t>HBM3E+ Goal</w:t>
            </w:r>
          </w:p>
        </w:tc>
        <w:tc>
          <w:tcPr>
            <w:tcW w:w="1460" w:type="dxa"/>
            <w:vAlign w:val="bottom"/>
            <w:tcBorders>
              <w:top w:val="single" w:sz="8" w:color="auto"/>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rPr>
              <w:t>0.00x</w:t>
            </w:r>
          </w:p>
        </w:tc>
        <w:tc>
          <w:tcPr>
            <w:tcW w:w="1460" w:type="dxa"/>
            <w:vAlign w:val="bottom"/>
            <w:tcBorders>
              <w:top w:val="single" w:sz="8" w:color="auto"/>
              <w:right w:val="single" w:sz="8" w:color="auto"/>
            </w:tcBorders>
            <w:vMerge w:val="restart"/>
            <w:shd w:val="clear" w:color="auto" w:fill="D9D9D9"/>
          </w:tcPr>
          <w:p>
            <w:pPr>
              <w:ind w:left="540"/>
              <w:spacing w:after="0"/>
              <w:rPr>
                <w:sz w:val="20"/>
                <w:szCs w:val="20"/>
                <w:color w:val="auto"/>
              </w:rPr>
            </w:pPr>
            <w:r>
              <w:rPr>
                <w:rFonts w:ascii="Times New Roman" w:cs="Times New Roman" w:eastAsia="Times New Roman" w:hAnsi="Times New Roman"/>
                <w:sz w:val="20"/>
                <w:szCs w:val="20"/>
                <w:b w:val="1"/>
                <w:bCs w:val="1"/>
                <w:color w:val="auto"/>
              </w:rPr>
              <w:t>0.5x</w:t>
            </w:r>
          </w:p>
        </w:tc>
        <w:tc>
          <w:tcPr>
            <w:tcW w:w="14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1.0x</w:t>
            </w:r>
          </w:p>
        </w:tc>
        <w:tc>
          <w:tcPr>
            <w:tcW w:w="100" w:type="dxa"/>
            <w:vAlign w:val="bottom"/>
            <w:tcBorders>
              <w:top w:val="single" w:sz="8" w:color="auto"/>
            </w:tcBorders>
            <w:shd w:val="clear" w:color="auto" w:fill="D9D9D9"/>
          </w:tcPr>
          <w:p>
            <w:pPr>
              <w:spacing w:after="0"/>
              <w:rPr>
                <w:sz w:val="22"/>
                <w:szCs w:val="22"/>
                <w:color w:val="auto"/>
              </w:rPr>
            </w:pPr>
          </w:p>
        </w:tc>
        <w:tc>
          <w:tcPr>
            <w:tcW w:w="1360" w:type="dxa"/>
            <w:vAlign w:val="bottom"/>
            <w:tcBorders>
              <w:top w:val="single" w:sz="8" w:color="auto"/>
              <w:right w:val="single" w:sz="8" w:color="auto"/>
            </w:tcBorders>
            <w:shd w:val="clear" w:color="auto" w:fill="D9D9D9"/>
          </w:tcPr>
          <w:p>
            <w:pPr>
              <w:jc w:val="center"/>
              <w:ind w:right="301"/>
              <w:spacing w:after="0"/>
              <w:rPr>
                <w:sz w:val="20"/>
                <w:szCs w:val="20"/>
                <w:color w:val="auto"/>
              </w:rPr>
            </w:pPr>
            <w:r>
              <w:rPr>
                <w:rFonts w:ascii="Times New Roman" w:cs="Times New Roman" w:eastAsia="Times New Roman" w:hAnsi="Times New Roman"/>
                <w:sz w:val="20"/>
                <w:szCs w:val="20"/>
                <w:b w:val="1"/>
                <w:bCs w:val="1"/>
                <w:color w:val="auto"/>
                <w:w w:val="97"/>
              </w:rPr>
              <w:t>1.50x</w:t>
            </w:r>
          </w:p>
        </w:tc>
        <w:tc>
          <w:tcPr>
            <w:tcW w:w="980" w:type="dxa"/>
            <w:vAlign w:val="bottom"/>
            <w:tcBorders>
              <w:top w:val="single" w:sz="8" w:color="auto"/>
              <w:right w:val="single" w:sz="8" w:color="auto"/>
            </w:tcBorders>
            <w:shd w:val="clear" w:color="auto" w:fill="D9D9D9"/>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rPr>
              <w:t>2.00x</w:t>
            </w:r>
          </w:p>
        </w:tc>
        <w:tc>
          <w:tcPr>
            <w:tcW w:w="0" w:type="dxa"/>
            <w:vAlign w:val="bottom"/>
          </w:tcPr>
          <w:p>
            <w:pPr>
              <w:spacing w:after="0"/>
              <w:rPr>
                <w:sz w:val="1"/>
                <w:szCs w:val="1"/>
                <w:color w:val="auto"/>
              </w:rPr>
            </w:pPr>
          </w:p>
        </w:tc>
      </w:tr>
      <w:tr>
        <w:trPr>
          <w:trHeight w:val="251"/>
        </w:trPr>
        <w:tc>
          <w:tcPr>
            <w:tcW w:w="1620" w:type="dxa"/>
            <w:vAlign w:val="bottom"/>
            <w:tcBorders>
              <w:left w:val="single" w:sz="8" w:color="auto"/>
              <w:bottom w:val="single" w:sz="8" w:color="D9D9D9"/>
              <w:right w:val="single" w:sz="8" w:color="auto"/>
            </w:tcBorders>
            <w:vMerge w:val="continue"/>
            <w:shd w:val="clear" w:color="auto" w:fill="D9D9D9"/>
          </w:tcPr>
          <w:p>
            <w:pPr>
              <w:spacing w:after="0"/>
              <w:rPr>
                <w:sz w:val="21"/>
                <w:szCs w:val="21"/>
                <w:color w:val="auto"/>
              </w:rPr>
            </w:pPr>
          </w:p>
        </w:tc>
        <w:tc>
          <w:tcPr>
            <w:tcW w:w="1820" w:type="dxa"/>
            <w:vAlign w:val="bottom"/>
            <w:tcBorders>
              <w:bottom w:val="single" w:sz="8" w:color="D9D9D9"/>
              <w:right w:val="single" w:sz="8" w:color="auto"/>
            </w:tcBorders>
            <w:vMerge w:val="continue"/>
            <w:shd w:val="clear" w:color="auto" w:fill="D9D9D9"/>
          </w:tcPr>
          <w:p>
            <w:pPr>
              <w:spacing w:after="0"/>
              <w:rPr>
                <w:sz w:val="21"/>
                <w:szCs w:val="21"/>
                <w:color w:val="auto"/>
              </w:rPr>
            </w:pPr>
          </w:p>
        </w:tc>
        <w:tc>
          <w:tcPr>
            <w:tcW w:w="1460" w:type="dxa"/>
            <w:vAlign w:val="bottom"/>
            <w:tcBorders>
              <w:bottom w:val="single" w:sz="8" w:color="D9D9D9"/>
              <w:right w:val="single" w:sz="8" w:color="auto"/>
            </w:tcBorders>
            <w:shd w:val="clear" w:color="auto" w:fill="D9D9D9"/>
          </w:tcPr>
          <w:p>
            <w:pPr>
              <w:spacing w:after="0"/>
              <w:rPr>
                <w:sz w:val="21"/>
                <w:szCs w:val="21"/>
                <w:color w:val="auto"/>
              </w:rPr>
            </w:pPr>
          </w:p>
        </w:tc>
        <w:tc>
          <w:tcPr>
            <w:tcW w:w="1460" w:type="dxa"/>
            <w:vAlign w:val="bottom"/>
            <w:tcBorders>
              <w:bottom w:val="single" w:sz="8" w:color="D9D9D9"/>
              <w:right w:val="single" w:sz="8" w:color="auto"/>
            </w:tcBorders>
            <w:vMerge w:val="continue"/>
            <w:shd w:val="clear" w:color="auto" w:fill="D9D9D9"/>
          </w:tcPr>
          <w:p>
            <w:pPr>
              <w:spacing w:after="0"/>
              <w:rPr>
                <w:sz w:val="21"/>
                <w:szCs w:val="21"/>
                <w:color w:val="auto"/>
              </w:rPr>
            </w:pPr>
          </w:p>
        </w:tc>
        <w:tc>
          <w:tcPr>
            <w:tcW w:w="1460" w:type="dxa"/>
            <w:vAlign w:val="bottom"/>
            <w:tcBorders>
              <w:bottom w:val="single" w:sz="8" w:color="D9D9D9"/>
              <w:right w:val="single" w:sz="8" w:color="auto"/>
            </w:tcBorders>
            <w:vMerge w:val="continue"/>
            <w:shd w:val="clear" w:color="auto" w:fill="D9D9D9"/>
          </w:tcPr>
          <w:p>
            <w:pPr>
              <w:spacing w:after="0"/>
              <w:rPr>
                <w:sz w:val="21"/>
                <w:szCs w:val="21"/>
                <w:color w:val="auto"/>
              </w:rPr>
            </w:pPr>
          </w:p>
        </w:tc>
        <w:tc>
          <w:tcPr>
            <w:tcW w:w="100" w:type="dxa"/>
            <w:vAlign w:val="bottom"/>
            <w:tcBorders>
              <w:bottom w:val="single" w:sz="8" w:color="D9D9D9"/>
            </w:tcBorders>
            <w:shd w:val="clear" w:color="auto" w:fill="D9D9D9"/>
          </w:tcPr>
          <w:p>
            <w:pPr>
              <w:spacing w:after="0"/>
              <w:rPr>
                <w:sz w:val="21"/>
                <w:szCs w:val="21"/>
                <w:color w:val="auto"/>
              </w:rPr>
            </w:pPr>
          </w:p>
        </w:tc>
        <w:tc>
          <w:tcPr>
            <w:tcW w:w="1360" w:type="dxa"/>
            <w:vAlign w:val="bottom"/>
            <w:tcBorders>
              <w:bottom w:val="single" w:sz="8" w:color="D9D9D9"/>
              <w:right w:val="single" w:sz="8" w:color="auto"/>
            </w:tcBorders>
            <w:shd w:val="clear" w:color="auto" w:fill="D9D9D9"/>
          </w:tcPr>
          <w:p>
            <w:pPr>
              <w:spacing w:after="0"/>
              <w:rPr>
                <w:sz w:val="21"/>
                <w:szCs w:val="21"/>
                <w:color w:val="auto"/>
              </w:rPr>
            </w:pPr>
          </w:p>
        </w:tc>
        <w:tc>
          <w:tcPr>
            <w:tcW w:w="980" w:type="dxa"/>
            <w:vAlign w:val="bottom"/>
            <w:tcBorders>
              <w:bottom w:val="single" w:sz="8" w:color="D9D9D9"/>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335"/>
        </w:trPr>
        <w:tc>
          <w:tcPr>
            <w:tcW w:w="1620" w:type="dxa"/>
            <w:vAlign w:val="bottom"/>
            <w:tcBorders>
              <w:top w:val="single" w:sz="8" w:color="auto"/>
              <w:left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20"/>
                <w:szCs w:val="20"/>
                <w:color w:val="auto"/>
              </w:rPr>
              <w:t>17.00%</w:t>
            </w:r>
          </w:p>
        </w:tc>
        <w:tc>
          <w:tcPr>
            <w:tcW w:w="146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22.00%</w:t>
            </w: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24.50%</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8"/>
              </w:rPr>
              <w:t>20.00% or</w:t>
            </w:r>
          </w:p>
        </w:tc>
        <w:tc>
          <w:tcPr>
            <w:tcW w:w="14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rPr>
              <w:t>23.50% or</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or</w:t>
            </w: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8"/>
              </w:rPr>
              <w:t>or 3.20 B</w:t>
            </w: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or 4.20 B</w:t>
            </w:r>
          </w:p>
        </w:tc>
        <w:tc>
          <w:tcPr>
            <w:tcW w:w="100" w:type="dxa"/>
            <w:vAlign w:val="bottom"/>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HBM3E+</w:t>
            </w:r>
          </w:p>
        </w:tc>
        <w:tc>
          <w:tcPr>
            <w:tcW w:w="14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9"/>
              </w:rPr>
              <w:t>3.60 B Gbs</w:t>
            </w:r>
          </w:p>
        </w:tc>
        <w:tc>
          <w:tcPr>
            <w:tcW w:w="146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7"/>
              </w:rPr>
              <w:t>5.20 B Gbs</w:t>
            </w:r>
          </w:p>
        </w:tc>
        <w:tc>
          <w:tcPr>
            <w:tcW w:w="980" w:type="dxa"/>
            <w:vAlign w:val="bottom"/>
            <w:tcBorders>
              <w:right w:val="single" w:sz="8" w:color="auto"/>
            </w:tcBorders>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rPr>
              <w:t>5.43 B</w:t>
            </w: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9"/>
              </w:rPr>
              <w:t>Gbs*</w:t>
            </w: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Gbs</w:t>
            </w:r>
          </w:p>
        </w:tc>
        <w:tc>
          <w:tcPr>
            <w:tcW w:w="100" w:type="dxa"/>
            <w:vAlign w:val="bottom"/>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62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Market Share or</w:t>
            </w:r>
          </w:p>
        </w:tc>
        <w:tc>
          <w:tcPr>
            <w:tcW w:w="14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Gbs</w:t>
            </w:r>
          </w:p>
        </w:tc>
        <w:tc>
          <w:tcPr>
            <w:tcW w:w="0" w:type="dxa"/>
            <w:vAlign w:val="bottom"/>
          </w:tcPr>
          <w:p>
            <w:pPr>
              <w:spacing w:after="0"/>
              <w:rPr>
                <w:sz w:val="1"/>
                <w:szCs w:val="1"/>
                <w:color w:val="auto"/>
              </w:rPr>
            </w:pPr>
          </w:p>
        </w:tc>
      </w:tr>
      <w:tr>
        <w:trPr>
          <w:trHeight w:val="120"/>
        </w:trPr>
        <w:tc>
          <w:tcPr>
            <w:tcW w:w="162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HBM3E+ Bit</w:t>
            </w:r>
          </w:p>
        </w:tc>
        <w:tc>
          <w:tcPr>
            <w:tcW w:w="146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2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17.00%</w:t>
            </w:r>
          </w:p>
        </w:tc>
        <w:tc>
          <w:tcPr>
            <w:tcW w:w="1460" w:type="dxa"/>
            <w:vAlign w:val="bottom"/>
            <w:tcBorders>
              <w:right w:val="single" w:sz="8" w:color="auto"/>
            </w:tcBorders>
            <w:vMerge w:val="restart"/>
          </w:tcPr>
          <w:p>
            <w:pPr>
              <w:jc w:val="center"/>
              <w:ind w:right="181"/>
              <w:spacing w:after="0"/>
              <w:rPr>
                <w:sz w:val="20"/>
                <w:szCs w:val="20"/>
                <w:color w:val="auto"/>
              </w:rPr>
            </w:pPr>
            <w:r>
              <w:rPr>
                <w:rFonts w:ascii="Times New Roman" w:cs="Times New Roman" w:eastAsia="Times New Roman" w:hAnsi="Times New Roman"/>
                <w:sz w:val="20"/>
                <w:szCs w:val="20"/>
                <w:color w:val="auto"/>
                <w:w w:val="98"/>
              </w:rPr>
              <w:t>20.00% or</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22.00%</w:t>
            </w:r>
          </w:p>
        </w:tc>
        <w:tc>
          <w:tcPr>
            <w:tcW w:w="100" w:type="dxa"/>
            <w:vAlign w:val="bottom"/>
          </w:tcPr>
          <w:p>
            <w:pPr>
              <w:spacing w:after="0"/>
              <w:rPr>
                <w:sz w:val="12"/>
                <w:szCs w:val="12"/>
                <w:color w:val="auto"/>
              </w:rPr>
            </w:pPr>
          </w:p>
        </w:tc>
        <w:tc>
          <w:tcPr>
            <w:tcW w:w="1360" w:type="dxa"/>
            <w:vAlign w:val="bottom"/>
            <w:tcBorders>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20"/>
                <w:szCs w:val="20"/>
                <w:color w:val="auto"/>
                <w:w w:val="97"/>
              </w:rPr>
              <w:t>23.50%</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24.50%</w:t>
            </w: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9"/>
              </w:rPr>
              <w:t>Shipments</w:t>
            </w:r>
          </w:p>
        </w:tc>
        <w:tc>
          <w:tcPr>
            <w:tcW w:w="1460" w:type="dxa"/>
            <w:vAlign w:val="bottom"/>
            <w:tcBorders>
              <w:right w:val="single" w:sz="8" w:color="auto"/>
            </w:tcBorders>
            <w:vMerge w:val="continue"/>
          </w:tcPr>
          <w:p>
            <w:pPr>
              <w:spacing w:after="0"/>
              <w:rPr>
                <w:sz w:val="17"/>
                <w:szCs w:val="17"/>
                <w:color w:val="auto"/>
              </w:rPr>
            </w:pPr>
          </w:p>
        </w:tc>
        <w:tc>
          <w:tcPr>
            <w:tcW w:w="1460" w:type="dxa"/>
            <w:vAlign w:val="bottom"/>
            <w:tcBorders>
              <w:right w:val="single" w:sz="8" w:color="auto"/>
            </w:tcBorders>
            <w:vMerge w:val="continue"/>
          </w:tcPr>
          <w:p>
            <w:pPr>
              <w:spacing w:after="0"/>
              <w:rPr>
                <w:sz w:val="17"/>
                <w:szCs w:val="17"/>
                <w:color w:val="auto"/>
              </w:rPr>
            </w:pPr>
          </w:p>
        </w:tc>
        <w:tc>
          <w:tcPr>
            <w:tcW w:w="146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right w:val="single" w:sz="8" w:color="auto"/>
            </w:tcBorders>
            <w:vMerge w:val="continue"/>
          </w:tcPr>
          <w:p>
            <w:pPr>
              <w:spacing w:after="0"/>
              <w:rPr>
                <w:sz w:val="17"/>
                <w:szCs w:val="17"/>
                <w:color w:val="auto"/>
              </w:rPr>
            </w:pPr>
          </w:p>
        </w:tc>
        <w:tc>
          <w:tcPr>
            <w:tcW w:w="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2027</w:t>
            </w:r>
          </w:p>
        </w:tc>
        <w:tc>
          <w:tcPr>
            <w:tcW w:w="18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or 4.50 B</w:t>
            </w:r>
          </w:p>
        </w:tc>
        <w:tc>
          <w:tcPr>
            <w:tcW w:w="1460" w:type="dxa"/>
            <w:vAlign w:val="bottom"/>
            <w:tcBorders>
              <w:right w:val="single" w:sz="8" w:color="auto"/>
            </w:tcBorders>
          </w:tcPr>
          <w:p>
            <w:pPr>
              <w:jc w:val="center"/>
              <w:ind w:right="181"/>
              <w:spacing w:after="0" w:line="220" w:lineRule="exact"/>
              <w:rPr>
                <w:sz w:val="20"/>
                <w:szCs w:val="20"/>
                <w:color w:val="auto"/>
              </w:rPr>
            </w:pPr>
            <w:r>
              <w:rPr>
                <w:rFonts w:ascii="Times New Roman" w:cs="Times New Roman" w:eastAsia="Times New Roman" w:hAnsi="Times New Roman"/>
                <w:sz w:val="20"/>
                <w:szCs w:val="20"/>
                <w:color w:val="auto"/>
                <w:w w:val="99"/>
              </w:rPr>
              <w:t>5.00 B Gbs</w:t>
            </w:r>
          </w:p>
        </w:tc>
        <w:tc>
          <w:tcPr>
            <w:tcW w:w="146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or 5.50 B</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center"/>
              <w:ind w:right="41"/>
              <w:spacing w:after="0" w:line="220" w:lineRule="exact"/>
              <w:rPr>
                <w:sz w:val="20"/>
                <w:szCs w:val="20"/>
                <w:color w:val="auto"/>
              </w:rPr>
            </w:pPr>
            <w:r>
              <w:rPr>
                <w:rFonts w:ascii="Times New Roman" w:cs="Times New Roman" w:eastAsia="Times New Roman" w:hAnsi="Times New Roman"/>
                <w:sz w:val="20"/>
                <w:szCs w:val="20"/>
                <w:color w:val="auto"/>
                <w:w w:val="98"/>
              </w:rPr>
              <w:t>or 6.78 B</w:t>
            </w:r>
          </w:p>
        </w:tc>
        <w:tc>
          <w:tcPr>
            <w:tcW w:w="980" w:type="dxa"/>
            <w:vAlign w:val="bottom"/>
            <w:tcBorders>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5"/>
              </w:rPr>
              <w:t>or</w:t>
            </w:r>
          </w:p>
        </w:tc>
        <w:tc>
          <w:tcPr>
            <w:tcW w:w="0" w:type="dxa"/>
            <w:vAlign w:val="bottom"/>
          </w:tcPr>
          <w:p>
            <w:pPr>
              <w:spacing w:after="0"/>
              <w:rPr>
                <w:sz w:val="1"/>
                <w:szCs w:val="1"/>
                <w:color w:val="auto"/>
              </w:rPr>
            </w:pPr>
          </w:p>
        </w:tc>
      </w:tr>
      <w:tr>
        <w:trPr>
          <w:trHeight w:val="150"/>
        </w:trPr>
        <w:tc>
          <w:tcPr>
            <w:tcW w:w="1620" w:type="dxa"/>
            <w:vAlign w:val="bottom"/>
            <w:tcBorders>
              <w:left w:val="single" w:sz="8" w:color="auto"/>
              <w:right w:val="single" w:sz="8" w:color="auto"/>
            </w:tcBorders>
            <w:vMerge w:val="continue"/>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Gbs</w:t>
            </w: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Gbs</w:t>
            </w:r>
          </w:p>
        </w:tc>
        <w:tc>
          <w:tcPr>
            <w:tcW w:w="100" w:type="dxa"/>
            <w:vAlign w:val="bottom"/>
          </w:tcPr>
          <w:p>
            <w:pPr>
              <w:spacing w:after="0"/>
              <w:rPr>
                <w:sz w:val="13"/>
                <w:szCs w:val="13"/>
                <w:color w:val="auto"/>
              </w:rPr>
            </w:pPr>
          </w:p>
        </w:tc>
        <w:tc>
          <w:tcPr>
            <w:tcW w:w="1360" w:type="dxa"/>
            <w:vAlign w:val="bottom"/>
            <w:tcBorders>
              <w:right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20"/>
                <w:szCs w:val="20"/>
                <w:color w:val="auto"/>
                <w:w w:val="99"/>
              </w:rPr>
              <w:t>Gbs</w:t>
            </w:r>
          </w:p>
        </w:tc>
        <w:tc>
          <w:tcPr>
            <w:tcW w:w="980" w:type="dxa"/>
            <w:vAlign w:val="bottom"/>
            <w:tcBorders>
              <w:right w:val="single" w:sz="8" w:color="auto"/>
            </w:tcBorders>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rPr>
              <w:t>7.10 B</w:t>
            </w:r>
          </w:p>
        </w:tc>
        <w:tc>
          <w:tcPr>
            <w:tcW w:w="0" w:type="dxa"/>
            <w:vAlign w:val="bottom"/>
          </w:tcPr>
          <w:p>
            <w:pPr>
              <w:spacing w:after="0"/>
              <w:rPr>
                <w:sz w:val="1"/>
                <w:szCs w:val="1"/>
                <w:color w:val="auto"/>
              </w:rPr>
            </w:pPr>
          </w:p>
        </w:tc>
      </w:tr>
      <w:tr>
        <w:trPr>
          <w:trHeight w:val="79"/>
        </w:trPr>
        <w:tc>
          <w:tcPr>
            <w:tcW w:w="162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620" w:type="dxa"/>
            <w:vAlign w:val="bottom"/>
            <w:tcBorders>
              <w:left w:val="single" w:sz="8" w:color="auto"/>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Gbs</w:t>
            </w:r>
          </w:p>
        </w:tc>
        <w:tc>
          <w:tcPr>
            <w:tcW w:w="0" w:type="dxa"/>
            <w:vAlign w:val="bottom"/>
          </w:tcPr>
          <w:p>
            <w:pPr>
              <w:spacing w:after="0"/>
              <w:rPr>
                <w:sz w:val="1"/>
                <w:szCs w:val="1"/>
                <w:color w:val="auto"/>
              </w:rPr>
            </w:pPr>
          </w:p>
        </w:tc>
      </w:tr>
      <w:tr>
        <w:trPr>
          <w:trHeight w:val="61"/>
        </w:trPr>
        <w:tc>
          <w:tcPr>
            <w:tcW w:w="162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60" w:hanging="154"/>
        <w:spacing w:after="0"/>
        <w:tabs>
          <w:tab w:leader="none" w:pos="16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Refers to billion gigabits.</w:t>
      </w:r>
    </w:p>
    <w:p>
      <w:pPr>
        <w:spacing w:after="0" w:line="219" w:lineRule="exact"/>
        <w:rPr>
          <w:rFonts w:ascii="Times New Roman" w:cs="Times New Roman" w:eastAsia="Times New Roman" w:hAnsi="Times New Roman"/>
          <w:sz w:val="22"/>
          <w:szCs w:val="22"/>
          <w:color w:val="auto"/>
        </w:rPr>
      </w:pPr>
    </w:p>
    <w:p>
      <w:pPr>
        <w:jc w:val="both"/>
        <w:ind w:left="660" w:hanging="330"/>
        <w:spacing w:after="0" w:line="256" w:lineRule="auto"/>
        <w:tabs>
          <w:tab w:leader="none" w:pos="65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HBM3E+ Payout Factor for a particular Fiscal Year shown in the table above will be determined by the higher of (x) the HBM3E+ Payout Factor applicable to HBM3E+ Market Share (as defined below) achieved for such Fiscal Year, or (y) the HBM3E+ Payout Factor applicable to HBM3E+ Bit Shipments (as defined below) achieved for such Fiscal Year (the “</w:t>
      </w:r>
      <w:r>
        <w:rPr>
          <w:rFonts w:ascii="Times New Roman" w:cs="Times New Roman" w:eastAsia="Times New Roman" w:hAnsi="Times New Roman"/>
          <w:sz w:val="22"/>
          <w:szCs w:val="22"/>
          <w:u w:val="single" w:color="auto"/>
          <w:color w:val="auto"/>
        </w:rPr>
        <w:t>Achieved HBM3E+ Level</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660" w:hanging="330"/>
        <w:spacing w:after="0" w:line="251" w:lineRule="auto"/>
        <w:tabs>
          <w:tab w:leader="none" w:pos="65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Achieved HBM3E+ Level is between performance levels shown in the table above, the HBM3E+ Payout Factor will be determined based on straight line interpolation. For the avoidance of doubt and notwithstanding any contrary provision of the Award Agreement, if performance for the HBM3E+ Goal (in other words, for both HBM3E+ Market Share and HBM3E+ Bit Shipments) in a particular Fiscal Year is equal to or below the performance specified in the 0.00x column in the above table, the HBM3E+ Payout Factor for such Fiscal Year will be zero.</w:t>
      </w:r>
    </w:p>
    <w:p>
      <w:pPr>
        <w:spacing w:after="0" w:line="181" w:lineRule="exact"/>
        <w:rPr>
          <w:rFonts w:ascii="Times New Roman" w:cs="Times New Roman" w:eastAsia="Times New Roman" w:hAnsi="Times New Roman"/>
          <w:sz w:val="22"/>
          <w:szCs w:val="22"/>
          <w:color w:val="auto"/>
        </w:rPr>
      </w:pPr>
    </w:p>
    <w:p>
      <w:pPr>
        <w:ind w:left="660" w:hanging="330"/>
        <w:spacing w:after="0" w:line="271" w:lineRule="auto"/>
        <w:tabs>
          <w:tab w:leader="none" w:pos="65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HBM3E+ Market Share performance result, HBM3E+ Bit Shipments performance result, and HBM3E+ Payout Factor will be rounded to the second decimal place, as needed.</w:t>
      </w:r>
    </w:p>
    <w:p>
      <w:pPr>
        <w:spacing w:after="0" w:line="157" w:lineRule="exact"/>
        <w:rPr>
          <w:rFonts w:ascii="Times New Roman" w:cs="Times New Roman" w:eastAsia="Times New Roman" w:hAnsi="Times New Roman"/>
          <w:sz w:val="22"/>
          <w:szCs w:val="22"/>
          <w:color w:val="auto"/>
        </w:rPr>
      </w:pPr>
    </w:p>
    <w:p>
      <w:pPr>
        <w:ind w:left="660" w:right="20" w:hanging="330"/>
        <w:spacing w:after="0" w:line="271" w:lineRule="auto"/>
        <w:tabs>
          <w:tab w:leader="none" w:pos="65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HBM3E+</w:t>
      </w:r>
      <w:r>
        <w:rPr>
          <w:rFonts w:ascii="Times New Roman" w:cs="Times New Roman" w:eastAsia="Times New Roman" w:hAnsi="Times New Roman"/>
          <w:sz w:val="22"/>
          <w:szCs w:val="22"/>
          <w:color w:val="auto"/>
        </w:rPr>
        <w:t>” refers to the Company’s HBM3E+ and beyond HBM products and the equivalent competitor’s products.</w:t>
      </w:r>
    </w:p>
    <w:p>
      <w:pPr>
        <w:spacing w:after="0" w:line="171"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HBM3E+ Market Share</w:t>
      </w:r>
      <w:r>
        <w:rPr>
          <w:rFonts w:ascii="Times New Roman" w:cs="Times New Roman" w:eastAsia="Times New Roman" w:hAnsi="Times New Roman"/>
          <w:sz w:val="22"/>
          <w:szCs w:val="22"/>
          <w:color w:val="auto"/>
        </w:rPr>
        <w:t>” refers to the Company’s revenue (determined in accordance with</w:t>
      </w:r>
    </w:p>
    <w:p>
      <w:pPr>
        <w:spacing w:after="0" w:line="27" w:lineRule="exact"/>
        <w:rPr>
          <w:rFonts w:ascii="Times New Roman" w:cs="Times New Roman" w:eastAsia="Times New Roman" w:hAnsi="Times New Roman"/>
          <w:sz w:val="22"/>
          <w:szCs w:val="22"/>
          <w:color w:val="auto"/>
        </w:rPr>
      </w:pPr>
    </w:p>
    <w:p>
      <w:pPr>
        <w:jc w:val="both"/>
        <w:ind w:left="66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Generally Accepted Accounting Principles (“GAAP”)) with respect to its HBM3E+ and beyond products as a percentage of total industry revenue from HBM3E+ and beyond (i.e., a stacked DRAM technology optimized for memory-bandwidth intensive applications) products. The HBM3E+ Market Share will be measured by the Company’s internal Market Intelligence (MI) assessment, in part by leveraging third-party reports (x) for the 2026 Fiscal Year, over the period beginning with the third quarter of calendar year 2025 through and inclusive of the second quarter of calendar year 2026, and (y) for the 2027 Fiscal Year, over the period</w:t>
      </w:r>
    </w:p>
    <w:p>
      <w:pPr>
        <w:sectPr>
          <w:pgSz w:w="11900" w:h="16838" w:orient="portrait"/>
          <w:cols w:equalWidth="0" w:num="1">
            <w:col w:w="10760"/>
          </w:cols>
          <w:pgMar w:left="700" w:top="1429" w:right="439" w:bottom="1440" w:gutter="0" w:footer="0" w:header="0"/>
        </w:sectPr>
      </w:pPr>
    </w:p>
    <w:bookmarkStart w:id="284" w:name="page285"/>
    <w:bookmarkEnd w:id="284"/>
    <w:p>
      <w:pPr>
        <w:ind w:left="660" w:right="180"/>
        <w:spacing w:after="0" w:line="271" w:lineRule="auto"/>
        <w:rPr>
          <w:sz w:val="20"/>
          <w:szCs w:val="20"/>
          <w:color w:val="auto"/>
        </w:rPr>
      </w:pPr>
      <w:r>
        <w:rPr>
          <w:rFonts w:ascii="Times New Roman" w:cs="Times New Roman" w:eastAsia="Times New Roman" w:hAnsi="Times New Roman"/>
          <w:sz w:val="22"/>
          <w:szCs w:val="22"/>
          <w:color w:val="auto"/>
        </w:rPr>
        <w:t>beginning with the third quarter of calendar year 2026 through and inclusive of the second quarter of calendar year 2027.</w:t>
      </w:r>
    </w:p>
    <w:p>
      <w:pPr>
        <w:spacing w:after="0" w:line="158" w:lineRule="exact"/>
        <w:rPr>
          <w:sz w:val="20"/>
          <w:szCs w:val="20"/>
          <w:color w:val="auto"/>
        </w:rPr>
      </w:pPr>
    </w:p>
    <w:p>
      <w:pPr>
        <w:ind w:left="640" w:hanging="310"/>
        <w:spacing w:after="0"/>
        <w:tabs>
          <w:tab w:leader="none" w:pos="6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HBM3E+ Bit Shipments</w:t>
      </w:r>
      <w:r>
        <w:rPr>
          <w:rFonts w:ascii="Times New Roman" w:cs="Times New Roman" w:eastAsia="Times New Roman" w:hAnsi="Times New Roman"/>
          <w:sz w:val="22"/>
          <w:szCs w:val="22"/>
          <w:color w:val="auto"/>
        </w:rPr>
        <w:t>” refers to the bit shipments for the Company’s HBM3E+ and beyond HBM products.</w:t>
      </w:r>
    </w:p>
    <w:p>
      <w:pPr>
        <w:spacing w:after="0" w:line="21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Operational Additional Performance Conditions</w:t>
      </w:r>
      <w:r>
        <w:rPr>
          <w:rFonts w:ascii="Times New Roman" w:cs="Times New Roman" w:eastAsia="Times New Roman" w:hAnsi="Times New Roman"/>
          <w:sz w:val="22"/>
          <w:szCs w:val="22"/>
          <w:color w:val="auto"/>
        </w:rPr>
        <w:t>. The HBM3E+ Payout Factor may be increased in the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the NAND free cash flow and U.S. DRAM manufacturing expansion goals described below (the “</w:t>
      </w:r>
      <w:r>
        <w:rPr>
          <w:rFonts w:ascii="Times New Roman" w:cs="Times New Roman" w:eastAsia="Times New Roman" w:hAnsi="Times New Roman"/>
          <w:sz w:val="22"/>
          <w:szCs w:val="22"/>
          <w:u w:val="single" w:color="auto"/>
          <w:color w:val="auto"/>
        </w:rPr>
        <w:t>Operational Additional Performance Conditions</w:t>
      </w:r>
      <w:r>
        <w:rPr>
          <w:rFonts w:ascii="Times New Roman" w:cs="Times New Roman" w:eastAsia="Times New Roman" w:hAnsi="Times New Roman"/>
          <w:sz w:val="22"/>
          <w:szCs w:val="22"/>
          <w:color w:val="auto"/>
        </w:rPr>
        <w: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21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Operational Additional</w:t>
            </w:r>
          </w:p>
        </w:tc>
        <w:tc>
          <w:tcPr>
            <w:tcW w:w="5440" w:type="dxa"/>
            <w:vAlign w:val="bottom"/>
            <w:tcBorders>
              <w:top w:val="single" w:sz="8" w:color="auto"/>
              <w:right w:val="single" w:sz="8" w:color="auto"/>
            </w:tcBorders>
            <w:shd w:val="clear" w:color="auto" w:fill="D9D9D9"/>
          </w:tcPr>
          <w:p>
            <w:pPr>
              <w:spacing w:after="0"/>
              <w:rPr>
                <w:sz w:val="24"/>
                <w:szCs w:val="24"/>
                <w:color w:val="auto"/>
              </w:rPr>
            </w:pP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Amount Added to HBM3E+</w:t>
            </w: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5440" w:type="dxa"/>
            <w:vAlign w:val="bottom"/>
            <w:tcBorders>
              <w:right w:val="single" w:sz="8" w:color="auto"/>
            </w:tcBorders>
            <w:vMerge w:val="restart"/>
            <w:shd w:val="clear" w:color="auto" w:fill="D9D9D9"/>
          </w:tcPr>
          <w:p>
            <w:pPr>
              <w:ind w:left="1040"/>
              <w:spacing w:after="0"/>
              <w:rPr>
                <w:sz w:val="20"/>
                <w:szCs w:val="20"/>
                <w:color w:val="auto"/>
              </w:rPr>
            </w:pPr>
            <w:r>
              <w:rPr>
                <w:rFonts w:ascii="Times New Roman" w:cs="Times New Roman" w:eastAsia="Times New Roman" w:hAnsi="Times New Roman"/>
                <w:sz w:val="20"/>
                <w:szCs w:val="20"/>
                <w:b w:val="1"/>
                <w:bCs w:val="1"/>
                <w:color w:val="auto"/>
              </w:rPr>
              <w:t>Required Achievement Level</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Payout Factor Determined</w:t>
            </w:r>
          </w:p>
        </w:tc>
        <w:tc>
          <w:tcPr>
            <w:tcW w:w="0" w:type="dxa"/>
            <w:vAlign w:val="bottom"/>
          </w:tcPr>
          <w:p>
            <w:pPr>
              <w:spacing w:after="0"/>
              <w:rPr>
                <w:sz w:val="1"/>
                <w:szCs w:val="1"/>
                <w:color w:val="auto"/>
              </w:rPr>
            </w:pPr>
          </w:p>
        </w:tc>
      </w:tr>
      <w:tr>
        <w:trPr>
          <w:trHeight w:val="168"/>
        </w:trPr>
        <w:tc>
          <w:tcPr>
            <w:tcW w:w="21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Conditions Goal</w:t>
            </w:r>
          </w:p>
        </w:tc>
        <w:tc>
          <w:tcPr>
            <w:tcW w:w="5440" w:type="dxa"/>
            <w:vAlign w:val="bottom"/>
            <w:tcBorders>
              <w:right w:val="single" w:sz="8" w:color="auto"/>
            </w:tcBorders>
            <w:vMerge w:val="continue"/>
            <w:shd w:val="clear" w:color="auto" w:fill="D9D9D9"/>
          </w:tcPr>
          <w:p>
            <w:pPr>
              <w:spacing w:after="0"/>
              <w:rPr>
                <w:sz w:val="14"/>
                <w:szCs w:val="14"/>
                <w:color w:val="auto"/>
              </w:rPr>
            </w:pPr>
          </w:p>
        </w:tc>
        <w:tc>
          <w:tcPr>
            <w:tcW w:w="2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Above</w:t>
            </w:r>
          </w:p>
        </w:tc>
        <w:tc>
          <w:tcPr>
            <w:tcW w:w="0" w:type="dxa"/>
            <w:vAlign w:val="bottom"/>
          </w:tcPr>
          <w:p>
            <w:pPr>
              <w:spacing w:after="0"/>
              <w:rPr>
                <w:sz w:val="1"/>
                <w:szCs w:val="1"/>
                <w:color w:val="auto"/>
              </w:rPr>
            </w:pPr>
          </w:p>
        </w:tc>
      </w:tr>
      <w:tr>
        <w:trPr>
          <w:trHeight w:val="115"/>
        </w:trPr>
        <w:tc>
          <w:tcPr>
            <w:tcW w:w="2120" w:type="dxa"/>
            <w:vAlign w:val="bottom"/>
            <w:tcBorders>
              <w:left w:val="single" w:sz="8" w:color="auto"/>
              <w:bottom w:val="single" w:sz="8" w:color="D9D9D9"/>
              <w:right w:val="single" w:sz="8" w:color="auto"/>
            </w:tcBorders>
            <w:vMerge w:val="continue"/>
            <w:shd w:val="clear" w:color="auto" w:fill="D9D9D9"/>
          </w:tcPr>
          <w:p>
            <w:pPr>
              <w:spacing w:after="0"/>
              <w:rPr>
                <w:sz w:val="10"/>
                <w:szCs w:val="10"/>
                <w:color w:val="auto"/>
              </w:rPr>
            </w:pPr>
          </w:p>
        </w:tc>
        <w:tc>
          <w:tcPr>
            <w:tcW w:w="5440" w:type="dxa"/>
            <w:vAlign w:val="bottom"/>
            <w:tcBorders>
              <w:bottom w:val="single" w:sz="8" w:color="D9D9D9"/>
              <w:right w:val="single" w:sz="8" w:color="auto"/>
            </w:tcBorders>
            <w:shd w:val="clear" w:color="auto" w:fill="D9D9D9"/>
          </w:tcPr>
          <w:p>
            <w:pPr>
              <w:spacing w:after="0"/>
              <w:rPr>
                <w:sz w:val="10"/>
                <w:szCs w:val="10"/>
                <w:color w:val="auto"/>
              </w:rPr>
            </w:pPr>
          </w:p>
        </w:tc>
        <w:tc>
          <w:tcPr>
            <w:tcW w:w="2760" w:type="dxa"/>
            <w:vAlign w:val="bottom"/>
            <w:tcBorders>
              <w:bottom w:val="single" w:sz="8" w:color="D9D9D9"/>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2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NAND free cash flow</w:t>
            </w:r>
          </w:p>
        </w:tc>
        <w:tc>
          <w:tcPr>
            <w:tcW w:w="54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Deliver at least $500M positive free cash flow for NAND across</w:t>
            </w:r>
          </w:p>
        </w:tc>
        <w:tc>
          <w:tcPr>
            <w:tcW w:w="2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right w:val="single" w:sz="8" w:color="auto"/>
            </w:tcBorders>
            <w:vMerge w:val="continue"/>
          </w:tcPr>
          <w:p>
            <w:pPr>
              <w:spacing w:after="0"/>
              <w:rPr>
                <w:sz w:val="19"/>
                <w:szCs w:val="19"/>
                <w:color w:val="auto"/>
              </w:rPr>
            </w:pP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any consecutive four fiscal quarters from first fiscal quarter of</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0.33x</w:t>
            </w:r>
          </w:p>
        </w:tc>
        <w:tc>
          <w:tcPr>
            <w:tcW w:w="0" w:type="dxa"/>
            <w:vAlign w:val="bottom"/>
          </w:tcPr>
          <w:p>
            <w:pPr>
              <w:spacing w:after="0"/>
              <w:rPr>
                <w:sz w:val="1"/>
                <w:szCs w:val="1"/>
                <w:color w:val="auto"/>
              </w:rPr>
            </w:pPr>
          </w:p>
        </w:tc>
      </w:tr>
      <w:tr>
        <w:trPr>
          <w:trHeight w:val="96"/>
        </w:trPr>
        <w:tc>
          <w:tcPr>
            <w:tcW w:w="2120" w:type="dxa"/>
            <w:vAlign w:val="bottom"/>
            <w:tcBorders>
              <w:left w:val="single" w:sz="8" w:color="auto"/>
              <w:right w:val="single" w:sz="8" w:color="auto"/>
            </w:tcBorders>
          </w:tcPr>
          <w:p>
            <w:pPr>
              <w:spacing w:after="0"/>
              <w:rPr>
                <w:sz w:val="8"/>
                <w:szCs w:val="8"/>
                <w:color w:val="auto"/>
              </w:rPr>
            </w:pPr>
          </w:p>
        </w:tc>
        <w:tc>
          <w:tcPr>
            <w:tcW w:w="5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Fiscal Year 2026 through and</w:t>
            </w:r>
          </w:p>
        </w:tc>
        <w:tc>
          <w:tcPr>
            <w:tcW w:w="2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120" w:type="dxa"/>
            <w:vAlign w:val="bottom"/>
            <w:tcBorders>
              <w:left w:val="single" w:sz="8" w:color="auto"/>
              <w:right w:val="single" w:sz="8" w:color="auto"/>
            </w:tcBorders>
          </w:tcPr>
          <w:p>
            <w:pPr>
              <w:spacing w:after="0"/>
              <w:rPr>
                <w:sz w:val="11"/>
                <w:szCs w:val="11"/>
                <w:color w:val="auto"/>
              </w:rPr>
            </w:pPr>
          </w:p>
        </w:tc>
        <w:tc>
          <w:tcPr>
            <w:tcW w:w="5440" w:type="dxa"/>
            <w:vAlign w:val="bottom"/>
            <w:tcBorders>
              <w:right w:val="single" w:sz="8" w:color="auto"/>
            </w:tcBorders>
            <w:vMerge w:val="continue"/>
          </w:tcPr>
          <w:p>
            <w:pPr>
              <w:spacing w:after="0"/>
              <w:rPr>
                <w:sz w:val="11"/>
                <w:szCs w:val="11"/>
                <w:color w:val="auto"/>
              </w:rPr>
            </w:pPr>
          </w:p>
        </w:tc>
        <w:tc>
          <w:tcPr>
            <w:tcW w:w="2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5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inclusive of fourth fiscal quarter of Fiscal Year 2007</w:t>
            </w:r>
          </w:p>
        </w:tc>
        <w:tc>
          <w:tcPr>
            <w:tcW w:w="2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2120" w:type="dxa"/>
            <w:vAlign w:val="bottom"/>
            <w:tcBorders>
              <w:left w:val="single" w:sz="8" w:color="auto"/>
              <w:right w:val="single" w:sz="8" w:color="auto"/>
            </w:tcBorders>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9"/>
              </w:rPr>
              <w:t>U.S. DRAM</w:t>
            </w:r>
          </w:p>
        </w:tc>
        <w:tc>
          <w:tcPr>
            <w:tcW w:w="5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First wafer at the Company’s Boise fab site is out by December 31,</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0.33x</w:t>
            </w: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tcPr>
          <w:p>
            <w:pPr>
              <w:jc w:val="center"/>
              <w:ind w:right="241"/>
              <w:spacing w:after="0" w:line="203" w:lineRule="exact"/>
              <w:rPr>
                <w:sz w:val="20"/>
                <w:szCs w:val="20"/>
                <w:color w:val="auto"/>
              </w:rPr>
            </w:pPr>
            <w:r>
              <w:rPr>
                <w:rFonts w:ascii="Times New Roman" w:cs="Times New Roman" w:eastAsia="Times New Roman" w:hAnsi="Times New Roman"/>
                <w:sz w:val="20"/>
                <w:szCs w:val="20"/>
                <w:b w:val="1"/>
                <w:bCs w:val="1"/>
                <w:color w:val="auto"/>
                <w:w w:val="98"/>
              </w:rPr>
              <w:t>manufacturing</w:t>
            </w:r>
          </w:p>
        </w:tc>
        <w:tc>
          <w:tcPr>
            <w:tcW w:w="5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7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120" w:type="dxa"/>
            <w:vAlign w:val="bottom"/>
            <w:tcBorders>
              <w:left w:val="single" w:sz="8" w:color="auto"/>
              <w:right w:val="single" w:sz="8" w:color="auto"/>
            </w:tcBorders>
            <w:vMerge w:val="restart"/>
          </w:tcPr>
          <w:p>
            <w:pPr>
              <w:jc w:val="center"/>
              <w:ind w:right="261"/>
              <w:spacing w:after="0"/>
              <w:rPr>
                <w:sz w:val="20"/>
                <w:szCs w:val="20"/>
                <w:color w:val="auto"/>
              </w:rPr>
            </w:pPr>
            <w:r>
              <w:rPr>
                <w:rFonts w:ascii="Times New Roman" w:cs="Times New Roman" w:eastAsia="Times New Roman" w:hAnsi="Times New Roman"/>
                <w:sz w:val="20"/>
                <w:szCs w:val="20"/>
                <w:b w:val="1"/>
                <w:bCs w:val="1"/>
                <w:color w:val="auto"/>
                <w:w w:val="98"/>
              </w:rPr>
              <w:t>expansion</w:t>
            </w:r>
          </w:p>
        </w:tc>
        <w:tc>
          <w:tcPr>
            <w:tcW w:w="5440" w:type="dxa"/>
            <w:vAlign w:val="bottom"/>
            <w:tcBorders>
              <w:right w:val="single" w:sz="8" w:color="auto"/>
            </w:tcBorders>
            <w:vMerge w:val="continue"/>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20" w:type="dxa"/>
            <w:vAlign w:val="bottom"/>
            <w:tcBorders>
              <w:left w:val="single" w:sz="8" w:color="auto"/>
              <w:right w:val="single" w:sz="8" w:color="auto"/>
            </w:tcBorders>
            <w:vMerge w:val="continue"/>
          </w:tcPr>
          <w:p>
            <w:pPr>
              <w:spacing w:after="0"/>
              <w:rPr>
                <w:sz w:val="14"/>
                <w:szCs w:val="14"/>
                <w:color w:val="auto"/>
              </w:rPr>
            </w:pPr>
          </w:p>
        </w:tc>
        <w:tc>
          <w:tcPr>
            <w:tcW w:w="544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40" w:type="dxa"/>
            <w:vAlign w:val="bottom"/>
            <w:tcBorders>
              <w:bottom w:val="single" w:sz="8" w:color="auto"/>
              <w:right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right="20" w:hanging="330"/>
        <w:spacing w:after="0" w:line="271" w:lineRule="auto"/>
        <w:tabs>
          <w:tab w:leader="none" w:pos="655"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NAND free cash flow will be determined, based on the Company’s financial planning and analysis internal allocation model, as the amount of free cash flow generated from the Company’s NAND business.</w:t>
      </w:r>
    </w:p>
    <w:p>
      <w:pPr>
        <w:spacing w:after="0" w:line="157"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wafer out is the first full flow wafer output from the Boise fab site with any yield.</w:t>
      </w:r>
    </w:p>
    <w:p>
      <w:pPr>
        <w:spacing w:after="0" w:line="219"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example of the operation of the Operational Additional Performance Conditions is set forth below:</w:t>
      </w:r>
    </w:p>
    <w:p>
      <w:pPr>
        <w:spacing w:after="0" w:line="125" w:lineRule="exact"/>
        <w:rPr>
          <w:sz w:val="20"/>
          <w:szCs w:val="20"/>
          <w:color w:val="auto"/>
        </w:rPr>
      </w:pPr>
    </w:p>
    <w:p>
      <w:pPr>
        <w:ind w:left="1300" w:hanging="322"/>
        <w:spacing w:after="0"/>
        <w:tabs>
          <w:tab w:leader="none" w:pos="1300" w:val="left"/>
        </w:tabs>
        <w:numPr>
          <w:ilvl w:val="0"/>
          <w:numId w:val="26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Assume that for Fiscal Year 2026, the HBM3E+ Payout Factor is determined to be 1.0x.</w:t>
      </w:r>
    </w:p>
    <w:p>
      <w:pPr>
        <w:spacing w:after="0" w:line="106" w:lineRule="exact"/>
        <w:rPr>
          <w:rFonts w:ascii="Courier New" w:cs="Courier New" w:eastAsia="Courier New" w:hAnsi="Courier New"/>
          <w:sz w:val="22"/>
          <w:szCs w:val="22"/>
          <w:color w:val="auto"/>
        </w:rPr>
      </w:pPr>
    </w:p>
    <w:p>
      <w:pPr>
        <w:ind w:left="1300" w:right="20" w:hanging="322"/>
        <w:spacing w:after="0" w:line="253" w:lineRule="auto"/>
        <w:tabs>
          <w:tab w:leader="none" w:pos="1295" w:val="left"/>
        </w:tabs>
        <w:numPr>
          <w:ilvl w:val="0"/>
          <w:numId w:val="26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Assume achievement of the NAND free cash flow goal during Fiscal Year 2026 but that the U.S. DRAM manufacturing expansion goal is not achieved in Fiscal Year 2026.</w:t>
      </w:r>
    </w:p>
    <w:p>
      <w:pPr>
        <w:spacing w:after="0" w:line="54" w:lineRule="exact"/>
        <w:rPr>
          <w:rFonts w:ascii="Courier New" w:cs="Courier New" w:eastAsia="Courier New" w:hAnsi="Courier New"/>
          <w:sz w:val="22"/>
          <w:szCs w:val="22"/>
          <w:color w:val="auto"/>
        </w:rPr>
      </w:pPr>
    </w:p>
    <w:p>
      <w:pPr>
        <w:jc w:val="both"/>
        <w:ind w:left="1300" w:hanging="322"/>
        <w:spacing w:after="0" w:line="248" w:lineRule="auto"/>
        <w:tabs>
          <w:tab w:leader="none" w:pos="1295" w:val="left"/>
        </w:tabs>
        <w:numPr>
          <w:ilvl w:val="0"/>
          <w:numId w:val="268"/>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HBM3E+ Payout Factor will be increased by 0.33x, to 1.33x. (If both the NAND free cash flow goal and the U.S. DRAM manufacturing expansion goal were achieved, the HBM3E+ Payout Factor would be increased by 0.66x to 1.66x.)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and Banked Units</w:t>
      </w:r>
      <w:r>
        <w:rPr>
          <w:rFonts w:ascii="Times New Roman" w:cs="Times New Roman" w:eastAsia="Times New Roman" w:hAnsi="Times New Roman"/>
          <w:sz w:val="22"/>
          <w:szCs w:val="22"/>
          <w:color w:val="auto"/>
        </w:rPr>
        <w:t>. Achievement levels with respect to the HBM3E+ Payout Factor, as well as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Operational Additional Performance Conditions, will be measured at the end of each of:</w:t>
      </w:r>
    </w:p>
    <w:p>
      <w:pPr>
        <w:spacing w:after="0" w:line="4" w:lineRule="exact"/>
        <w:rPr>
          <w:sz w:val="20"/>
          <w:szCs w:val="20"/>
          <w:color w:val="auto"/>
        </w:rPr>
      </w:pPr>
    </w:p>
    <w:p>
      <w:pPr>
        <w:ind w:left="640" w:hanging="310"/>
        <w:spacing w:after="0"/>
        <w:tabs>
          <w:tab w:leader="none" w:pos="64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2026, and</w:t>
      </w:r>
    </w:p>
    <w:p>
      <w:pPr>
        <w:spacing w:after="0" w:line="5" w:lineRule="exact"/>
        <w:rPr>
          <w:rFonts w:ascii="Times New Roman" w:cs="Times New Roman" w:eastAsia="Times New Roman" w:hAnsi="Times New Roman"/>
          <w:sz w:val="22"/>
          <w:szCs w:val="22"/>
          <w:color w:val="auto"/>
        </w:rPr>
      </w:pPr>
    </w:p>
    <w:p>
      <w:pPr>
        <w:ind w:left="640" w:hanging="310"/>
        <w:spacing w:after="0"/>
        <w:tabs>
          <w:tab w:leader="none" w:pos="64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Year 2027.</w:t>
      </w:r>
    </w:p>
    <w:p>
      <w:pPr>
        <w:sectPr>
          <w:pgSz w:w="11900" w:h="16838" w:orient="portrait"/>
          <w:cols w:equalWidth="0" w:num="1">
            <w:col w:w="10760"/>
          </w:cols>
          <w:pgMar w:left="700" w:top="1422" w:right="439" w:bottom="1440" w:gutter="0" w:footer="0" w:header="0"/>
        </w:sectPr>
      </w:pPr>
    </w:p>
    <w:bookmarkStart w:id="285" w:name="page286"/>
    <w:bookmarkEnd w:id="285"/>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 later than 60 days after the end of each of Fiscal Years 2026 and 2027, the Committee shall determine and certify the results of such achievement under this Award of HBM3E+ Performance Units (such date, the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HBM3E+ Performance Units that are earned by achievement of the HBM3E+ Goal and/or Operational Additional Performance Conditions, as applicable, are referred to herein as “</w:t>
      </w:r>
      <w:r>
        <w:rPr>
          <w:rFonts w:ascii="Times New Roman" w:cs="Times New Roman" w:eastAsia="Times New Roman" w:hAnsi="Times New Roman"/>
          <w:sz w:val="22"/>
          <w:szCs w:val="22"/>
          <w:u w:val="single" w:color="auto"/>
          <w:color w:val="auto"/>
        </w:rPr>
        <w:t>Banked Units</w:t>
      </w:r>
      <w:r>
        <w:rPr>
          <w:rFonts w:ascii="Times New Roman" w:cs="Times New Roman" w:eastAsia="Times New Roman" w:hAnsi="Times New Roman"/>
          <w:sz w:val="22"/>
          <w:szCs w:val="22"/>
          <w:color w:val="auto"/>
        </w:rPr>
        <w:t>” (regardless of whether such HBM3E+ Performance Units have vested).</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As of the Certification Date that immediately follows the end of Fiscal Year 2027, 100% of any then-unvested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Banked Units (for the avoidance of doubt, inclusive of any HBM3E+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HBM3E+ Performance Units have become Banked Units, such Banked Units will continue to vest and be paid pursuant to the original schedule.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Vesting Upon a Qualifying Event</w:t>
      </w:r>
      <w:r>
        <w:rPr>
          <w:rFonts w:ascii="Times New Roman" w:cs="Times New Roman" w:eastAsia="Times New Roman" w:hAnsi="Times New Roman"/>
          <w:sz w:val="22"/>
          <w:szCs w:val="22"/>
          <w:color w:val="auto"/>
        </w:rPr>
        <w:t>. This paragraph shall apply only to the extent that Participant and the Company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 written offer letter or similar written agreement (the “</w:t>
      </w:r>
      <w:r>
        <w:rPr>
          <w:rFonts w:ascii="Times New Roman" w:cs="Times New Roman" w:eastAsia="Times New Roman" w:hAnsi="Times New Roman"/>
          <w:sz w:val="22"/>
          <w:szCs w:val="22"/>
          <w:u w:val="single" w:color="auto"/>
          <w:color w:val="auto"/>
        </w:rPr>
        <w:t>Letter</w:t>
      </w:r>
      <w:r>
        <w:rPr>
          <w:rFonts w:ascii="Times New Roman" w:cs="Times New Roman" w:eastAsia="Times New Roman" w:hAnsi="Times New Roman"/>
          <w:sz w:val="22"/>
          <w:szCs w:val="22"/>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u w:val="single" w:color="auto"/>
          <w:color w:val="auto"/>
        </w:rPr>
        <w:t>Payout Timing (Conversion to Shares)</w:t>
      </w:r>
      <w:r>
        <w:rPr>
          <w:rFonts w:ascii="Times New Roman" w:cs="Times New Roman" w:eastAsia="Times New Roman" w:hAnsi="Times New Roman"/>
          <w:sz w:val="22"/>
          <w:szCs w:val="22"/>
          <w:color w:val="auto"/>
        </w:rPr>
        <w:t>. The Banked Units vesting as of the Certification Date that immediately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end of Fiscal Year 2027 (such HBM3E+ Performance Units, the “</w:t>
      </w:r>
      <w:r>
        <w:rPr>
          <w:rFonts w:ascii="Times New Roman" w:cs="Times New Roman" w:eastAsia="Times New Roman" w:hAnsi="Times New Roman"/>
          <w:sz w:val="22"/>
          <w:szCs w:val="22"/>
          <w:u w:val="single" w:color="auto"/>
          <w:color w:val="auto"/>
        </w:rPr>
        <w:t>Vested HBM3E+ Performance Units</w:t>
      </w:r>
      <w:r>
        <w:rPr>
          <w:rFonts w:ascii="Times New Roman" w:cs="Times New Roman" w:eastAsia="Times New Roman" w:hAnsi="Times New Roman"/>
          <w:sz w:val="22"/>
          <w:szCs w:val="22"/>
          <w:color w:val="auto"/>
        </w:rPr>
        <w:t>”) shall automatically convert to Shares on the Certification Date (the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except that if Participant is terminated for Cause, no further HBM3E+ Performance Units shall vest after the date of termination.</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Certain Award Limitations</w:t>
      </w:r>
      <w:r>
        <w:rPr>
          <w:rFonts w:ascii="Times New Roman" w:cs="Times New Roman" w:eastAsia="Times New Roman" w:hAnsi="Times New Roman"/>
          <w:sz w:val="22"/>
          <w:szCs w:val="22"/>
          <w:color w:val="auto"/>
        </w:rPr>
        <w:t>. The maximum number of HBM3E+ Performance Units that may vest under this Award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Number of Shares Subject to HBM3E+ Performance Units as set forth in the Notice of Grant.</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Concurrently with this Award of HBM3E+ Performance Units, Participant is receiving (a) an award of Data Center SSD Performance Units, which are performance-based Restricted Stock Units that may be earned based on achievement of certain goals related to data center SSD market share or bit shipments (the “</w:t>
      </w:r>
      <w:r>
        <w:rPr>
          <w:rFonts w:ascii="Times New Roman" w:cs="Times New Roman" w:eastAsia="Times New Roman" w:hAnsi="Times New Roman"/>
          <w:sz w:val="22"/>
          <w:szCs w:val="22"/>
          <w:u w:val="single" w:color="auto"/>
          <w:color w:val="auto"/>
        </w:rPr>
        <w:t>Data Center SSD Award</w:t>
      </w:r>
      <w:r>
        <w:rPr>
          <w:rFonts w:ascii="Times New Roman" w:cs="Times New Roman" w:eastAsia="Times New Roman" w:hAnsi="Times New Roman"/>
          <w:sz w:val="22"/>
          <w:szCs w:val="22"/>
          <w:color w:val="auto"/>
        </w:rPr>
        <w:t>”), as described in the award agreement covering the Data</w:t>
      </w:r>
    </w:p>
    <w:p>
      <w:pPr>
        <w:sectPr>
          <w:pgSz w:w="11900" w:h="16838" w:orient="portrait"/>
          <w:cols w:equalWidth="0" w:num="1">
            <w:col w:w="10760"/>
          </w:cols>
          <w:pgMar w:left="700" w:top="1440" w:right="439" w:bottom="1440" w:gutter="0" w:footer="0" w:header="0"/>
        </w:sectPr>
      </w:pPr>
    </w:p>
    <w:bookmarkStart w:id="286" w:name="page287"/>
    <w:bookmarkEnd w:id="286"/>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Center SSD Award, and (b) an award of rTSR CAGR Performance Units, which are performance- 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21"/>
          <w:szCs w:val="21"/>
          <w:u w:val="single" w:color="auto"/>
          <w:color w:val="auto"/>
        </w:rPr>
        <w:t>rTSR CAGR Award</w:t>
      </w:r>
      <w:r>
        <w:rPr>
          <w:rFonts w:ascii="Times New Roman" w:cs="Times New Roman" w:eastAsia="Times New Roman" w:hAnsi="Times New Roman"/>
          <w:sz w:val="21"/>
          <w:szCs w:val="21"/>
          <w:color w:val="auto"/>
        </w:rPr>
        <w:t>”), as described in the award agreement covering the rTSR CAGR Award. This Award of HBM3E+ Performance Units, together with the Data Center SSD Award and the rTSR CAGR Award, are referred to as the “</w:t>
      </w:r>
      <w:r>
        <w:rPr>
          <w:rFonts w:ascii="Times New Roman" w:cs="Times New Roman" w:eastAsia="Times New Roman" w:hAnsi="Times New Roman"/>
          <w:sz w:val="21"/>
          <w:szCs w:val="21"/>
          <w:u w:val="single" w:color="auto"/>
          <w:color w:val="auto"/>
        </w:rPr>
        <w:t>FY 2025 Performance Awards</w:t>
      </w:r>
      <w:r>
        <w:rPr>
          <w:rFonts w:ascii="Times New Roman" w:cs="Times New Roman" w:eastAsia="Times New Roman" w:hAnsi="Times New Roman"/>
          <w:sz w:val="21"/>
          <w:szCs w:val="21"/>
          <w:color w:val="auto"/>
        </w:rPr>
        <w:t>,” and the total number of Restricted Stock Units under the FY 2025 Performance Awards (the “</w:t>
      </w:r>
      <w:r>
        <w:rPr>
          <w:rFonts w:ascii="Times New Roman" w:cs="Times New Roman" w:eastAsia="Times New Roman" w:hAnsi="Times New Roman"/>
          <w:sz w:val="21"/>
          <w:szCs w:val="21"/>
          <w:u w:val="single" w:color="auto"/>
          <w:color w:val="auto"/>
        </w:rPr>
        <w:t>Performance Units</w:t>
      </w:r>
      <w:r>
        <w:rPr>
          <w:rFonts w:ascii="Times New Roman" w:cs="Times New Roman" w:eastAsia="Times New Roman" w:hAnsi="Times New Roman"/>
          <w:sz w:val="21"/>
          <w:szCs w:val="21"/>
          <w:color w:val="auto"/>
        </w:rPr>
        <w:t>”) eligible to be earned under the FY 2025 Performance Awards assuming at-target achievement is referred to as the “</w:t>
      </w:r>
      <w:r>
        <w:rPr>
          <w:rFonts w:ascii="Times New Roman" w:cs="Times New Roman" w:eastAsia="Times New Roman" w:hAnsi="Times New Roman"/>
          <w:sz w:val="21"/>
          <w:szCs w:val="21"/>
          <w:u w:val="single" w:color="auto"/>
          <w:color w:val="auto"/>
        </w:rPr>
        <w:t>Target Total Award</w:t>
      </w:r>
      <w:r>
        <w:rPr>
          <w:rFonts w:ascii="Times New Roman" w:cs="Times New Roman" w:eastAsia="Times New Roman" w:hAnsi="Times New Roman"/>
          <w:sz w:val="21"/>
          <w:szCs w:val="21"/>
          <w:color w:val="auto"/>
        </w:rPr>
        <w:t>” and is calculated as the sum of (i) the Target Number of Shares Subject to HBM3E+ Performance Units under this Award of HBM3E+ Performance Units, plus (ii) the Target Number of Shares Subject to Data Center SSD Performance Units as specified in the Data Center SSD Award, plus</w:t>
      </w:r>
    </w:p>
    <w:p>
      <w:pPr>
        <w:spacing w:after="0" w:line="5" w:lineRule="exact"/>
        <w:rPr>
          <w:sz w:val="20"/>
          <w:szCs w:val="20"/>
          <w:color w:val="auto"/>
        </w:rPr>
      </w:pPr>
    </w:p>
    <w:p>
      <w:pPr>
        <w:jc w:val="both"/>
        <w:ind w:firstLine="5"/>
        <w:spacing w:after="0" w:line="245" w:lineRule="auto"/>
        <w:tabs>
          <w:tab w:leader="none" w:pos="413"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Number of Shares Subject to rTSR CAGR Performance Units as specified in the rTSR CAGR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22"/>
          <w:szCs w:val="22"/>
          <w:u w:val="single" w:color="auto"/>
          <w:color w:val="auto"/>
        </w:rPr>
        <w:t>2x Limit</w:t>
      </w:r>
      <w:r>
        <w:rPr>
          <w:rFonts w:ascii="Times New Roman" w:cs="Times New Roman" w:eastAsia="Times New Roman" w:hAnsi="Times New Roman"/>
          <w:sz w:val="22"/>
          <w:szCs w:val="22"/>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such that the aggregate number of Performance Units becoming earned as of such date with respect to the FY 2025 Performance Awards upon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have become earned previously during the Performance Period with respect to the FY 2025 Performance Awards, is equal to the 2x Limit.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number of Performance Units that have been earned will exist in any remaining Performance Period Fiscal Year(s).</w:t>
      </w:r>
    </w:p>
    <w:p>
      <w:pPr>
        <w:spacing w:after="0" w:line="20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 As provided in further detail in Section 26 of the Terms and Conditions of Performance Unit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comprising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this Award Agreement, the HBM3E+ Performance Units are subject to any Clawback Policy, or other recovery obligation as may be necessary to comply with applicable laws.</w:t>
      </w:r>
    </w:p>
    <w:p>
      <w:pPr>
        <w:spacing w:after="0" w:line="165"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288" w:name="page289"/>
    <w:bookmarkEnd w:id="288"/>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PERFORMANCE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 AGREEMENT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PERFORMANCE UNIT GRANT</w:t>
      </w:r>
    </w:p>
    <w:p>
      <w:pPr>
        <w:spacing w:after="0" w:line="2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Unless otherwise defined herein, the terms defined in the Micron Technology, Inc. Amended and Restated 2007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will have the same defined meanings in this Performance Unit Agreement which includes the Notice of Performance Unit Grant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xml:space="preserve">”), the Terms and Conditions of Performance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Additional Terms of rTSR CAGR Performance Units, attached hereto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and all other exhibits, appendices, and addenda attached hereto (collectively,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undersigned Participant has been granted the right to receive an Award of performance-based Restricted Stock Units (the “</w:t>
      </w:r>
      <w:r>
        <w:rPr>
          <w:rFonts w:ascii="Times New Roman" w:cs="Times New Roman" w:eastAsia="Times New Roman" w:hAnsi="Times New Roman"/>
          <w:sz w:val="22"/>
          <w:szCs w:val="22"/>
          <w:u w:val="single" w:color="auto"/>
          <w:color w:val="auto"/>
        </w:rPr>
        <w:t>rTSR CAGR Performance Units</w:t>
      </w:r>
      <w:r>
        <w:rPr>
          <w:rFonts w:ascii="Times New Roman" w:cs="Times New Roman" w:eastAsia="Times New Roman" w:hAnsi="Times New Roman"/>
          <w:sz w:val="22"/>
          <w:szCs w:val="22"/>
          <w:color w:val="auto"/>
        </w:rPr>
        <w:t>”), subject to the terms and conditions of the Plan and this Award Agreement, as follows:</w:t>
      </w:r>
    </w:p>
    <w:p>
      <w:pPr>
        <w:sectPr>
          <w:pgSz w:w="11900" w:h="16838" w:orient="portrait"/>
          <w:cols w:equalWidth="0" w:num="1">
            <w:col w:w="10440"/>
          </w:cols>
          <w:pgMar w:left="700" w:top="1440" w:right="7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Grant Number:</w:t>
      </w:r>
    </w:p>
    <w:p>
      <w:pPr>
        <w:spacing w:after="0" w:line="1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of Grant:</w:t>
      </w:r>
    </w:p>
    <w:p>
      <w:pPr>
        <w:spacing w:after="0" w:line="166" w:lineRule="exact"/>
        <w:rPr>
          <w:sz w:val="20"/>
          <w:szCs w:val="20"/>
          <w:color w:val="auto"/>
        </w:rPr>
      </w:pPr>
    </w:p>
    <w:p>
      <w:pPr>
        <w:ind w:left="80" w:right="340"/>
        <w:spacing w:after="0" w:line="271" w:lineRule="auto"/>
        <w:rPr>
          <w:sz w:val="20"/>
          <w:szCs w:val="20"/>
          <w:color w:val="auto"/>
        </w:rPr>
      </w:pPr>
      <w:r>
        <w:rPr>
          <w:rFonts w:ascii="Times New Roman" w:cs="Times New Roman" w:eastAsia="Times New Roman" w:hAnsi="Times New Roman"/>
          <w:sz w:val="22"/>
          <w:szCs w:val="22"/>
          <w:color w:val="auto"/>
        </w:rPr>
        <w:t>Target Number of Shares Subject to rTSR CAGR Performance Units:</w:t>
      </w:r>
    </w:p>
    <w:p>
      <w:pPr>
        <w:spacing w:after="0" w:line="90" w:lineRule="exact"/>
        <w:rPr>
          <w:sz w:val="20"/>
          <w:szCs w:val="20"/>
          <w:color w:val="auto"/>
        </w:rPr>
      </w:pPr>
    </w:p>
    <w:p>
      <w:pPr>
        <w:ind w:left="80"/>
        <w:spacing w:after="0" w:line="296" w:lineRule="auto"/>
        <w:rPr>
          <w:sz w:val="20"/>
          <w:szCs w:val="20"/>
          <w:color w:val="auto"/>
        </w:rPr>
      </w:pPr>
      <w:r>
        <w:rPr>
          <w:rFonts w:ascii="Times New Roman" w:cs="Times New Roman" w:eastAsia="Times New Roman" w:hAnsi="Times New Roman"/>
          <w:sz w:val="22"/>
          <w:szCs w:val="22"/>
          <w:color w:val="auto"/>
        </w:rPr>
        <w:t>Maximum Number of Shares Subject to rTSR CAGR Performance Units: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560" w:firstLine="17"/>
        <w:spacing w:after="0" w:line="258" w:lineRule="auto"/>
        <w:rPr>
          <w:sz w:val="20"/>
          <w:szCs w:val="20"/>
          <w:color w:val="auto"/>
        </w:rPr>
      </w:pPr>
      <w:r>
        <w:rPr>
          <w:rFonts w:ascii="Times New Roman" w:cs="Times New Roman" w:eastAsia="Times New Roman" w:hAnsi="Times New Roman"/>
          <w:sz w:val="22"/>
          <w:szCs w:val="22"/>
          <w:color w:val="auto"/>
        </w:rPr>
        <w:t>150% of Target Number of Shares Subject to rTSR CAGR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-1158875</wp:posOffset>
            </wp:positionV>
            <wp:extent cx="1714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-892810</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-473075</wp:posOffset>
            </wp:positionV>
            <wp:extent cx="171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-44450</wp:posOffset>
            </wp:positionV>
            <wp:extent cx="19507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1950720" cy="8890"/>
                    </a:xfrm>
                    <a:prstGeom prst="rect">
                      <a:avLst/>
                    </a:prstGeom>
                    <a:noFill/>
                  </pic:spPr>
                </pic:pic>
              </a:graphicData>
            </a:graphic>
          </wp:anchor>
        </w:drawing>
      </w:r>
    </w:p>
    <w:p>
      <w:pPr>
        <w:spacing w:after="0" w:line="813" w:lineRule="exact"/>
        <w:rPr>
          <w:sz w:val="20"/>
          <w:szCs w:val="20"/>
          <w:color w:val="auto"/>
        </w:rPr>
      </w:pPr>
    </w:p>
    <w:p>
      <w:pPr>
        <w:sectPr>
          <w:pgSz w:w="11900" w:h="16838" w:orient="portrait"/>
          <w:cols w:equalWidth="0" w:num="2">
            <w:col w:w="4700" w:space="260"/>
            <w:col w:w="5480"/>
          </w:cols>
          <w:pgMar w:left="700" w:top="1440" w:right="759" w:bottom="1440" w:gutter="0" w:footer="0" w:header="0"/>
          <w:type w:val="continuous"/>
        </w:sectPr>
      </w:pPr>
    </w:p>
    <w:p>
      <w:pPr>
        <w:spacing w:after="0" w:line="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Subject to any acceleration provisions contained in the Plan or set forth below, the rTSR CAGR Performance Units will be scheduled to vest in accordance with, and be subject to, the Additional Terms of rTSR CAGR Performance Units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Participant’s Continuous Status as a Participant ends for any reason before Participant vests in all or some of the rTSR CAGR Performance Units, the unvested rTSR CAGR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any of its Subsidiaries or Parents, as applicable (provided that any such other written agreement must have been duly authorized and signed by an officer of the Company or any of its Subsidiaries or Parents).</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By Participant electronically accepting this Award Agreement or manually signing this Award Agreement (in either case, as and in the manner specified by the Company), Participant</w:t>
      </w:r>
    </w:p>
    <w:p>
      <w:pPr>
        <w:sectPr>
          <w:pgSz w:w="11900" w:h="16838" w:orient="portrait"/>
          <w:cols w:equalWidth="0" w:num="1">
            <w:col w:w="10440"/>
          </w:cols>
          <w:pgMar w:left="700" w:top="1440" w:right="75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356" w:lineRule="exact"/>
        <w:rPr>
          <w:sz w:val="20"/>
          <w:szCs w:val="20"/>
          <w:color w:val="auto"/>
        </w:rPr>
      </w:pPr>
    </w:p>
    <w:p>
      <w:pPr>
        <w:jc w:val="both"/>
        <w:ind w:left="280"/>
        <w:spacing w:after="0" w:line="266" w:lineRule="auto"/>
        <w:rPr>
          <w:sz w:val="20"/>
          <w:szCs w:val="20"/>
          <w:color w:val="auto"/>
        </w:rPr>
      </w:pPr>
      <w:r>
        <w:rPr>
          <w:rFonts w:ascii="Times New Roman" w:cs="Times New Roman" w:eastAsia="Times New Roman" w:hAnsi="Times New Roman"/>
          <w:sz w:val="21"/>
          <w:szCs w:val="21"/>
          <w:color w:val="auto"/>
        </w:rPr>
        <w:t>and the Company agree that (1) this rTSR CAGR Performance Unit Award is granted under and governed by the terms and conditions of the Plan and this Award Agreement, which constitutes an Award Certificate for purposes of the Plan,</w:t>
      </w:r>
    </w:p>
    <w:p>
      <w:pPr>
        <w:spacing w:after="0" w:line="2" w:lineRule="exact"/>
        <w:rPr>
          <w:sz w:val="20"/>
          <w:szCs w:val="20"/>
          <w:color w:val="auto"/>
        </w:rPr>
      </w:pPr>
    </w:p>
    <w:p>
      <w:pPr>
        <w:jc w:val="both"/>
        <w:ind w:left="280" w:firstLine="5"/>
        <w:spacing w:after="0" w:line="259" w:lineRule="auto"/>
        <w:tabs>
          <w:tab w:leader="none" w:pos="587"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 Participant further agrees to notify the Company upon any change in the residence address indicated below.</w:t>
      </w: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482600</wp:posOffset>
            </wp:positionV>
            <wp:extent cx="24688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24688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0720"/>
          </w:cols>
          <w:pgMar w:left="420" w:top="613" w:right="759" w:bottom="1440" w:gutter="0" w:footer="0" w:header="0"/>
        </w:sectPr>
      </w:pPr>
    </w:p>
    <w:bookmarkStart w:id="290" w:name="page291"/>
    <w:bookmarkEnd w:id="290"/>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PERFORMANCE UNIT GRANT</w:t>
      </w:r>
    </w:p>
    <w:p>
      <w:pPr>
        <w:spacing w:after="0" w:line="224" w:lineRule="exact"/>
        <w:rPr>
          <w:sz w:val="20"/>
          <w:szCs w:val="20"/>
          <w:color w:val="auto"/>
        </w:rPr>
      </w:pPr>
    </w:p>
    <w:p>
      <w:pPr>
        <w:jc w:val="both"/>
        <w:ind w:firstLine="654"/>
        <w:spacing w:after="0" w:line="251" w:lineRule="auto"/>
        <w:tabs>
          <w:tab w:leader="none" w:pos="918"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rTSR CAGR Performance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Performance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Award of performance-based Restricted Stock Units (and referred to herein as rTSR CAGR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1" w:lineRule="exact"/>
        <w:rPr>
          <w:rFonts w:ascii="Times New Roman" w:cs="Times New Roman" w:eastAsia="Times New Roman" w:hAnsi="Times New Roman"/>
          <w:sz w:val="22"/>
          <w:szCs w:val="22"/>
          <w:color w:val="auto"/>
        </w:rPr>
      </w:pPr>
    </w:p>
    <w:p>
      <w:pPr>
        <w:jc w:val="both"/>
        <w:ind w:firstLine="653"/>
        <w:spacing w:after="0" w:line="253" w:lineRule="auto"/>
        <w:tabs>
          <w:tab w:leader="none" w:pos="918"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rTSR CAGR Performance Unit represents the right to receive a Share on the date it vests. Unless and until the rTSR CAGR Performance Units will have vested in the manner set forth in Section 3 or 4, Participant will have no right to payment of any such rTSR CAGR Performance Units. Prior to actual payment of any vested rTSR CAGR Performance Units, such rTSR CAGR Performance Unit will represent an unsecured obligation of the Company, payable (if at all) only from the general assets of the Company.</w:t>
      </w:r>
    </w:p>
    <w:p>
      <w:pPr>
        <w:spacing w:after="0" w:line="178" w:lineRule="exact"/>
        <w:rPr>
          <w:rFonts w:ascii="Times New Roman" w:cs="Times New Roman" w:eastAsia="Times New Roman" w:hAnsi="Times New Roman"/>
          <w:sz w:val="22"/>
          <w:szCs w:val="22"/>
          <w:color w:val="auto"/>
        </w:rPr>
      </w:pPr>
    </w:p>
    <w:p>
      <w:pPr>
        <w:jc w:val="both"/>
        <w:ind w:right="20" w:firstLine="654"/>
        <w:spacing w:after="0" w:line="263" w:lineRule="auto"/>
        <w:tabs>
          <w:tab w:leader="none" w:pos="918"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rTSR CAGR Performance Units awarded by this Award Agreement will vest in accordance with the vesting provisions set forth in the Notice of Grant, subject to Participant remaining in Continuous Status as a Participant through the applicable vesting date.</w:t>
      </w:r>
    </w:p>
    <w:p>
      <w:pPr>
        <w:spacing w:after="0" w:line="167" w:lineRule="exact"/>
        <w:rPr>
          <w:rFonts w:ascii="Times New Roman" w:cs="Times New Roman" w:eastAsia="Times New Roman" w:hAnsi="Times New Roman"/>
          <w:sz w:val="22"/>
          <w:szCs w:val="22"/>
          <w:color w:val="auto"/>
        </w:rPr>
      </w:pPr>
    </w:p>
    <w:p>
      <w:pPr>
        <w:ind w:left="1280" w:hanging="626"/>
        <w:spacing w:after="0"/>
        <w:tabs>
          <w:tab w:leader="none" w:pos="128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1"/>
        <w:spacing w:after="0" w:line="251" w:lineRule="auto"/>
        <w:tabs>
          <w:tab w:leader="none" w:pos="1563"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rTSR CAGR Performance Units that vest will be paid to Participant (or in the event of Participant’s death, to his or her properly designated beneficiary or estate) in Shares. Subject to this Section 4 and Section 9, such vested rTSR CAGR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In no event will Participant be permitted, directly or indirectly, to specify the taxable year of payment of any rTSR CAGR Performance Units payable under this Award Agreement.</w:t>
      </w:r>
    </w:p>
    <w:p>
      <w:pPr>
        <w:spacing w:after="0" w:line="181" w:lineRule="exact"/>
        <w:rPr>
          <w:rFonts w:ascii="Times New Roman" w:cs="Times New Roman" w:eastAsia="Times New Roman" w:hAnsi="Times New Roman"/>
          <w:sz w:val="22"/>
          <w:szCs w:val="22"/>
          <w:color w:val="auto"/>
        </w:rPr>
      </w:pPr>
    </w:p>
    <w:p>
      <w:pPr>
        <w:ind w:left="1940" w:hanging="638"/>
        <w:spacing w:after="0"/>
        <w:tabs>
          <w:tab w:leader="none" w:pos="194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0"/>
        <w:spacing w:after="0" w:line="263" w:lineRule="auto"/>
        <w:tabs>
          <w:tab w:leader="none" w:pos="2202" w:val="left"/>
        </w:tabs>
        <w:numPr>
          <w:ilvl w:val="2"/>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the Participant’s Continuous Status as a Participant ends on account of the Participant’s death or the Participant becoming Disabled, any rTSR CAGR Performance Units that both were unexpired and unvested as of the date of cessation of Continuous Status as a Participant, will vest on such date.</w:t>
      </w:r>
    </w:p>
    <w:p>
      <w:pPr>
        <w:spacing w:after="0" w:line="16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w:t>
      </w:r>
    </w:p>
    <w:p>
      <w:pPr>
        <w:sectPr>
          <w:pgSz w:w="11900" w:h="16838" w:orient="portrait"/>
          <w:cols w:equalWidth="0" w:num="1">
            <w:col w:w="10760"/>
          </w:cols>
          <w:pgMar w:left="700" w:top="1440" w:right="439" w:bottom="1440" w:gutter="0" w:footer="0" w:header="0"/>
        </w:sectPr>
      </w:pPr>
    </w:p>
    <w:bookmarkStart w:id="291" w:name="page292"/>
    <w:bookmarkEnd w:id="291"/>
    <w:p>
      <w:pPr>
        <w:ind w:right="500"/>
        <w:spacing w:after="0" w:line="271" w:lineRule="auto"/>
        <w:rPr>
          <w:sz w:val="20"/>
          <w:szCs w:val="20"/>
          <w:color w:val="auto"/>
        </w:rPr>
      </w:pPr>
      <w:r>
        <w:rPr>
          <w:rFonts w:ascii="Times New Roman" w:cs="Times New Roman" w:eastAsia="Times New Roman" w:hAnsi="Times New Roman"/>
          <w:sz w:val="22"/>
          <w:szCs w:val="22"/>
          <w:color w:val="auto"/>
        </w:rPr>
        <w:t>before the Participant’s Continuous Status as a Participant ends, any rTSR CAGR Performance Units will be treated in accordance with the terms of the Plan.</w:t>
      </w:r>
    </w:p>
    <w:p>
      <w:pPr>
        <w:spacing w:after="0" w:line="158" w:lineRule="exact"/>
        <w:rPr>
          <w:sz w:val="20"/>
          <w:szCs w:val="20"/>
          <w:color w:val="auto"/>
        </w:rPr>
      </w:pPr>
    </w:p>
    <w:p>
      <w:pPr>
        <w:jc w:val="both"/>
        <w:ind w:firstLine="1950"/>
        <w:spacing w:after="0" w:line="250" w:lineRule="auto"/>
        <w:tabs>
          <w:tab w:leader="none" w:pos="2862" w:val="left"/>
        </w:tabs>
        <w:numPr>
          <w:ilvl w:val="3"/>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rTSR CAGR Performance Units at any time, subject to the terms of the Plan. If so accelerated, such rTSR CAGR Performance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1950"/>
        <w:spacing w:after="0" w:line="262" w:lineRule="auto"/>
        <w:tabs>
          <w:tab w:leader="none" w:pos="2850" w:val="left"/>
        </w:tabs>
        <w:numPr>
          <w:ilvl w:val="3"/>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Grant Date), if the vesting of the balance, or some lesser portion of the balance, of the rTSR CAGR Performance Units is accelerated in connection with the cessation of Participant’s status as an employee, officer, director or consultant (a “</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(provided that such termination is a “separation from service” within the meaning of Section 409A, as determined by the Committee), other than due to Participant’s death, and if</w:t>
      </w:r>
    </w:p>
    <w:p>
      <w:pPr>
        <w:spacing w:after="0" w:line="1" w:lineRule="exact"/>
        <w:rPr>
          <w:rFonts w:ascii="Times New Roman" w:cs="Times New Roman" w:eastAsia="Times New Roman" w:hAnsi="Times New Roman"/>
          <w:sz w:val="21"/>
          <w:szCs w:val="21"/>
          <w:color w:val="auto"/>
        </w:rPr>
      </w:pPr>
    </w:p>
    <w:p>
      <w:pPr>
        <w:jc w:val="both"/>
        <w:ind w:firstLine="5"/>
        <w:spacing w:after="0" w:line="259" w:lineRule="auto"/>
        <w:tabs>
          <w:tab w:leader="none" w:pos="338"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 U.S. taxpayer and a “specified employee” within the meaning of Section 409A at the time of such termination as a Service Provider and (y) the payment of such accelerated rTSR CAGR Performance Units will result in the imposition of additional tax under Section 409A if paid to Participant on or within the six (6) month period following the cessation of Participant’s status as a Service Provider, then the payment of such accelerated rTSR CAGR Performance Units will not be made until the date six (6) months and one (1) day following the date of cessation of Participant’s status as a Service Provider, unless Participant dies following his or her termination as a Service Provider, in which case, the rTSR CAGR Performance Units will be paid in Shares to Participant’s estate as soon as practicable following his or her death.</w:t>
      </w:r>
    </w:p>
    <w:p>
      <w:pPr>
        <w:spacing w:after="0" w:line="176" w:lineRule="exact"/>
        <w:rPr>
          <w:rFonts w:ascii="Times New Roman" w:cs="Times New Roman" w:eastAsia="Times New Roman" w:hAnsi="Times New Roman"/>
          <w:sz w:val="21"/>
          <w:szCs w:val="21"/>
          <w:color w:val="auto"/>
        </w:rPr>
      </w:pPr>
    </w:p>
    <w:p>
      <w:pPr>
        <w:jc w:val="both"/>
        <w:ind w:firstLine="1302"/>
        <w:spacing w:after="0" w:line="250" w:lineRule="auto"/>
        <w:tabs>
          <w:tab w:leader="none" w:pos="1563" w:val="left"/>
        </w:tabs>
        <w:numPr>
          <w:ilvl w:val="2"/>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 of this Award Agreement that it and all payments and benefits to U.S. taxpayers hereunder be exempt from, or comply with, the requirements of Section 409A so that none of the rTSR CAGR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6" w:lineRule="exact"/>
        <w:rPr>
          <w:rFonts w:ascii="Times New Roman" w:cs="Times New Roman" w:eastAsia="Times New Roman" w:hAnsi="Times New Roman"/>
          <w:sz w:val="22"/>
          <w:szCs w:val="22"/>
          <w:color w:val="auto"/>
        </w:rPr>
      </w:pPr>
    </w:p>
    <w:p>
      <w:pPr>
        <w:jc w:val="both"/>
        <w:ind w:firstLine="653"/>
        <w:spacing w:after="0" w:line="253" w:lineRule="auto"/>
        <w:tabs>
          <w:tab w:leader="none" w:pos="918"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Continuous Status as a Participant</w:t>
      </w:r>
      <w:r>
        <w:rPr>
          <w:rFonts w:ascii="Times New Roman" w:cs="Times New Roman" w:eastAsia="Times New Roman" w:hAnsi="Times New Roman"/>
          <w:sz w:val="22"/>
          <w:szCs w:val="22"/>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rTSR CAGR Performance Units awarded by this Award</w:t>
      </w:r>
    </w:p>
    <w:p>
      <w:pPr>
        <w:sectPr>
          <w:pgSz w:w="11900" w:h="16838" w:orient="portrait"/>
          <w:cols w:equalWidth="0" w:num="1">
            <w:col w:w="10760"/>
          </w:cols>
          <w:pgMar w:left="700" w:top="1422" w:right="439" w:bottom="1440" w:gutter="0" w:footer="0" w:header="0"/>
        </w:sectPr>
      </w:pPr>
    </w:p>
    <w:bookmarkStart w:id="292" w:name="page293"/>
    <w:bookmarkEnd w:id="292"/>
    <w:p>
      <w:pPr>
        <w:spacing w:after="0" w:line="1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Agreement will be forfeited at no cost to the Company and Participant will have no further rights thereunder. The date of forfeiture will be the date of cessation of Continuous Status as a Participant.</w:t>
      </w:r>
    </w:p>
    <w:p>
      <w:pPr>
        <w:spacing w:after="0" w:line="23" w:lineRule="exact"/>
        <w:rPr>
          <w:sz w:val="20"/>
          <w:szCs w:val="20"/>
          <w:color w:val="auto"/>
        </w:rPr>
      </w:pPr>
    </w:p>
    <w:p>
      <w:pPr>
        <w:ind w:left="1300" w:hanging="646"/>
        <w:spacing w:after="0"/>
        <w:tabs>
          <w:tab w:leader="none" w:pos="13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Participant’s own tax advisers the</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86" w:lineRule="exact"/>
        <w:rPr>
          <w:sz w:val="20"/>
          <w:szCs w:val="20"/>
          <w:color w:val="auto"/>
        </w:rPr>
      </w:pPr>
    </w:p>
    <w:p>
      <w:pPr>
        <w:jc w:val="both"/>
        <w:ind w:firstLine="654"/>
        <w:spacing w:after="0" w:line="251" w:lineRule="auto"/>
        <w:tabs>
          <w:tab w:leader="none" w:pos="918"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1" w:lineRule="exact"/>
        <w:rPr>
          <w:rFonts w:ascii="Times New Roman" w:cs="Times New Roman" w:eastAsia="Times New Roman" w:hAnsi="Times New Roman"/>
          <w:sz w:val="22"/>
          <w:szCs w:val="22"/>
          <w:color w:val="auto"/>
        </w:rPr>
      </w:pPr>
    </w:p>
    <w:p>
      <w:pPr>
        <w:ind w:left="1300" w:hanging="647"/>
        <w:spacing w:after="0"/>
        <w:tabs>
          <w:tab w:leader="none" w:pos="130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19" w:lineRule="exact"/>
        <w:rPr>
          <w:rFonts w:ascii="Times New Roman" w:cs="Times New Roman" w:eastAsia="Times New Roman" w:hAnsi="Times New Roman"/>
          <w:sz w:val="22"/>
          <w:szCs w:val="22"/>
          <w:color w:val="auto"/>
        </w:rPr>
      </w:pPr>
    </w:p>
    <w:p>
      <w:pPr>
        <w:jc w:val="both"/>
        <w:ind w:firstLine="1296"/>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 or, if different, Participant’s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or any Parent or Subsidiary to which Participant is providing services (together, the “</w:t>
      </w:r>
      <w:r>
        <w:rPr>
          <w:rFonts w:ascii="Times New Roman" w:cs="Times New Roman" w:eastAsia="Times New Roman" w:hAnsi="Times New Roman"/>
          <w:sz w:val="21"/>
          <w:szCs w:val="21"/>
          <w:u w:val="single" w:color="auto"/>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rTSR CAGR Performance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rTSR CAGR Performance Units or sale of Shares, and (iii) any other Service Recipient taxes the responsibility for which Participant has, or has agreed to bear, with respect to the rTSR CAGR Performance Units (or settlement thereof or issuance of Shares thereunder) (collectively,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is and remains Participant’s sole responsibility and may exceed the amount actually withheld by the applicable Service Recipient(s). Participant further acknowledges that no Service Recipient</w:t>
      </w:r>
    </w:p>
    <w:p>
      <w:pPr>
        <w:spacing w:after="0" w:line="3" w:lineRule="exact"/>
        <w:rPr>
          <w:rFonts w:ascii="Times New Roman" w:cs="Times New Roman" w:eastAsia="Times New Roman" w:hAnsi="Times New Roman"/>
          <w:sz w:val="22"/>
          <w:szCs w:val="22"/>
          <w:color w:val="auto"/>
        </w:rPr>
      </w:pPr>
    </w:p>
    <w:p>
      <w:pPr>
        <w:jc w:val="both"/>
        <w:ind w:firstLine="5"/>
        <w:spacing w:after="0" w:line="246" w:lineRule="auto"/>
        <w:tabs>
          <w:tab w:leader="none" w:pos="39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any representations or undertakings regarding the treatment of any Tax Obligations in connection with any aspect of the rTSR CAGR Performance Units, including, but not limited to, the grant, vesting or settlement of the rTSR CAGR Performance Units, the subsequent sale of Shares acquired pursuant to such settlement and the receipt of any dividends or other distributions, and (B) makes any commitment to and is under any obligation to structure the terms of the grant or any aspect of the rTSR CAGR Performance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w:t>
      </w:r>
    </w:p>
    <w:p>
      <w:pPr>
        <w:sectPr>
          <w:pgSz w:w="11900" w:h="16838" w:orient="portrait"/>
          <w:cols w:equalWidth="0" w:num="1">
            <w:col w:w="10760"/>
          </w:cols>
          <w:pgMar w:left="700" w:top="1440" w:right="439" w:bottom="1440" w:gutter="0" w:footer="0" w:header="0"/>
        </w:sectPr>
      </w:pPr>
    </w:p>
    <w:bookmarkStart w:id="293" w:name="page294"/>
    <w:bookmarkEnd w:id="293"/>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8" w:lineRule="exact"/>
        <w:rPr>
          <w:sz w:val="20"/>
          <w:szCs w:val="20"/>
          <w:color w:val="auto"/>
        </w:rPr>
      </w:pPr>
    </w:p>
    <w:p>
      <w:pPr>
        <w:jc w:val="both"/>
        <w:ind w:firstLine="1301"/>
        <w:spacing w:after="0" w:line="250" w:lineRule="auto"/>
        <w:tabs>
          <w:tab w:leader="none" w:pos="1561"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and Default Method of Tax Withholding</w:t>
      </w:r>
      <w:r>
        <w:rPr>
          <w:rFonts w:ascii="Times New Roman" w:cs="Times New Roman" w:eastAsia="Times New Roman" w:hAnsi="Times New Roman"/>
          <w:sz w:val="22"/>
          <w:szCs w:val="22"/>
          <w:color w:val="auto"/>
        </w:rPr>
        <w:t>. When Shares are issued as payment for vested rTSR CAGR Performance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Times New Roman" w:cs="Times New Roman" w:eastAsia="Times New Roman" w:hAnsi="Times New Roman"/>
          <w:sz w:val="22"/>
          <w:szCs w:val="22"/>
          <w:u w:val="single" w:color="auto"/>
          <w:color w:val="auto"/>
        </w:rPr>
        <w:t>Tax Withholding Obligation</w:t>
      </w:r>
      <w:r>
        <w:rPr>
          <w:rFonts w:ascii="Times New Roman" w:cs="Times New Roman" w:eastAsia="Times New Roman" w:hAnsi="Times New Roman"/>
          <w:sz w:val="22"/>
          <w:szCs w:val="22"/>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86" w:lineRule="exact"/>
        <w:rPr>
          <w:rFonts w:ascii="Times New Roman" w:cs="Times New Roman" w:eastAsia="Times New Roman" w:hAnsi="Times New Roman"/>
          <w:sz w:val="22"/>
          <w:szCs w:val="22"/>
          <w:color w:val="auto"/>
        </w:rPr>
      </w:pPr>
    </w:p>
    <w:p>
      <w:pPr>
        <w:jc w:val="both"/>
        <w:ind w:firstLine="1301"/>
        <w:spacing w:after="0" w:line="247" w:lineRule="auto"/>
        <w:tabs>
          <w:tab w:leader="none" w:pos="1563"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w:t>
      </w:r>
    </w:p>
    <w:p>
      <w:pPr>
        <w:jc w:val="both"/>
        <w:ind w:right="20" w:firstLine="5"/>
        <w:spacing w:after="0" w:line="247" w:lineRule="auto"/>
        <w:tabs>
          <w:tab w:leader="none" w:pos="38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197" w:lineRule="exact"/>
        <w:rPr>
          <w:rFonts w:ascii="Times New Roman" w:cs="Times New Roman" w:eastAsia="Times New Roman" w:hAnsi="Times New Roman"/>
          <w:sz w:val="22"/>
          <w:szCs w:val="22"/>
          <w:color w:val="auto"/>
        </w:rPr>
      </w:pPr>
    </w:p>
    <w:p>
      <w:pPr>
        <w:jc w:val="both"/>
        <w:ind w:firstLine="1302"/>
        <w:spacing w:after="0" w:line="249" w:lineRule="auto"/>
        <w:tabs>
          <w:tab w:leader="none" w:pos="1561"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rTSR CAGR Performance Units otherwise are scheduled to vest pursuant to Sections 3 or 4 or Participant’s Tax Withholding Obligations otherwise become due, Participant will permanently forfeit such rTSR CAGR Performance Units to which Participant’s Tax Withholding Obligation relates and any right to receive Shares thereunder and such rTSR CAGR Performance Units will be returned to the Company at no cost to the Company.</w:t>
      </w:r>
    </w:p>
    <w:p>
      <w:pPr>
        <w:spacing w:after="0" w:line="181" w:lineRule="exact"/>
        <w:rPr>
          <w:rFonts w:ascii="Times New Roman" w:cs="Times New Roman" w:eastAsia="Times New Roman" w:hAnsi="Times New Roman"/>
          <w:sz w:val="22"/>
          <w:szCs w:val="22"/>
          <w:color w:val="auto"/>
        </w:rPr>
      </w:pPr>
    </w:p>
    <w:p>
      <w:pPr>
        <w:jc w:val="both"/>
        <w:ind w:firstLine="654"/>
        <w:spacing w:after="0" w:line="263" w:lineRule="auto"/>
        <w:tabs>
          <w:tab w:leader="none" w:pos="918"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If the Company declares and pays a cash dividend on Shares for which the record date occurs while rTSR CAGR Performance Units subject to this Award Agreement remain outstanding, then certain cash amounts (referred to as “</w:t>
      </w:r>
      <w:r>
        <w:rPr>
          <w:rFonts w:ascii="Times New Roman" w:cs="Times New Roman" w:eastAsia="Times New Roman" w:hAnsi="Times New Roman"/>
          <w:sz w:val="22"/>
          <w:szCs w:val="22"/>
          <w:u w:val="single" w:color="auto"/>
          <w:color w:val="auto"/>
        </w:rPr>
        <w:t>DEUs</w:t>
      </w:r>
      <w:r>
        <w:rPr>
          <w:rFonts w:ascii="Times New Roman" w:cs="Times New Roman" w:eastAsia="Times New Roman" w:hAnsi="Times New Roman"/>
          <w:sz w:val="22"/>
          <w:szCs w:val="22"/>
          <w:color w:val="auto"/>
        </w:rPr>
        <w:t>”) will be credited</w:t>
      </w:r>
    </w:p>
    <w:p>
      <w:pPr>
        <w:sectPr>
          <w:pgSz w:w="11900" w:h="16838" w:orient="portrait"/>
          <w:cols w:equalWidth="0" w:num="1">
            <w:col w:w="10760"/>
          </w:cols>
          <w:pgMar w:left="700" w:top="1440" w:right="439" w:bottom="1440" w:gutter="0" w:footer="0" w:header="0"/>
        </w:sectPr>
      </w:pPr>
    </w:p>
    <w:bookmarkStart w:id="294" w:name="page295"/>
    <w:bookmarkEnd w:id="294"/>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under this Award Agreement in accordance with this Section 9, upon the occurrence of such a cash dividend, the cash amount of each DEU will equal the cash dividend amount per Share paid to stockholders. The aggregate cash amount of the DEUs that will be credited under this Award greement for a particular cash dividend will be determined by the following formula: X = (A x B); where:</w:t>
      </w:r>
    </w:p>
    <w:p>
      <w:pPr>
        <w:spacing w:after="0" w:line="28" w:lineRule="exact"/>
        <w:rPr>
          <w:sz w:val="20"/>
          <w:szCs w:val="20"/>
          <w:color w:val="auto"/>
        </w:rPr>
      </w:pPr>
    </w:p>
    <w:p>
      <w:pPr>
        <w:ind w:left="980" w:hanging="326"/>
        <w:spacing w:after="0"/>
        <w:tabs>
          <w:tab w:leader="none" w:pos="98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is the aggregate cash amount of the DEUs to be credited with respect to that cash dividend.</w:t>
      </w:r>
    </w:p>
    <w:p>
      <w:pPr>
        <w:spacing w:after="0" w:line="219" w:lineRule="exact"/>
        <w:rPr>
          <w:rFonts w:ascii="Times New Roman" w:cs="Times New Roman" w:eastAsia="Times New Roman" w:hAnsi="Times New Roman"/>
          <w:sz w:val="22"/>
          <w:szCs w:val="22"/>
          <w:color w:val="auto"/>
        </w:rPr>
      </w:pPr>
    </w:p>
    <w:p>
      <w:pPr>
        <w:ind w:left="980" w:right="20" w:hanging="326"/>
        <w:spacing w:after="0" w:line="309" w:lineRule="auto"/>
        <w:tabs>
          <w:tab w:leader="none" w:pos="975"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is the amount of the cash dividend paid by the Company to stockholders with respect to one Share. In other words, this amount is the cash amount of each DEU to be credited with respect to a particular cash dividend.</w:t>
      </w:r>
    </w:p>
    <w:p>
      <w:pPr>
        <w:spacing w:after="0" w:line="120" w:lineRule="exact"/>
        <w:rPr>
          <w:rFonts w:ascii="Times New Roman" w:cs="Times New Roman" w:eastAsia="Times New Roman" w:hAnsi="Times New Roman"/>
          <w:sz w:val="21"/>
          <w:szCs w:val="21"/>
          <w:color w:val="auto"/>
        </w:rPr>
      </w:pPr>
    </w:p>
    <w:p>
      <w:pPr>
        <w:ind w:left="980" w:hanging="326"/>
        <w:spacing w:after="0" w:line="271" w:lineRule="auto"/>
        <w:tabs>
          <w:tab w:leader="none" w:pos="97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is the number of rTSR CAGR Performance Units remaining subject to this Award Agreement as of the cash dividend record date but immediately prior to the application of this Section 9 for that cash dividend.</w:t>
      </w:r>
    </w:p>
    <w:p>
      <w:pPr>
        <w:spacing w:after="0" w:line="157" w:lineRule="exact"/>
        <w:rPr>
          <w:rFonts w:ascii="Times New Roman" w:cs="Times New Roman" w:eastAsia="Times New Roman" w:hAnsi="Times New Roman"/>
          <w:sz w:val="22"/>
          <w:szCs w:val="22"/>
          <w:color w:val="auto"/>
        </w:rPr>
      </w:pPr>
    </w:p>
    <w:p>
      <w:pPr>
        <w:jc w:val="both"/>
        <w:ind w:firstLine="1302"/>
        <w:spacing w:after="0" w:line="249" w:lineRule="auto"/>
        <w:tabs>
          <w:tab w:leader="none" w:pos="1563"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DEUs</w:t>
      </w:r>
      <w:r>
        <w:rPr>
          <w:rFonts w:ascii="Times New Roman" w:cs="Times New Roman" w:eastAsia="Times New Roman" w:hAnsi="Times New Roman"/>
          <w:sz w:val="22"/>
          <w:szCs w:val="22"/>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81" w:lineRule="exact"/>
        <w:rPr>
          <w:rFonts w:ascii="Times New Roman" w:cs="Times New Roman" w:eastAsia="Times New Roman" w:hAnsi="Times New Roman"/>
          <w:sz w:val="22"/>
          <w:szCs w:val="22"/>
          <w:color w:val="auto"/>
        </w:rPr>
      </w:pPr>
    </w:p>
    <w:p>
      <w:pPr>
        <w:jc w:val="both"/>
        <w:ind w:firstLine="1301"/>
        <w:spacing w:after="0" w:line="268" w:lineRule="auto"/>
        <w:tabs>
          <w:tab w:leader="none" w:pos="1561" w:val="left"/>
        </w:tabs>
        <w:numPr>
          <w:ilvl w:val="1"/>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and General</w:t>
      </w:r>
      <w:r>
        <w:rPr>
          <w:rFonts w:ascii="Times New Roman" w:cs="Times New Roman" w:eastAsia="Times New Roman" w:hAnsi="Times New Roman"/>
          <w:sz w:val="21"/>
          <w:szCs w:val="21"/>
          <w:color w:val="auto"/>
        </w:rPr>
        <w:t>. DEUs credited under this Section 9 will be subject to the same terms and conditions as the other Shares underlying the rTSR CAGR Performance Units on which the DEUs were paid including (but not limited to) being settled at the same time as the settlement of the rTSR CAGR Performance Units on which the DEUs were paid (but DEUs will be paid in cash and subject to the other provisions of this Section 9 and the Award Agreement). DEUs will not accrue interest and will not be credited with any investment returns related to Shares or otherwise.</w:t>
      </w:r>
    </w:p>
    <w:p>
      <w:pPr>
        <w:spacing w:after="0" w:line="163" w:lineRule="exact"/>
        <w:rPr>
          <w:rFonts w:ascii="Times New Roman" w:cs="Times New Roman" w:eastAsia="Times New Roman" w:hAnsi="Times New Roman"/>
          <w:sz w:val="21"/>
          <w:szCs w:val="21"/>
          <w:color w:val="auto"/>
        </w:rPr>
      </w:pPr>
    </w:p>
    <w:p>
      <w:pPr>
        <w:jc w:val="both"/>
        <w:ind w:firstLine="1301"/>
        <w:spacing w:after="0" w:line="250" w:lineRule="auto"/>
        <w:tabs>
          <w:tab w:leader="none" w:pos="1563"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rTSR CAGR Performance Units, DEUs or cash will be credited with respect to any rTSR CAGR Performance Units that previously vested and were settled.</w:t>
      </w:r>
    </w:p>
    <w:p>
      <w:pPr>
        <w:sectPr>
          <w:pgSz w:w="11900" w:h="16838" w:orient="portrait"/>
          <w:cols w:equalWidth="0" w:num="1">
            <w:col w:w="10760"/>
          </w:cols>
          <w:pgMar w:left="700" w:top="1440" w:right="439" w:bottom="1440" w:gutter="0" w:footer="0" w:header="0"/>
        </w:sectPr>
      </w:pPr>
    </w:p>
    <w:bookmarkStart w:id="295" w:name="page296"/>
    <w:bookmarkEnd w:id="295"/>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rTSR CAGR PERFORMANCE UNITS PURSUANT TO THE VESTING SCHEDULE HEREOF IS EARNED ONLY BY REMAINING IN CONTINUOUS STATUS AS A PARTICIPANT, WHICH UNLESS PROVIDED OTHERWISE UNDER APPLICABLE LAW IS AT THE WILL OF THE APPLICABLE SERVICE RECIPIENT AND NOT THROUGH THE ACT OF BEING HIRED, BEING GRANTED THIS rTSR CAGR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Times New Roman" w:cs="Times New Roman" w:eastAsia="Times New Roman" w:hAnsi="Times New Roman"/>
          <w:sz w:val="22"/>
          <w:szCs w:val="22"/>
          <w:u w:val="single" w:color="auto"/>
          <w:color w:val="auto"/>
        </w:rPr>
        <w:t>QDRO</w:t>
      </w:r>
      <w:r>
        <w:rPr>
          <w:rFonts w:ascii="Times New Roman" w:cs="Times New Roman" w:eastAsia="Times New Roman" w:hAnsi="Times New Roman"/>
          <w:sz w:val="22"/>
          <w:szCs w:val="22"/>
          <w:color w:val="auto"/>
        </w:rPr>
        <w:t>”) will be permitted so long as such transfer complies with the QDRO procedures then in effect, as specified by the Committee or the Company.</w:t>
      </w:r>
    </w:p>
    <w:p>
      <w:pPr>
        <w:spacing w:after="0" w:line="2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rTSR CAGR Performance Units, Participant acknowledges, understands and agrees that: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(a)the grant of the rTSR CAGR Performance Units is voluntary and occasional and does not create any contractual or other right to receive future grants of equity awards, or benefits in lieu of equity awards, even if equity awards have been granted in the past;</w:t>
      </w:r>
    </w:p>
    <w:p>
      <w:pPr>
        <w:sectPr>
          <w:pgSz w:w="11900" w:h="16838" w:orient="portrait"/>
          <w:cols w:equalWidth="0" w:num="1">
            <w:col w:w="10760"/>
          </w:cols>
          <w:pgMar w:left="700" w:top="1440" w:right="439" w:bottom="1440" w:gutter="0" w:footer="0" w:header="0"/>
        </w:sectPr>
      </w:pPr>
    </w:p>
    <w:bookmarkStart w:id="296" w:name="page297"/>
    <w:bookmarkEnd w:id="296"/>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(b)all decisions with respect to future equity award grants, if any, will be at the sole discretion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w:t>
      </w:r>
    </w:p>
    <w:p>
      <w:pPr>
        <w:spacing w:after="0" w:line="209" w:lineRule="exact"/>
        <w:rPr>
          <w:sz w:val="20"/>
          <w:szCs w:val="20"/>
          <w:color w:val="auto"/>
        </w:rPr>
      </w:pPr>
    </w:p>
    <w:p>
      <w:pPr>
        <w:ind w:left="1940" w:hanging="639"/>
        <w:spacing w:after="0"/>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(d)the rTSR CAGR Performance Units and the Shares subject to the rTSR CAGR Performance Units are not intended to replace any pension rights or compensation;</w:t>
      </w:r>
    </w:p>
    <w:p>
      <w:pPr>
        <w:spacing w:after="0" w:line="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(e)the rTSR CAGR Performance Units and the Shares subject to the rTSR CAGR Performance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20" w:firstLine="1302"/>
        <w:spacing w:after="0" w:line="271" w:lineRule="auto"/>
        <w:tabs>
          <w:tab w:leader="none" w:pos="156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rTSR CAGR Performance Units is unknown, indeterminable, and cannot be predicted;</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(g)for purposes of the rTSR CAGR Performance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rTSR CAGR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rTSR CAGR Performance Units grant (including whether Participant may still be considered to be providing services while on a leave of absence and consistent with local law);</w:t>
      </w:r>
    </w:p>
    <w:p>
      <w:pPr>
        <w:spacing w:after="0" w:line="19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(h)unless otherwise provided in the Plan or by the Committee in its discretion, the rTSR CAGR Performance Units and the benefits evidenced by this Award Agreement do not create any entitlement to have the rTSR CAGR Performance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560" w:hanging="258"/>
        <w:spacing w:after="0"/>
        <w:tabs>
          <w:tab w:leader="none" w:pos="15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firstLine="1949"/>
        <w:spacing w:after="0" w:line="271" w:lineRule="auto"/>
        <w:tabs>
          <w:tab w:leader="none" w:pos="2202"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rTSR CAGR Performance Units and the Shares subject to the rTSR CAGR Performance Units are not part of normal or expected compensation or salary for any purpose;</w:t>
      </w:r>
    </w:p>
    <w:p>
      <w:pPr>
        <w:sectPr>
          <w:pgSz w:w="11900" w:h="16838" w:orient="portrait"/>
          <w:cols w:equalWidth="0" w:num="1">
            <w:col w:w="10760"/>
          </w:cols>
          <w:pgMar w:left="700" w:top="1440" w:right="439" w:bottom="1440" w:gutter="0" w:footer="0" w:header="0"/>
        </w:sectPr>
      </w:pPr>
    </w:p>
    <w:bookmarkStart w:id="297" w:name="page298"/>
    <w:bookmarkEnd w:id="297"/>
    <w:p>
      <w:pPr>
        <w:spacing w:after="0" w:line="11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1"/>
          <w:szCs w:val="21"/>
          <w:color w:val="auto"/>
        </w:rPr>
        <w:t>(ii)Participant acknowledges and agrees that no Service Recipient shall be liable for any foreign exchange rate fluctuation between Participant’s local currency and the United States Dollar that may affect the value of the rTSR CAGR Performance Units or of any amounts due to Participant pursuant to the settlement of the rTSR CAGR Performance Units or the subsequent sale of any Shares acquired upon settlement; and no claim or entitlement to compensation or damages shall arise from the forfeiture of the rTSR CAGR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rTSR CAGR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rTSR CAGR Performance Units. Participant is hereby advised to consult with his or her own personal tax, legal, and financial advisors regarding his or her participation in the Plan before taking any action related to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Participant hereby explicitly and unambiguously consents to the collection, use and transfer, in electronic or other form, of Participant’s personal data as described in this Award Agreement and any other rTSR CAGR Performance Unit grant materials by and among, as applicable, the Service Recipients for the exclusive purpose of implementing, administering and managing Participant’s participation in the Plan.</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rTSR CAGR Performance Units or any other entitlement to Shares awarded, canceled, exercised, vested, unvested, or outstanding in Participant’s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Plan.</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w:t>
      </w:r>
    </w:p>
    <w:p>
      <w:pPr>
        <w:sectPr>
          <w:pgSz w:w="11900" w:h="16838" w:orient="portrait"/>
          <w:cols w:equalWidth="0" w:num="1">
            <w:col w:w="10760"/>
          </w:cols>
          <w:pgMar w:left="700" w:top="1440" w:right="439" w:bottom="1440" w:gutter="0" w:footer="0" w:header="0"/>
        </w:sectPr>
      </w:pPr>
    </w:p>
    <w:bookmarkStart w:id="298" w:name="page299"/>
    <w:bookmarkEnd w:id="298"/>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rTSR CAGR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Code and related regulations, or</w:t>
      </w:r>
    </w:p>
    <w:p>
      <w:pPr>
        <w:sectPr>
          <w:pgSz w:w="11900" w:h="16838" w:orient="portrait"/>
          <w:cols w:equalWidth="0" w:num="1">
            <w:col w:w="10760"/>
          </w:cols>
          <w:pgMar w:left="700" w:top="1440" w:right="439" w:bottom="1440" w:gutter="0" w:footer="0" w:header="0"/>
        </w:sectPr>
      </w:pPr>
    </w:p>
    <w:bookmarkStart w:id="299" w:name="page300"/>
    <w:bookmarkEnd w:id="299"/>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rTSR CAGR Performance Units as the Committee may establish from time to time for reasons of administrative convenience.</w:t>
      </w:r>
    </w:p>
    <w:p>
      <w:pPr>
        <w:spacing w:after="0" w:line="18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rTSR CAGR Performance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rTSR CAGR Performance Units under the Plan, and has received, read and understood a description of the Plan. Participant understands that the Plan is discretionary in nature and may be amended, suspended, or terminated by the Committee at any time.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rTSR CAGR</w:t>
      </w:r>
    </w:p>
    <w:p>
      <w:pPr>
        <w:sectPr>
          <w:pgSz w:w="11900" w:h="16838" w:orient="portrait"/>
          <w:cols w:equalWidth="0" w:num="1">
            <w:col w:w="10760"/>
          </w:cols>
          <w:pgMar w:left="700" w:top="1440" w:right="439" w:bottom="1440" w:gutter="0" w:footer="0" w:header="0"/>
        </w:sectPr>
      </w:pPr>
    </w:p>
    <w:bookmarkStart w:id="300" w:name="page301"/>
    <w:bookmarkEnd w:id="300"/>
    <w:p>
      <w:pPr>
        <w:spacing w:after="0" w:line="11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Forfeiture Under Policy or Law</w:t>
      </w:r>
      <w:r>
        <w:rPr>
          <w:rFonts w:ascii="Times New Roman" w:cs="Times New Roman" w:eastAsia="Times New Roman" w:hAnsi="Times New Roman"/>
          <w:sz w:val="22"/>
          <w:szCs w:val="22"/>
          <w:color w:val="auto"/>
        </w:rPr>
        <w:t>. Participant’s rights with respect to this Award Agreement and the Award of rTSR CAGR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rTSR CAGR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Committee,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rTSR CAGR Performance Units to re-convey, transfer or otherwise return the Shares and/or other amounts to the Company upon the Company’s enforcement of any Clawback Policy or recovery policy.</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Governing Law; Venue; Severability</w:t>
      </w:r>
      <w:r>
        <w:rPr>
          <w:rFonts w:ascii="Times New Roman" w:cs="Times New Roman" w:eastAsia="Times New Roman" w:hAnsi="Times New Roman"/>
          <w:sz w:val="22"/>
          <w:szCs w:val="22"/>
          <w:color w:val="auto"/>
        </w:rPr>
        <w:t>. This Award Agreement and the rTSR CAGR Performance Units are governed by the internal substantive laws, but not the choice of law rules, of the State of Delaware. For purposes of litigating any dispute that arises under these rTSR CAGR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ectPr>
          <w:pgSz w:w="11900" w:h="16838" w:orient="portrait"/>
          <w:cols w:equalWidth="0" w:num="1">
            <w:col w:w="10760"/>
          </w:cols>
          <w:pgMar w:left="700" w:top="1440" w:right="439" w:bottom="1440" w:gutter="0" w:footer="0" w:header="0"/>
        </w:sectPr>
      </w:pPr>
    </w:p>
    <w:bookmarkStart w:id="301" w:name="page302"/>
    <w:bookmarkEnd w:id="301"/>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rTSR CAGR Performance Unit grant shall be subject to any special terms and conditions set forth in an appendix (if any) to this Award Agreement for any country whose laws are applicable to Participant and this rTSR CAGR Performance Unit Award (as determined by the Committee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4"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302" w:name="page303"/>
    <w:bookmarkEnd w:id="302"/>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ADDITIONAL TERMS OF rTSR CAGR PERFORMANCE UNITS</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rTSR CAGR Performance Units may be earned, in whole or in part, based on (i) Participant’s Continuous Status as a Participant, and (ii) the achievement of the performance goals, as set forth below.</w:t>
      </w:r>
    </w:p>
    <w:p>
      <w:pPr>
        <w:spacing w:after="0" w:line="16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For purposes of this Award of rTSR CAGR Performance Units,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three fiscal years of the Company (“</w:t>
      </w:r>
      <w:r>
        <w:rPr>
          <w:rFonts w:ascii="Times New Roman" w:cs="Times New Roman" w:eastAsia="Times New Roman" w:hAnsi="Times New Roman"/>
          <w:sz w:val="22"/>
          <w:szCs w:val="22"/>
          <w:u w:val="single" w:color="auto"/>
          <w:color w:val="auto"/>
        </w:rPr>
        <w:t>Fiscal Years</w:t>
      </w:r>
      <w:r>
        <w:rPr>
          <w:rFonts w:ascii="Times New Roman" w:cs="Times New Roman" w:eastAsia="Times New Roman" w:hAnsi="Times New Roman"/>
          <w:sz w:val="22"/>
          <w:szCs w:val="22"/>
          <w:color w:val="auto"/>
        </w:rPr>
        <w:t>”) beginning August 30, 2024, and ending on (and inclusive of) September 2, 2027.</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auto"/>
        </w:rPr>
        <w:t>Performance Goal</w:t>
      </w:r>
      <w:r>
        <w:rPr>
          <w:rFonts w:ascii="Times New Roman" w:cs="Times New Roman" w:eastAsia="Times New Roman" w:hAnsi="Times New Roman"/>
          <w:sz w:val="21"/>
          <w:szCs w:val="21"/>
          <w:color w:val="auto"/>
        </w:rPr>
        <w:t>. 100% of the rTSR CAGR Performance Units are eligible to be earned assuming at-target achievement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relative total shareholder return 3-year compound annual growth rate goal (the “</w:t>
      </w:r>
      <w:r>
        <w:rPr>
          <w:rFonts w:ascii="Times New Roman" w:cs="Times New Roman" w:eastAsia="Times New Roman" w:hAnsi="Times New Roman"/>
          <w:sz w:val="21"/>
          <w:szCs w:val="21"/>
          <w:u w:val="single" w:color="auto"/>
          <w:color w:val="auto"/>
        </w:rPr>
        <w:t>rTSR CAGR Goal</w:t>
      </w:r>
      <w:r>
        <w:rPr>
          <w:rFonts w:ascii="Times New Roman" w:cs="Times New Roman" w:eastAsia="Times New Roman" w:hAnsi="Times New Roman"/>
          <w:sz w:val="21"/>
          <w:szCs w:val="21"/>
          <w:color w:val="auto"/>
        </w:rPr>
        <w:t>”). The actual number of rTSR CAGR Performance Units earned with respect to the rTSR CAGR Goal will be determined by reference to the payout factor (the “</w:t>
      </w:r>
      <w:r>
        <w:rPr>
          <w:rFonts w:ascii="Times New Roman" w:cs="Times New Roman" w:eastAsia="Times New Roman" w:hAnsi="Times New Roman"/>
          <w:sz w:val="21"/>
          <w:szCs w:val="21"/>
          <w:u w:val="single" w:color="auto"/>
          <w:color w:val="auto"/>
        </w:rPr>
        <w:t>rTSR CAGR Payout Factor</w:t>
      </w:r>
      <w:r>
        <w:rPr>
          <w:rFonts w:ascii="Times New Roman" w:cs="Times New Roman" w:eastAsia="Times New Roman" w:hAnsi="Times New Roman"/>
          <w:sz w:val="21"/>
          <w:szCs w:val="21"/>
          <w:color w:val="auto"/>
        </w:rPr>
        <w:t>”) determined based on the achievement level as set forth below.</w:t>
      </w:r>
    </w:p>
    <w:p>
      <w:pPr>
        <w:spacing w:after="0" w:line="49" w:lineRule="exact"/>
        <w:rPr>
          <w:sz w:val="20"/>
          <w:szCs w:val="20"/>
          <w:color w:val="auto"/>
        </w:rPr>
      </w:pPr>
    </w:p>
    <w:p>
      <w:pPr>
        <w:jc w:val="both"/>
        <w:ind w:left="660" w:hanging="330"/>
        <w:spacing w:after="0" w:line="246" w:lineRule="auto"/>
        <w:tabs>
          <w:tab w:leader="none" w:pos="65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first Measurement Date (as defined below), the actual number of rTSR CAGR Performance Units earned, if any, will be determined by multiplying (i) the Target Number of Shares Subject to rTSR CAGR Performance Units (as set forth in the Notice of Grant) by</w:t>
      </w:r>
    </w:p>
    <w:p>
      <w:pPr>
        <w:spacing w:after="0" w:line="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the applicable rTSR CAGR Payout Factor.</w:t>
      </w:r>
    </w:p>
    <w:p>
      <w:pPr>
        <w:spacing w:after="0" w:line="209" w:lineRule="exact"/>
        <w:rPr>
          <w:rFonts w:ascii="Times New Roman" w:cs="Times New Roman" w:eastAsia="Times New Roman" w:hAnsi="Times New Roman"/>
          <w:sz w:val="22"/>
          <w:szCs w:val="22"/>
          <w:color w:val="auto"/>
        </w:rPr>
      </w:pPr>
    </w:p>
    <w:p>
      <w:pPr>
        <w:jc w:val="both"/>
        <w:ind w:left="660" w:hanging="330"/>
        <w:spacing w:after="0" w:line="251" w:lineRule="auto"/>
        <w:tabs>
          <w:tab w:leader="none" w:pos="65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rTSR CAGR Payout Factor on any subsequent Measurement Date exceeds the highest rTSR CAGR Payout Factor previously recorded on a preceding Measurement Date, then the actual number of additional rTSR CAGR Performance Units earned, if any, upon such Measurement Date will be determined by multiplying (i) the Target Number of Shares Subject to rTSR CAGR Performance Units by (ii) the excess of the rTSR CAGR Payout Factor on such Measurement Date over the highest rTSR CAGR Payout Factor of all preceding Measurement Dates.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Therefore, more or less than 100% of the Target Number of Shares Subject to rTSR CAGR Performance Units may be earned during the Performance Period based on the level of achievement measured against the rTSR CAGR Goal. Additionally, the number of rTSR CAGR Performance Units earned on any Measurement Date with respect to the rTSR CAGR Goal may be adjusted downward as a result of the 2x Limit (as defined below).</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900" w:type="dxa"/>
            <w:vAlign w:val="bottom"/>
          </w:tcPr>
          <w:p>
            <w:pPr>
              <w:spacing w:after="0"/>
              <w:rPr>
                <w:sz w:val="24"/>
                <w:szCs w:val="24"/>
                <w:color w:val="auto"/>
              </w:rPr>
            </w:pPr>
          </w:p>
        </w:tc>
        <w:tc>
          <w:tcPr>
            <w:tcW w:w="6460" w:type="dxa"/>
            <w:vAlign w:val="bottom"/>
            <w:tcBorders>
              <w:right w:val="single" w:sz="8" w:color="auto"/>
            </w:tcBorders>
          </w:tcPr>
          <w:p>
            <w:pPr>
              <w:spacing w:after="0"/>
              <w:rPr>
                <w:sz w:val="24"/>
                <w:szCs w:val="24"/>
                <w:color w:val="auto"/>
              </w:rPr>
            </w:pPr>
          </w:p>
        </w:tc>
        <w:tc>
          <w:tcPr>
            <w:tcW w:w="2980" w:type="dxa"/>
            <w:vAlign w:val="bottom"/>
            <w:tcBorders>
              <w:top w:val="single" w:sz="8" w:color="auto"/>
              <w:right w:val="single" w:sz="8" w:color="auto"/>
            </w:tcBorders>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rPr>
              <w:t>rTSR CAGR Payout Factor</w:t>
            </w:r>
          </w:p>
        </w:tc>
        <w:tc>
          <w:tcPr>
            <w:tcW w:w="0" w:type="dxa"/>
            <w:vAlign w:val="bottom"/>
          </w:tcPr>
          <w:p>
            <w:pPr>
              <w:spacing w:after="0"/>
              <w:rPr>
                <w:sz w:val="1"/>
                <w:szCs w:val="1"/>
                <w:color w:val="auto"/>
              </w:rPr>
            </w:pPr>
          </w:p>
        </w:tc>
      </w:tr>
      <w:tr>
        <w:trPr>
          <w:trHeight w:val="42"/>
        </w:trPr>
        <w:tc>
          <w:tcPr>
            <w:tcW w:w="900" w:type="dxa"/>
            <w:vAlign w:val="bottom"/>
            <w:tcBorders>
              <w:bottom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5"/>
        </w:trPr>
        <w:tc>
          <w:tcPr>
            <w:tcW w:w="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Fiscal</w:t>
            </w:r>
          </w:p>
        </w:tc>
        <w:tc>
          <w:tcPr>
            <w:tcW w:w="6460" w:type="dxa"/>
            <w:vAlign w:val="bottom"/>
            <w:tcBorders>
              <w:right w:val="single" w:sz="8" w:color="auto"/>
            </w:tcBorders>
            <w:vMerge w:val="restart"/>
          </w:tcPr>
          <w:p>
            <w:pPr>
              <w:ind w:left="2980"/>
              <w:spacing w:after="0"/>
              <w:rPr>
                <w:sz w:val="20"/>
                <w:szCs w:val="20"/>
                <w:color w:val="auto"/>
              </w:rPr>
            </w:pPr>
            <w:r>
              <w:rPr>
                <w:rFonts w:ascii="Times New Roman" w:cs="Times New Roman" w:eastAsia="Times New Roman" w:hAnsi="Times New Roman"/>
                <w:sz w:val="22"/>
                <w:szCs w:val="22"/>
                <w:b w:val="1"/>
                <w:bCs w:val="1"/>
                <w:color w:val="auto"/>
              </w:rPr>
              <w:t>Goal</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0.50x</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1.0x</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1.5x</w:t>
            </w: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Year</w:t>
            </w:r>
          </w:p>
        </w:tc>
        <w:tc>
          <w:tcPr>
            <w:tcW w:w="646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tcBorders>
              <w:left w:val="single" w:sz="8" w:color="auto"/>
              <w:right w:val="single" w:sz="8" w:color="auto"/>
            </w:tcBorders>
            <w:vMerge w:val="continue"/>
          </w:tcPr>
          <w:p>
            <w:pPr>
              <w:spacing w:after="0"/>
              <w:rPr>
                <w:sz w:val="12"/>
                <w:szCs w:val="12"/>
                <w:color w:val="auto"/>
              </w:rPr>
            </w:pPr>
          </w:p>
        </w:tc>
        <w:tc>
          <w:tcPr>
            <w:tcW w:w="64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900" w:type="dxa"/>
            <w:vAlign w:val="bottom"/>
            <w:tcBorders>
              <w:left w:val="single" w:sz="8" w:color="auto"/>
              <w:bottom w:val="single" w:sz="8" w:color="auto"/>
              <w:right w:val="single" w:sz="8" w:color="auto"/>
            </w:tcBorders>
          </w:tcPr>
          <w:p>
            <w:pPr>
              <w:spacing w:after="0"/>
              <w:rPr>
                <w:sz w:val="4"/>
                <w:szCs w:val="4"/>
                <w:color w:val="auto"/>
              </w:rPr>
            </w:pPr>
          </w:p>
        </w:tc>
        <w:tc>
          <w:tcPr>
            <w:tcW w:w="64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900" w:type="dxa"/>
            <w:vAlign w:val="bottom"/>
            <w:tcBorders>
              <w:left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2026</w:t>
            </w:r>
          </w:p>
        </w:tc>
        <w:tc>
          <w:tcPr>
            <w:tcW w:w="6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Difference between Micron’s and the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SOX (i.e., PHLX</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6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Semiconductor Sector) index company’s 60 consecutive, trailing,</w:t>
            </w:r>
          </w:p>
        </w:tc>
        <w:tc>
          <w:tcPr>
            <w:tcW w:w="104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900" w:type="dxa"/>
            <w:vAlign w:val="bottom"/>
            <w:tcBorders>
              <w:left w:val="single" w:sz="8" w:color="auto"/>
              <w:right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2027</w:t>
            </w:r>
          </w:p>
        </w:tc>
        <w:tc>
          <w:tcPr>
            <w:tcW w:w="646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-50</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282"/>
        </w:trPr>
        <w:tc>
          <w:tcPr>
            <w:tcW w:w="900" w:type="dxa"/>
            <w:vAlign w:val="bottom"/>
            <w:tcBorders>
              <w:left w:val="single" w:sz="8" w:color="auto"/>
              <w:right w:val="single" w:sz="8" w:color="auto"/>
            </w:tcBorders>
            <w:vMerge w:val="continue"/>
          </w:tcPr>
          <w:p>
            <w:pPr>
              <w:spacing w:after="0"/>
              <w:rPr>
                <w:sz w:val="24"/>
                <w:szCs w:val="24"/>
                <w:color w:val="auto"/>
              </w:rPr>
            </w:pPr>
          </w:p>
        </w:tc>
        <w:tc>
          <w:tcPr>
            <w:tcW w:w="6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Trading Day average 3-year total</w:t>
            </w:r>
          </w:p>
        </w:tc>
        <w:tc>
          <w:tcPr>
            <w:tcW w:w="1040" w:type="dxa"/>
            <w:vAlign w:val="bottom"/>
            <w:tcBorders>
              <w:right w:val="single" w:sz="8" w:color="auto"/>
            </w:tcBorders>
            <w:vMerge w:val="continue"/>
          </w:tcPr>
          <w:p>
            <w:pPr>
              <w:spacing w:after="0"/>
              <w:rPr>
                <w:sz w:val="24"/>
                <w:szCs w:val="24"/>
                <w:color w:val="auto"/>
              </w:rPr>
            </w:pPr>
          </w:p>
        </w:tc>
        <w:tc>
          <w:tcPr>
            <w:tcW w:w="1080" w:type="dxa"/>
            <w:vAlign w:val="bottom"/>
            <w:tcBorders>
              <w:right w:val="single" w:sz="8" w:color="auto"/>
            </w:tcBorders>
            <w:vMerge w:val="continue"/>
          </w:tcPr>
          <w:p>
            <w:pPr>
              <w:spacing w:after="0"/>
              <w:rPr>
                <w:sz w:val="24"/>
                <w:szCs w:val="24"/>
                <w:color w:val="auto"/>
              </w:rPr>
            </w:pPr>
          </w:p>
        </w:tc>
        <w:tc>
          <w:tcPr>
            <w:tcW w:w="8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700" w:top="1440" w:right="439" w:bottom="1440" w:gutter="0" w:footer="0" w:header="0"/>
        </w:sectPr>
      </w:pPr>
    </w:p>
    <w:bookmarkStart w:id="303" w:name="page304"/>
    <w:bookmarkEnd w:id="30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920750</wp:posOffset>
            </wp:positionV>
            <wp:extent cx="6557645" cy="11315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6557645" cy="1131570"/>
                    </a:xfrm>
                    <a:prstGeom prst="rect">
                      <a:avLst/>
                    </a:prstGeom>
                    <a:noFill/>
                  </pic:spPr>
                </pic:pic>
              </a:graphicData>
            </a:graphic>
          </wp:anchor>
        </w:drawing>
      </w:r>
    </w:p>
    <w:p>
      <w:pPr>
        <w:ind w:left="7620"/>
        <w:spacing w:after="0"/>
        <w:rPr>
          <w:sz w:val="20"/>
          <w:szCs w:val="20"/>
          <w:color w:val="auto"/>
        </w:rPr>
      </w:pPr>
      <w:r>
        <w:rPr>
          <w:rFonts w:ascii="Times New Roman" w:cs="Times New Roman" w:eastAsia="Times New Roman" w:hAnsi="Times New Roman"/>
          <w:sz w:val="22"/>
          <w:szCs w:val="22"/>
          <w:b w:val="1"/>
          <w:bCs w:val="1"/>
          <w:color w:val="auto"/>
        </w:rPr>
        <w:t>rTSR CAGR Payout Factor</w:t>
      </w:r>
    </w:p>
    <w:p>
      <w:pPr>
        <w:spacing w:after="0" w:line="71" w:lineRule="exact"/>
        <w:rPr>
          <w:sz w:val="20"/>
          <w:szCs w:val="20"/>
          <w:color w:val="auto"/>
        </w:rPr>
      </w:pPr>
    </w:p>
    <w:p>
      <w:pPr>
        <w:ind w:left="7520"/>
        <w:spacing w:after="0"/>
        <w:tabs>
          <w:tab w:leader="none" w:pos="8600" w:val="left"/>
          <w:tab w:leader="none" w:pos="9600" w:val="left"/>
        </w:tabs>
        <w:rPr>
          <w:sz w:val="20"/>
          <w:szCs w:val="20"/>
          <w:color w:val="auto"/>
        </w:rPr>
      </w:pPr>
      <w:r>
        <w:rPr>
          <w:rFonts w:ascii="Times New Roman" w:cs="Times New Roman" w:eastAsia="Times New Roman" w:hAnsi="Times New Roman"/>
          <w:sz w:val="22"/>
          <w:szCs w:val="22"/>
          <w:b w:val="1"/>
          <w:bCs w:val="1"/>
          <w:color w:val="auto"/>
        </w:rPr>
        <w:t>0.50x</w:t>
      </w:r>
      <w:r>
        <w:rPr>
          <w:sz w:val="20"/>
          <w:szCs w:val="20"/>
          <w:color w:val="auto"/>
        </w:rPr>
        <w:tab/>
      </w:r>
      <w:r>
        <w:rPr>
          <w:rFonts w:ascii="Times New Roman" w:cs="Times New Roman" w:eastAsia="Times New Roman" w:hAnsi="Times New Roman"/>
          <w:sz w:val="22"/>
          <w:szCs w:val="22"/>
          <w:b w:val="1"/>
          <w:bCs w:val="1"/>
          <w:color w:val="auto"/>
        </w:rPr>
        <w:t>1.0x</w:t>
      </w:r>
      <w:r>
        <w:rPr>
          <w:sz w:val="20"/>
          <w:szCs w:val="20"/>
          <w:color w:val="auto"/>
        </w:rPr>
        <w:tab/>
      </w:r>
      <w:r>
        <w:rPr>
          <w:rFonts w:ascii="Times New Roman" w:cs="Times New Roman" w:eastAsia="Times New Roman" w:hAnsi="Times New Roman"/>
          <w:sz w:val="21"/>
          <w:szCs w:val="21"/>
          <w:b w:val="1"/>
          <w:bCs w:val="1"/>
          <w:color w:val="auto"/>
        </w:rPr>
        <w:t>1.5x</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Fiscal</w:t>
            </w:r>
          </w:p>
        </w:tc>
        <w:tc>
          <w:tcPr>
            <w:tcW w:w="600" w:type="dxa"/>
            <w:vAlign w:val="bottom"/>
          </w:tcPr>
          <w:p>
            <w:pPr>
              <w:spacing w:after="0"/>
              <w:rPr>
                <w:sz w:val="22"/>
                <w:szCs w:val="22"/>
                <w:color w:val="auto"/>
              </w:rPr>
            </w:pPr>
          </w:p>
        </w:tc>
        <w:tc>
          <w:tcPr>
            <w:tcW w:w="8780" w:type="dxa"/>
            <w:vAlign w:val="bottom"/>
            <w:gridSpan w:val="3"/>
            <w:vMerge w:val="restart"/>
          </w:tcPr>
          <w:p>
            <w:pPr>
              <w:ind w:left="2320"/>
              <w:spacing w:after="0"/>
              <w:rPr>
                <w:sz w:val="20"/>
                <w:szCs w:val="20"/>
                <w:color w:val="auto"/>
              </w:rPr>
            </w:pPr>
            <w:r>
              <w:rPr>
                <w:rFonts w:ascii="Times New Roman" w:cs="Times New Roman" w:eastAsia="Times New Roman" w:hAnsi="Times New Roman"/>
                <w:sz w:val="22"/>
                <w:szCs w:val="22"/>
                <w:b w:val="1"/>
                <w:bCs w:val="1"/>
                <w:color w:val="auto"/>
              </w:rPr>
              <w:t>Goal</w:t>
            </w:r>
          </w:p>
        </w:tc>
        <w:tc>
          <w:tcPr>
            <w:tcW w:w="0" w:type="dxa"/>
            <w:vAlign w:val="bottom"/>
          </w:tcPr>
          <w:p>
            <w:pPr>
              <w:spacing w:after="0"/>
              <w:rPr>
                <w:sz w:val="1"/>
                <w:szCs w:val="1"/>
                <w:color w:val="auto"/>
              </w:rPr>
            </w:pPr>
          </w:p>
        </w:tc>
      </w:tr>
      <w:tr>
        <w:trPr>
          <w:trHeight w:val="138"/>
        </w:trPr>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Year</w:t>
            </w:r>
          </w:p>
        </w:tc>
        <w:tc>
          <w:tcPr>
            <w:tcW w:w="600" w:type="dxa"/>
            <w:vAlign w:val="bottom"/>
          </w:tcPr>
          <w:p>
            <w:pPr>
              <w:spacing w:after="0"/>
              <w:rPr>
                <w:sz w:val="11"/>
                <w:szCs w:val="11"/>
                <w:color w:val="auto"/>
              </w:rPr>
            </w:pPr>
          </w:p>
        </w:tc>
        <w:tc>
          <w:tcPr>
            <w:tcW w:w="8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938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rPr>
              <w:t>shareholder return compound annual growth rate performance (“TSR</w:t>
            </w: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55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CAGR”)*</w:t>
            </w:r>
          </w:p>
        </w:tc>
        <w:tc>
          <w:tcPr>
            <w:tcW w:w="380" w:type="dxa"/>
            <w:vAlign w:val="bottom"/>
            <w:tcBorders>
              <w:top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40" w:hanging="334"/>
        <w:spacing w:after="0"/>
        <w:tabs>
          <w:tab w:leader="none" w:pos="340" w:val="left"/>
        </w:tabs>
        <w:numPr>
          <w:ilvl w:val="0"/>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Targets are represented as percentage points (ppts).</w:t>
      </w:r>
    </w:p>
    <w:p>
      <w:pPr>
        <w:spacing w:after="0" w:line="246" w:lineRule="exact"/>
        <w:rPr>
          <w:rFonts w:ascii="Times New Roman" w:cs="Times New Roman" w:eastAsia="Times New Roman" w:hAnsi="Times New Roman"/>
          <w:sz w:val="22"/>
          <w:szCs w:val="22"/>
          <w:b w:val="1"/>
          <w:bCs w:val="1"/>
          <w:color w:val="auto"/>
        </w:rPr>
      </w:pPr>
    </w:p>
    <w:p>
      <w:pPr>
        <w:jc w:val="both"/>
        <w:ind w:left="660" w:hanging="330"/>
        <w:spacing w:after="0" w:line="256" w:lineRule="auto"/>
        <w:tabs>
          <w:tab w:leader="none" w:pos="655"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performance is between performance levels set forth in the table above, the rTSR CAGR Payout Factor will be determined based on straight line interpolation. For the avoidance of doubt and notwithstanding any contrary provision of the Award Agreement, if highest performance is below the 0.5x level on the final Measurement Date in the applicable Fiscal Year, the rTSR CAGR Payout Factor for such Fiscal Year will be zero.</w:t>
      </w:r>
    </w:p>
    <w:p>
      <w:pPr>
        <w:spacing w:after="0" w:line="176"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rTSR CAGR Payout Factor will be rounded to the second decimal place, as needed.</w:t>
      </w:r>
    </w:p>
    <w:p>
      <w:pPr>
        <w:spacing w:after="0" w:line="219"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goal result will be the highest rTSR CAGR Payout Factor during Fiscal Years 2026 and 2027.</w:t>
      </w:r>
    </w:p>
    <w:p>
      <w:pPr>
        <w:spacing w:after="0" w:line="213" w:lineRule="exact"/>
        <w:rPr>
          <w:rFonts w:ascii="Times New Roman" w:cs="Times New Roman" w:eastAsia="Times New Roman" w:hAnsi="Times New Roman"/>
          <w:sz w:val="22"/>
          <w:szCs w:val="22"/>
          <w:color w:val="auto"/>
        </w:rPr>
      </w:pPr>
    </w:p>
    <w:p>
      <w:pPr>
        <w:jc w:val="both"/>
        <w:ind w:left="660" w:hanging="331"/>
        <w:spacing w:after="0" w:line="235" w:lineRule="auto"/>
        <w:tabs>
          <w:tab w:leader="none" w:pos="654"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the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company in the SOX index, such percentile is determined among the companies comprising the SOX index as of the Measurement Date, provided that any SOX index company that did not have stock listed on any established stock exchange or a national market system on the date three years prior to such Measurement Date will be excluded in determining such percentile. As an example, if there are 30 companies in the SOX index as of a Measurement Date, all of which had stock listed on an established stock exchange on the date three years prior to such Measurement Date, then the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will be determined by linear interpolation between the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company, ranked in order based on each company’s TSR CAGR.</w:t>
      </w:r>
    </w:p>
    <w:p>
      <w:pPr>
        <w:spacing w:after="0" w:line="94" w:lineRule="exact"/>
        <w:rPr>
          <w:rFonts w:ascii="Times New Roman" w:cs="Times New Roman" w:eastAsia="Times New Roman" w:hAnsi="Times New Roman"/>
          <w:sz w:val="22"/>
          <w:szCs w:val="22"/>
          <w:color w:val="auto"/>
        </w:rPr>
      </w:pPr>
    </w:p>
    <w:p>
      <w:pPr>
        <w:ind w:left="660" w:right="20" w:hanging="330"/>
        <w:spacing w:after="0" w:line="271" w:lineRule="auto"/>
        <w:tabs>
          <w:tab w:leader="none" w:pos="655"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rTSR CAGR Payout Factors shown in the table above, if the Company’s highest TSR CAGR is negative, then the rTSR CAGR Payout Factor will not exceed 1.0x.</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u w:val="single" w:color="auto"/>
          <w:color w:val="auto"/>
        </w:rPr>
        <w:t>Achievement Determination and Banked Units</w:t>
      </w:r>
      <w:r>
        <w:rPr>
          <w:rFonts w:ascii="Times New Roman" w:cs="Times New Roman" w:eastAsia="Times New Roman" w:hAnsi="Times New Roman"/>
          <w:sz w:val="22"/>
          <w:szCs w:val="22"/>
          <w:color w:val="auto"/>
        </w:rPr>
        <w:t>. Achievement levels with respect to the rTSR CAGR Payout Factor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measured on each trading day of the Shares on the Exchange on which Shares primarily are traded (a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beginning on the first Trading Day of Fiscal Year 2026 (any such date, a “</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As a simplified example, assume for illustration purposes, that as of a particular Measurement Date, the 60 consecutive, trailing Trading Day average closing prices of the Company’s common stock is $120.00 and the 60 consecutive, trailing Trading Day average closing prices of a share of the Company’s common stock on the date immediately prior to the 3-year period that ends with such Measurement Date is $90.00. Also assume for illustration purposes there were no dividend distributions across the 3-year period, however, in 3-year TSR calculation any dividends distributed are included. Based on these prices, the Company’s TSR CAGR is 10%. Assume further that the 60 consecutive, trailing Trading Day average closing prices of the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SOX index company’s stock is $40.00 both as of the same Measurement</w:t>
      </w:r>
    </w:p>
    <w:p>
      <w:pPr>
        <w:sectPr>
          <w:pgSz w:w="11900" w:h="16838" w:orient="portrait"/>
          <w:cols w:equalWidth="0" w:num="1">
            <w:col w:w="10760"/>
          </w:cols>
          <w:pgMar w:left="700" w:top="1440" w:right="439" w:bottom="1440" w:gutter="0" w:footer="0" w:header="0"/>
        </w:sectPr>
      </w:pPr>
    </w:p>
    <w:bookmarkStart w:id="304" w:name="page305"/>
    <w:bookmarkEnd w:id="304"/>
    <w:p>
      <w:pPr>
        <w:spacing w:after="0" w:line="18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1"/>
          <w:szCs w:val="21"/>
          <w:color w:val="auto"/>
        </w:rPr>
        <w:t>Date and the date immediately prior to the 3-year period that ends with such Measurement Date and no dividend distributions across the 3-year period, such that its TSR CAGR is 0%. The difference between the TSR CAGRs for such Measurement Date is 10 ppts, and the resulting rTSR CAGR Payout Factor with respect to such Measurement Date is 1.1x.</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rTSR CAGR Performance Units are earned based on every new high reached in the 60 consecutive, trailing Trading Day average TSR 3-year CAGR differential between Micron and the median SOX index company starting on the first Trading Day of Fiscal Year 2026. rTSR CAGR Performance Units that are earned by application of the rTSR CAGR Payout Factor are referred to herein as “</w:t>
      </w:r>
      <w:r>
        <w:rPr>
          <w:rFonts w:ascii="Times New Roman" w:cs="Times New Roman" w:eastAsia="Times New Roman" w:hAnsi="Times New Roman"/>
          <w:sz w:val="22"/>
          <w:szCs w:val="22"/>
          <w:u w:val="single" w:color="auto"/>
          <w:color w:val="auto"/>
        </w:rPr>
        <w:t>Banked rTSR CAGR Performance Units</w:t>
      </w:r>
      <w:r>
        <w:rPr>
          <w:rFonts w:ascii="Times New Roman" w:cs="Times New Roman" w:eastAsia="Times New Roman" w:hAnsi="Times New Roman"/>
          <w:sz w:val="22"/>
          <w:szCs w:val="22"/>
          <w:color w:val="auto"/>
        </w:rPr>
        <w:t>” (regardless of whether such rTSR CAGR Performance Units have vested).</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As of the Certification Date that immediately follows the end of Fiscal Year 2027, 100% of the then-unvested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Banked rTSR CAGR Performance Units (for the avoidance of doubt, inclusive of any rTSR CAGR Performance Units becoming Banked rTSR CAGR Performance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rTSR CAGR Performance Units have become Banked rTSR CAGR Performance Units, such Banked rTSR CAGR Performance Units will continue to vest and be paid pursuant to the original schedule. “</w:t>
      </w:r>
      <w:r>
        <w:rPr>
          <w:rFonts w:ascii="Times New Roman" w:cs="Times New Roman" w:eastAsia="Times New Roman" w:hAnsi="Times New Roman"/>
          <w:sz w:val="21"/>
          <w:szCs w:val="21"/>
          <w:u w:val="single" w:color="auto"/>
          <w:color w:val="auto"/>
        </w:rPr>
        <w:t>Certification Date</w:t>
      </w:r>
      <w:r>
        <w:rPr>
          <w:rFonts w:ascii="Times New Roman" w:cs="Times New Roman" w:eastAsia="Times New Roman" w:hAnsi="Times New Roman"/>
          <w:sz w:val="21"/>
          <w:szCs w:val="21"/>
          <w:color w:val="auto"/>
        </w:rPr>
        <w:t>” means Certification Date as defined with respect to the HBM3E Award and Data Center SSD Award.</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Vesting Upon a Qualifying Event</w:t>
      </w:r>
      <w:r>
        <w:rPr>
          <w:rFonts w:ascii="Times New Roman" w:cs="Times New Roman" w:eastAsia="Times New Roman" w:hAnsi="Times New Roman"/>
          <w:sz w:val="22"/>
          <w:szCs w:val="22"/>
          <w:color w:val="auto"/>
        </w:rPr>
        <w:t>. This paragraph shall apply only to the extent that Participant and the Company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 written offer letter or similar written agreement (the “</w:t>
      </w:r>
      <w:r>
        <w:rPr>
          <w:rFonts w:ascii="Times New Roman" w:cs="Times New Roman" w:eastAsia="Times New Roman" w:hAnsi="Times New Roman"/>
          <w:sz w:val="22"/>
          <w:szCs w:val="22"/>
          <w:u w:val="single" w:color="auto"/>
          <w:color w:val="auto"/>
        </w:rPr>
        <w:t>Letter</w:t>
      </w:r>
      <w:r>
        <w:rPr>
          <w:rFonts w:ascii="Times New Roman" w:cs="Times New Roman" w:eastAsia="Times New Roman" w:hAnsi="Times New Roman"/>
          <w:sz w:val="22"/>
          <w:szCs w:val="22"/>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u w:val="single" w:color="auto"/>
          <w:color w:val="auto"/>
        </w:rPr>
        <w:t>Payout Timing (Conversion to Shares)</w:t>
      </w:r>
      <w:r>
        <w:rPr>
          <w:rFonts w:ascii="Times New Roman" w:cs="Times New Roman" w:eastAsia="Times New Roman" w:hAnsi="Times New Roman"/>
          <w:sz w:val="21"/>
          <w:szCs w:val="21"/>
          <w:color w:val="auto"/>
        </w:rPr>
        <w:t>. The Banked rTSR CAGR Performance Units vesting as of the Certification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immediately follows the end of Fiscal Year 2027 (such rTSR CAGR Performance Units, the “</w:t>
      </w:r>
      <w:r>
        <w:rPr>
          <w:rFonts w:ascii="Times New Roman" w:cs="Times New Roman" w:eastAsia="Times New Roman" w:hAnsi="Times New Roman"/>
          <w:sz w:val="21"/>
          <w:szCs w:val="21"/>
          <w:u w:val="single" w:color="auto"/>
          <w:color w:val="auto"/>
        </w:rPr>
        <w:t>Vested rTSR CAGR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Performance Units</w:t>
      </w:r>
      <w:r>
        <w:rPr>
          <w:rFonts w:ascii="Times New Roman" w:cs="Times New Roman" w:eastAsia="Times New Roman" w:hAnsi="Times New Roman"/>
          <w:sz w:val="21"/>
          <w:szCs w:val="21"/>
          <w:color w:val="auto"/>
        </w:rPr>
        <w:t>”) shall automatically convert to Shares on the Certification Date (the “</w:t>
      </w:r>
      <w:r>
        <w:rPr>
          <w:rFonts w:ascii="Times New Roman" w:cs="Times New Roman" w:eastAsia="Times New Roman" w:hAnsi="Times New Roman"/>
          <w:sz w:val="21"/>
          <w:szCs w:val="21"/>
          <w:u w:val="single" w:color="auto"/>
          <w:color w:val="auto"/>
        </w:rPr>
        <w:t>Conversion Date</w:t>
      </w:r>
      <w:r>
        <w:rPr>
          <w:rFonts w:ascii="Times New Roman" w:cs="Times New Roman" w:eastAsia="Times New Roman" w:hAnsi="Times New Roman"/>
          <w:sz w:val="21"/>
          <w:szCs w:val="21"/>
          <w:color w:val="auto"/>
        </w:rPr>
        <w:t>”), except that if Participant is terminated for Cause, no further rTSR CAGR Performance Units shall vest after the date of termination.</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Certain Award Limitations</w:t>
      </w:r>
      <w:r>
        <w:rPr>
          <w:rFonts w:ascii="Times New Roman" w:cs="Times New Roman" w:eastAsia="Times New Roman" w:hAnsi="Times New Roman"/>
          <w:sz w:val="22"/>
          <w:szCs w:val="22"/>
          <w:color w:val="auto"/>
        </w:rPr>
        <w:t>. The maximum number of rTSR CAGR Performance Units that may vest under this Award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Maximum Number of Shares Subject to rTSR CAGR Performance</w:t>
      </w:r>
    </w:p>
    <w:p>
      <w:pPr>
        <w:sectPr>
          <w:pgSz w:w="11900" w:h="16838" w:orient="portrait"/>
          <w:cols w:equalWidth="0" w:num="1">
            <w:col w:w="10760"/>
          </w:cols>
          <w:pgMar w:left="700" w:top="1440" w:right="439" w:bottom="1440" w:gutter="0" w:footer="0" w:header="0"/>
        </w:sectPr>
      </w:pPr>
    </w:p>
    <w:bookmarkStart w:id="305" w:name="page306"/>
    <w:bookmarkEnd w:id="305"/>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Units as set forth in the Notice of Grant, subject to the following. Concurrently with this Award of rTSR CAGR Performance Units, Participant is receiving (a) an award of HBM3E Performance Units, which are performance-based Restricted Stock Units that may be earned based on achievement of certain goals related to HBM3E+ market share or bit shipments (the “</w:t>
      </w:r>
      <w:r>
        <w:rPr>
          <w:rFonts w:ascii="Times New Roman" w:cs="Times New Roman" w:eastAsia="Times New Roman" w:hAnsi="Times New Roman"/>
          <w:sz w:val="22"/>
          <w:szCs w:val="22"/>
          <w:u w:val="single" w:color="auto"/>
          <w:color w:val="auto"/>
        </w:rPr>
        <w:t>HBM3E Award</w:t>
      </w:r>
      <w:r>
        <w:rPr>
          <w:rFonts w:ascii="Times New Roman" w:cs="Times New Roman" w:eastAsia="Times New Roman" w:hAnsi="Times New Roman"/>
          <w:sz w:val="22"/>
          <w:szCs w:val="22"/>
          <w:color w:val="auto"/>
        </w:rPr>
        <w:t>”), as described in the award agreement covering the HBM3E Award, and (b) an award of Data Center SSD Performance Units, which are performance-based Restricted Stock Units that may be earned based upon achievement of certain goals related to data center SSD market share or bit shipments (such award, the “</w:t>
      </w:r>
      <w:r>
        <w:rPr>
          <w:rFonts w:ascii="Times New Roman" w:cs="Times New Roman" w:eastAsia="Times New Roman" w:hAnsi="Times New Roman"/>
          <w:sz w:val="22"/>
          <w:szCs w:val="22"/>
          <w:u w:val="single" w:color="auto"/>
          <w:color w:val="auto"/>
        </w:rPr>
        <w:t>Data Center SSD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as described in the award agreement covering the Data Center SSD Award. This Award of rTSR CAGR Performance Units, together with the HBM3E Award and Data Center SSD Award, are referred to as the “</w:t>
      </w:r>
      <w:r>
        <w:rPr>
          <w:rFonts w:ascii="Times New Roman" w:cs="Times New Roman" w:eastAsia="Times New Roman" w:hAnsi="Times New Roman"/>
          <w:sz w:val="22"/>
          <w:szCs w:val="22"/>
          <w:u w:val="single" w:color="auto"/>
          <w:color w:val="auto"/>
        </w:rPr>
        <w:t>FY 2025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and the total number of Restricted Stock Units under the FY 2025 Performance Awards (the “</w:t>
      </w:r>
      <w:r>
        <w:rPr>
          <w:rFonts w:ascii="Times New Roman" w:cs="Times New Roman" w:eastAsia="Times New Roman" w:hAnsi="Times New Roman"/>
          <w:sz w:val="22"/>
          <w:szCs w:val="22"/>
          <w:u w:val="single" w:color="auto"/>
          <w:color w:val="auto"/>
        </w:rPr>
        <w:t>Performance Units</w:t>
      </w:r>
      <w:r>
        <w:rPr>
          <w:rFonts w:ascii="Times New Roman" w:cs="Times New Roman" w:eastAsia="Times New Roman" w:hAnsi="Times New Roman"/>
          <w:sz w:val="22"/>
          <w:szCs w:val="22"/>
          <w:color w:val="auto"/>
        </w:rPr>
        <w:t>”) eligible to be earned under the FY 2025 Performance Awards assuming at-target achievement is referred to as the “</w:t>
      </w:r>
      <w:r>
        <w:rPr>
          <w:rFonts w:ascii="Times New Roman" w:cs="Times New Roman" w:eastAsia="Times New Roman" w:hAnsi="Times New Roman"/>
          <w:sz w:val="22"/>
          <w:szCs w:val="22"/>
          <w:u w:val="single" w:color="auto"/>
          <w:color w:val="auto"/>
        </w:rPr>
        <w:t>Target Total Award</w:t>
      </w:r>
      <w:r>
        <w:rPr>
          <w:rFonts w:ascii="Times New Roman" w:cs="Times New Roman" w:eastAsia="Times New Roman" w:hAnsi="Times New Roman"/>
          <w:sz w:val="22"/>
          <w:szCs w:val="22"/>
          <w:color w:val="auto"/>
        </w:rPr>
        <w:t>” and is calculated as the sum of (i) the Target Number of Shares Subject to rTSR CAGR Performance Units under this Award of rTSR CAGR Performance Units, plus (ii) the Target Number of Shares Subject to HBM3E Performance Units as specified in the HBM3E Award, plus (iii) the Target Number of Shares Subject to Data Center SSD Performance Units as specified in the Data Center SSD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22"/>
          <w:szCs w:val="22"/>
          <w:u w:val="single" w:color="auto"/>
          <w:color w:val="auto"/>
        </w:rPr>
        <w:t>2x Limit</w:t>
      </w:r>
      <w:r>
        <w:rPr>
          <w:rFonts w:ascii="Times New Roman" w:cs="Times New Roman" w:eastAsia="Times New Roman" w:hAnsi="Times New Roman"/>
          <w:sz w:val="22"/>
          <w:szCs w:val="22"/>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(the “</w:t>
      </w:r>
      <w:r>
        <w:rPr>
          <w:rFonts w:ascii="Times New Roman" w:cs="Times New Roman" w:eastAsia="Times New Roman" w:hAnsi="Times New Roman"/>
          <w:sz w:val="22"/>
          <w:szCs w:val="22"/>
          <w:u w:val="single" w:color="auto"/>
          <w:color w:val="auto"/>
        </w:rPr>
        <w:t>Reduction Units</w:t>
      </w:r>
      <w:r>
        <w:rPr>
          <w:rFonts w:ascii="Times New Roman" w:cs="Times New Roman" w:eastAsia="Times New Roman" w:hAnsi="Times New Roman"/>
          <w:sz w:val="22"/>
          <w:szCs w:val="22"/>
          <w:color w:val="auto"/>
        </w:rPr>
        <w:t xml:space="preserve">”) such that the aggregate number of Performance Units becoming earned as of such date with respect to the FY 2025 Performance Awards upon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all Performance Units that have become earned previously during the Performance Period with respect to the FY 2025 Performance Awards is equal to the 2x Limit. For the avoidance of doubt, if such reduction is required as of the Certification Date (as defined below) that immediately follows the end of Fiscal Year 2026, then the rTSR CAGR Performance Units that otherwise would be considered Banked rTSR CAGR Performance Units on such Certification Date will be reduced by the total number of Reduction Units but not to less than zero, and any remaining or additional Reduction Units will reduce the rTSR CAGR Performance Units that are scheduled to vest as of the Certification Date that immediately follows the end of Fiscal Year 2027.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number of Performance Units that have been earned will exist in any remaining Performance Period Fiscal Year(s).</w:t>
      </w:r>
    </w:p>
    <w:p>
      <w:pPr>
        <w:spacing w:after="0" w:line="20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ectPr>
          <w:pgSz w:w="11900" w:h="16838" w:orient="portrait"/>
          <w:cols w:equalWidth="0" w:num="1">
            <w:col w:w="10760"/>
          </w:cols>
          <w:pgMar w:left="700" w:top="1440" w:right="439" w:bottom="1440" w:gutter="0" w:footer="0" w:header="0"/>
        </w:sectPr>
      </w:pPr>
    </w:p>
    <w:bookmarkStart w:id="306" w:name="page307"/>
    <w:bookmarkEnd w:id="306"/>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 As provided in further detail in Section 26 of the Terms and Conditions of Performance Unit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comprising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this Award Agreement, the rTSR CAGR Performance Units are subject to any Clawback Policy, or other recovery obligation as may be necessary to comply with applicable laws.</w:t>
      </w:r>
    </w:p>
    <w:p>
      <w:pPr>
        <w:spacing w:after="0" w:line="184" w:lineRule="exact"/>
        <w:rPr>
          <w:sz w:val="20"/>
          <w:szCs w:val="20"/>
          <w:color w:val="auto"/>
        </w:rPr>
      </w:pPr>
    </w:p>
    <w:p>
      <w:pPr>
        <w:jc w:val="center"/>
        <w:ind w:right="28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760"/>
          </w:cols>
          <w:pgMar w:left="700" w:top="1440" w:right="439" w:bottom="1440" w:gutter="0" w:footer="0" w:header="0"/>
        </w:sectPr>
      </w:pPr>
    </w:p>
    <w:bookmarkStart w:id="307" w:name="page308"/>
    <w:bookmarkEnd w:id="307"/>
    <w:p>
      <w:pPr>
        <w:jc w:val="center"/>
        <w:spacing w:after="0"/>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2007 EQUITY INCENTIVE PLAN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[Standard Micron addendum for compliance with non-US tax and securities laws omitted. Addendum will be included for individual grantees if needed for compliance.]</w:t>
      </w:r>
    </w:p>
    <w:p>
      <w:pPr>
        <w:sectPr>
          <w:pgSz w:w="11900" w:h="16838" w:orient="portrait"/>
          <w:cols w:equalWidth="0" w:num="1">
            <w:col w:w="9400"/>
          </w:cols>
          <w:pgMar w:left="1240" w:top="1418" w:right="1259" w:bottom="1440" w:gutter="0" w:footer="0" w:header="0"/>
        </w:sectPr>
      </w:pPr>
    </w:p>
    <w:bookmarkStart w:id="309" w:name="page310"/>
    <w:bookmarkEnd w:id="30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This Indemnification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dated as of [</w:t>
      </w:r>
      <w:r>
        <w:rPr>
          <w:rFonts w:ascii="Times New Roman" w:cs="Times New Roman" w:eastAsia="Times New Roman" w:hAnsi="Times New Roman"/>
          <w:sz w:val="20"/>
          <w:szCs w:val="20"/>
          <w:i w:val="1"/>
          <w:iCs w:val="1"/>
          <w:color w:val="auto"/>
        </w:rPr>
        <w:t>insert date</w:t>
      </w:r>
      <w:r>
        <w:rPr>
          <w:rFonts w:ascii="Times New Roman" w:cs="Times New Roman" w:eastAsia="Times New Roman" w:hAnsi="Times New Roman"/>
          <w:sz w:val="20"/>
          <w:szCs w:val="20"/>
          <w:color w:val="auto"/>
        </w:rPr>
        <w:t>], and is between Micron Technology,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insert name of indemnitee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left="1040" w:hanging="384"/>
        <w:spacing w:after="0"/>
        <w:tabs>
          <w:tab w:leader="none" w:pos="104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Indemnitee’s service to the Company substantially benefits the Company.</w:t>
      </w:r>
    </w:p>
    <w:p>
      <w:pPr>
        <w:spacing w:after="0" w:line="229" w:lineRule="exact"/>
        <w:rPr>
          <w:rFonts w:ascii="Times New Roman" w:cs="Times New Roman" w:eastAsia="Times New Roman" w:hAnsi="Times New Roman"/>
          <w:sz w:val="20"/>
          <w:szCs w:val="20"/>
          <w:color w:val="auto"/>
        </w:rPr>
      </w:pPr>
    </w:p>
    <w:p>
      <w:pPr>
        <w:jc w:val="both"/>
        <w:ind w:firstLine="656"/>
        <w:spacing w:after="0" w:line="310" w:lineRule="auto"/>
        <w:tabs>
          <w:tab w:leader="none" w:pos="1072"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24" w:lineRule="exact"/>
        <w:rPr>
          <w:rFonts w:ascii="Times New Roman" w:cs="Times New Roman" w:eastAsia="Times New Roman" w:hAnsi="Times New Roman"/>
          <w:sz w:val="19"/>
          <w:szCs w:val="19"/>
          <w:color w:val="auto"/>
        </w:rPr>
      </w:pPr>
    </w:p>
    <w:p>
      <w:pPr>
        <w:jc w:val="both"/>
        <w:ind w:firstLine="656"/>
        <w:spacing w:after="0" w:line="261" w:lineRule="auto"/>
        <w:tabs>
          <w:tab w:leader="none" w:pos="107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09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4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supersede any prior indemnification agreement between the Company and the Indemnitee, which is hereby</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terminated.</w:t>
      </w:r>
    </w:p>
    <w:p>
      <w:pPr>
        <w:spacing w:after="0" w:line="200" w:lineRule="exact"/>
        <w:rPr>
          <w:rFonts w:ascii="Times New Roman" w:cs="Times New Roman" w:eastAsia="Times New Roman" w:hAnsi="Times New Roman"/>
          <w:sz w:val="19"/>
          <w:szCs w:val="19"/>
          <w:color w:val="auto"/>
        </w:rPr>
      </w:pPr>
    </w:p>
    <w:p>
      <w:pPr>
        <w:jc w:val="both"/>
        <w:ind w:firstLine="656"/>
        <w:spacing w:after="0" w:line="268" w:lineRule="auto"/>
        <w:tabs>
          <w:tab w:leader="none" w:pos="116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therefore agree as follows:</w:t>
      </w:r>
    </w:p>
    <w:p>
      <w:pPr>
        <w:spacing w:after="0" w:line="212" w:lineRule="exact"/>
        <w:rPr>
          <w:sz w:val="20"/>
          <w:szCs w:val="20"/>
          <w:color w:val="auto"/>
        </w:rPr>
      </w:pPr>
    </w:p>
    <w:p>
      <w:pPr>
        <w:ind w:left="1300" w:hanging="644"/>
        <w:spacing w:after="0"/>
        <w:tabs>
          <w:tab w:leader="none" w:pos="130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shall be deemed to occur upon the earliest to occur after the date of this Agreement of any of</w:t>
      </w:r>
    </w:p>
    <w:p>
      <w:pPr>
        <w:spacing w:after="0" w:line="1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following events:</w:t>
      </w:r>
    </w:p>
    <w:p>
      <w:pPr>
        <w:spacing w:after="0" w:line="162" w:lineRule="exact"/>
        <w:rPr>
          <w:rFonts w:ascii="Times New Roman" w:cs="Times New Roman" w:eastAsia="Times New Roman" w:hAnsi="Times New Roman"/>
          <w:sz w:val="19"/>
          <w:szCs w:val="19"/>
          <w:color w:val="auto"/>
        </w:rPr>
      </w:pPr>
    </w:p>
    <w:p>
      <w:pPr>
        <w:jc w:val="both"/>
        <w:ind w:firstLine="2276"/>
        <w:spacing w:after="0" w:line="227" w:lineRule="auto"/>
        <w:tabs>
          <w:tab w:leader="none" w:pos="259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Acquisition of Stock by Third Party. </w:t>
      </w:r>
      <w:r>
        <w:rPr>
          <w:rFonts w:ascii="Times New Roman" w:cs="Times New Roman" w:eastAsia="Times New Roman" w:hAnsi="Times New Roman"/>
          <w:sz w:val="20"/>
          <w:szCs w:val="20"/>
          <w:color w:val="auto"/>
        </w:rPr>
        <w:t>Any Person (as defined below) becomes the Beneficial Owner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below), directly or indirectly, of securities of the Company representing fifteen percent (15%) or more of the combined voting power of the Company’s then outstanding securities;</w:t>
      </w:r>
    </w:p>
    <w:p>
      <w:pPr>
        <w:spacing w:after="0" w:line="157" w:lineRule="exact"/>
        <w:rPr>
          <w:rFonts w:ascii="Times New Roman" w:cs="Times New Roman" w:eastAsia="Times New Roman" w:hAnsi="Times New Roman"/>
          <w:sz w:val="20"/>
          <w:szCs w:val="20"/>
          <w:color w:val="auto"/>
        </w:rPr>
      </w:pPr>
    </w:p>
    <w:p>
      <w:pPr>
        <w:jc w:val="both"/>
        <w:ind w:firstLine="2276"/>
        <w:spacing w:after="0" w:line="216" w:lineRule="auto"/>
        <w:tabs>
          <w:tab w:leader="none" w:pos="2591"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Change in Board Composition. </w:t>
      </w:r>
      <w:r>
        <w:rPr>
          <w:rFonts w:ascii="Times New Roman" w:cs="Times New Roman" w:eastAsia="Times New Roman" w:hAnsi="Times New Roman"/>
          <w:sz w:val="20"/>
          <w:szCs w:val="20"/>
          <w:color w:val="auto"/>
        </w:rPr>
        <w:t>During any period of two consecutive years (not including any period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72" w:lineRule="exact"/>
        <w:rPr>
          <w:sz w:val="20"/>
          <w:szCs w:val="20"/>
          <w:color w:val="auto"/>
        </w:rPr>
      </w:pPr>
    </w:p>
    <w:p>
      <w:pPr>
        <w:jc w:val="both"/>
        <w:ind w:firstLine="2276"/>
        <w:spacing w:after="0" w:line="217" w:lineRule="auto"/>
        <w:tabs>
          <w:tab w:leader="none" w:pos="259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Corporate Transactions. </w:t>
      </w:r>
      <w:r>
        <w:rPr>
          <w:rFonts w:ascii="Times New Roman" w:cs="Times New Roman" w:eastAsia="Times New Roman" w:hAnsi="Times New Roman"/>
          <w:sz w:val="20"/>
          <w:szCs w:val="20"/>
          <w:color w:val="auto"/>
        </w:rPr>
        <w:t>The effective date of a merger or consolidation of the Company with any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56" w:lineRule="exact"/>
        <w:rPr>
          <w:rFonts w:ascii="Times New Roman" w:cs="Times New Roman" w:eastAsia="Times New Roman" w:hAnsi="Times New Roman"/>
          <w:sz w:val="20"/>
          <w:szCs w:val="20"/>
          <w:color w:val="auto"/>
        </w:rPr>
      </w:pPr>
    </w:p>
    <w:p>
      <w:pPr>
        <w:ind w:firstLine="2276"/>
        <w:spacing w:after="0" w:line="245" w:lineRule="auto"/>
        <w:tabs>
          <w:tab w:leader="none" w:pos="2581"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Liquidation. </w:t>
      </w:r>
      <w:r>
        <w:rPr>
          <w:rFonts w:ascii="Times New Roman" w:cs="Times New Roman" w:eastAsia="Times New Roman" w:hAnsi="Times New Roman"/>
          <w:sz w:val="20"/>
          <w:szCs w:val="20"/>
          <w:color w:val="auto"/>
        </w:rPr>
        <w:t>The approval by the stockholders of the Company of a complete liquidation of the Company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agreement for the sale or disposition by the Company of all or substantially all of the Company’s assets; and</w:t>
      </w:r>
    </w:p>
    <w:p>
      <w:pPr>
        <w:spacing w:after="0" w:line="137" w:lineRule="exact"/>
        <w:rPr>
          <w:rFonts w:ascii="Times New Roman" w:cs="Times New Roman" w:eastAsia="Times New Roman" w:hAnsi="Times New Roman"/>
          <w:sz w:val="20"/>
          <w:szCs w:val="20"/>
          <w:color w:val="auto"/>
        </w:rPr>
      </w:pPr>
    </w:p>
    <w:p>
      <w:pPr>
        <w:jc w:val="both"/>
        <w:ind w:firstLine="2276"/>
        <w:spacing w:after="0" w:line="232" w:lineRule="auto"/>
        <w:tabs>
          <w:tab w:leader="none" w:pos="258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Events. </w:t>
      </w:r>
      <w:r>
        <w:rPr>
          <w:rFonts w:ascii="Times New Roman" w:cs="Times New Roman" w:eastAsia="Times New Roman" w:hAnsi="Times New Roman"/>
          <w:sz w:val="20"/>
          <w:szCs w:val="20"/>
          <w:color w:val="auto"/>
        </w:rPr>
        <w:t>Any other event of a nature that would be required to be reported in response to Item 6(e)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Schedule 14A of Regulation 14A (or in response to any similar item on any similar schedule or form) promulgated under the Securities Exchange Act of 1934, as amended, whether or not the Company is then subject to such reporting requirement.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Section 1(a), the following terms shall have the following meanings:</w:t>
      </w:r>
    </w:p>
    <w:p>
      <w:pPr>
        <w:spacing w:after="0" w:line="212" w:lineRule="exact"/>
        <w:rPr>
          <w:sz w:val="20"/>
          <w:szCs w:val="20"/>
          <w:color w:val="auto"/>
        </w:rPr>
      </w:pPr>
    </w:p>
    <w:p>
      <w:pPr>
        <w:jc w:val="both"/>
        <w:ind w:firstLine="2600"/>
        <w:spacing w:after="0" w:line="223" w:lineRule="auto"/>
        <w:tabs>
          <w:tab w:leader="none" w:pos="3228"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xml:space="preserve">” shall have the meaning as set forth in Sections 13(d) and 14(d) of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4" w:lineRule="exact"/>
        <w:rPr>
          <w:rFonts w:ascii="Times New Roman" w:cs="Times New Roman" w:eastAsia="Times New Roman" w:hAnsi="Times New Roman"/>
          <w:sz w:val="20"/>
          <w:szCs w:val="20"/>
          <w:color w:val="auto"/>
        </w:rPr>
      </w:pPr>
    </w:p>
    <w:p>
      <w:pPr>
        <w:jc w:val="both"/>
        <w:ind w:firstLine="2600"/>
        <w:spacing w:after="0" w:line="223" w:lineRule="auto"/>
        <w:tabs>
          <w:tab w:leader="none" w:pos="3228"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xml:space="preserve">” shall have the meaning given to such term in Rule 13d-3 under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57"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Status</w:t>
      </w:r>
      <w:r>
        <w:rPr>
          <w:rFonts w:ascii="Times New Roman" w:cs="Times New Roman" w:eastAsia="Times New Roman" w:hAnsi="Times New Roman"/>
          <w:sz w:val="20"/>
          <w:szCs w:val="20"/>
          <w:color w:val="auto"/>
        </w:rPr>
        <w:t>” describes the status of a person who is or was a director, trustee, general partner, managing member, officer, employee, agent or fiduciary of the Company or any other Enterprise.</w:t>
      </w:r>
    </w:p>
    <w:p>
      <w:pPr>
        <w:spacing w:after="0" w:line="13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means the General Corporation Law of the State of Delaware.</w:t>
      </w:r>
    </w:p>
    <w:p>
      <w:pPr>
        <w:spacing w:after="0" w:line="188"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Disinterested Director</w:t>
      </w:r>
      <w:r>
        <w:rPr>
          <w:rFonts w:ascii="Times New Roman" w:cs="Times New Roman" w:eastAsia="Times New Roman" w:hAnsi="Times New Roman"/>
          <w:sz w:val="20"/>
          <w:szCs w:val="20"/>
          <w:color w:val="auto"/>
        </w:rPr>
        <w:t>” means a director of the Company who is not and was not a party to the Proceeding in respect of which indemnification is sought by Indemnitee.</w:t>
      </w:r>
    </w:p>
    <w:p>
      <w:pPr>
        <w:spacing w:after="0" w:line="137" w:lineRule="exact"/>
        <w:rPr>
          <w:rFonts w:ascii="Times New Roman" w:cs="Times New Roman" w:eastAsia="Times New Roman" w:hAnsi="Times New Roman"/>
          <w:sz w:val="20"/>
          <w:szCs w:val="20"/>
          <w:color w:val="auto"/>
        </w:rPr>
      </w:pPr>
    </w:p>
    <w:p>
      <w:pPr>
        <w:jc w:val="both"/>
        <w:ind w:firstLine="1304"/>
        <w:spacing w:after="0" w:line="232" w:lineRule="auto"/>
        <w:tabs>
          <w:tab w:leader="none" w:pos="193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Enterprise</w:t>
      </w:r>
      <w:r>
        <w:rPr>
          <w:rFonts w:ascii="Times New Roman" w:cs="Times New Roman" w:eastAsia="Times New Roman" w:hAnsi="Times New Roman"/>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43" w:lineRule="exact"/>
        <w:rPr>
          <w:rFonts w:ascii="Times New Roman" w:cs="Times New Roman" w:eastAsia="Times New Roman" w:hAnsi="Times New Roman"/>
          <w:sz w:val="20"/>
          <w:szCs w:val="20"/>
          <w:color w:val="auto"/>
        </w:rPr>
      </w:pPr>
    </w:p>
    <w:p>
      <w:pPr>
        <w:jc w:val="both"/>
        <w:ind w:firstLine="1304"/>
        <w:spacing w:after="0" w:line="214" w:lineRule="auto"/>
        <w:tabs>
          <w:tab w:leader="none" w:pos="1939"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Expenses</w:t>
      </w:r>
      <w:r>
        <w:rPr>
          <w:rFonts w:ascii="Times New Roman" w:cs="Times New Roman" w:eastAsia="Times New Roman" w:hAnsi="Times New Roman"/>
          <w:sz w:val="20"/>
          <w:szCs w:val="20"/>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w:t>
      </w:r>
    </w:p>
    <w:p>
      <w:pPr>
        <w:spacing w:after="0" w:line="2" w:lineRule="exact"/>
        <w:rPr>
          <w:rFonts w:ascii="Times New Roman" w:cs="Times New Roman" w:eastAsia="Times New Roman" w:hAnsi="Times New Roman"/>
          <w:sz w:val="20"/>
          <w:szCs w:val="20"/>
          <w:color w:val="auto"/>
        </w:rPr>
      </w:pPr>
    </w:p>
    <w:p>
      <w:pPr>
        <w:jc w:val="both"/>
        <w:ind w:firstLine="8"/>
        <w:spacing w:after="0" w:line="215" w:lineRule="auto"/>
        <w:tabs>
          <w:tab w:leader="none" w:pos="25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in connection with any appeal resulting from any Proceeding, including without limitation the premium, security for, and other costs relating to any cost bond, supersedeas bond or other appeal bond or their equivalent, (ii) for purposes of Section 12(d), Expenses incurred by Indemnitee in connection with the interpretation, enforcement or defense of Indemnitee’s rights under this Agreement or under any directors’ and officers’ liability insurance policies maintained by the Company, and (iii) any federal, state, local or foreign taxes imposed on the Indemnitee as a result of the actual or deemed receipt of any payments under this Agreement (on a grossed 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interest, assessments or other charges in respect of the foregoing, and any interest, assessments or other charges in respect of the</w:t>
      </w:r>
    </w:p>
    <w:p>
      <w:pPr>
        <w:spacing w:after="0" w:line="221" w:lineRule="auto"/>
        <w:rPr>
          <w:sz w:val="20"/>
          <w:szCs w:val="20"/>
          <w:color w:val="auto"/>
        </w:rPr>
      </w:pPr>
      <w:r>
        <w:rPr>
          <w:rFonts w:ascii="Times New Roman" w:cs="Times New Roman" w:eastAsia="Times New Roman" w:hAnsi="Times New Roman"/>
          <w:sz w:val="20"/>
          <w:szCs w:val="20"/>
          <w:color w:val="auto"/>
        </w:rPr>
        <w:t>foregoing. Expenses, however, shall not include amounts paid in settlement by or on behalf of Indemnitee or the amount of judgments, fines, or penalties actually levied against Indemnitee.</w:t>
      </w:r>
    </w:p>
    <w:p>
      <w:pPr>
        <w:spacing w:after="0" w:line="158" w:lineRule="exact"/>
        <w:rPr>
          <w:sz w:val="20"/>
          <w:szCs w:val="20"/>
          <w:color w:val="auto"/>
        </w:rPr>
      </w:pPr>
    </w:p>
    <w:p>
      <w:pPr>
        <w:jc w:val="both"/>
        <w:ind w:firstLine="1304"/>
        <w:spacing w:after="0" w:line="216" w:lineRule="auto"/>
        <w:tabs>
          <w:tab w:leader="none" w:pos="193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32"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Proceeding</w:t>
      </w:r>
      <w:r>
        <w:rPr>
          <w:rFonts w:ascii="Times New Roman" w:cs="Times New Roman" w:eastAsia="Times New Roman" w:hAnsi="Times New Roman"/>
          <w:sz w:val="19"/>
          <w:szCs w:val="19"/>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49" w:lineRule="exact"/>
        <w:rPr>
          <w:rFonts w:ascii="Times New Roman" w:cs="Times New Roman" w:eastAsia="Times New Roman" w:hAnsi="Times New Roman"/>
          <w:sz w:val="19"/>
          <w:szCs w:val="19"/>
          <w:color w:val="auto"/>
        </w:rPr>
      </w:pPr>
    </w:p>
    <w:p>
      <w:pPr>
        <w:jc w:val="both"/>
        <w:ind w:firstLine="1304"/>
        <w:spacing w:after="0" w:line="219" w:lineRule="auto"/>
        <w:tabs>
          <w:tab w:leader="none" w:pos="194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w:t>
      </w:r>
      <w:r>
        <w:rPr>
          <w:rFonts w:ascii="Times New Roman" w:cs="Times New Roman" w:eastAsia="Times New Roman" w:hAnsi="Times New Roman"/>
          <w:sz w:val="20"/>
          <w:szCs w:val="20"/>
          <w:b w:val="1"/>
          <w:bCs w:val="1"/>
          <w:i w:val="1"/>
          <w:i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i w:val="1"/>
          <w:iCs w:val="1"/>
          <w:color w:val="auto"/>
        </w:rPr>
        <w:t>fines</w:t>
      </w:r>
      <w:r>
        <w:rPr>
          <w:rFonts w:ascii="Times New Roman" w:cs="Times New Roman" w:eastAsia="Times New Roman" w:hAnsi="Times New Roman"/>
          <w:sz w:val="20"/>
          <w:szCs w:val="20"/>
          <w:color w:val="auto"/>
        </w:rPr>
        <w:t>” shall include any excise taxes assessed on a person with respect to any employee benefit plan; references to “</w:t>
      </w:r>
      <w:r>
        <w:rPr>
          <w:rFonts w:ascii="Times New Roman" w:cs="Times New Roman" w:eastAsia="Times New Roman" w:hAnsi="Times New Roman"/>
          <w:sz w:val="20"/>
          <w:szCs w:val="20"/>
          <w:b w:val="1"/>
          <w:bCs w:val="1"/>
          <w:i w:val="1"/>
          <w:iCs w:val="1"/>
          <w:color w:val="auto"/>
        </w:rPr>
        <w:t>serving at the 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20"/>
          <w:szCs w:val="20"/>
          <w:b w:val="1"/>
          <w:bCs w:val="1"/>
          <w:i w:val="1"/>
          <w:iCs w:val="1"/>
          <w:color w:val="auto"/>
        </w:rPr>
        <w:t>not opposed to the best interests of the Company</w:t>
      </w:r>
      <w:r>
        <w:rPr>
          <w:rFonts w:ascii="Times New Roman" w:cs="Times New Roman" w:eastAsia="Times New Roman" w:hAnsi="Times New Roman"/>
          <w:sz w:val="20"/>
          <w:szCs w:val="20"/>
          <w:color w:val="auto"/>
        </w:rPr>
        <w:t>” as referred to in this Agreement.</w:t>
      </w:r>
    </w:p>
    <w:p>
      <w:pPr>
        <w:spacing w:after="0" w:line="144"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Indemnity in Third-Party Proceedings. </w:t>
      </w:r>
      <w:r>
        <w:rPr>
          <w:rFonts w:ascii="Times New Roman" w:cs="Times New Roman" w:eastAsia="Times New Roman" w:hAnsi="Times New Roman"/>
          <w:sz w:val="20"/>
          <w:szCs w:val="20"/>
          <w:color w:val="auto"/>
        </w:rPr>
        <w:t>The Company shall indemnify Indemnitee in accordance with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5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Indemnity in Proceedings by or in the Right of the Company. </w:t>
      </w:r>
      <w:r>
        <w:rPr>
          <w:rFonts w:ascii="Times New Roman" w:cs="Times New Roman" w:eastAsia="Times New Roman" w:hAnsi="Times New Roman"/>
          <w:sz w:val="20"/>
          <w:szCs w:val="20"/>
          <w:color w:val="auto"/>
        </w:rPr>
        <w:t>The Company shall indemnify Indemnitee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finally adjudged by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competent jurisdiction to be liable to the Company, unless and only to the extent that the Delaware Court of Chancery or any court in which</w:t>
      </w:r>
    </w:p>
    <w:p>
      <w:pPr>
        <w:spacing w:after="0" w:line="215" w:lineRule="auto"/>
        <w:rPr>
          <w:sz w:val="20"/>
          <w:szCs w:val="20"/>
          <w:color w:val="auto"/>
        </w:rPr>
      </w:pPr>
      <w:r>
        <w:rPr>
          <w:rFonts w:ascii="Times New Roman" w:cs="Times New Roman" w:eastAsia="Times New Roman" w:hAnsi="Times New Roman"/>
          <w:sz w:val="19"/>
          <w:szCs w:val="19"/>
          <w:color w:val="auto"/>
        </w:rPr>
        <w:t>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w:t>
      </w:r>
    </w:p>
    <w:p>
      <w:pPr>
        <w:spacing w:after="0"/>
        <w:rPr>
          <w:sz w:val="20"/>
          <w:szCs w:val="20"/>
          <w:color w:val="auto"/>
        </w:rPr>
      </w:pPr>
      <w:r>
        <w:rPr>
          <w:rFonts w:ascii="Times New Roman" w:cs="Times New Roman" w:eastAsia="Times New Roman" w:hAnsi="Times New Roman"/>
          <w:sz w:val="20"/>
          <w:szCs w:val="20"/>
          <w:color w:val="auto"/>
        </w:rPr>
        <w:t>court shall deem proper.</w:t>
      </w:r>
    </w:p>
    <w:p>
      <w:pPr>
        <w:spacing w:after="0" w:line="163" w:lineRule="exact"/>
        <w:rPr>
          <w:sz w:val="20"/>
          <w:szCs w:val="20"/>
          <w:color w:val="auto"/>
        </w:rPr>
      </w:pPr>
    </w:p>
    <w:p>
      <w:pPr>
        <w:jc w:val="both"/>
        <w:ind w:firstLine="656"/>
        <w:spacing w:after="0" w:line="217" w:lineRule="auto"/>
        <w:tabs>
          <w:tab w:leader="none" w:pos="1296"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Indemnification for Expenses of a Party Who is Wholly or Partly Successful. </w:t>
      </w:r>
      <w:r>
        <w:rPr>
          <w:rFonts w:ascii="Times New Roman" w:cs="Times New Roman" w:eastAsia="Times New Roman" w:hAnsi="Times New Roman"/>
          <w:sz w:val="20"/>
          <w:szCs w:val="20"/>
          <w:color w:val="auto"/>
        </w:rPr>
        <w:t>To the extent that Indemnitee is a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motion for summary judgement, settlement, (with or without court approval), upon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be deemed to be a successful result as to such claim, issue or matter.</w:t>
      </w:r>
    </w:p>
    <w:p>
      <w:pPr>
        <w:spacing w:after="0" w:line="156" w:lineRule="exact"/>
        <w:rPr>
          <w:rFonts w:ascii="Times New Roman" w:cs="Times New Roman" w:eastAsia="Times New Roman" w:hAnsi="Times New Roman"/>
          <w:sz w:val="20"/>
          <w:szCs w:val="20"/>
          <w:color w:val="auto"/>
        </w:rPr>
      </w:pPr>
    </w:p>
    <w:p>
      <w:pPr>
        <w:jc w:val="both"/>
        <w:ind w:firstLine="656"/>
        <w:spacing w:after="0" w:line="223" w:lineRule="auto"/>
        <w:tabs>
          <w:tab w:leader="none" w:pos="1296"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Indemnification for Expenses of a Witness. </w:t>
      </w:r>
      <w:r>
        <w:rPr>
          <w:rFonts w:ascii="Times New Roman" w:cs="Times New Roman" w:eastAsia="Times New Roman" w:hAnsi="Times New Roman"/>
          <w:sz w:val="20"/>
          <w:szCs w:val="20"/>
          <w:color w:val="auto"/>
        </w:rPr>
        <w:t>To the extent that Indemnitee is, by reason of his or her Corporate Status,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witness, deponent, interviewee, or otherwise asked to participate in 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4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Indemnification.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7"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6(a), the meaning of the phrase “</w:t>
      </w:r>
      <w:r>
        <w:rPr>
          <w:rFonts w:ascii="Times New Roman" w:cs="Times New Roman" w:eastAsia="Times New Roman" w:hAnsi="Times New Roman"/>
          <w:sz w:val="20"/>
          <w:szCs w:val="20"/>
          <w:b w:val="1"/>
          <w:bCs w:val="1"/>
          <w:i w:val="1"/>
          <w:iCs w:val="1"/>
          <w:color w:val="auto"/>
        </w:rPr>
        <w:t>to the fullest extent permitted by applicable law</w:t>
      </w:r>
      <w:r>
        <w:rPr>
          <w:rFonts w:ascii="Times New Roman" w:cs="Times New Roman" w:eastAsia="Times New Roman" w:hAnsi="Times New Roman"/>
          <w:sz w:val="20"/>
          <w:szCs w:val="20"/>
          <w:color w:val="auto"/>
        </w:rPr>
        <w:t>” shall include, but not be limited to:</w:t>
      </w:r>
    </w:p>
    <w:p>
      <w:pPr>
        <w:spacing w:after="0" w:line="141" w:lineRule="exact"/>
        <w:rPr>
          <w:rFonts w:ascii="Times New Roman" w:cs="Times New Roman" w:eastAsia="Times New Roman" w:hAnsi="Times New Roman"/>
          <w:sz w:val="20"/>
          <w:szCs w:val="20"/>
          <w:color w:val="auto"/>
        </w:rPr>
      </w:pPr>
    </w:p>
    <w:p>
      <w:pPr>
        <w:ind w:firstLine="2276"/>
        <w:spacing w:after="0"/>
        <w:tabs>
          <w:tab w:leader="none" w:pos="2590"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permitted by the provision of the DGCL that authorizes or contemplates additional indemnification by agreement, or the corresponding provision of any amendment to or replacement of the DGCL; and</w:t>
      </w:r>
    </w:p>
    <w:p>
      <w:pPr>
        <w:spacing w:after="0" w:line="161" w:lineRule="exact"/>
        <w:rPr>
          <w:rFonts w:ascii="Times New Roman" w:cs="Times New Roman" w:eastAsia="Times New Roman" w:hAnsi="Times New Roman"/>
          <w:sz w:val="20"/>
          <w:szCs w:val="20"/>
          <w:color w:val="auto"/>
        </w:rPr>
      </w:pPr>
    </w:p>
    <w:p>
      <w:pPr>
        <w:ind w:right="20" w:firstLine="2276"/>
        <w:spacing w:after="0" w:line="233" w:lineRule="auto"/>
        <w:tabs>
          <w:tab w:leader="none" w:pos="2591"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56" w:lineRule="exact"/>
        <w:rPr>
          <w:rFonts w:ascii="Times New Roman" w:cs="Times New Roman" w:eastAsia="Times New Roman" w:hAnsi="Times New Roman"/>
          <w:sz w:val="20"/>
          <w:szCs w:val="20"/>
          <w:color w:val="auto"/>
        </w:rPr>
      </w:pPr>
    </w:p>
    <w:p>
      <w:pPr>
        <w:ind w:firstLine="656"/>
        <w:spacing w:after="0" w:line="245" w:lineRule="auto"/>
        <w:tabs>
          <w:tab w:leader="none" w:pos="1296"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Exclusions. </w:t>
      </w:r>
      <w:r>
        <w:rPr>
          <w:rFonts w:ascii="Times New Roman" w:cs="Times New Roman" w:eastAsia="Times New Roman" w:hAnsi="Times New Roman"/>
          <w:sz w:val="20"/>
          <w:szCs w:val="20"/>
          <w:color w:val="auto"/>
        </w:rPr>
        <w:t>Notwithstanding any provision in this Agreement, the Company shall not be obligated under this Agreement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any indemnity in connection with any Proceeding (or any part of any Proceeding):</w:t>
      </w:r>
    </w:p>
    <w:p>
      <w:pPr>
        <w:spacing w:after="0" w:line="141" w:lineRule="exact"/>
        <w:rPr>
          <w:rFonts w:ascii="Times New Roman" w:cs="Times New Roman" w:eastAsia="Times New Roman" w:hAnsi="Times New Roman"/>
          <w:sz w:val="20"/>
          <w:szCs w:val="20"/>
          <w:color w:val="auto"/>
        </w:rPr>
      </w:pPr>
    </w:p>
    <w:p>
      <w:pPr>
        <w:jc w:val="both"/>
        <w:ind w:right="20" w:firstLine="1304"/>
        <w:spacing w:after="0" w:line="220" w:lineRule="auto"/>
        <w:tabs>
          <w:tab w:leader="none" w:pos="1934"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Indemnitee under any statute, insurance policy, indemnity provision, vote or otherwise, except with respect to any excess beyond the amount paid, provided, however,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 (provided, however, that the Company must advance expenses for such matters otherwise permissible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76" w:lineRule="exact"/>
        <w:rPr>
          <w:sz w:val="20"/>
          <w:szCs w:val="20"/>
          <w:color w:val="auto"/>
        </w:rPr>
      </w:pPr>
    </w:p>
    <w:p>
      <w:pPr>
        <w:jc w:val="both"/>
        <w:ind w:firstLine="1304"/>
        <w:spacing w:after="0" w:line="213" w:lineRule="auto"/>
        <w:tabs>
          <w:tab w:leader="none" w:pos="1934"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Indemnitee of any bonus or other incentive-based or equity-based compensation or of any profits realized by Indemnitee from the sale of securities of the Company, in either case as required under any clawback or compensation recovery policy adopted by the Company, applicable securities exchange and association listing requirements, including, without limitation, those adopted in accordance with Rule 10D-1 under the Securities Exchange Act of 1934, as amended, and/or the Securities Exchange Act of 1934, as amended (including, without limitation,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i w:val="1"/>
          <w:i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Indemnitee of securities in violation of Section 306 of the Sarbanes-Oxley Act), if Indemnitee is held liable therefor, including pursuant to any settlement arrangements (provided, however, that the Company must advance expenses for such matters otherwise permissible under this Agreement);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or ratified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184" w:lineRule="exact"/>
        <w:rPr>
          <w:rFonts w:ascii="Times New Roman" w:cs="Times New Roman" w:eastAsia="Times New Roman" w:hAnsi="Times New Roman"/>
          <w:sz w:val="20"/>
          <w:szCs w:val="20"/>
          <w:color w:val="auto"/>
        </w:rPr>
      </w:pPr>
    </w:p>
    <w:p>
      <w:pPr>
        <w:jc w:val="both"/>
        <w:ind w:firstLine="656"/>
        <w:spacing w:after="0" w:line="209" w:lineRule="auto"/>
        <w:tabs>
          <w:tab w:leader="none" w:pos="129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Advances of Expenses. </w:t>
      </w:r>
      <w:r>
        <w:rPr>
          <w:rFonts w:ascii="Times New Roman" w:cs="Times New Roman" w:eastAsia="Times New Roman" w:hAnsi="Times New Roman"/>
          <w:sz w:val="20"/>
          <w:szCs w:val="20"/>
          <w:color w:val="auto"/>
        </w:rPr>
        <w:t>All Expenses incurred by Indemnitee in defending any Proceeding described in Section 2 or 3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paid by the Company in advance of the final disposition of such Proceeding at the request of Indemnitee. Indemnitee’s right to advancement shall not be subject to the satisfaction of any standard of conduct and advances shall be made without regard to Indemnitee’s ultimate entitlement to indemnification under the provisions of this Agreement or otherwise. To receive an advancement of Expenses under this Agreement, Indemnitee shall submit a written request to the Secretary of the Company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are not required to be included with the invoice). Advances shall be unsecured and interest free and made without regard to Indemnitee’s ability to repay such advances and without regard to the entitlement to and the availability of insurance coverage, including advancement, payment or reimbursement of defense costs, expenses of covered loss under the provisions of any applicable insurance policy (including, without limitation, whether such advancement, payment or reimbursement is withheld, conditioned or delayed by the insurer(s)). Without limiting the generality or effect of the foregoing, within 20 calendar days after the receipt of the Company by the Secretary of the Company of any such request, the Company shall, in accordance with such request (but without duplication), (a) pay such Expenses on behalf of Indemnitee, (b) advance to Indemnitee funds in an amount sufficient to pay such Expenses, or (c) reimburse Indemnitee for such Expenses. Advances shall include Expenses actually and reasonably incurred by Indemnitee in preparing and forwarding statements to the Company to support the advances claimed. The right to advances under this Section 8 shall in all events continue until final disposition of any Proceeding, including any appeal therein. The Indemnitee shall qualify for advances upon the execution and delivery to the Company of this Agreement, which shall constitute an undertaking providing that the Indemnitee undertakes to the fullest extent permitted by law to repay the advance (without interest) if and to the extent that it is ultimately determined by a court of competent jurisdiction in a final judgment, that Indemnitee is not entitled to be indemnified by the Company. No other form of undertaking shall be required other than the execution of this Agreement.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hereof prior to a determination that Indemnitee is not entitled to be indemnified by the Company. The Company shall not seek, or assist any other party to seek, from a court a “bar order” which would have the effect of prohibiting or limiting the Indemnitee's rights to receive advancement of expenses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72" w:lineRule="exact"/>
        <w:rPr>
          <w:sz w:val="20"/>
          <w:szCs w:val="20"/>
          <w:color w:val="auto"/>
        </w:rPr>
      </w:pPr>
    </w:p>
    <w:p>
      <w:pPr>
        <w:ind w:left="1300" w:hanging="644"/>
        <w:spacing w:after="0"/>
        <w:tabs>
          <w:tab w:leader="none" w:pos="13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Procedures for Notification and Defense of Claim.</w:t>
      </w:r>
    </w:p>
    <w:p>
      <w:pPr>
        <w:spacing w:after="0" w:line="192"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Company’s ability to defend such Proceeding; and, provided, further, that notice will be deemed to have been given without any action on the part of Indemnitee in the event the Company is a party to the same Proceeding.</w:t>
      </w:r>
    </w:p>
    <w:p>
      <w:pPr>
        <w:spacing w:after="0" w:line="162"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may be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within 60 calendar days of receipt of notice from Indemnitee, or shall not continue to retain, counsel to defend such Proceeding. Indemnitee agrees that any such separate counsel retained by Indemnitee will be a member of any approved list of panel counsel under the Company’s applicable directors’ and officers’ liability insurance policy, should the applicable policy provide for a panel of approved counsel and should such approved panel list comprise law firms with well-established reputations in the type of litigation at issue. (For clarity, the fact of a firm’s being part of a panel shall not be evidence of a firm’s having a well-established national reputation for the type of litigation at issue).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give the Company such information and cooperation in connection with the Proceeding as may be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appropriate.</w:t>
      </w:r>
    </w:p>
    <w:p>
      <w:pPr>
        <w:spacing w:after="0" w:line="153"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on its own behalf, settle any part of any Proceeding to which Indemnitee is a party with respect to other parties (including the Company) if such settlement would exhaust all or substantially all applicable corporate insurance policies unless approved by (i) the written consent of Indemnitee or (ii) a majority of the independent directors of the Company’s board of directors; provided, however, that the right to constrain the Company’s use of corporate insurance as described in this section shall terminate at the time the Company concludes (according to the terms of this Agreement) that Indemnitee is not entitled to indemnification pursuant to this Agreement, or such indemnification obligation to Indemnitee has been fully discharged by the Company. .</w:t>
      </w:r>
    </w:p>
    <w:p>
      <w:pPr>
        <w:spacing w:after="0" w:line="15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Procedures upon Application for Indemnification.</w:t>
      </w:r>
    </w:p>
    <w:p>
      <w:pPr>
        <w:spacing w:after="0" w:line="179"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Indemnitee shall submit to the Secretary of the Company a written request, including therein or therewith such documentation and information as is reasonably available to Indemnitee, is not otherwise available to the Company, and as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necessary to determine whether and to what extent Indemnitee is entitled to indemnification following the final disposition of the Proceeding.</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delay in providing the request will not relieve the Company from its obligations under this Agreement, except to the extent such failure is prejudicial.</w:t>
      </w:r>
    </w:p>
    <w:p>
      <w:pPr>
        <w:spacing w:after="0" w:line="162" w:lineRule="exact"/>
        <w:rPr>
          <w:sz w:val="20"/>
          <w:szCs w:val="20"/>
          <w:color w:val="auto"/>
        </w:rPr>
      </w:pPr>
    </w:p>
    <w:p>
      <w:pPr>
        <w:jc w:val="both"/>
        <w:ind w:firstLine="1304"/>
        <w:spacing w:after="0" w:line="211" w:lineRule="auto"/>
        <w:tabs>
          <w:tab w:leader="none" w:pos="193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52"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such objection may be asserted only on the ground that the Independent Counsel so selected does not meet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6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the reasonable fees and expenses of any Independent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72" w:lineRule="exact"/>
        <w:rPr>
          <w:sz w:val="20"/>
          <w:szCs w:val="20"/>
          <w:color w:val="auto"/>
        </w:rPr>
      </w:pPr>
    </w:p>
    <w:p>
      <w:pPr>
        <w:ind w:left="1280" w:hanging="624"/>
        <w:spacing w:after="0"/>
        <w:tabs>
          <w:tab w:leader="none" w:pos="1280"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Presumptions and Effect of Certain Proceedings.</w:t>
      </w:r>
    </w:p>
    <w:p>
      <w:pPr>
        <w:spacing w:after="0" w:line="192"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4" w:val="left"/>
        </w:tabs>
        <w:numPr>
          <w:ilvl w:val="2"/>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60"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2"/>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or its equivalent, shall not (except as otherwise expressly provided in this Agreement) of itself:</w:t>
      </w:r>
    </w:p>
    <w:p>
      <w:pPr>
        <w:jc w:val="both"/>
        <w:ind w:firstLine="8"/>
        <w:spacing w:after="0" w:line="216" w:lineRule="auto"/>
        <w:tabs>
          <w:tab w:leader="none" w:pos="295"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or (b) otherwise adversely affect the rights of the Indemnitee to indemnification except as may be provided herein.</w:t>
      </w:r>
    </w:p>
    <w:p>
      <w:pPr>
        <w:spacing w:after="0" w:line="162"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97" w:val="left"/>
        </w:tabs>
        <w:numPr>
          <w:ilvl w:val="2"/>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determination of good faith, Indemnitee shall be presumed to have acted in good faith to the extent Indemnitee relied in good faith on (i) the records or books of account of the Company, including financial statements, (ii) information supplied to Indemnitee by the officers of the Company in the course of their duties, (iii) the advice of legal counsel for the Company or its board of directors or counsel selected by any committee of the board of directors or (iv) information or records given or reports made to the Company by an independent certified public accountant, an appraiser, financial advisor, compensation consultant, investment banker or other expert selected with reasonable care by the Company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 Whether or not the foregoing provisions of this Section 11(c) are satisfied, it shall in any event be presumed that Indemnitee has at all times acted in good faith and in a manner he or she reasonably believed to be in or not opposed to the best interests of the Company.</w:t>
      </w:r>
    </w:p>
    <w:p>
      <w:pPr>
        <w:spacing w:after="0" w:line="16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2"/>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Remedies of Indemnitee.</w:t>
      </w:r>
    </w:p>
    <w:p>
      <w:pPr>
        <w:spacing w:after="0" w:line="192"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4" w:val="left"/>
        </w:tabs>
        <w:numPr>
          <w:ilvl w:val="2"/>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76" w:lineRule="exact"/>
        <w:rPr>
          <w:sz w:val="20"/>
          <w:szCs w:val="20"/>
          <w:color w:val="auto"/>
        </w:rPr>
      </w:pPr>
    </w:p>
    <w:p>
      <w:pPr>
        <w:jc w:val="both"/>
        <w:ind w:firstLine="1304"/>
        <w:spacing w:after="0" w:line="212" w:lineRule="auto"/>
        <w:tabs>
          <w:tab w:leader="none" w:pos="1932"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169"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4" w:val="left"/>
        </w:tabs>
        <w:numPr>
          <w:ilvl w:val="2"/>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w:t>
      </w:r>
    </w:p>
    <w:p>
      <w:pPr>
        <w:spacing w:after="0" w:line="1" w:lineRule="exact"/>
        <w:rPr>
          <w:rFonts w:ascii="Times New Roman" w:cs="Times New Roman" w:eastAsia="Times New Roman" w:hAnsi="Times New Roman"/>
          <w:sz w:val="19"/>
          <w:szCs w:val="19"/>
          <w:color w:val="auto"/>
        </w:rPr>
      </w:pPr>
    </w:p>
    <w:p>
      <w:pPr>
        <w:ind w:firstLine="8"/>
        <w:spacing w:after="0" w:line="228" w:lineRule="auto"/>
        <w:tabs>
          <w:tab w:leader="none" w:pos="275"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8.</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2"/>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shall be required to be made prior to the final disposition of the Proceeding.</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179" w:lineRule="exact"/>
        <w:rPr>
          <w:rFonts w:ascii="Times New Roman" w:cs="Times New Roman" w:eastAsia="Times New Roman" w:hAnsi="Times New Roman"/>
          <w:sz w:val="20"/>
          <w:szCs w:val="20"/>
          <w:b w:val="1"/>
          <w:bCs w:val="1"/>
          <w:color w:val="auto"/>
        </w:rPr>
      </w:pPr>
    </w:p>
    <w:p>
      <w:pPr>
        <w:jc w:val="both"/>
        <w:ind w:firstLine="1304"/>
        <w:spacing w:after="0" w:line="222" w:lineRule="auto"/>
        <w:tabs>
          <w:tab w:leader="none" w:pos="1934" w:val="left"/>
        </w:tabs>
        <w:numPr>
          <w:ilvl w:val="2"/>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Company maintains an insurance policy or policies providing liability insurance for directors, trustees, general partners, managing members, officers, employees, agents or fiduciaries of the Company or other enterprise, Indemnitee shall be covered by such policy or policies to the same extent as the most favorably-insured persons under such policy or policies in a comparable position.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2"/>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the receipt of a notice of a claim pursuant to the terms hereof, the Company has directors’ and officers’ liability insurance in effect, the Company shall give prompt notice of the commencement of any Proceeding to the insurers in accordance with the procedures set forth in the respective policies. The Company shall thereafter take all necessary or appropriate action to cause such insurers to pay, on behalf of Indemnitee, all amounts payable as a result of such Proceeding in accordance with the terms of such policies. The Company will instruct the insurers and their insurance brokers that they may communicate directly with Indemnitee regarding such claim.</w:t>
      </w:r>
    </w:p>
    <w:p>
      <w:pPr>
        <w:spacing w:after="0" w:line="162" w:lineRule="exact"/>
        <w:rPr>
          <w:rFonts w:ascii="Times New Roman" w:cs="Times New Roman" w:eastAsia="Times New Roman" w:hAnsi="Times New Roman"/>
          <w:sz w:val="20"/>
          <w:szCs w:val="20"/>
          <w:color w:val="auto"/>
        </w:rPr>
      </w:pPr>
    </w:p>
    <w:p>
      <w:pPr>
        <w:jc w:val="both"/>
        <w:ind w:right="20" w:firstLine="1304"/>
        <w:spacing w:after="0" w:line="215" w:lineRule="auto"/>
        <w:tabs>
          <w:tab w:leader="none" w:pos="1934" w:val="left"/>
        </w:tabs>
        <w:numPr>
          <w:ilvl w:val="2"/>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or the Company’s becoming insolvent, the Company shall undertake all commercially reasonable efforts to maintain in force any and all insurance policies then maintained by the Company in providing insurance</w:t>
      </w:r>
    </w:p>
    <w:p>
      <w:pPr>
        <w:spacing w:after="0" w:line="1" w:lineRule="exact"/>
        <w:rPr>
          <w:rFonts w:ascii="Times New Roman" w:cs="Times New Roman" w:eastAsia="Times New Roman" w:hAnsi="Times New Roman"/>
          <w:sz w:val="20"/>
          <w:szCs w:val="20"/>
          <w:color w:val="auto"/>
        </w:rPr>
      </w:pPr>
    </w:p>
    <w:p>
      <w:pPr>
        <w:ind w:right="2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directors’ and officers’ liability, fiduciary, employment practices or otherwise — in respect of the individual directors and officers of the Company, for a fixed period of six years thereafter (a “</w:t>
      </w:r>
      <w:r>
        <w:rPr>
          <w:rFonts w:ascii="Times New Roman" w:cs="Times New Roman" w:eastAsia="Times New Roman" w:hAnsi="Times New Roman"/>
          <w:sz w:val="20"/>
          <w:szCs w:val="20"/>
          <w:b w:val="1"/>
          <w:bCs w:val="1"/>
          <w:i w:val="1"/>
          <w:iCs w:val="1"/>
          <w:color w:val="auto"/>
        </w:rPr>
        <w:t>Tail Policy</w:t>
      </w:r>
      <w:r>
        <w:rPr>
          <w:rFonts w:ascii="Times New Roman" w:cs="Times New Roman" w:eastAsia="Times New Roman" w:hAnsi="Times New Roman"/>
          <w:sz w:val="20"/>
          <w:szCs w:val="20"/>
          <w:color w:val="auto"/>
        </w:rPr>
        <w:t>”). Such coverage shall be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cancellable and shall be placed and serviced for the duration of its term by the Company’s incumbent insurance broker. The Company shall</w:t>
      </w:r>
    </w:p>
    <w:p>
      <w:pPr>
        <w:spacing w:after="0" w:line="204" w:lineRule="auto"/>
        <w:rPr>
          <w:sz w:val="20"/>
          <w:szCs w:val="20"/>
          <w:color w:val="auto"/>
        </w:rPr>
      </w:pPr>
      <w:r>
        <w:rPr>
          <w:rFonts w:ascii="Times New Roman" w:cs="Times New Roman" w:eastAsia="Times New Roman" w:hAnsi="Times New Roman"/>
          <w:sz w:val="20"/>
          <w:szCs w:val="20"/>
          <w:color w:val="auto"/>
        </w:rPr>
        <w:t>direct such broker to place the Tail Policy with the incumbent insurance carriers using the policies that were in place at the time of the Change in Control event (unless the incumbent carriers will not offer such policies, in which case the Tail Policy placed by the Company’s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45" w:lineRule="exact"/>
        <w:rPr>
          <w:sz w:val="20"/>
          <w:szCs w:val="20"/>
          <w:color w:val="auto"/>
        </w:rPr>
      </w:pPr>
    </w:p>
    <w:p>
      <w:pPr>
        <w:jc w:val="both"/>
        <w:ind w:firstLine="656"/>
        <w:spacing w:after="0" w:line="216" w:lineRule="auto"/>
        <w:tabs>
          <w:tab w:leader="none" w:pos="128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Contribution. </w:t>
      </w:r>
      <w:r>
        <w:rPr>
          <w:rFonts w:ascii="Times New Roman" w:cs="Times New Roman" w:eastAsia="Times New Roman" w:hAnsi="Times New Roman"/>
          <w:sz w:val="20"/>
          <w:szCs w:val="20"/>
          <w:color w:val="auto"/>
        </w:rPr>
        <w:t>To the fullest extent permissible under applicable law, if the indemnification provided for in this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7"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Non-exclusivity. </w:t>
      </w:r>
      <w:r>
        <w:rPr>
          <w:rFonts w:ascii="Times New Roman" w:cs="Times New Roman" w:eastAsia="Times New Roman" w:hAnsi="Times New Roman"/>
          <w:sz w:val="20"/>
          <w:szCs w:val="20"/>
          <w:color w:val="auto"/>
        </w:rPr>
        <w:t>The rights of indemnification and to receive advancement of Expenses as provided by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45"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Primary Responsibility. </w:t>
      </w:r>
      <w:r>
        <w:rPr>
          <w:rFonts w:ascii="Times New Roman" w:cs="Times New Roman" w:eastAsia="Times New Roman" w:hAnsi="Times New Roman"/>
          <w:sz w:val="20"/>
          <w:szCs w:val="20"/>
          <w:color w:val="auto"/>
        </w:rPr>
        <w:t>The Company acknowledges that to the extent Indemnitee is serving as a director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board of directors at the request or direction of a venture capital fund or other entity and/or certain of its affiliates (collectively, the “</w:t>
      </w:r>
      <w:r>
        <w:rPr>
          <w:rFonts w:ascii="Times New Roman" w:cs="Times New Roman" w:eastAsia="Times New Roman" w:hAnsi="Times New Roman"/>
          <w:sz w:val="20"/>
          <w:szCs w:val="20"/>
          <w:b w:val="1"/>
          <w:bCs w:val="1"/>
          <w:i w:val="1"/>
          <w:iCs w:val="1"/>
          <w:color w:val="auto"/>
        </w:rPr>
        <w:t>Secondary Indemnitors</w:t>
      </w:r>
      <w:r>
        <w:rPr>
          <w:rFonts w:ascii="Times New Roman" w:cs="Times New Roman" w:eastAsia="Times New Roman" w:hAnsi="Times New Roman"/>
          <w:sz w:val="20"/>
          <w:szCs w:val="20"/>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16.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foregoing sentence will be deemed void if and to the extent that it would violate any applicable insurance policy. The Secondary Indemnitors are express third-party beneficiaries of the terms of this Section 16.</w:t>
      </w:r>
    </w:p>
    <w:p>
      <w:pPr>
        <w:spacing w:after="0" w:line="168" w:lineRule="exact"/>
        <w:rPr>
          <w:rFonts w:ascii="Times New Roman" w:cs="Times New Roman" w:eastAsia="Times New Roman" w:hAnsi="Times New Roman"/>
          <w:sz w:val="20"/>
          <w:szCs w:val="20"/>
          <w:color w:val="auto"/>
        </w:rPr>
      </w:pPr>
    </w:p>
    <w:p>
      <w:pPr>
        <w:ind w:firstLine="656"/>
        <w:spacing w:after="0" w:line="245" w:lineRule="auto"/>
        <w:tabs>
          <w:tab w:leader="none" w:pos="128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Subrogation. </w:t>
      </w:r>
      <w:r>
        <w:rPr>
          <w:rFonts w:ascii="Times New Roman" w:cs="Times New Roman" w:eastAsia="Times New Roman" w:hAnsi="Times New Roman"/>
          <w:sz w:val="20"/>
          <w:szCs w:val="20"/>
          <w:color w:val="auto"/>
        </w:rPr>
        <w:t>In the event of any payment under this Agreement, the Company shall be subrogated to the extent 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to all of the rights of recovery of Indemnitee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insurance obtained on the Indemnitee’s own behalf), and the Indemnitee shall execute all papers required and take all action necessary to secure such rights, including execution of such documents as are necessary to enable the Company to bring suit to enforce such rights.</w:t>
      </w:r>
    </w:p>
    <w:p>
      <w:pPr>
        <w:spacing w:after="0" w:line="144" w:lineRule="exact"/>
        <w:rPr>
          <w:sz w:val="20"/>
          <w:szCs w:val="20"/>
          <w:color w:val="auto"/>
        </w:rPr>
      </w:pPr>
    </w:p>
    <w:p>
      <w:pPr>
        <w:jc w:val="both"/>
        <w:ind w:firstLine="656"/>
        <w:spacing w:after="0" w:line="218" w:lineRule="auto"/>
        <w:tabs>
          <w:tab w:leader="none" w:pos="1287" w:val="left"/>
        </w:tabs>
        <w:numPr>
          <w:ilvl w:val="1"/>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Services to the Company. </w:t>
      </w:r>
      <w:r>
        <w:rPr>
          <w:rFonts w:ascii="Times New Roman" w:cs="Times New Roman" w:eastAsia="Times New Roman" w:hAnsi="Times New Roman"/>
          <w:sz w:val="19"/>
          <w:szCs w:val="19"/>
          <w:color w:val="auto"/>
        </w:rPr>
        <w:t>Indemnitee agrees to serve as a director or officer of the Company or, at the request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 [Indemnitee acknowledges that Indemnitee serves as an officer of the Company. Indemnitee consents to be identified as an officer of the Company for purposes of Section 3114(b) of the DGCL. Indemnitee acknowledges that (a) Indemnitee is deemed to have consented to the appointment of the registered agent of the Company (or, if there is none, the Delaware Secretary of State) as an agent upon whom service of process may be made in all civil actions or proceedings brought in the State of Delaware, by or on behalf of, or against the Company, in which Indemnitee is a necessary or proper party, or in any action or proceeding against Indemnitee for violation of a duty in Indemnitee’s capacity as an officer of the Company, whether or not Indemnitee continues to serve as an officer at the time suit is commenced; and</w:t>
      </w:r>
    </w:p>
    <w:p>
      <w:pPr>
        <w:spacing w:after="0" w:line="13" w:lineRule="exact"/>
        <w:rPr>
          <w:rFonts w:ascii="Times New Roman" w:cs="Times New Roman" w:eastAsia="Times New Roman" w:hAnsi="Times New Roman"/>
          <w:sz w:val="19"/>
          <w:szCs w:val="19"/>
          <w:color w:val="auto"/>
        </w:rPr>
      </w:pPr>
    </w:p>
    <w:p>
      <w:pPr>
        <w:ind w:left="300" w:hanging="292"/>
        <w:spacing w:after="0" w:line="211" w:lineRule="auto"/>
        <w:tabs>
          <w:tab w:leader="none" w:pos="3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Indemnitee’s acceptance of appointment, or Indemnitee’s service, as an officer of the Company shall be a signification of Indemnitee’s</w:t>
      </w:r>
    </w:p>
    <w:p>
      <w:pPr>
        <w:spacing w:after="0" w:line="211" w:lineRule="auto"/>
        <w:rPr>
          <w:sz w:val="20"/>
          <w:szCs w:val="20"/>
          <w:color w:val="auto"/>
        </w:rPr>
      </w:pPr>
      <w:r>
        <w:rPr>
          <w:rFonts w:ascii="Times New Roman" w:cs="Times New Roman" w:eastAsia="Times New Roman" w:hAnsi="Times New Roman"/>
          <w:sz w:val="20"/>
          <w:szCs w:val="20"/>
          <w:color w:val="auto"/>
        </w:rPr>
        <w:t>consent that any process when so served shall be of the same legal force and validity as if served upon Indemnitee within the State of</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Delaware and such appointment of the registered agent of the Company (or, if there is none, the Delaware Secretary of State) shall be irrevocable.]</w:t>
      </w:r>
      <w:r>
        <w:rPr>
          <w:rFonts w:ascii="Times New Roman" w:cs="Times New Roman" w:eastAsia="Times New Roman" w:hAnsi="Times New Roman"/>
          <w:sz w:val="25"/>
          <w:szCs w:val="25"/>
          <w:color w:val="auto"/>
          <w:vertAlign w:val="superscript"/>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pacing w:after="0" w:line="21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 xml:space="preserve">20. </w:t>
      </w:r>
      <w:r>
        <w:rPr>
          <w:rFonts w:ascii="Times New Roman" w:cs="Times New Roman" w:eastAsia="Times New Roman" w:hAnsi="Times New Roman"/>
          <w:sz w:val="19"/>
          <w:szCs w:val="19"/>
          <w:b w:val="1"/>
          <w:bCs w:val="1"/>
          <w:color w:val="auto"/>
        </w:rPr>
        <w:t>Duration.</w:t>
      </w:r>
      <w:r>
        <w:rPr>
          <w:rFonts w:ascii="Times New Roman" w:cs="Times New Roman" w:eastAsia="Times New Roman" w:hAnsi="Times New Roman"/>
          <w:sz w:val="19"/>
          <w:szCs w:val="19"/>
          <w:color w:val="auto"/>
        </w:rPr>
        <w:t xml:space="preserve"> All agreements and obligations of the Company contained herein shall continue during the period Indemnitee is a director or officer of the Company or, serves at the request of the Company, as a director, trustee, general partner, managing member, officer,</w:t>
      </w:r>
    </w:p>
    <w:p>
      <w:pPr>
        <w:spacing w:after="0" w:line="211" w:lineRule="auto"/>
        <w:rPr>
          <w:sz w:val="20"/>
          <w:szCs w:val="20"/>
          <w:color w:val="auto"/>
        </w:rPr>
      </w:pPr>
      <w:r>
        <w:rPr>
          <w:rFonts w:ascii="Times New Roman" w:cs="Times New Roman" w:eastAsia="Times New Roman" w:hAnsi="Times New Roman"/>
          <w:sz w:val="20"/>
          <w:szCs w:val="20"/>
          <w:color w:val="auto"/>
        </w:rPr>
        <w:t>employee, agent or fiduciary of another Enterprise and shall continue thereafter so long as Indemnitee shall be subject to any possible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Proceeding, by reason of the fact that Indemnitee was serving in the capacity referred to herein. For the avoidance of doubt, this Agreement shall provide for rights of indemnification and advancement of Expenses as set forth herein for any event or occurrence related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Indemnitee’s service for the Company, regardless of whether such events or occurrences occurred before or after the date of this Agreement.</w:t>
      </w:r>
    </w:p>
    <w:p>
      <w:pPr>
        <w:spacing w:after="0" w:line="17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xml:space="preserve"> This Agreement shall be binding upon the Company and its successors and assigns, including any direct or indirect successor, by purchase, merger, consolidation or otherwise, to all or substantially all of the business or assets of the Company, and</w:t>
      </w:r>
    </w:p>
    <w:p>
      <w:pPr>
        <w:spacing w:after="0" w:line="213" w:lineRule="auto"/>
        <w:rPr>
          <w:sz w:val="20"/>
          <w:szCs w:val="20"/>
          <w:color w:val="auto"/>
        </w:rPr>
      </w:pPr>
      <w:r>
        <w:rPr>
          <w:rFonts w:ascii="Times New Roman" w:cs="Times New Roman" w:eastAsia="Times New Roman" w:hAnsi="Times New Roman"/>
          <w:sz w:val="20"/>
          <w:szCs w:val="20"/>
          <w:color w:val="auto"/>
        </w:rPr>
        <w:t>shall inure to the benefit of Indemnitee and Indemnitee’s heirs, executors and administrators. The Company shall require and cause any</w:t>
      </w:r>
    </w:p>
    <w:p>
      <w:pPr>
        <w:ind w:right="20"/>
        <w:spacing w:after="0" w:line="221" w:lineRule="auto"/>
        <w:rPr>
          <w:sz w:val="20"/>
          <w:szCs w:val="20"/>
          <w:color w:val="auto"/>
        </w:rPr>
      </w:pPr>
      <w:r>
        <w:rPr>
          <w:rFonts w:ascii="Times New Roman" w:cs="Times New Roman" w:eastAsia="Times New Roman" w:hAnsi="Times New Roman"/>
          <w:sz w:val="20"/>
          <w:szCs w:val="20"/>
          <w:color w:val="auto"/>
        </w:rPr>
        <w:t>successor (whether direct or indirect by purchase, merger, consolidation or otherwise) to all or substantially all of the business or assets of the Company, by written agreement, expressly to assume and agree to perform this Agreement to the fullest extent permitted by law.</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b w:val="1"/>
          <w:bCs w:val="1"/>
          <w:color w:val="auto"/>
        </w:rPr>
        <w:t xml:space="preserve">Severability. </w:t>
      </w:r>
      <w:r>
        <w:rPr>
          <w:rFonts w:ascii="Times New Roman" w:cs="Times New Roman" w:eastAsia="Times New Roman" w:hAnsi="Times New Roman"/>
          <w:sz w:val="19"/>
          <w:szCs w:val="19"/>
          <w:color w:val="auto"/>
        </w:rPr>
        <w:t>Nothing in this Agreement is intended to require or shall be construed as requiring the Company to do or fail to</w:t>
      </w:r>
    </w:p>
    <w:p>
      <w:pPr>
        <w:spacing w:after="0" w:line="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do any act in violation of applicable law. The Company’s inability, pursuant to court order or other applicable law, to perform its obligations under this Agreement shall not constitute a breach of this Agreement. If any provision or provisions of this Agreement shall be held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6459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NTD: To be included if the Indemnitee is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invalid, illegal or unenforceable for any reason whatsoever: (i) the validity, legality and enforceability of the remaining provisions of this</w:t>
      </w:r>
    </w:p>
    <w:p>
      <w:pPr>
        <w:ind w:right="20"/>
        <w:spacing w:after="0" w:line="204" w:lineRule="auto"/>
        <w:rPr>
          <w:sz w:val="20"/>
          <w:szCs w:val="20"/>
          <w:color w:val="auto"/>
        </w:rPr>
      </w:pPr>
      <w:r>
        <w:rPr>
          <w:rFonts w:ascii="Times New Roman" w:cs="Times New Roman" w:eastAsia="Times New Roman" w:hAnsi="Times New Roman"/>
          <w:sz w:val="20"/>
          <w:szCs w:val="20"/>
          <w:color w:val="auto"/>
        </w:rPr>
        <w:t>Agreement (including without limitation, each portion of any section of this Agreement containing any such provision held to be invalid, illegal or unenforceable, that is not itself invalid, illegal or unenforceable) shall not in any way be affected or impaired thereby and shall</w:t>
      </w:r>
    </w:p>
    <w:p>
      <w:pPr>
        <w:spacing w:after="0" w:line="211" w:lineRule="auto"/>
        <w:rPr>
          <w:sz w:val="20"/>
          <w:szCs w:val="20"/>
          <w:color w:val="auto"/>
        </w:rPr>
      </w:pPr>
      <w:r>
        <w:rPr>
          <w:rFonts w:ascii="Times New Roman" w:cs="Times New Roman" w:eastAsia="Times New Roman" w:hAnsi="Times New Roman"/>
          <w:sz w:val="20"/>
          <w:szCs w:val="20"/>
          <w:color w:val="auto"/>
        </w:rPr>
        <w:t>remain enforceable to the fullest extent permitted by law; (ii) such provision or provisions shall be deemed reformed to the extent necessary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conform to applicable law and to give the maximum effect to the intent of the parties hereto; and (iii) to the fullest extent possible, the provisions of this Agreement (including, without limitation, each portion of any section of this Agreement containing any such provision held</w:t>
      </w:r>
    </w:p>
    <w:p>
      <w:pPr>
        <w:ind w:right="20"/>
        <w:spacing w:after="0" w:line="228" w:lineRule="auto"/>
        <w:rPr>
          <w:sz w:val="20"/>
          <w:szCs w:val="20"/>
          <w:color w:val="auto"/>
        </w:rPr>
      </w:pPr>
      <w:r>
        <w:rPr>
          <w:rFonts w:ascii="Times New Roman" w:cs="Times New Roman" w:eastAsia="Times New Roman" w:hAnsi="Times New Roman"/>
          <w:sz w:val="20"/>
          <w:szCs w:val="20"/>
          <w:color w:val="auto"/>
        </w:rPr>
        <w:t>to be invalid, illegal or unenforceable, that is not itself invalid, illegal or unenforceable) shall be construed so as to give effect to the intent manifested thereby.</w:t>
      </w:r>
    </w:p>
    <w:p>
      <w:pPr>
        <w:spacing w:after="0" w:line="145" w:lineRule="exact"/>
        <w:rPr>
          <w:sz w:val="20"/>
          <w:szCs w:val="20"/>
          <w:color w:val="auto"/>
        </w:rPr>
      </w:pPr>
    </w:p>
    <w:p>
      <w:pPr>
        <w:jc w:val="both"/>
        <w:ind w:firstLine="656"/>
        <w:spacing w:after="0" w:line="232" w:lineRule="auto"/>
        <w:tabs>
          <w:tab w:leader="none" w:pos="128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The Company expressly confirms and agrees that it has entered into this Agreement and assumed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imposed on it hereby in order to induce Indemnitee to serve as a director or officer of the Company, and the Company acknowledges that Indemnitee is relying upon this Agreement in serving as a director or officer of the Company.</w:t>
      </w:r>
    </w:p>
    <w:p>
      <w:pPr>
        <w:spacing w:after="0" w:line="143"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constitutes the entire agreement between the parties hereto with respect to the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matter hereof and supersedes all prior agreements and understandings, oral, written and implied, between the parties hereto with respect to the subject matter hereof, including any indemnification agreement previously entered into by and between the Indemnitee and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this Agreement is a supplement to and in furtherance of the Company’s certificate of incorporation and bylaws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w:t>
      </w:r>
    </w:p>
    <w:p>
      <w:pPr>
        <w:spacing w:after="0" w:line="160"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Modification and Waiver. </w:t>
      </w:r>
      <w:r>
        <w:rPr>
          <w:rFonts w:ascii="Times New Roman" w:cs="Times New Roman" w:eastAsia="Times New Roman" w:hAnsi="Times New Roman"/>
          <w:sz w:val="20"/>
          <w:szCs w:val="20"/>
          <w:color w:val="auto"/>
        </w:rPr>
        <w:t>No supplement, modification or amendment to this Agreement shall be binding unless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and other communications required or permitted hereunder shall be in writing and shall be mailed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or certified mail, postage prepaid, sent by facsimile or electronic mail or otherwise delivered by hand, messenger or courier service addressed:</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attention of the Corporate Secretary of the Company at 8000 South Federal Way, Boise, Idaho, 83716-9632, or at such other current address as the Company shall have furnished to Indemnitee.</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a nationally-recognized overnight courier service, freight prepaid, specifying next-business-day delivery, one business day after deposit with the courier), (ii)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mail, at the earlier of its receipt or five days after the same has been deposited in a regularly-maintained receptacle for the deposit of the United States mail, addressed and mailed as aforesaid, or (iii)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75" w:lineRule="exact"/>
        <w:rPr>
          <w:sz w:val="20"/>
          <w:szCs w:val="20"/>
          <w:color w:val="auto"/>
        </w:rPr>
      </w:pPr>
    </w:p>
    <w:p>
      <w:pPr>
        <w:jc w:val="both"/>
        <w:ind w:firstLine="656"/>
        <w:spacing w:after="0" w:line="227" w:lineRule="auto"/>
        <w:tabs>
          <w:tab w:leader="none" w:pos="1287"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Law and Consent to Jurisdiction. </w:t>
      </w:r>
      <w:r>
        <w:rPr>
          <w:rFonts w:ascii="Times New Roman" w:cs="Times New Roman" w:eastAsia="Times New Roman" w:hAnsi="Times New Roman"/>
          <w:sz w:val="20"/>
          <w:szCs w:val="20"/>
          <w:color w:val="auto"/>
        </w:rPr>
        <w:t>This Agreement and the legal relations among the parties shall be governed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and construed and enforced in accordance with, the laws of the State of Delaware, without regard to its conflict of laws rules. Except with respect to any arbitration commenced by Indemnitee pursuant to Section 12(a) of this Agreement, the Company and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hereby irrevocably and unconditionally (i) agree that any action or proceeding arising out of or in connection with this Agreement shall be</w:t>
      </w:r>
    </w:p>
    <w:p>
      <w:pPr>
        <w:spacing w:after="0" w:line="204" w:lineRule="auto"/>
        <w:rPr>
          <w:sz w:val="20"/>
          <w:szCs w:val="20"/>
          <w:color w:val="auto"/>
        </w:rPr>
      </w:pPr>
      <w:r>
        <w:rPr>
          <w:rFonts w:ascii="Times New Roman" w:cs="Times New Roman" w:eastAsia="Times New Roman" w:hAnsi="Times New Roman"/>
          <w:sz w:val="20"/>
          <w:szCs w:val="20"/>
          <w:color w:val="auto"/>
        </w:rPr>
        <w:t>brought only in the Delaware Court of Chancery, and not in any other state or federal court in the United States of America or any court in any other country, (ii) consent to submit to the exclusive jurisdiction of the Delaware Court of Chancery for purposes of any action or</w:t>
      </w:r>
    </w:p>
    <w:p>
      <w:pPr>
        <w:spacing w:after="0" w:line="211" w:lineRule="auto"/>
        <w:rPr>
          <w:sz w:val="20"/>
          <w:szCs w:val="20"/>
          <w:color w:val="auto"/>
        </w:rPr>
      </w:pPr>
      <w:r>
        <w:rPr>
          <w:rFonts w:ascii="Times New Roman" w:cs="Times New Roman" w:eastAsia="Times New Roman" w:hAnsi="Times New Roman"/>
          <w:sz w:val="20"/>
          <w:szCs w:val="20"/>
          <w:color w:val="auto"/>
        </w:rPr>
        <w:t>proceeding arising out of or in connection with this Agreement, (iii) appoint, to the extent such party is not otherwise subject to service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process in the State of Delaware, The Corporation Trust Company, 1209 Orange Street, in the City of Wilmington, County of New Castle, Delaware 19801, as its agent in the State of Delaware as such party’s agent for acceptance of legal process in connection with any such action</w:t>
      </w:r>
    </w:p>
    <w:p>
      <w:pPr>
        <w:spacing w:after="0" w:line="211" w:lineRule="auto"/>
        <w:rPr>
          <w:sz w:val="20"/>
          <w:szCs w:val="20"/>
          <w:color w:val="auto"/>
        </w:rPr>
      </w:pPr>
      <w:r>
        <w:rPr>
          <w:rFonts w:ascii="Times New Roman" w:cs="Times New Roman" w:eastAsia="Times New Roman" w:hAnsi="Times New Roman"/>
          <w:sz w:val="20"/>
          <w:szCs w:val="20"/>
          <w:color w:val="auto"/>
        </w:rPr>
        <w:t>or proceeding against such party with the same legal force and validity as if served upon such party personally within the State of Delaware,</w:t>
      </w:r>
    </w:p>
    <w:p>
      <w:pPr>
        <w:jc w:val="both"/>
        <w:ind w:firstLine="8"/>
        <w:spacing w:after="0" w:line="218" w:lineRule="auto"/>
        <w:tabs>
          <w:tab w:leader="none" w:pos="336"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5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7"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shall for all purposes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7"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Captions. </w:t>
      </w:r>
      <w:r>
        <w:rPr>
          <w:rFonts w:ascii="Times New Roman" w:cs="Times New Roman" w:eastAsia="Times New Roman" w:hAnsi="Times New Roman"/>
          <w:sz w:val="20"/>
          <w:szCs w:val="20"/>
          <w:color w:val="auto"/>
        </w:rPr>
        <w:t>The headings of the paragraphs of this Agreement are inserted for convenience only and shall not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part of this Agreement or to affect the construction thereof.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322" w:name="page323"/>
    <w:bookmarkEnd w:id="322"/>
    <w:p>
      <w:pPr>
        <w:ind w:left="20"/>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parties are signing this Indemnification Agreement as of the date stated in the introductory sentence.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-8255</wp:posOffset>
            </wp:positionV>
            <wp:extent cx="125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523240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Print name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553085</wp:posOffset>
            </wp:positionV>
            <wp:extent cx="125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Title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INSERT INDEMNITEE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530860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527685</wp:posOffset>
            </wp:positionV>
            <wp:extent cx="102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Print name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535940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Street address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253365</wp:posOffset>
            </wp:positionV>
            <wp:extent cx="102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City, State and ZIP</w:t>
      </w:r>
      <w:r>
        <w:rPr>
          <w:rFonts w:ascii="Times New Roman" w:cs="Times New Roman" w:eastAsia="Times New Roman" w:hAnsi="Times New Roman"/>
          <w:sz w:val="16"/>
          <w:szCs w:val="16"/>
          <w:color w:val="auto"/>
        </w:rPr>
        <w:t>)</w:t>
      </w:r>
    </w:p>
    <w:p>
      <w:pPr>
        <w:sectPr>
          <w:pgSz w:w="11900" w:h="16838" w:orient="portrait"/>
          <w:cols w:equalWidth="0" w:num="1">
            <w:col w:w="9479"/>
          </w:cols>
          <w:pgMar w:left="980" w:top="397"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765175</wp:posOffset>
            </wp:positionV>
            <wp:extent cx="43630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2025 DIRECTOR COMPENSATION PLAN</w:t>
      </w:r>
    </w:p>
    <w:p>
      <w:pPr>
        <w:spacing w:after="0" w:line="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EFFECTIVE AS OF 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989965</wp:posOffset>
            </wp:positionV>
            <wp:extent cx="43630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sectPr>
      </w:pPr>
    </w:p>
    <w:bookmarkStart w:id="324" w:name="page325"/>
    <w:bookmarkEnd w:id="3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2"/>
                <w:szCs w:val="22"/>
                <w:color w:val="auto"/>
              </w:rPr>
            </w:pPr>
          </w:p>
        </w:tc>
        <w:tc>
          <w:tcPr>
            <w:tcW w:w="9640" w:type="dxa"/>
            <w:vAlign w:val="bottom"/>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MICRON TECHNOLOGY, INC.</w:t>
            </w:r>
          </w:p>
        </w:tc>
        <w:tc>
          <w:tcPr>
            <w:tcW w:w="1120" w:type="dxa"/>
            <w:vAlign w:val="bottom"/>
          </w:tcPr>
          <w:p>
            <w:pPr>
              <w:spacing w:after="0"/>
              <w:rPr>
                <w:sz w:val="22"/>
                <w:szCs w:val="22"/>
                <w:color w:val="auto"/>
              </w:rPr>
            </w:pPr>
          </w:p>
        </w:tc>
      </w:tr>
      <w:tr>
        <w:trPr>
          <w:trHeight w:val="286"/>
        </w:trPr>
        <w:tc>
          <w:tcPr>
            <w:tcW w:w="440" w:type="dxa"/>
            <w:vAlign w:val="bottom"/>
          </w:tcPr>
          <w:p>
            <w:pPr>
              <w:spacing w:after="0"/>
              <w:rPr>
                <w:sz w:val="24"/>
                <w:szCs w:val="24"/>
                <w:color w:val="auto"/>
              </w:rPr>
            </w:pPr>
          </w:p>
        </w:tc>
        <w:tc>
          <w:tcPr>
            <w:tcW w:w="9640" w:type="dxa"/>
            <w:vAlign w:val="bottom"/>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2025 DIRECTOR COMPENSATION PLAN</w:t>
            </w:r>
          </w:p>
        </w:tc>
        <w:tc>
          <w:tcPr>
            <w:tcW w:w="11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9640" w:type="dxa"/>
            <w:vAlign w:val="bottom"/>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120" w:type="dxa"/>
            <w:vAlign w:val="bottom"/>
          </w:tcPr>
          <w:p>
            <w:pPr>
              <w:spacing w:after="0"/>
              <w:rPr>
                <w:sz w:val="24"/>
                <w:szCs w:val="24"/>
                <w:color w:val="auto"/>
              </w:rPr>
            </w:pPr>
          </w:p>
        </w:tc>
      </w:tr>
      <w:tr>
        <w:trPr>
          <w:trHeight w:val="487"/>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PURPOSE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BACKGROUND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PURPOSE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ELIGIBILITY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ADMINISTRATION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ADMINISTRATION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RELIANCE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INDEMNIFICATION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SOURCE OF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SOURCE OF SHARES FOR THE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ANNUAL RETAINER AND EXPENSE REIMBURSEMENT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BASIC ANNUAL RETAINER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SUPPLEMENTAL ANNUAL RETAINER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TRAVEL EXPENSE REIMBURSEMENT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TIME AND FORM OF PAYMENT OF ANNUAL RETAINER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ELECTION TO RECEIVE TOTAL ANNUAL RETAINER CURRENTLY IN CASH OR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ELECTION TO DEFER ANNUAL RETAINER AND ANNUAL EQUITY AWARD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ANNUAL EQUITY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EQUITY AWARDS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AMENDMENT, MODIFICATION AND 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MODIFICATION AND 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GENERAL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ADJUSTMENTS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9.3.</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DURATION OF THE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9.4.</w:t>
            </w:r>
          </w:p>
        </w:tc>
        <w:tc>
          <w:tcPr>
            <w:tcW w:w="9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EXPENSES OF THE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00"/>
          </w:cols>
          <w:pgMar w:left="340" w:top="1440" w:right="359" w:bottom="1440" w:gutter="0" w:footer="0" w:header="0"/>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2025 DIRECTOR COMPENSATION PLAN</w:t>
      </w:r>
    </w:p>
    <w:p>
      <w:pPr>
        <w:spacing w:after="0" w:line="178" w:lineRule="exact"/>
        <w:rPr>
          <w:sz w:val="20"/>
          <w:szCs w:val="20"/>
          <w:color w:val="auto"/>
        </w:rPr>
      </w:pPr>
    </w:p>
    <w:p>
      <w:pPr>
        <w:ind w:left="448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19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This Plan is adopted to formalize the compensation for non-employee directors of the Company. The Plan operates as a subplan of the Micron Technology, Inc. Amended and Restated 2007 Equity Incentive Plan, and any subsequent equity compensation plan approved by the Board and designated as the Equity Incentive Plan for purposes of this Plan. The Plan replaces the 2008 Director Compensation Plan (except that the 2008 Director Compensation Plan continues to govern compensation previously paid and elections made under that plan).</w:t>
      </w:r>
    </w:p>
    <w:p>
      <w:pPr>
        <w:spacing w:after="0" w:line="19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attract, retain and compensate highly-qualified individuals who are not employees of the Company or any of its Subsidiaries or Affiliates for service as members of the Board by providing them with competitive compensation and an equity interest in the Stock of the Company. The Company intends that the Plan will benefit the Company and its stockholders by allowing Non-Employee Directors to have a personal financial stake in the Company through an ownership interest in the Stock and will closely associate the interests of Non-Employee Directors with that of the Company’s stockholders.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Non-Employee Directors of the Company who are Eligible Participants, as defined below, shall automatically be participants in the Plan.</w:t>
      </w:r>
    </w:p>
    <w:p>
      <w:pPr>
        <w:spacing w:after="0" w:line="146" w:lineRule="exact"/>
        <w:rPr>
          <w:sz w:val="20"/>
          <w:szCs w:val="20"/>
          <w:color w:val="auto"/>
        </w:rPr>
      </w:pPr>
    </w:p>
    <w:p>
      <w:pPr>
        <w:ind w:left="4260"/>
        <w:spacing w:after="0"/>
        <w:tabs>
          <w:tab w:leader="none" w:pos="554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and not otherwise defined shall have the meanings given such terms in the Micron Technology, Inc. Amended and Restated 2007 Equity Incentive Plan. Unless the context clearly indicates otherwise, the following terms shall have the following meanings: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“Annual Equity Award Amount” means with respect to all Non-Employee Directors for each Plan Year, the amount determined by the Board from time to time and set forth on Schedule I hereto.</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“Annual Grant Date” means (i) the date during each Plan Year in which annual Equity Awards are granted to directors of the Company, or (ii) such other date(s) as may be established by the Committee for the grant of Annual Equity Awards hereunder. The Committee may establish different Annual Grant Dates for different directors (for example, but not by way of limitation, for a Non-Employee Director for the Plan Year in which the Non-Employee Director first joins the Board).</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“Basic Annual Retainer” means the annual retainer (excluding expenses and perquisites) payable by the Company to a Non-Employee Director pursuant to Section 5.1 hereof for service as a director of the Company (i.e., excluding any Supplemental Annual Retainer), as such amount may be determined by the Board from time to time and set forth on Schedule I hereto.</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“Committee” means the Governance and Sustainability Committee of the Board or any other duly authorized committee of the Board that the Board has designated to administer the Plan.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“DSU Equivalent Amount” means the portion (in 25% increments) of an Eligible Participant’s Total Annual Retainer and Annual Equity Award Amount for a Plan Year that he or she has elected to receive in the form of Deferred Stock Units, pursuant to Section 6.2.</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“Effective Date” of the Plan means January 14, 2009.</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“Election Form” means the form by which an Eligible Participant elects the form and timing of payment of his or her Total Annual Retainer and/or elects the timing of payment of any Deferred Stock Units in lieu of his or her Annual Equity Award, as provided in Article 6.</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“Eligible Participant” means any person who is a Non-Employee Director on the Effective Date or becomes a Non-Employee Director while this Plan is in effect.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“Equity Award” means an award of Options, Restricted Stock, Restricted Stock Units, Deferred Stock Units or any other type of Award based on or derived from the Stock and which is authorized under the Equity Incentive Plan for award to Non-Employee Directors.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“Equity Incentive Plan” means (as applicable) the Micron Technology, Inc. Amended and Restated 2007 Equity Incentive Plan, the Micron Technology, Inc. 2025 Equity Incentive Plan (but only upon termination of the 2007 Equity Incentive Plan), and any subsequent equity compensation plan approved by the Board and designated as an Equity Incentive Plan for purposes of this Plan.</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“Non-Employee Director” means a director of the Company who is not an employee of the Company or any of its Subsidiaries or Affiliates.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 means this Micron Technology, Inc. 2025 Director Compensation Plan, as amended from time to time.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“Plan Year(s)” means the twelve-month period ending on December 31 of each year which, for purposes of the Plan, is the period for which the Annual Retainer is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“Quarterly Grant Date” has the meaning set forth in Section 6.1(a) of the Plan.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“Quarterly Service Period” has the meaning set forth in Section 6.1(a) of the Plan.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“Separation from Service” means separation from service from the Company and its Affiliates in all capacities, within the meaning of Section 409A of the Code.</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“Stock Equivalent Amount” means the portion (in 25% increments) of an Eligible Participant’s Total Annual Retainer for a Plan Year that he or she has elected to receive in the form of current Stock awards, pursuant to Section 6.1.</w:t>
      </w:r>
    </w:p>
    <w:p>
      <w:pPr>
        <w:spacing w:after="0" w:line="17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“Supplemental Annual Retainer” means the annual retainer (excluding expenses and perquisites) payable by the Company to a Non-Employee Director pursuant to Section 5.2 hereof, as such amount may be determined by the Board from time to time.</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“Total Annual Retainer” for any given Non-Employee Director means the Basic Annual Retainer and any Supplemental Annual Retainer to which he or she is entitled under the Plan.</w:t>
      </w:r>
    </w:p>
    <w:p>
      <w:pPr>
        <w:spacing w:after="0" w:line="127" w:lineRule="exact"/>
        <w:rPr>
          <w:sz w:val="20"/>
          <w:szCs w:val="20"/>
          <w:color w:val="auto"/>
        </w:rPr>
      </w:pPr>
    </w:p>
    <w:p>
      <w:pPr>
        <w:ind w:left="4000"/>
        <w:spacing w:after="0"/>
        <w:tabs>
          <w:tab w:leader="none" w:pos="526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shall be administered by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(for example, but not by way of limitation, the form, time and manner of elections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Any powers that are reserved under the Plan to the Committee may be exercised by the Board to the extent determined in the discretion of the Board.</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In administering the Plan, the Committee may rely upon any information furnished by the Company, its public accountants and other experts. No individual will have personal liability by reason of anything done or omitted to be done by the Company or the Committee in connection with the Plan. This limitation of liability shall not be exclusive of any other limitation of liability to which any such person may be entitled under the Company’s certificate of incorporation or otherwise.</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person who is or has been a member of the Committee or who otherwise participates in the administration or operation of the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Board, to defend the same at the Company’s own expense before he or she undertakes to defend it on his or her own behalf. This right of indemnification shall not be exclusive of any other rights of indemnification to which any such person may be entitled under the Company’s certificate of incorporation, bylaws, contract or Delaware law.</w:t>
      </w:r>
    </w:p>
    <w:p>
      <w:pPr>
        <w:spacing w:after="0" w:line="154" w:lineRule="exact"/>
        <w:rPr>
          <w:sz w:val="20"/>
          <w:szCs w:val="20"/>
          <w:color w:val="auto"/>
        </w:rPr>
      </w:pPr>
    </w:p>
    <w:p>
      <w:pPr>
        <w:ind w:left="3900"/>
        <w:spacing w:after="0"/>
        <w:tabs>
          <w:tab w:leader="none" w:pos="516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color w:val="auto"/>
        </w:rPr>
        <w:t>SOURCE OF SHARES</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SOURCE OF SHARES FOR THE PLAN</w:t>
      </w:r>
      <w:r>
        <w:rPr>
          <w:rFonts w:ascii="Times New Roman" w:cs="Times New Roman" w:eastAsia="Times New Roman" w:hAnsi="Times New Roman"/>
          <w:sz w:val="22"/>
          <w:szCs w:val="22"/>
          <w:color w:val="auto"/>
        </w:rPr>
        <w:t>. Equity Awards that may be issued pursuant to the Plan shall be issued under the Equity Incentive Plan, subject to all of the terms and conditions of the Equity Incentive Plan. The terms contained in the Equity Incentive Plan are incorporated into and made a part of this Plan with respect to Equity Awards granted pursuant hereto, and any such awards shall be governed by and construed in accordance with the Equity Incentive Plan. In the event of any actual or alleged conflict between the provisions of the Equity Incentive Plan and the provisions of this Plan, the provisions of the Equity Incentive Plan shall be controlling and determinative. This Plan does not constitute a separate source of shares for the grant of the Equity Awards described herein.</w:t>
      </w:r>
    </w:p>
    <w:p>
      <w:pPr>
        <w:spacing w:after="0" w:line="152" w:lineRule="exact"/>
        <w:rPr>
          <w:sz w:val="20"/>
          <w:szCs w:val="20"/>
          <w:color w:val="auto"/>
        </w:rPr>
      </w:pPr>
    </w:p>
    <w:p>
      <w:pPr>
        <w:ind w:left="2140"/>
        <w:spacing w:after="0"/>
        <w:tabs>
          <w:tab w:leader="none" w:pos="340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color w:val="auto"/>
        </w:rPr>
        <w:t>ANNUAL RETAINER AND EXPENSE REIMBURSEMENT</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BASIC ANNUAL RETAINER</w:t>
      </w:r>
      <w:r>
        <w:rPr>
          <w:rFonts w:ascii="Times New Roman" w:cs="Times New Roman" w:eastAsia="Times New Roman" w:hAnsi="Times New Roman"/>
          <w:sz w:val="22"/>
          <w:szCs w:val="22"/>
          <w:color w:val="auto"/>
        </w:rPr>
        <w:t>. Each Eligible Participant shall be paid a Basic Annual Retainer for service as a director during each Plan Year, payable in such form and manner as the Board or the Committee may specify from time to time (unless a different payment date is elected in accordance with Article 6). The amount of the Basic Annual Retainer shall be established from time to time by the Board upon recommendation of the Committee, and shall be set forth in Schedule I hereto, as amended from time to time. Each person who first becomes an Eligible Participant shall be entitled to a prorated retainer determined pursuant to such formula and payable in such form and manner as the Board or the Committee may specify from time to time (and subject to any different payment date elected in accordance with Article 6). If an Eligible Participant ceases to be such, that person shall be entitled to a prorated portion of the installment of the Basic Annual Retainer otherwise payable, determined pursuant to such formula and payable in such form and manner as the Board or the Committee may specify from time to time (and subject to any different payment date elected in accordance with Article 6).</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SUPPLEMENTAL ANNUAL RETAINER</w:t>
      </w:r>
      <w:r>
        <w:rPr>
          <w:rFonts w:ascii="Times New Roman" w:cs="Times New Roman" w:eastAsia="Times New Roman" w:hAnsi="Times New Roman"/>
          <w:sz w:val="22"/>
          <w:szCs w:val="22"/>
          <w:color w:val="auto"/>
        </w:rPr>
        <w:t>. The chair of the Board, the lead independent member of the Board (if any) and the chairs or members of the Audit, Compensation and Governance Committees of the Board may be entitled to a Supplemental Annual Retainer during a Plan Year, payable in such form and manner as the Board or the Committee may specify from time to time. The amount of the Supplemental Annual Retainers shall be established from time to time by the Board, upon recommendation of the Committee, and shall be set forth in Schedule I hereto, as amended from time to time. A pro rata Supplemental Annual Retainer will be payable to any Eligible Participant who is elected by the Board to a position eligible for a Supplemental Annual Retainer on a date other than the beginning of a Plan Year, determined pursuant to such formula and payable in such form and manner as the Board or the Committee may specify from time to time. If a person ceases to be the chair of the Board, lead independent director or a chair or member of the Audit, Compensation or Governance Committees of the Board on other than the last day of a month, that person shall be entitled to a pro rata portion of the Supplemental Annual Retainer determined pursuant to such formula and payable in such form and manner as the Board or the Committee may specify from time to time (unless a different payment date is elected in accordance with Article 6).</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TRAVEL EXPENSE REIMBURSEMENT</w:t>
      </w:r>
      <w:r>
        <w:rPr>
          <w:rFonts w:ascii="Times New Roman" w:cs="Times New Roman" w:eastAsia="Times New Roman" w:hAnsi="Times New Roman"/>
          <w:sz w:val="22"/>
          <w:szCs w:val="22"/>
          <w:color w:val="auto"/>
        </w:rPr>
        <w:t>. All Eligible Participants shall be reimbursed for reasonable travel expenses (including spouse’s expenses to attend events to which spouses are invited) in connection with attendance at meetings of the Board and its committees, or other Company functions at which the Chief Executive Officer or the Board requests the Director to participate.</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424"/>
        <w:spacing w:after="0"/>
        <w:tabs>
          <w:tab w:leader="none" w:pos="2704"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color w:val="auto"/>
        </w:rPr>
        <w:t>TIME AND FORM OF PAYMENT OF ANNUAL RETAINER</w:t>
      </w:r>
    </w:p>
    <w:p>
      <w:pPr>
        <w:spacing w:after="0" w:line="183"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ELECTION TO RECEIVE TOTAL ANNUAL RETAINER CURRENTLY IN CASH OR STOCK</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56" w:firstLine="656"/>
        <w:spacing w:after="0" w:line="209" w:lineRule="auto"/>
        <w:tabs>
          <w:tab w:leader="none" w:pos="63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Non-Employee Director may elect to receive some or all (in 25% increments) of the Total Annual Retainer to be earned during a Plan Year by such Non-Employee Director either (i) in cash, payable on the dates on which the Total Annual Retainer are normally paid, or (ii) subject to share availability under the Equity Incentive Plan, in shares of Stock delivered on each of March 31, June 30, September 30 and December 31 of each Plan Year (the “Quarterly Grant Date”). The number of shares of Stock to be granted on each Quarterly Grant Date shall be determined by dividing the Stock Equivalent Amount earned by the Non-Employee Director under Section 5 during the three-month period ending with (and inclusive of) the month in which the Quarterly Grant Date occurs (the “Quarterly Service Period”) by the Fair Market Value per share of Stock on the Quarterly Grant Date (rounded to the nearest whole share). Any Stock granted under this Section 6.1 will be 100% vested and nonforfeitable as of the Quarterly Grant Date, and the Non-Employee Director receiving such Stock (or his or her custodian, if any) will have immediate rights of ownership in the Stock, including the right to vote the Stock and the right to receive any dividends or other distributions thereon. If a Non-Employee Director ceases to be such on other than a Quarterly Grant Date, the grant date for any shares of Stock earned for that calendar quarter shall be the last day of the Non-Employee Director’s service as such.</w:t>
      </w:r>
    </w:p>
    <w:p>
      <w:pPr>
        <w:spacing w:after="0" w:line="160" w:lineRule="exact"/>
        <w:rPr>
          <w:rFonts w:ascii="Times New Roman" w:cs="Times New Roman" w:eastAsia="Times New Roman" w:hAnsi="Times New Roman"/>
          <w:sz w:val="22"/>
          <w:szCs w:val="22"/>
          <w:color w:val="auto"/>
        </w:rPr>
      </w:pPr>
    </w:p>
    <w:p>
      <w:pPr>
        <w:jc w:val="both"/>
        <w:ind w:left="-656" w:firstLine="656"/>
        <w:spacing w:after="0" w:line="209" w:lineRule="auto"/>
        <w:tabs>
          <w:tab w:leader="none" w:pos="635"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Non-Employee Director shall elect the form of payment desired for his or her Total Annual Retainer for a Plan Year by delivering a valid Election Form in such form as the Board shall prescribe to the Board prior to the beginning of such Plan Year or within thirty (30) days after a Non-Employee Director first joins the Board (and subject in all cases to any earlier deadline established for purposes of regulatory compliance or administration). The Election Form will be effective as of the first day of the Plan Year beginning after the Board receives the Non-Employee Director’s Election Form (or as of the next Plan quarter in the case of a Non-Employee Director making such election after first joining the Board) and in all cases only with respect to compensation that has not been earned as of the date the election is made. The Election Form elected by the Non-Employee Director prior to the Plan Year will be irrevocable for the coming Plan Year (or coming Plan quarter, if applicable). However, prior to the commencement of the following Plan Year (and subject in all cases to any earlier deadline established for purposes of regulatory compliance or administration), a Non-Employee Director may change his or her election for future Plan Years by delivering a new Election Form indicating a different choice. If a Non-Employee Director fails to deliver a new Election Form prior to the commencement of the new Plan Year, his or her Election Form in effect during the previous Plan Year shall continue in effect during the new Plan Year. If no Election Form is filed or effective, or if there are insufficient shares of Stock in the Equity Incentive Plan, the Total Annual Retainer will be paid in cash.</w:t>
      </w:r>
    </w:p>
    <w:p>
      <w:pPr>
        <w:spacing w:after="0" w:line="156"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ELECTION TO DEFER ANNUAL RETAINER AND ANNUAL EQUITY AWARD AMOUNT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56" w:firstLine="656"/>
        <w:spacing w:after="0" w:line="220" w:lineRule="auto"/>
        <w:tabs>
          <w:tab w:leader="none" w:pos="63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Manner of Deferral Election</w:t>
      </w:r>
      <w:r>
        <w:rPr>
          <w:rFonts w:ascii="Times New Roman" w:cs="Times New Roman" w:eastAsia="Times New Roman" w:hAnsi="Times New Roman"/>
          <w:sz w:val="22"/>
          <w:szCs w:val="22"/>
          <w:color w:val="auto"/>
        </w:rPr>
        <w:t>. A Non-Employee Director may elect to defer some or all of his or her Total Annual Retainer and Annual Equity Award Amount (each in 25% increments) by conversion to Deferred Stock Units in accordance with this Section 6.2, subject to share availability under the Equity Incentive Plan. A Non-Employee Director who wishes to receive some or all of the Total Annual Retainer and/or Annual Equity Award Amount</w:t>
      </w:r>
    </w:p>
    <w:p>
      <w:pPr>
        <w:sectPr>
          <w:pgSz w:w="11900" w:h="16838" w:orient="portrait"/>
          <w:cols w:equalWidth="0" w:num="1">
            <w:col w:w="10584"/>
          </w:cols>
          <w:pgMar w:left="976" w:top="1440" w:right="339" w:bottom="1440" w:gutter="0" w:footer="0" w:header="0"/>
        </w:sectPr>
      </w:pPr>
    </w:p>
    <w:bookmarkStart w:id="330" w:name="page331"/>
    <w:bookmarkEnd w:id="3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for a Plan Year in the form of Deferred Stock Units must irrevocably elect to do so by delivering a valid Election Form to the Board prior to the later of (i) the beginning of such Plan Year or (ii) thirty (30) days after he or she first joins the Board, subject in all cases to any earlier deadline established for purposes of regulatory compliance or administration. A Non-Employee Director’s participation in this Section 6.2 of the Plan will be effective as of the first day of the Plan Year beginning after the Board receives the Non-Employee Director’s Election Form (or as of the next Plan quarter in the case of a Non-Employee Director making such election within thirty (30) days after first joining the Board). The deferral Election Form delivered by the Non-Employee Director will be irrevocable for the coming Plan Year (or coming Plan quarter, if applicable). However, prior to the commencement of the following Plan Year (and subject in all cases to any earlier deadline established for purposes of regulatory compliance or administration), a Non-Employee Director may change his or her election for future Plan Years by delivering a new Election Form indicating a different choice. If a Non-Employee Director fails to deliver a new Election Form prior to the commencement of the new Plan Year, his or her Election Form in effect during the previous Plan Year shall continue in effect during the new Plan Year.</w:t>
      </w:r>
    </w:p>
    <w:p>
      <w:pPr>
        <w:spacing w:after="0" w:line="152" w:lineRule="exact"/>
        <w:rPr>
          <w:sz w:val="20"/>
          <w:szCs w:val="20"/>
          <w:color w:val="auto"/>
        </w:rPr>
      </w:pPr>
    </w:p>
    <w:p>
      <w:pPr>
        <w:jc w:val="both"/>
        <w:ind w:firstLine="656"/>
        <w:spacing w:after="0" w:line="207" w:lineRule="auto"/>
        <w:tabs>
          <w:tab w:leader="none" w:pos="129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and Settlement of Deferred Stock Units</w:t>
      </w:r>
      <w:r>
        <w:rPr>
          <w:rFonts w:ascii="Times New Roman" w:cs="Times New Roman" w:eastAsia="Times New Roman" w:hAnsi="Times New Roman"/>
          <w:sz w:val="22"/>
          <w:szCs w:val="22"/>
          <w:color w:val="auto"/>
        </w:rPr>
        <w:t>. The number of Deferred Stock Units to be granted to an Eligible Participant on each Quarterly Grant Date shall be determined by dividing (i) the DSU Equivalent Amount attributable to the Total Annual Retainer earned (but deferred) by the Non-Employee Director during the Quarterly Service Period by (ii) the Fair Market Value per share of Stock on the Quarterly Grant Date (rounded to the nearest whole share). If a Non-Employee Director ceases to be such on other than a Quarterly Grant Date, the grant date for any Deferred Stock Units attributable to the Non-Employee Director’s Total Annual Retainer earned for that calendar quarter shall be the last day of the Non-Employee Director’s service as such. The number of Deferred Stock Units to be granted to an Eligible Participant on the applicable Annual Grant Date shall be determined by dividing (i) the DSU Equivalent Amount attributable to the Annual Equity Award Amount that otherwise would have been granted (but for the valid deferral election) to the Non-Employee Director during the Plan Year by (ii) the Fair Market Value per share of Stock on the Annual Grant Date (rounded to the nearest whole share). Deferred Stock Units shall be credited to a bookkeeping account maintained by the Company on behalf of the Non-Employee Director. The Deferred Stock Units shall be settled in (converted to) shares of Stock in a single sum on the date of the Non-Employee Director’s Separation from Service (and in all events no later than fifteen (15) days thereafter, as determined by the Company for administrative convenience), provided that Deferred Stock Units in respect of the Annual Equity Award Amount will be settled only to the extent vested (and otherwise will be forfeited upon the Director’s Separation from Service). (For the avoidance of doubt, valid elections by Non-Employee Directors for the 2023 Plan Year and earlier to receive payment in up to five equal annual installments still shall be paid in accordance with such elections to the extent provided by the Plan as in effect prior to this amendment and restatement.) No shares of Stock will be issued under this Section 6.2(b) until the applicable settlement date, at which time shares of Stock will be registered on the books of the Company in the Non-Employee Director’s (at the conversion rate of one share of Stock for each Deferred Stock Unit). Such Shares of Stock will remain in uncertificated, book-entry form unless the Non-Employee Director requests a stock certificate or certificates for the Shares.</w:t>
      </w:r>
    </w:p>
    <w:p>
      <w:pPr>
        <w:spacing w:after="0" w:line="16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Deferred Stock Units may not be sold, transferred, exchanged, assigned, pledged, hypothecated or otherwise encumbered to or in favor of any party other than the Company, or be subjected to any lien, obligation or liability of the grantee to any other party other than the Company.</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left="-656" w:firstLine="656"/>
        <w:spacing w:after="0" w:line="217" w:lineRule="auto"/>
        <w:tabs>
          <w:tab w:leader="none" w:pos="635"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Non-Employee Director shall not have voting, dividend or any other rights as a stockholder of the Company with respect to the Deferred Stock Units, except to the limited extent provided in this Section 6.2(d). Dividend Equivalents will be credited on Deferred Stock Units to the extent provided in the applicable award agreement and subject to the terms of the Equity Incentive Plan. Upon conversion of the Deferred Stock Units into shares of Stock, the Non-Employee Director will obtain full voting, dividend and other rights as a stockholder of the Company.</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37"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Certificates</w:t>
      </w:r>
      <w:r>
        <w:rPr>
          <w:rFonts w:ascii="Times New Roman" w:cs="Times New Roman" w:eastAsia="Times New Roman" w:hAnsi="Times New Roman"/>
          <w:sz w:val="22"/>
          <w:szCs w:val="22"/>
          <w:color w:val="auto"/>
        </w:rPr>
        <w:t>. All Deferred Stock Units shall be evidenced by a written Award Certificate between the Company and the Non-Employee Director, which shall include such provisions, not inconsistent with the Plan or the Equity Incentive Plan, as may be specified by the Board.</w:t>
      </w:r>
    </w:p>
    <w:p>
      <w:pPr>
        <w:spacing w:after="0" w:line="148" w:lineRule="exact"/>
        <w:rPr>
          <w:sz w:val="20"/>
          <w:szCs w:val="20"/>
          <w:color w:val="auto"/>
        </w:rPr>
      </w:pPr>
    </w:p>
    <w:p>
      <w:pPr>
        <w:ind w:left="2504"/>
        <w:spacing w:after="0"/>
        <w:tabs>
          <w:tab w:leader="none" w:pos="3764"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color w:val="auto"/>
        </w:rPr>
        <w:t>ANNUAL EQUITY COMPENSATION</w:t>
      </w:r>
    </w:p>
    <w:p>
      <w:pPr>
        <w:spacing w:after="0" w:line="183"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56" w:firstLine="656"/>
        <w:spacing w:after="0" w:line="209" w:lineRule="auto"/>
        <w:tabs>
          <w:tab w:leader="none" w:pos="637"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 of Equity Awards</w:t>
      </w:r>
      <w:r>
        <w:rPr>
          <w:rFonts w:ascii="Times New Roman" w:cs="Times New Roman" w:eastAsia="Times New Roman" w:hAnsi="Times New Roman"/>
          <w:sz w:val="22"/>
          <w:szCs w:val="22"/>
          <w:color w:val="auto"/>
        </w:rPr>
        <w:t>. Subject to share availability under the Equity Incentive Plan, each Eligible Participant in service on the Annual Grant Date will receive an Equity Award, in the form of Restricted Stock, Restricted Stock Units, Options or any other type of Award based on or derived from the Stock and which is authorized under the Equity Incentive Plan for award to Non-Employee Directors unless the Eligible Participant has elected to receive Deferred Stock Units in lieu of such Equity Award (in which case such Eligible Participant will not receive an Equity Award under this Section 7.1(a) and instead will receive Deferred Stock Units to the extent provided in Section 6.2 of the Plan and the Eligible Participant’s valid election). Each person who first becomes an Eligible Participant on a date other than the beginning of a Plan Year, will be eligible for a prorated Equity Award to the extent determined by the Board upon recommendation of the Committee pursuant to such formula and payable in such form and manner as the Board or the Committee may specify from time to time. The form of Equity Awards to be granted in any Plan Year shall be established from time to time by the Board upon recommendation of the Committee, and shall be set forth in Schedule I, as amended from time to time. Until otherwise determined by the Board, the annual Equity Awards shall be in the form of Restricted Stock for Eligible Participants who are U.S. taxpayers and Restricted Stock Units (“RSUs”) for Eligible Participants who are non-U.S. taxpayers.</w:t>
      </w:r>
    </w:p>
    <w:p>
      <w:pPr>
        <w:spacing w:after="0" w:line="16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Any Restricted Stock awards shall have the following terms and conditions:</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76"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number of Shares of Restricted Stock to be granted to an Eligible Participant shall be determined by (A) dividing the applicable Annual Equity Award Amount for that Plan Year by the Fair Market Value of the Stock on the Annual Grant Date (or other applicable grant date), and (B) rounding to the nearest whole number.</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2"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Restricted Stock Awards shall vest on the date or dates specified in the Award Certificate. Any Shares subject to a Restricted Stock Award that fail to vest will be forfeited as of the Eligible Participant’s Separation from Service.</w:t>
      </w:r>
    </w:p>
    <w:p>
      <w:pPr>
        <w:spacing w:after="0" w:line="165" w:lineRule="exact"/>
        <w:rPr>
          <w:rFonts w:ascii="Times New Roman" w:cs="Times New Roman" w:eastAsia="Times New Roman" w:hAnsi="Times New Roman"/>
          <w:sz w:val="22"/>
          <w:szCs w:val="22"/>
          <w:color w:val="auto"/>
        </w:rPr>
      </w:pPr>
    </w:p>
    <w:p>
      <w:pPr>
        <w:ind w:left="-656" w:right="240" w:firstLine="1304"/>
        <w:spacing w:after="0" w:line="258" w:lineRule="auto"/>
        <w:tabs>
          <w:tab w:leader="none" w:pos="1288"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Plan Conditions</w:t>
      </w:r>
      <w:r>
        <w:rPr>
          <w:rFonts w:ascii="Times New Roman" w:cs="Times New Roman" w:eastAsia="Times New Roman" w:hAnsi="Times New Roman"/>
          <w:sz w:val="22"/>
          <w:szCs w:val="22"/>
          <w:color w:val="auto"/>
        </w:rPr>
        <w:t>. The Restricted Stock Awards granted hereunder also shall be subject to the terms and conditions of the Equity Incentive Plan, the applicable</w:t>
      </w:r>
    </w:p>
    <w:p>
      <w:pPr>
        <w:sectPr>
          <w:pgSz w:w="11900" w:h="16838" w:orient="portrait"/>
          <w:cols w:equalWidth="0" w:num="1">
            <w:col w:w="10584"/>
          </w:cols>
          <w:pgMar w:left="976" w:top="1440" w:right="339" w:bottom="1440" w:gutter="0" w:footer="0" w:header="0"/>
        </w:sectPr>
      </w:pPr>
    </w:p>
    <w:bookmarkStart w:id="332" w:name="page333"/>
    <w:bookmarkEnd w:id="3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 agreement and any other terms and conditions adopted by the Board or Committee as permitted by the Plan.</w:t>
      </w:r>
    </w:p>
    <w:p>
      <w:pPr>
        <w:spacing w:after="0" w:line="1" w:lineRule="exact"/>
        <w:rPr>
          <w:sz w:val="20"/>
          <w:szCs w:val="20"/>
          <w:color w:val="auto"/>
        </w:rPr>
      </w:pPr>
    </w:p>
    <w:p>
      <w:pPr>
        <w:ind w:firstLine="656"/>
        <w:spacing w:after="0" w:line="225" w:lineRule="auto"/>
        <w:tabs>
          <w:tab w:leader="none" w:pos="1293"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If RSUs are to be granted to an Eligible Participant in lieu of an award of Restricted Stock, such RSUs shall have the following terms and conditions:</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RSUs</w:t>
      </w:r>
      <w:r>
        <w:rPr>
          <w:rFonts w:ascii="Times New Roman" w:cs="Times New Roman" w:eastAsia="Times New Roman" w:hAnsi="Times New Roman"/>
          <w:sz w:val="22"/>
          <w:szCs w:val="22"/>
          <w:color w:val="auto"/>
        </w:rPr>
        <w:t>. The number of RSUs to be granted to the Eligible Participant shall be determined by (A) dividing the applicable Annual Equity Award Amount for that Plan Year by the Fair Market Value of the Stock on the Annual Grant Date (or other applicable grant date), and (B) rounding to the nearest whole number.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8"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RSUs shall be credited to a bookkeeping account on behalf of the grantee and shall vest on the date or dates specified in the Award Certificate. Any RSUs that fail to vest will be forfeited as of the Eligible Participant’s Separation from Service.</w:t>
      </w:r>
    </w:p>
    <w:p>
      <w:pPr>
        <w:spacing w:after="0" w:line="152" w:lineRule="exact"/>
        <w:rPr>
          <w:rFonts w:ascii="Times New Roman" w:cs="Times New Roman" w:eastAsia="Times New Roman" w:hAnsi="Times New Roman"/>
          <w:sz w:val="22"/>
          <w:szCs w:val="22"/>
          <w:color w:val="auto"/>
        </w:rPr>
      </w:pPr>
    </w:p>
    <w:p>
      <w:pPr>
        <w:ind w:right="280" w:firstLine="1304"/>
        <w:spacing w:after="0" w:line="220" w:lineRule="auto"/>
        <w:tabs>
          <w:tab w:leader="none" w:pos="1944"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to Stock.</w:t>
      </w:r>
      <w:r>
        <w:rPr>
          <w:rFonts w:ascii="Times New Roman" w:cs="Times New Roman" w:eastAsia="Times New Roman" w:hAnsi="Times New Roman"/>
          <w:sz w:val="22"/>
          <w:szCs w:val="22"/>
          <w:color w:val="auto"/>
        </w:rPr>
        <w:t xml:space="preserve"> Each Annual RSU represents the right to receive one share of Stock on the vesting date. Shares of Stock will be registered on the books of the Company in the Non-Employee Director’s name as of the vesting date. Such Shares of Stock will remain in uncertificated, book-entry form unless the Non-Employee Director requests a stock certificate or certificates for the Shares.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Plan Conditions</w:t>
      </w:r>
      <w:r>
        <w:rPr>
          <w:rFonts w:ascii="Times New Roman" w:cs="Times New Roman" w:eastAsia="Times New Roman" w:hAnsi="Times New Roman"/>
          <w:sz w:val="22"/>
          <w:szCs w:val="22"/>
          <w:color w:val="auto"/>
        </w:rPr>
        <w:t>. The RSUs granted hereunder also shall be subject to the terms and conditions of the Equity Incentive Plan, the applicable award agreement and any other terms and conditions adopted by the Board or Committee as permitted by the Plan.</w:t>
      </w:r>
    </w:p>
    <w:p>
      <w:pPr>
        <w:spacing w:after="0" w:line="149" w:lineRule="exact"/>
        <w:rPr>
          <w:sz w:val="20"/>
          <w:szCs w:val="20"/>
          <w:color w:val="auto"/>
        </w:rPr>
      </w:pPr>
    </w:p>
    <w:p>
      <w:pPr>
        <w:ind w:left="2280"/>
        <w:spacing w:after="0"/>
        <w:tabs>
          <w:tab w:leader="none" w:pos="356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color w:val="auto"/>
        </w:rPr>
        <w:t>AMENDMENT, MODIFICATION AND TERMINATION</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AMENDMENT, MODIFICATION AND TERMINATION</w:t>
      </w:r>
      <w:r>
        <w:rPr>
          <w:rFonts w:ascii="Times New Roman" w:cs="Times New Roman" w:eastAsia="Times New Roman" w:hAnsi="Times New Roman"/>
          <w:sz w:val="22"/>
          <w:szCs w:val="22"/>
          <w:color w:val="auto"/>
        </w:rPr>
        <w:t>. The Board may, at any time and from time to time, amend, modify or terminate the Plan without stockholder approval; provided, however, that if an amendment to the Plan would, in the reasonable opinion of the Board, require stockholder approval under applicable laws, policies or regulations or the applicable listing or other requirements of a securities exchange on which the Stock is listed or traded, then such amendment shall be subject to stockholder approval; and provided further, that the Board may condition any other amendment or modification on the approval of stockholders of the Company for any reason. Modification of Equity Awards granted under this Plan shall be subject to the provisions of the Equity Incentive Plan.</w:t>
      </w:r>
    </w:p>
    <w:p>
      <w:pPr>
        <w:spacing w:after="0" w:line="152" w:lineRule="exact"/>
        <w:rPr>
          <w:sz w:val="20"/>
          <w:szCs w:val="20"/>
          <w:color w:val="auto"/>
        </w:rPr>
      </w:pPr>
    </w:p>
    <w:p>
      <w:pPr>
        <w:ind w:left="3740"/>
        <w:spacing w:after="0"/>
        <w:tabs>
          <w:tab w:leader="none" w:pos="502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color w:val="auto"/>
        </w:rPr>
        <w:t>GENERAL PROVISIONS</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An Eligible Participant shall have the status of a general unsecured creditor of the Company with respect to his or her right to receive Stock or other payment upon settlement of the Equity Award granted under the Plan. None of the benefits, payments, proceeds or distributions under Plan shall be subject to the claim of any creditor of any Eligible Participant or beneficiary, or to any legal process by any creditor of such Eligible Participant or beneficiary, and none of them shall have any right to alienate, commute, anticipate or assign any of the benefits, payments, proceeds or distributions under the Plan except to the extent expressly provided herein to the contrary.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adjustment provisions of the Equity Incentive Plan shall apply with respect to awards of Equity Awards granted pursuant to this Plan.</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DURATION OF THE PLAN</w:t>
      </w:r>
      <w:r>
        <w:rPr>
          <w:rFonts w:ascii="Times New Roman" w:cs="Times New Roman" w:eastAsia="Times New Roman" w:hAnsi="Times New Roman"/>
          <w:sz w:val="22"/>
          <w:szCs w:val="22"/>
          <w:color w:val="auto"/>
        </w:rPr>
        <w:t>. The Plan shall remain in effect until terminated by the Board; provided, however, that the Plan shall terminate automatically upon termination of the Equity Incentive Plan, including any successor to the Micron Technology, Inc. Amended and Restated 2007 Equity Incentive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EXPENSES OF THE PLAN</w:t>
      </w:r>
      <w:r>
        <w:rPr>
          <w:rFonts w:ascii="Times New Roman" w:cs="Times New Roman" w:eastAsia="Times New Roman" w:hAnsi="Times New Roman"/>
          <w:sz w:val="21"/>
          <w:szCs w:val="21"/>
          <w:color w:val="auto"/>
        </w:rPr>
        <w:t>. The expenses of administering the Plan shall be borne by the Company.</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423035" cy="3511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6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DIRECTOR COMPENSATION SCHEDULE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Basic Annual Retainer (all Directors)</w:t>
      </w:r>
      <w:r>
        <w:rPr>
          <w:rFonts w:ascii="Times New Roman" w:cs="Times New Roman" w:eastAsia="Times New Roman" w:hAnsi="Times New Roman"/>
          <w:sz w:val="22"/>
          <w:szCs w:val="22"/>
          <w:color w:val="auto"/>
        </w:rPr>
        <w:t>: $125,000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Annual Retainers: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 Chair: $150,000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Lead Independent Director: $55,000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 Committee Chair: $37,500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Committee Chair: $30,000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Finance Committee Chair: $20,000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Governance and Sustainability Committee Chair: $20,000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Committee Chair: $20,000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Equity Award Amount</w:t>
      </w:r>
      <w:r>
        <w:rPr>
          <w:rFonts w:ascii="Times New Roman" w:cs="Times New Roman" w:eastAsia="Times New Roman" w:hAnsi="Times New Roman"/>
          <w:sz w:val="22"/>
          <w:szCs w:val="22"/>
          <w:color w:val="auto"/>
        </w:rPr>
        <w:t>: $250,000</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Form of Annual Equity Award: </w:t>
      </w:r>
      <w:r>
        <w:rPr>
          <w:rFonts w:ascii="Times New Roman" w:cs="Times New Roman" w:eastAsia="Times New Roman" w:hAnsi="Times New Roman"/>
          <w:sz w:val="22"/>
          <w:szCs w:val="22"/>
          <w:color w:val="auto"/>
        </w:rPr>
        <w:t>Restricted Stock and Restricted Stock Units (vesting in full 1 year after grant assuming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service on the Board through the vesting date, with earlier vesting in full upon a qualified retirement from the Board after at least 3 years of service on the Board, or termination from the Board due to death or disability, all as provided in in the applicable award agreement)</w:t>
      </w:r>
    </w:p>
    <w:p>
      <w:pPr>
        <w:sectPr>
          <w:pgSz w:w="11900" w:h="16838" w:orient="portrait"/>
          <w:cols w:equalWidth="0" w:num="1">
            <w:col w:w="11240"/>
          </w:cols>
          <w:pgMar w:left="320" w:top="1440"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4"/>
          <w:szCs w:val="14"/>
          <w:b w:val="1"/>
          <w:bCs w:val="1"/>
          <w:color w:val="auto"/>
        </w:rPr>
        <w:t>Exhibit 10.7</w:t>
      </w:r>
    </w:p>
    <w:p>
      <w:pPr>
        <w:spacing w:after="0" w:line="366" w:lineRule="exact"/>
        <w:rPr>
          <w:sz w:val="20"/>
          <w:szCs w:val="20"/>
          <w:color w:val="auto"/>
        </w:rPr>
      </w:pPr>
    </w:p>
    <w:p>
      <w:pPr>
        <w:jc w:val="both"/>
        <w:ind w:left="20" w:hanging="8"/>
        <w:spacing w:after="0" w:line="314" w:lineRule="auto"/>
        <w:rPr>
          <w:sz w:val="20"/>
          <w:szCs w:val="20"/>
          <w:color w:val="auto"/>
        </w:rPr>
      </w:pPr>
      <w:r>
        <w:rPr>
          <w:rFonts w:ascii="Arial" w:cs="Arial" w:eastAsia="Arial" w:hAnsi="Arial"/>
          <w:sz w:val="14"/>
          <w:szCs w:val="14"/>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Dated as of December 9, 2024</w:t>
      </w:r>
    </w:p>
    <w:p>
      <w:pPr>
        <w:spacing w:after="0" w:line="3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MICRON IDAHO SEMICONDUCTOR MANUFACTURING (TRITON) LLC</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as Recipient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and</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U.S. DEPARTMENT OF COMMERCE</w:t>
      </w:r>
    </w:p>
    <w:p>
      <w:pPr>
        <w:spacing w:after="0" w:line="201"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as the Department</w:t>
      </w: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ID PROJECT</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DIRECT FUNDING AGREEMENT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AWARD ID NO. AP-2024-0022</w:t>
      </w:r>
    </w:p>
    <w:p>
      <w:pPr>
        <w:sectPr>
          <w:pgSz w:w="11900" w:h="16838" w:orient="portrait"/>
          <w:cols w:equalWidth="0" w:num="1">
            <w:col w:w="11240"/>
          </w:cols>
          <w:pgMar w:left="320" w:top="1426" w:right="3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44"/>
        </w:trPr>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TABLE OF CONTENTS</w:t>
            </w:r>
          </w:p>
        </w:tc>
        <w:tc>
          <w:tcPr>
            <w:tcW w:w="340" w:type="dxa"/>
            <w:vAlign w:val="bottom"/>
          </w:tcPr>
          <w:p>
            <w:pPr>
              <w:spacing w:after="0"/>
              <w:rPr>
                <w:sz w:val="21"/>
                <w:szCs w:val="21"/>
                <w:color w:val="auto"/>
              </w:rPr>
            </w:pPr>
          </w:p>
        </w:tc>
      </w:tr>
      <w:tr>
        <w:trPr>
          <w:trHeight w:val="459"/>
        </w:trPr>
        <w:tc>
          <w:tcPr>
            <w:tcW w:w="3040" w:type="dxa"/>
            <w:vAlign w:val="bottom"/>
            <w:gridSpan w:val="3"/>
          </w:tcPr>
          <w:p>
            <w:pPr>
              <w:spacing w:after="0"/>
              <w:rPr>
                <w:sz w:val="20"/>
                <w:szCs w:val="20"/>
                <w:color w:val="auto"/>
              </w:rPr>
            </w:pPr>
            <w:r>
              <w:rPr>
                <w:rFonts w:ascii="Calibri" w:cs="Calibri" w:eastAsia="Calibri" w:hAnsi="Calibri"/>
                <w:sz w:val="20"/>
                <w:szCs w:val="20"/>
                <w:color w:val="auto"/>
              </w:rPr>
              <w:t>Artcle 2 Award and Disbursements</w:t>
            </w:r>
          </w:p>
        </w:tc>
        <w:tc>
          <w:tcPr>
            <w:tcW w:w="500" w:type="dxa"/>
            <w:vAlign w:val="bottom"/>
          </w:tcPr>
          <w:p>
            <w:pPr>
              <w:ind w:left="40"/>
              <w:spacing w:after="0"/>
              <w:rPr>
                <w:sz w:val="20"/>
                <w:szCs w:val="20"/>
                <w:color w:val="auto"/>
              </w:rPr>
            </w:pPr>
            <w:r>
              <w:rPr>
                <w:rFonts w:ascii="Calibri" w:cs="Calibri" w:eastAsia="Calibri" w:hAnsi="Calibri"/>
                <w:sz w:val="20"/>
                <w:szCs w:val="20"/>
                <w:color w:val="auto"/>
              </w:rPr>
              <w:t>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1700" w:type="dxa"/>
            <w:vAlign w:val="bottom"/>
          </w:tcPr>
          <w:p>
            <w:pPr>
              <w:ind w:left="660"/>
              <w:spacing w:after="0" w:line="243" w:lineRule="exact"/>
              <w:rPr>
                <w:sz w:val="20"/>
                <w:szCs w:val="20"/>
                <w:color w:val="auto"/>
              </w:rPr>
            </w:pPr>
            <w:r>
              <w:rPr>
                <w:rFonts w:ascii="Calibri" w:cs="Calibri" w:eastAsia="Calibri" w:hAnsi="Calibri"/>
                <w:sz w:val="20"/>
                <w:szCs w:val="20"/>
                <w:color w:val="auto"/>
              </w:rPr>
              <w:t>Secton 2.1</w:t>
            </w:r>
          </w:p>
        </w:tc>
        <w:tc>
          <w:tcPr>
            <w:tcW w:w="1340" w:type="dxa"/>
            <w:vAlign w:val="bottom"/>
            <w:gridSpan w:val="2"/>
          </w:tcPr>
          <w:p>
            <w:pPr>
              <w:ind w:left="60"/>
              <w:spacing w:after="0" w:line="243" w:lineRule="exact"/>
              <w:rPr>
                <w:sz w:val="20"/>
                <w:szCs w:val="20"/>
                <w:color w:val="auto"/>
              </w:rPr>
            </w:pPr>
            <w:r>
              <w:rPr>
                <w:rFonts w:ascii="Calibri" w:cs="Calibri" w:eastAsia="Calibri" w:hAnsi="Calibri"/>
                <w:sz w:val="20"/>
                <w:szCs w:val="20"/>
                <w:color w:val="auto"/>
              </w:rPr>
              <w:t>Award Amount</w:t>
            </w:r>
          </w:p>
        </w:tc>
        <w:tc>
          <w:tcPr>
            <w:tcW w:w="500" w:type="dxa"/>
            <w:vAlign w:val="bottom"/>
          </w:tcPr>
          <w:p>
            <w:pPr>
              <w:ind w:left="140"/>
              <w:spacing w:after="0" w:line="243" w:lineRule="exact"/>
              <w:rPr>
                <w:sz w:val="20"/>
                <w:szCs w:val="20"/>
                <w:color w:val="auto"/>
              </w:rPr>
            </w:pPr>
            <w:r>
              <w:rPr>
                <w:rFonts w:ascii="Calibri" w:cs="Calibri" w:eastAsia="Calibri" w:hAnsi="Calibri"/>
                <w:sz w:val="20"/>
                <w:szCs w:val="20"/>
                <w:color w:val="auto"/>
              </w:rPr>
              <w:t>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2.2</w:t>
            </w:r>
          </w:p>
        </w:tc>
        <w:tc>
          <w:tcPr>
            <w:tcW w:w="2700" w:type="dxa"/>
            <w:vAlign w:val="bottom"/>
            <w:gridSpan w:val="6"/>
          </w:tcPr>
          <w:p>
            <w:pPr>
              <w:ind w:left="60"/>
              <w:spacing w:after="0"/>
              <w:rPr>
                <w:sz w:val="20"/>
                <w:szCs w:val="20"/>
                <w:color w:val="auto"/>
              </w:rPr>
            </w:pPr>
            <w:r>
              <w:rPr>
                <w:rFonts w:ascii="Calibri" w:cs="Calibri" w:eastAsia="Calibri" w:hAnsi="Calibri"/>
                <w:sz w:val="20"/>
                <w:szCs w:val="20"/>
                <w:color w:val="auto"/>
              </w:rPr>
              <w:t>Disbursement Procedure  2</w:t>
            </w: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3040" w:type="dxa"/>
            <w:vAlign w:val="bottom"/>
            <w:gridSpan w:val="3"/>
          </w:tcPr>
          <w:p>
            <w:pPr>
              <w:ind w:left="660"/>
              <w:spacing w:after="0"/>
              <w:rPr>
                <w:sz w:val="20"/>
                <w:szCs w:val="20"/>
                <w:color w:val="auto"/>
              </w:rPr>
            </w:pPr>
            <w:r>
              <w:rPr>
                <w:rFonts w:ascii="Calibri" w:cs="Calibri" w:eastAsia="Calibri" w:hAnsi="Calibri"/>
                <w:sz w:val="20"/>
                <w:szCs w:val="20"/>
                <w:color w:val="auto"/>
              </w:rPr>
              <w:t>Secton 2.3  No Interest.  4</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4040" w:type="dxa"/>
            <w:vAlign w:val="bottom"/>
            <w:gridSpan w:val="6"/>
          </w:tcPr>
          <w:p>
            <w:pPr>
              <w:ind w:left="660"/>
              <w:spacing w:after="0"/>
              <w:rPr>
                <w:sz w:val="20"/>
                <w:szCs w:val="20"/>
                <w:color w:val="auto"/>
              </w:rPr>
            </w:pPr>
            <w:r>
              <w:rPr>
                <w:rFonts w:ascii="Calibri" w:cs="Calibri" w:eastAsia="Calibri" w:hAnsi="Calibri"/>
                <w:sz w:val="20"/>
                <w:szCs w:val="20"/>
                <w:color w:val="auto"/>
              </w:rPr>
              <w:t>Secton 2.4  No Approval of Work.  4</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51"/>
        </w:trPr>
        <w:tc>
          <w:tcPr>
            <w:tcW w:w="1700" w:type="dxa"/>
            <w:vAlign w:val="bottom"/>
          </w:tcPr>
          <w:p>
            <w:pPr>
              <w:spacing w:after="0"/>
              <w:rPr>
                <w:sz w:val="20"/>
                <w:szCs w:val="20"/>
                <w:color w:val="auto"/>
              </w:rPr>
            </w:pPr>
            <w:r>
              <w:rPr>
                <w:rFonts w:ascii="Calibri" w:cs="Calibri" w:eastAsia="Calibri" w:hAnsi="Calibri"/>
                <w:sz w:val="20"/>
                <w:szCs w:val="20"/>
                <w:color w:val="auto"/>
              </w:rPr>
              <w:t>Artcle 3 Payments</w:t>
            </w:r>
          </w:p>
        </w:tc>
        <w:tc>
          <w:tcPr>
            <w:tcW w:w="1000" w:type="dxa"/>
            <w:vAlign w:val="bottom"/>
          </w:tcPr>
          <w:p>
            <w:pPr>
              <w:ind w:left="20"/>
              <w:spacing w:after="0"/>
              <w:rPr>
                <w:sz w:val="20"/>
                <w:szCs w:val="20"/>
                <w:color w:val="auto"/>
              </w:rPr>
            </w:pPr>
            <w:r>
              <w:rPr>
                <w:rFonts w:ascii="Calibri" w:cs="Calibri" w:eastAsia="Calibri" w:hAnsi="Calibri"/>
                <w:sz w:val="20"/>
                <w:szCs w:val="20"/>
                <w:color w:val="auto"/>
              </w:rPr>
              <w:t>4</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3.1</w:t>
            </w:r>
          </w:p>
        </w:tc>
        <w:tc>
          <w:tcPr>
            <w:tcW w:w="5060" w:type="dxa"/>
            <w:vAlign w:val="bottom"/>
            <w:gridSpan w:val="8"/>
          </w:tcPr>
          <w:p>
            <w:pPr>
              <w:ind w:left="60"/>
              <w:spacing w:after="0"/>
              <w:rPr>
                <w:sz w:val="20"/>
                <w:szCs w:val="20"/>
                <w:color w:val="auto"/>
              </w:rPr>
            </w:pPr>
            <w:r>
              <w:rPr>
                <w:rFonts w:ascii="Calibri" w:cs="Calibri" w:eastAsia="Calibri" w:hAnsi="Calibri"/>
                <w:sz w:val="20"/>
                <w:szCs w:val="20"/>
                <w:color w:val="auto"/>
              </w:rPr>
              <w:t>Place and Manner of Payments to the Department  4</w:t>
            </w: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3.2</w:t>
            </w:r>
          </w:p>
        </w:tc>
        <w:tc>
          <w:tcPr>
            <w:tcW w:w="1340" w:type="dxa"/>
            <w:vAlign w:val="bottom"/>
            <w:gridSpan w:val="2"/>
          </w:tcPr>
          <w:p>
            <w:pPr>
              <w:ind w:left="60"/>
              <w:spacing w:after="0"/>
              <w:rPr>
                <w:sz w:val="20"/>
                <w:szCs w:val="20"/>
                <w:color w:val="auto"/>
              </w:rPr>
            </w:pPr>
            <w:r>
              <w:rPr>
                <w:rFonts w:ascii="Calibri" w:cs="Calibri" w:eastAsia="Calibri" w:hAnsi="Calibri"/>
                <w:sz w:val="20"/>
                <w:szCs w:val="20"/>
                <w:color w:val="auto"/>
              </w:rPr>
              <w:t>Upside Sharing</w:t>
            </w:r>
          </w:p>
        </w:tc>
        <w:tc>
          <w:tcPr>
            <w:tcW w:w="500" w:type="dxa"/>
            <w:vAlign w:val="bottom"/>
          </w:tcPr>
          <w:p>
            <w:pPr>
              <w:ind w:left="140"/>
              <w:spacing w:after="0"/>
              <w:rPr>
                <w:sz w:val="20"/>
                <w:szCs w:val="20"/>
                <w:color w:val="auto"/>
              </w:rPr>
            </w:pPr>
            <w:r>
              <w:rPr>
                <w:rFonts w:ascii="Calibri" w:cs="Calibri" w:eastAsia="Calibri" w:hAnsi="Calibri"/>
                <w:sz w:val="20"/>
                <w:szCs w:val="20"/>
                <w:color w:val="auto"/>
              </w:rPr>
              <w:t>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3.3</w:t>
            </w:r>
          </w:p>
        </w:tc>
        <w:tc>
          <w:tcPr>
            <w:tcW w:w="2700" w:type="dxa"/>
            <w:vAlign w:val="bottom"/>
            <w:gridSpan w:val="6"/>
          </w:tcPr>
          <w:p>
            <w:pPr>
              <w:ind w:left="60"/>
              <w:spacing w:after="0"/>
              <w:rPr>
                <w:sz w:val="20"/>
                <w:szCs w:val="20"/>
                <w:color w:val="auto"/>
              </w:rPr>
            </w:pPr>
            <w:r>
              <w:rPr>
                <w:rFonts w:ascii="Calibri" w:cs="Calibri" w:eastAsia="Calibri" w:hAnsi="Calibri"/>
                <w:sz w:val="20"/>
                <w:szCs w:val="20"/>
                <w:color w:val="auto"/>
              </w:rPr>
              <w:t>Payment of Costs and Expenses</w:t>
            </w:r>
          </w:p>
        </w:tc>
        <w:tc>
          <w:tcPr>
            <w:tcW w:w="480" w:type="dxa"/>
            <w:vAlign w:val="bottom"/>
          </w:tcPr>
          <w:p>
            <w:pPr>
              <w:ind w:left="120"/>
              <w:spacing w:after="0"/>
              <w:rPr>
                <w:sz w:val="20"/>
                <w:szCs w:val="20"/>
                <w:color w:val="auto"/>
              </w:rPr>
            </w:pPr>
            <w:r>
              <w:rPr>
                <w:rFonts w:ascii="Calibri" w:cs="Calibri" w:eastAsia="Calibri" w:hAnsi="Calibri"/>
                <w:sz w:val="20"/>
                <w:szCs w:val="20"/>
                <w:color w:val="auto"/>
              </w:rPr>
              <w:t>6</w:t>
            </w: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3.4</w:t>
            </w:r>
          </w:p>
        </w:tc>
        <w:tc>
          <w:tcPr>
            <w:tcW w:w="1000" w:type="dxa"/>
            <w:vAlign w:val="bottom"/>
          </w:tcPr>
          <w:p>
            <w:pPr>
              <w:ind w:left="60"/>
              <w:spacing w:after="0"/>
              <w:rPr>
                <w:sz w:val="20"/>
                <w:szCs w:val="20"/>
                <w:color w:val="auto"/>
              </w:rPr>
            </w:pPr>
            <w:r>
              <w:rPr>
                <w:rFonts w:ascii="Calibri" w:cs="Calibri" w:eastAsia="Calibri" w:hAnsi="Calibri"/>
                <w:sz w:val="20"/>
                <w:szCs w:val="20"/>
                <w:color w:val="auto"/>
              </w:rPr>
              <w:t>Net of Tax</w:t>
            </w:r>
          </w:p>
        </w:tc>
        <w:tc>
          <w:tcPr>
            <w:tcW w:w="340" w:type="dxa"/>
            <w:vAlign w:val="bottom"/>
          </w:tcPr>
          <w:p>
            <w:pPr>
              <w:jc w:val="right"/>
              <w:ind w:right="81"/>
              <w:spacing w:after="0"/>
              <w:rPr>
                <w:sz w:val="20"/>
                <w:szCs w:val="20"/>
                <w:color w:val="auto"/>
              </w:rPr>
            </w:pPr>
            <w:r>
              <w:rPr>
                <w:rFonts w:ascii="Calibri" w:cs="Calibri" w:eastAsia="Calibri" w:hAnsi="Calibri"/>
                <w:sz w:val="20"/>
                <w:szCs w:val="20"/>
                <w:color w:val="auto"/>
              </w:rPr>
              <w:t>6</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51"/>
        </w:trPr>
        <w:tc>
          <w:tcPr>
            <w:tcW w:w="3740" w:type="dxa"/>
            <w:vAlign w:val="bottom"/>
            <w:gridSpan w:val="5"/>
          </w:tcPr>
          <w:p>
            <w:pPr>
              <w:spacing w:after="0"/>
              <w:rPr>
                <w:sz w:val="20"/>
                <w:szCs w:val="20"/>
                <w:color w:val="auto"/>
              </w:rPr>
            </w:pPr>
            <w:r>
              <w:rPr>
                <w:rFonts w:ascii="Calibri" w:cs="Calibri" w:eastAsia="Calibri" w:hAnsi="Calibri"/>
                <w:sz w:val="20"/>
                <w:szCs w:val="20"/>
                <w:color w:val="auto"/>
              </w:rPr>
              <w:t>Artcle 4 Terms Satsfed as of the Award Date</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Financing Documents</w:t>
            </w:r>
          </w:p>
        </w:tc>
        <w:tc>
          <w:tcPr>
            <w:tcW w:w="500" w:type="dxa"/>
            <w:vAlign w:val="bottom"/>
            <w:gridSpan w:val="2"/>
          </w:tcPr>
          <w:p>
            <w:pPr>
              <w:jc w:val="right"/>
              <w:ind w:right="141"/>
              <w:spacing w:after="0"/>
              <w:rPr>
                <w:sz w:val="20"/>
                <w:szCs w:val="20"/>
                <w:color w:val="auto"/>
              </w:rPr>
            </w:pPr>
            <w:r>
              <w:rPr>
                <w:rFonts w:ascii="Calibri" w:cs="Calibri" w:eastAsia="Calibri" w:hAnsi="Calibri"/>
                <w:sz w:val="20"/>
                <w:szCs w:val="20"/>
                <w:color w:val="auto"/>
              </w:rPr>
              <w:t>6</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4.2</w:t>
            </w:r>
          </w:p>
        </w:tc>
        <w:tc>
          <w:tcPr>
            <w:tcW w:w="2340" w:type="dxa"/>
            <w:vAlign w:val="bottom"/>
            <w:gridSpan w:val="5"/>
          </w:tcPr>
          <w:p>
            <w:pPr>
              <w:ind w:left="60"/>
              <w:spacing w:after="0"/>
              <w:rPr>
                <w:sz w:val="20"/>
                <w:szCs w:val="20"/>
                <w:color w:val="auto"/>
              </w:rPr>
            </w:pPr>
            <w:r>
              <w:rPr>
                <w:rFonts w:ascii="Calibri" w:cs="Calibri" w:eastAsia="Calibri" w:hAnsi="Calibri"/>
                <w:sz w:val="20"/>
                <w:szCs w:val="20"/>
                <w:color w:val="auto"/>
              </w:rPr>
              <w:t>Organizatonal Documents</w:t>
            </w:r>
          </w:p>
        </w:tc>
        <w:tc>
          <w:tcPr>
            <w:tcW w:w="360" w:type="dxa"/>
            <w:vAlign w:val="bottom"/>
          </w:tcPr>
          <w:p>
            <w:pPr>
              <w:jc w:val="center"/>
              <w:ind w:right="21"/>
              <w:spacing w:after="0"/>
              <w:rPr>
                <w:sz w:val="20"/>
                <w:szCs w:val="20"/>
                <w:color w:val="auto"/>
              </w:rPr>
            </w:pPr>
            <w:r>
              <w:rPr>
                <w:rFonts w:ascii="Calibri" w:cs="Calibri" w:eastAsia="Calibri" w:hAnsi="Calibri"/>
                <w:sz w:val="20"/>
                <w:szCs w:val="20"/>
                <w:color w:val="auto"/>
              </w:rPr>
              <w:t>6</w:t>
            </w: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4.3</w:t>
            </w:r>
          </w:p>
        </w:tc>
        <w:tc>
          <w:tcPr>
            <w:tcW w:w="2040" w:type="dxa"/>
            <w:vAlign w:val="bottom"/>
            <w:gridSpan w:val="4"/>
          </w:tcPr>
          <w:p>
            <w:pPr>
              <w:ind w:left="60"/>
              <w:spacing w:after="0"/>
              <w:rPr>
                <w:sz w:val="20"/>
                <w:szCs w:val="20"/>
                <w:color w:val="auto"/>
              </w:rPr>
            </w:pPr>
            <w:r>
              <w:rPr>
                <w:rFonts w:ascii="Calibri" w:cs="Calibri" w:eastAsia="Calibri" w:hAnsi="Calibri"/>
                <w:sz w:val="20"/>
                <w:szCs w:val="20"/>
                <w:color w:val="auto"/>
              </w:rPr>
              <w:t>Sources and Uses Plan</w:t>
            </w:r>
          </w:p>
        </w:tc>
        <w:tc>
          <w:tcPr>
            <w:tcW w:w="300" w:type="dxa"/>
            <w:vAlign w:val="bottom"/>
          </w:tcPr>
          <w:p>
            <w:pPr>
              <w:ind w:left="40"/>
              <w:spacing w:after="0"/>
              <w:rPr>
                <w:sz w:val="20"/>
                <w:szCs w:val="20"/>
                <w:color w:val="auto"/>
              </w:rPr>
            </w:pPr>
            <w:r>
              <w:rPr>
                <w:rFonts w:ascii="Calibri" w:cs="Calibri" w:eastAsia="Calibri" w:hAnsi="Calibri"/>
                <w:sz w:val="20"/>
                <w:szCs w:val="20"/>
                <w:color w:val="auto"/>
              </w:rPr>
              <w:t>7</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4.4</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Financial Statements</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7</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4.5</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Required Approvals</w:t>
            </w:r>
          </w:p>
        </w:tc>
        <w:tc>
          <w:tcPr>
            <w:tcW w:w="200" w:type="dxa"/>
            <w:vAlign w:val="bottom"/>
          </w:tcPr>
          <w:p>
            <w:pPr>
              <w:jc w:val="right"/>
              <w:ind w:right="1"/>
              <w:spacing w:after="0"/>
              <w:rPr>
                <w:sz w:val="20"/>
                <w:szCs w:val="20"/>
                <w:color w:val="auto"/>
              </w:rPr>
            </w:pPr>
            <w:r>
              <w:rPr>
                <w:rFonts w:ascii="Calibri" w:cs="Calibri" w:eastAsia="Calibri" w:hAnsi="Calibri"/>
                <w:sz w:val="20"/>
                <w:szCs w:val="20"/>
                <w:color w:val="auto"/>
                <w:w w:val="78"/>
              </w:rPr>
              <w:t>7</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4.6</w:t>
            </w:r>
          </w:p>
        </w:tc>
        <w:tc>
          <w:tcPr>
            <w:tcW w:w="1340" w:type="dxa"/>
            <w:vAlign w:val="bottom"/>
            <w:gridSpan w:val="2"/>
          </w:tcPr>
          <w:p>
            <w:pPr>
              <w:ind w:left="60"/>
              <w:spacing w:after="0"/>
              <w:rPr>
                <w:sz w:val="20"/>
                <w:szCs w:val="20"/>
                <w:color w:val="auto"/>
              </w:rPr>
            </w:pPr>
            <w:r>
              <w:rPr>
                <w:rFonts w:ascii="Calibri" w:cs="Calibri" w:eastAsia="Calibri" w:hAnsi="Calibri"/>
                <w:sz w:val="20"/>
                <w:szCs w:val="20"/>
                <w:color w:val="auto"/>
              </w:rPr>
              <w:t>Legal Opinions</w:t>
            </w:r>
          </w:p>
        </w:tc>
        <w:tc>
          <w:tcPr>
            <w:tcW w:w="500" w:type="dxa"/>
            <w:vAlign w:val="bottom"/>
          </w:tcPr>
          <w:p>
            <w:pPr>
              <w:ind w:left="100"/>
              <w:spacing w:after="0"/>
              <w:rPr>
                <w:sz w:val="20"/>
                <w:szCs w:val="20"/>
                <w:color w:val="auto"/>
              </w:rPr>
            </w:pPr>
            <w:r>
              <w:rPr>
                <w:rFonts w:ascii="Calibri" w:cs="Calibri" w:eastAsia="Calibri" w:hAnsi="Calibri"/>
                <w:sz w:val="20"/>
                <w:szCs w:val="20"/>
                <w:color w:val="auto"/>
              </w:rPr>
              <w:t>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4.7</w:t>
            </w:r>
          </w:p>
        </w:tc>
        <w:tc>
          <w:tcPr>
            <w:tcW w:w="1000" w:type="dxa"/>
            <w:vAlign w:val="bottom"/>
          </w:tcPr>
          <w:p>
            <w:pPr>
              <w:ind w:left="60"/>
              <w:spacing w:after="0"/>
              <w:rPr>
                <w:sz w:val="20"/>
                <w:szCs w:val="20"/>
                <w:color w:val="auto"/>
              </w:rPr>
            </w:pPr>
            <w:r>
              <w:rPr>
                <w:rFonts w:ascii="Calibri" w:cs="Calibri" w:eastAsia="Calibri" w:hAnsi="Calibri"/>
                <w:sz w:val="20"/>
                <w:szCs w:val="20"/>
                <w:color w:val="auto"/>
              </w:rPr>
              <w:t>Certfcates</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8</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4.8</w:t>
            </w:r>
          </w:p>
        </w:tc>
        <w:tc>
          <w:tcPr>
            <w:tcW w:w="3180" w:type="dxa"/>
            <w:vAlign w:val="bottom"/>
            <w:gridSpan w:val="7"/>
          </w:tcPr>
          <w:p>
            <w:pPr>
              <w:ind w:left="60"/>
              <w:spacing w:after="0"/>
              <w:rPr>
                <w:sz w:val="20"/>
                <w:szCs w:val="20"/>
                <w:color w:val="auto"/>
              </w:rPr>
            </w:pPr>
            <w:r>
              <w:rPr>
                <w:rFonts w:ascii="Calibri" w:cs="Calibri" w:eastAsia="Calibri" w:hAnsi="Calibri"/>
                <w:sz w:val="20"/>
                <w:szCs w:val="20"/>
                <w:color w:val="auto"/>
              </w:rPr>
              <w:t>Federal Requirements and Approvals</w:t>
            </w:r>
          </w:p>
        </w:tc>
        <w:tc>
          <w:tcPr>
            <w:tcW w:w="1880" w:type="dxa"/>
            <w:vAlign w:val="bottom"/>
          </w:tcPr>
          <w:p>
            <w:pPr>
              <w:jc w:val="right"/>
              <w:ind w:right="1601"/>
              <w:spacing w:after="0"/>
              <w:rPr>
                <w:sz w:val="20"/>
                <w:szCs w:val="20"/>
                <w:color w:val="auto"/>
              </w:rPr>
            </w:pPr>
            <w:r>
              <w:rPr>
                <w:rFonts w:ascii="Calibri" w:cs="Calibri" w:eastAsia="Calibri" w:hAnsi="Calibri"/>
                <w:sz w:val="20"/>
                <w:szCs w:val="20"/>
                <w:color w:val="auto"/>
              </w:rPr>
              <w:t>8</w:t>
            </w: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4.9</w:t>
            </w:r>
          </w:p>
        </w:tc>
        <w:tc>
          <w:tcPr>
            <w:tcW w:w="2340" w:type="dxa"/>
            <w:vAlign w:val="bottom"/>
            <w:gridSpan w:val="5"/>
          </w:tcPr>
          <w:p>
            <w:pPr>
              <w:ind w:left="60"/>
              <w:spacing w:after="0"/>
              <w:rPr>
                <w:sz w:val="20"/>
                <w:szCs w:val="20"/>
                <w:color w:val="auto"/>
              </w:rPr>
            </w:pPr>
            <w:r>
              <w:rPr>
                <w:rFonts w:ascii="Calibri" w:cs="Calibri" w:eastAsia="Calibri" w:hAnsi="Calibri"/>
                <w:sz w:val="20"/>
                <w:szCs w:val="20"/>
                <w:color w:val="auto"/>
              </w:rPr>
              <w:t>Base Case Financial Model</w:t>
            </w:r>
          </w:p>
        </w:tc>
        <w:tc>
          <w:tcPr>
            <w:tcW w:w="360" w:type="dxa"/>
            <w:vAlign w:val="bottom"/>
          </w:tcPr>
          <w:p>
            <w:pPr>
              <w:jc w:val="center"/>
              <w:ind w:right="21"/>
              <w:spacing w:after="0"/>
              <w:rPr>
                <w:sz w:val="20"/>
                <w:szCs w:val="20"/>
                <w:color w:val="auto"/>
              </w:rPr>
            </w:pPr>
            <w:r>
              <w:rPr>
                <w:rFonts w:ascii="Calibri" w:cs="Calibri" w:eastAsia="Calibri" w:hAnsi="Calibri"/>
                <w:sz w:val="20"/>
                <w:szCs w:val="20"/>
                <w:color w:val="auto"/>
              </w:rPr>
              <w:t>9</w:t>
            </w: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4.10</w:t>
            </w:r>
          </w:p>
        </w:tc>
        <w:tc>
          <w:tcPr>
            <w:tcW w:w="2040" w:type="dxa"/>
            <w:vAlign w:val="bottom"/>
            <w:gridSpan w:val="4"/>
          </w:tcPr>
          <w:p>
            <w:pPr>
              <w:ind w:left="160"/>
              <w:spacing w:after="0"/>
              <w:rPr>
                <w:sz w:val="20"/>
                <w:szCs w:val="20"/>
                <w:color w:val="auto"/>
              </w:rPr>
            </w:pPr>
            <w:r>
              <w:rPr>
                <w:rFonts w:ascii="Calibri" w:cs="Calibri" w:eastAsia="Calibri" w:hAnsi="Calibri"/>
                <w:sz w:val="20"/>
                <w:szCs w:val="20"/>
                <w:color w:val="auto"/>
                <w:w w:val="99"/>
              </w:rPr>
              <w:t>Recipient’s Accountant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9</w:t>
            </w: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4.11</w:t>
            </w:r>
          </w:p>
        </w:tc>
        <w:tc>
          <w:tcPr>
            <w:tcW w:w="1840" w:type="dxa"/>
            <w:vAlign w:val="bottom"/>
            <w:gridSpan w:val="3"/>
          </w:tcPr>
          <w:p>
            <w:pPr>
              <w:ind w:left="160"/>
              <w:spacing w:after="0"/>
              <w:rPr>
                <w:sz w:val="20"/>
                <w:szCs w:val="20"/>
                <w:color w:val="auto"/>
              </w:rPr>
            </w:pPr>
            <w:r>
              <w:rPr>
                <w:rFonts w:ascii="Calibri" w:cs="Calibri" w:eastAsia="Calibri" w:hAnsi="Calibri"/>
                <w:sz w:val="20"/>
                <w:szCs w:val="20"/>
                <w:color w:val="auto"/>
              </w:rPr>
              <w:t>Fees and Expenses</w:t>
            </w:r>
          </w:p>
        </w:tc>
        <w:tc>
          <w:tcPr>
            <w:tcW w:w="200" w:type="dxa"/>
            <w:vAlign w:val="bottom"/>
          </w:tcPr>
          <w:p>
            <w:pPr>
              <w:jc w:val="right"/>
              <w:spacing w:after="0"/>
              <w:rPr>
                <w:sz w:val="20"/>
                <w:szCs w:val="20"/>
                <w:color w:val="auto"/>
              </w:rPr>
            </w:pPr>
            <w:r>
              <w:rPr>
                <w:rFonts w:ascii="Calibri" w:cs="Calibri" w:eastAsia="Calibri" w:hAnsi="Calibri"/>
                <w:sz w:val="20"/>
                <w:szCs w:val="20"/>
                <w:color w:val="auto"/>
              </w:rPr>
              <w:t>9</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4.12</w:t>
            </w:r>
          </w:p>
        </w:tc>
        <w:tc>
          <w:tcPr>
            <w:tcW w:w="5060" w:type="dxa"/>
            <w:vAlign w:val="bottom"/>
            <w:gridSpan w:val="8"/>
          </w:tcPr>
          <w:p>
            <w:pPr>
              <w:ind w:left="160"/>
              <w:spacing w:after="0"/>
              <w:rPr>
                <w:sz w:val="20"/>
                <w:szCs w:val="20"/>
                <w:color w:val="auto"/>
              </w:rPr>
            </w:pPr>
            <w:r>
              <w:rPr>
                <w:rFonts w:ascii="Calibri" w:cs="Calibri" w:eastAsia="Calibri" w:hAnsi="Calibri"/>
                <w:sz w:val="20"/>
                <w:szCs w:val="20"/>
                <w:color w:val="auto"/>
              </w:rPr>
              <w:t>Constructon and Tool Installaton Budget  9</w:t>
            </w: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4.13</w:t>
            </w:r>
          </w:p>
        </w:tc>
        <w:tc>
          <w:tcPr>
            <w:tcW w:w="2340" w:type="dxa"/>
            <w:vAlign w:val="bottom"/>
            <w:gridSpan w:val="5"/>
          </w:tcPr>
          <w:p>
            <w:pPr>
              <w:ind w:left="160"/>
              <w:spacing w:after="0"/>
              <w:rPr>
                <w:sz w:val="20"/>
                <w:szCs w:val="20"/>
                <w:color w:val="auto"/>
              </w:rPr>
            </w:pPr>
            <w:r>
              <w:rPr>
                <w:rFonts w:ascii="Calibri" w:cs="Calibri" w:eastAsia="Calibri" w:hAnsi="Calibri"/>
                <w:sz w:val="20"/>
                <w:szCs w:val="20"/>
                <w:color w:val="auto"/>
              </w:rPr>
              <w:t>Milestone Based Schedule</w:t>
            </w:r>
          </w:p>
        </w:tc>
        <w:tc>
          <w:tcPr>
            <w:tcW w:w="360" w:type="dxa"/>
            <w:vAlign w:val="bottom"/>
          </w:tcPr>
          <w:p>
            <w:pPr>
              <w:jc w:val="right"/>
              <w:ind w:right="1"/>
              <w:spacing w:after="0"/>
              <w:rPr>
                <w:sz w:val="20"/>
                <w:szCs w:val="20"/>
                <w:color w:val="auto"/>
              </w:rPr>
            </w:pPr>
            <w:r>
              <w:rPr>
                <w:rFonts w:ascii="Calibri" w:cs="Calibri" w:eastAsia="Calibri" w:hAnsi="Calibri"/>
                <w:sz w:val="20"/>
                <w:szCs w:val="20"/>
                <w:color w:val="auto"/>
              </w:rPr>
              <w:t>9</w:t>
            </w: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4.14</w:t>
            </w:r>
          </w:p>
        </w:tc>
        <w:tc>
          <w:tcPr>
            <w:tcW w:w="3180" w:type="dxa"/>
            <w:vAlign w:val="bottom"/>
            <w:gridSpan w:val="7"/>
          </w:tcPr>
          <w:p>
            <w:pPr>
              <w:ind w:left="160"/>
              <w:spacing w:after="0"/>
              <w:rPr>
                <w:sz w:val="20"/>
                <w:szCs w:val="20"/>
                <w:color w:val="auto"/>
              </w:rPr>
            </w:pPr>
            <w:r>
              <w:rPr>
                <w:rFonts w:ascii="Calibri" w:cs="Calibri" w:eastAsia="Calibri" w:hAnsi="Calibri"/>
                <w:sz w:val="20"/>
                <w:szCs w:val="20"/>
                <w:color w:val="auto"/>
              </w:rPr>
              <w:t>Advanced Packaging Resiliency Plan</w:t>
            </w:r>
          </w:p>
        </w:tc>
        <w:tc>
          <w:tcPr>
            <w:tcW w:w="1880" w:type="dxa"/>
            <w:vAlign w:val="bottom"/>
          </w:tcPr>
          <w:p>
            <w:pPr>
              <w:jc w:val="right"/>
              <w:ind w:right="1601"/>
              <w:spacing w:after="0"/>
              <w:rPr>
                <w:sz w:val="20"/>
                <w:szCs w:val="20"/>
                <w:color w:val="auto"/>
              </w:rPr>
            </w:pPr>
            <w:r>
              <w:rPr>
                <w:rFonts w:ascii="Calibri" w:cs="Calibri" w:eastAsia="Calibri" w:hAnsi="Calibri"/>
                <w:sz w:val="20"/>
                <w:szCs w:val="20"/>
                <w:color w:val="auto"/>
              </w:rPr>
              <w:t>9</w:t>
            </w:r>
          </w:p>
        </w:tc>
        <w:tc>
          <w:tcPr>
            <w:tcW w:w="340" w:type="dxa"/>
            <w:vAlign w:val="bottom"/>
          </w:tcPr>
          <w:p>
            <w:pPr>
              <w:spacing w:after="0"/>
              <w:rPr>
                <w:sz w:val="22"/>
                <w:szCs w:val="22"/>
                <w:color w:val="auto"/>
              </w:rPr>
            </w:pPr>
          </w:p>
        </w:tc>
      </w:tr>
      <w:tr>
        <w:trPr>
          <w:trHeight w:val="270"/>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4.15</w:t>
            </w:r>
          </w:p>
        </w:tc>
        <w:tc>
          <w:tcPr>
            <w:tcW w:w="1340" w:type="dxa"/>
            <w:vAlign w:val="bottom"/>
            <w:gridSpan w:val="2"/>
          </w:tcPr>
          <w:p>
            <w:pPr>
              <w:ind w:left="160"/>
              <w:spacing w:after="0"/>
              <w:rPr>
                <w:sz w:val="20"/>
                <w:szCs w:val="20"/>
                <w:color w:val="auto"/>
              </w:rPr>
            </w:pPr>
            <w:r>
              <w:rPr>
                <w:rFonts w:ascii="Calibri" w:cs="Calibri" w:eastAsia="Calibri" w:hAnsi="Calibri"/>
                <w:sz w:val="20"/>
                <w:szCs w:val="20"/>
                <w:color w:val="auto"/>
              </w:rPr>
              <w:t>No Violaton</w:t>
            </w:r>
          </w:p>
        </w:tc>
        <w:tc>
          <w:tcPr>
            <w:tcW w:w="500" w:type="dxa"/>
            <w:vAlign w:val="bottom"/>
          </w:tcPr>
          <w:p>
            <w:pPr>
              <w:ind w:left="20"/>
              <w:spacing w:after="0"/>
              <w:rPr>
                <w:sz w:val="20"/>
                <w:szCs w:val="20"/>
                <w:color w:val="auto"/>
              </w:rPr>
            </w:pPr>
            <w:r>
              <w:rPr>
                <w:rFonts w:ascii="Calibri" w:cs="Calibri" w:eastAsia="Calibri" w:hAnsi="Calibri"/>
                <w:sz w:val="20"/>
                <w:szCs w:val="20"/>
                <w:color w:val="auto"/>
              </w:rPr>
              <w:t>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351"/>
        </w:trPr>
        <w:tc>
          <w:tcPr>
            <w:tcW w:w="4400" w:type="dxa"/>
            <w:vAlign w:val="bottom"/>
            <w:gridSpan w:val="7"/>
          </w:tcPr>
          <w:p>
            <w:pPr>
              <w:spacing w:after="0"/>
              <w:rPr>
                <w:sz w:val="20"/>
                <w:szCs w:val="20"/>
                <w:color w:val="auto"/>
              </w:rPr>
            </w:pPr>
            <w:r>
              <w:rPr>
                <w:rFonts w:ascii="Calibri" w:cs="Calibri" w:eastAsia="Calibri" w:hAnsi="Calibri"/>
                <w:sz w:val="20"/>
                <w:szCs w:val="20"/>
                <w:color w:val="auto"/>
              </w:rPr>
              <w:t>Artcle 5 Conditons Precedent to Each Disbursement</w:t>
            </w:r>
          </w:p>
        </w:tc>
        <w:tc>
          <w:tcPr>
            <w:tcW w:w="480" w:type="dxa"/>
            <w:vAlign w:val="bottom"/>
          </w:tcPr>
          <w:p>
            <w:pPr>
              <w:ind w:left="120"/>
              <w:spacing w:after="0"/>
              <w:rPr>
                <w:sz w:val="20"/>
                <w:szCs w:val="20"/>
                <w:color w:val="auto"/>
              </w:rPr>
            </w:pPr>
            <w:r>
              <w:rPr>
                <w:rFonts w:ascii="Calibri" w:cs="Calibri" w:eastAsia="Calibri" w:hAnsi="Calibri"/>
                <w:sz w:val="20"/>
                <w:szCs w:val="20"/>
                <w:color w:val="auto"/>
              </w:rPr>
              <w:t>9</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1700" w:type="dxa"/>
            <w:vAlign w:val="bottom"/>
          </w:tcPr>
          <w:p>
            <w:pPr>
              <w:ind w:left="660"/>
              <w:spacing w:after="0" w:line="243" w:lineRule="exact"/>
              <w:rPr>
                <w:sz w:val="20"/>
                <w:szCs w:val="20"/>
                <w:color w:val="auto"/>
              </w:rPr>
            </w:pPr>
            <w:r>
              <w:rPr>
                <w:rFonts w:ascii="Calibri" w:cs="Calibri" w:eastAsia="Calibri" w:hAnsi="Calibri"/>
                <w:sz w:val="20"/>
                <w:szCs w:val="20"/>
                <w:color w:val="auto"/>
              </w:rPr>
              <w:t>Secton 5.1</w:t>
            </w:r>
          </w:p>
        </w:tc>
        <w:tc>
          <w:tcPr>
            <w:tcW w:w="5060" w:type="dxa"/>
            <w:vAlign w:val="bottom"/>
            <w:gridSpan w:val="8"/>
          </w:tcPr>
          <w:p>
            <w:pPr>
              <w:ind w:left="60"/>
              <w:spacing w:after="0" w:line="243" w:lineRule="exact"/>
              <w:rPr>
                <w:sz w:val="20"/>
                <w:szCs w:val="20"/>
                <w:color w:val="auto"/>
              </w:rPr>
            </w:pPr>
            <w:r>
              <w:rPr>
                <w:rFonts w:ascii="Calibri" w:cs="Calibri" w:eastAsia="Calibri" w:hAnsi="Calibri"/>
                <w:sz w:val="20"/>
                <w:szCs w:val="20"/>
                <w:color w:val="auto"/>
              </w:rPr>
              <w:t>Conditons Precedent to Each Direct Funding Disbursement</w:t>
            </w:r>
          </w:p>
        </w:tc>
        <w:tc>
          <w:tcPr>
            <w:tcW w:w="340" w:type="dxa"/>
            <w:vAlign w:val="bottom"/>
          </w:tcPr>
          <w:p>
            <w:pPr>
              <w:jc w:val="right"/>
              <w:ind w:right="101"/>
              <w:spacing w:after="0" w:line="243" w:lineRule="exact"/>
              <w:rPr>
                <w:sz w:val="20"/>
                <w:szCs w:val="20"/>
                <w:color w:val="auto"/>
              </w:rPr>
            </w:pPr>
            <w:r>
              <w:rPr>
                <w:rFonts w:ascii="Calibri" w:cs="Calibri" w:eastAsia="Calibri" w:hAnsi="Calibri"/>
                <w:sz w:val="20"/>
                <w:szCs w:val="20"/>
                <w:color w:val="auto"/>
              </w:rPr>
              <w:t>9</w:t>
            </w:r>
          </w:p>
        </w:tc>
      </w:tr>
      <w:tr>
        <w:trPr>
          <w:trHeight w:val="351"/>
        </w:trPr>
        <w:tc>
          <w:tcPr>
            <w:tcW w:w="3540" w:type="dxa"/>
            <w:vAlign w:val="bottom"/>
            <w:gridSpan w:val="4"/>
          </w:tcPr>
          <w:p>
            <w:pPr>
              <w:spacing w:after="0"/>
              <w:rPr>
                <w:sz w:val="20"/>
                <w:szCs w:val="20"/>
                <w:color w:val="auto"/>
              </w:rPr>
            </w:pPr>
            <w:r>
              <w:rPr>
                <w:rFonts w:ascii="Calibri" w:cs="Calibri" w:eastAsia="Calibri" w:hAnsi="Calibri"/>
                <w:sz w:val="20"/>
                <w:szCs w:val="20"/>
                <w:color w:val="auto"/>
              </w:rPr>
              <w:t>Artcle 6 Representatons and Warrantes</w:t>
            </w:r>
          </w:p>
        </w:tc>
        <w:tc>
          <w:tcPr>
            <w:tcW w:w="500" w:type="dxa"/>
            <w:vAlign w:val="bottom"/>
            <w:gridSpan w:val="2"/>
          </w:tcPr>
          <w:p>
            <w:pPr>
              <w:jc w:val="right"/>
              <w:ind w:right="181"/>
              <w:spacing w:after="0"/>
              <w:rPr>
                <w:sz w:val="20"/>
                <w:szCs w:val="20"/>
                <w:color w:val="auto"/>
              </w:rPr>
            </w:pPr>
            <w:r>
              <w:rPr>
                <w:rFonts w:ascii="Calibri" w:cs="Calibri" w:eastAsia="Calibri" w:hAnsi="Calibri"/>
                <w:sz w:val="20"/>
                <w:szCs w:val="20"/>
                <w:color w:val="auto"/>
                <w:w w:val="98"/>
              </w:rPr>
              <w:t>12</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6.1</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Organizaton  12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6.2</w:t>
            </w:r>
          </w:p>
        </w:tc>
        <w:tc>
          <w:tcPr>
            <w:tcW w:w="2340" w:type="dxa"/>
            <w:vAlign w:val="bottom"/>
            <w:gridSpan w:val="5"/>
          </w:tcPr>
          <w:p>
            <w:pPr>
              <w:ind w:left="60"/>
              <w:spacing w:after="0"/>
              <w:rPr>
                <w:sz w:val="20"/>
                <w:szCs w:val="20"/>
                <w:color w:val="auto"/>
              </w:rPr>
            </w:pPr>
            <w:r>
              <w:rPr>
                <w:rFonts w:ascii="Calibri" w:cs="Calibri" w:eastAsia="Calibri" w:hAnsi="Calibri"/>
                <w:sz w:val="20"/>
                <w:szCs w:val="20"/>
                <w:color w:val="auto"/>
              </w:rPr>
              <w:t>Authorizaton; No Confict</w:t>
            </w:r>
          </w:p>
        </w:tc>
        <w:tc>
          <w:tcPr>
            <w:tcW w:w="360" w:type="dxa"/>
            <w:vAlign w:val="bottom"/>
          </w:tcPr>
          <w:p>
            <w:pPr>
              <w:jc w:val="center"/>
              <w:spacing w:after="0"/>
              <w:rPr>
                <w:sz w:val="20"/>
                <w:szCs w:val="20"/>
                <w:color w:val="auto"/>
              </w:rPr>
            </w:pPr>
            <w:r>
              <w:rPr>
                <w:rFonts w:ascii="Calibri" w:cs="Calibri" w:eastAsia="Calibri" w:hAnsi="Calibri"/>
                <w:sz w:val="20"/>
                <w:szCs w:val="20"/>
                <w:color w:val="auto"/>
                <w:w w:val="98"/>
              </w:rPr>
              <w:t>12</w:t>
            </w: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6.3</w:t>
            </w:r>
          </w:p>
        </w:tc>
        <w:tc>
          <w:tcPr>
            <w:tcW w:w="2040" w:type="dxa"/>
            <w:vAlign w:val="bottom"/>
            <w:gridSpan w:val="4"/>
          </w:tcPr>
          <w:p>
            <w:pPr>
              <w:ind w:left="60"/>
              <w:spacing w:after="0"/>
              <w:rPr>
                <w:sz w:val="20"/>
                <w:szCs w:val="20"/>
                <w:color w:val="auto"/>
              </w:rPr>
            </w:pPr>
            <w:r>
              <w:rPr>
                <w:rFonts w:ascii="Calibri" w:cs="Calibri" w:eastAsia="Calibri" w:hAnsi="Calibri"/>
                <w:sz w:val="20"/>
                <w:szCs w:val="20"/>
                <w:color w:val="auto"/>
              </w:rPr>
              <w:t>Compliance with Laws</w:t>
            </w:r>
          </w:p>
        </w:tc>
        <w:tc>
          <w:tcPr>
            <w:tcW w:w="300" w:type="dxa"/>
            <w:vAlign w:val="bottom"/>
          </w:tcPr>
          <w:p>
            <w:pPr>
              <w:ind w:left="20"/>
              <w:spacing w:after="0"/>
              <w:rPr>
                <w:sz w:val="20"/>
                <w:szCs w:val="20"/>
                <w:color w:val="auto"/>
              </w:rPr>
            </w:pPr>
            <w:r>
              <w:rPr>
                <w:rFonts w:ascii="Calibri" w:cs="Calibri" w:eastAsia="Calibri" w:hAnsi="Calibri"/>
                <w:sz w:val="20"/>
                <w:szCs w:val="20"/>
                <w:color w:val="auto"/>
              </w:rPr>
              <w:t>12</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6.4</w:t>
            </w:r>
          </w:p>
        </w:tc>
        <w:tc>
          <w:tcPr>
            <w:tcW w:w="2700" w:type="dxa"/>
            <w:vAlign w:val="bottom"/>
            <w:gridSpan w:val="6"/>
          </w:tcPr>
          <w:p>
            <w:pPr>
              <w:ind w:left="60"/>
              <w:spacing w:after="0"/>
              <w:rPr>
                <w:sz w:val="20"/>
                <w:szCs w:val="20"/>
                <w:color w:val="auto"/>
              </w:rPr>
            </w:pPr>
            <w:r>
              <w:rPr>
                <w:rFonts w:ascii="Calibri" w:cs="Calibri" w:eastAsia="Calibri" w:hAnsi="Calibri"/>
                <w:sz w:val="20"/>
                <w:szCs w:val="20"/>
                <w:color w:val="auto"/>
              </w:rPr>
              <w:t>Legality; Validity; Enforceability</w:t>
            </w:r>
          </w:p>
        </w:tc>
        <w:tc>
          <w:tcPr>
            <w:tcW w:w="480" w:type="dxa"/>
            <w:vAlign w:val="bottom"/>
          </w:tcPr>
          <w:p>
            <w:pPr>
              <w:ind w:left="100"/>
              <w:spacing w:after="0"/>
              <w:rPr>
                <w:sz w:val="20"/>
                <w:szCs w:val="20"/>
                <w:color w:val="auto"/>
              </w:rPr>
            </w:pPr>
            <w:r>
              <w:rPr>
                <w:rFonts w:ascii="Calibri" w:cs="Calibri" w:eastAsia="Calibri" w:hAnsi="Calibri"/>
                <w:sz w:val="20"/>
                <w:szCs w:val="20"/>
                <w:color w:val="auto"/>
              </w:rPr>
              <w:t>13</w:t>
            </w: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6.5</w:t>
            </w:r>
          </w:p>
        </w:tc>
        <w:tc>
          <w:tcPr>
            <w:tcW w:w="1340" w:type="dxa"/>
            <w:vAlign w:val="bottom"/>
            <w:gridSpan w:val="2"/>
          </w:tcPr>
          <w:p>
            <w:pPr>
              <w:ind w:left="60"/>
              <w:spacing w:after="0"/>
              <w:rPr>
                <w:sz w:val="20"/>
                <w:szCs w:val="20"/>
                <w:color w:val="auto"/>
              </w:rPr>
            </w:pPr>
            <w:r>
              <w:rPr>
                <w:rFonts w:ascii="Calibri" w:cs="Calibri" w:eastAsia="Calibri" w:hAnsi="Calibri"/>
                <w:sz w:val="20"/>
                <w:szCs w:val="20"/>
                <w:color w:val="auto"/>
              </w:rPr>
              <w:t>Real Property</w:t>
            </w:r>
          </w:p>
        </w:tc>
        <w:tc>
          <w:tcPr>
            <w:tcW w:w="500" w:type="dxa"/>
            <w:vAlign w:val="bottom"/>
          </w:tcPr>
          <w:p>
            <w:pPr>
              <w:ind w:left="20"/>
              <w:spacing w:after="0"/>
              <w:rPr>
                <w:sz w:val="20"/>
                <w:szCs w:val="20"/>
                <w:color w:val="auto"/>
              </w:rPr>
            </w:pPr>
            <w:r>
              <w:rPr>
                <w:rFonts w:ascii="Calibri" w:cs="Calibri" w:eastAsia="Calibri" w:hAnsi="Calibri"/>
                <w:sz w:val="20"/>
                <w:szCs w:val="20"/>
                <w:color w:val="auto"/>
              </w:rPr>
              <w:t>13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6.6</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Required Approvals</w:t>
            </w:r>
          </w:p>
        </w:tc>
        <w:tc>
          <w:tcPr>
            <w:tcW w:w="200" w:type="dxa"/>
            <w:vAlign w:val="bottom"/>
          </w:tcPr>
          <w:p>
            <w:pPr>
              <w:jc w:val="right"/>
              <w:spacing w:after="0"/>
              <w:rPr>
                <w:sz w:val="20"/>
                <w:szCs w:val="20"/>
                <w:color w:val="auto"/>
              </w:rPr>
            </w:pPr>
            <w:r>
              <w:rPr>
                <w:rFonts w:ascii="Calibri" w:cs="Calibri" w:eastAsia="Calibri" w:hAnsi="Calibri"/>
                <w:sz w:val="20"/>
                <w:szCs w:val="20"/>
                <w:color w:val="auto"/>
                <w:w w:val="88"/>
              </w:rPr>
              <w:t>14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6.7</w:t>
            </w:r>
          </w:p>
        </w:tc>
        <w:tc>
          <w:tcPr>
            <w:tcW w:w="1840" w:type="dxa"/>
            <w:vAlign w:val="bottom"/>
            <w:gridSpan w:val="3"/>
          </w:tcPr>
          <w:p>
            <w:pPr>
              <w:ind w:left="60"/>
              <w:spacing w:after="0"/>
              <w:rPr>
                <w:sz w:val="20"/>
                <w:szCs w:val="20"/>
                <w:color w:val="auto"/>
              </w:rPr>
            </w:pPr>
            <w:r>
              <w:rPr>
                <w:rFonts w:ascii="Calibri" w:cs="Calibri" w:eastAsia="Calibri" w:hAnsi="Calibri"/>
                <w:sz w:val="20"/>
                <w:szCs w:val="20"/>
                <w:color w:val="auto"/>
              </w:rPr>
              <w:t>Intellectual Property</w:t>
            </w:r>
          </w:p>
        </w:tc>
        <w:tc>
          <w:tcPr>
            <w:tcW w:w="500" w:type="dxa"/>
            <w:vAlign w:val="bottom"/>
            <w:gridSpan w:val="2"/>
          </w:tcPr>
          <w:p>
            <w:pPr>
              <w:jc w:val="right"/>
              <w:ind w:right="121"/>
              <w:spacing w:after="0"/>
              <w:rPr>
                <w:sz w:val="20"/>
                <w:szCs w:val="20"/>
                <w:color w:val="auto"/>
              </w:rPr>
            </w:pPr>
            <w:r>
              <w:rPr>
                <w:rFonts w:ascii="Calibri" w:cs="Calibri" w:eastAsia="Calibri" w:hAnsi="Calibri"/>
                <w:sz w:val="20"/>
                <w:szCs w:val="20"/>
                <w:color w:val="auto"/>
              </w:rPr>
              <w:t>14</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6.8</w:t>
            </w:r>
          </w:p>
        </w:tc>
        <w:tc>
          <w:tcPr>
            <w:tcW w:w="1000" w:type="dxa"/>
            <w:vAlign w:val="bottom"/>
          </w:tcPr>
          <w:p>
            <w:pPr>
              <w:ind w:left="60"/>
              <w:spacing w:after="0"/>
              <w:rPr>
                <w:sz w:val="20"/>
                <w:szCs w:val="20"/>
                <w:color w:val="auto"/>
              </w:rPr>
            </w:pPr>
            <w:r>
              <w:rPr>
                <w:rFonts w:ascii="Calibri" w:cs="Calibri" w:eastAsia="Calibri" w:hAnsi="Calibri"/>
                <w:sz w:val="20"/>
                <w:szCs w:val="20"/>
                <w:color w:val="auto"/>
              </w:rPr>
              <w:t>Litgaton</w:t>
            </w:r>
          </w:p>
        </w:tc>
        <w:tc>
          <w:tcPr>
            <w:tcW w:w="340" w:type="dxa"/>
            <w:vAlign w:val="bottom"/>
          </w:tcPr>
          <w:p>
            <w:pPr>
              <w:jc w:val="right"/>
              <w:ind w:right="41"/>
              <w:spacing w:after="0"/>
              <w:rPr>
                <w:sz w:val="20"/>
                <w:szCs w:val="20"/>
                <w:color w:val="auto"/>
              </w:rPr>
            </w:pPr>
            <w:r>
              <w:rPr>
                <w:rFonts w:ascii="Calibri" w:cs="Calibri" w:eastAsia="Calibri" w:hAnsi="Calibri"/>
                <w:sz w:val="20"/>
                <w:szCs w:val="20"/>
                <w:color w:val="auto"/>
                <w:w w:val="88"/>
              </w:rPr>
              <w:t>14</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6.9</w:t>
            </w:r>
          </w:p>
        </w:tc>
        <w:tc>
          <w:tcPr>
            <w:tcW w:w="1340" w:type="dxa"/>
            <w:vAlign w:val="bottom"/>
            <w:gridSpan w:val="2"/>
          </w:tcPr>
          <w:p>
            <w:pPr>
              <w:ind w:left="60"/>
              <w:spacing w:after="0"/>
              <w:rPr>
                <w:sz w:val="20"/>
                <w:szCs w:val="20"/>
                <w:color w:val="auto"/>
              </w:rPr>
            </w:pPr>
            <w:r>
              <w:rPr>
                <w:rFonts w:ascii="Calibri" w:cs="Calibri" w:eastAsia="Calibri" w:hAnsi="Calibri"/>
                <w:sz w:val="20"/>
                <w:szCs w:val="20"/>
                <w:color w:val="auto"/>
              </w:rPr>
              <w:t>Labor Disputes</w:t>
            </w:r>
          </w:p>
        </w:tc>
        <w:tc>
          <w:tcPr>
            <w:tcW w:w="500" w:type="dxa"/>
            <w:vAlign w:val="bottom"/>
          </w:tcPr>
          <w:p>
            <w:pPr>
              <w:ind w:left="120"/>
              <w:spacing w:after="0"/>
              <w:rPr>
                <w:sz w:val="20"/>
                <w:szCs w:val="20"/>
                <w:color w:val="auto"/>
              </w:rPr>
            </w:pPr>
            <w:r>
              <w:rPr>
                <w:rFonts w:ascii="Calibri" w:cs="Calibri" w:eastAsia="Calibri" w:hAnsi="Calibri"/>
                <w:sz w:val="20"/>
                <w:szCs w:val="20"/>
                <w:color w:val="auto"/>
              </w:rPr>
              <w:t>15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6.10</w:t>
            </w:r>
          </w:p>
        </w:tc>
        <w:tc>
          <w:tcPr>
            <w:tcW w:w="1000" w:type="dxa"/>
            <w:vAlign w:val="bottom"/>
          </w:tcPr>
          <w:p>
            <w:pPr>
              <w:ind w:left="160"/>
              <w:spacing w:after="0"/>
              <w:rPr>
                <w:sz w:val="20"/>
                <w:szCs w:val="20"/>
                <w:color w:val="auto"/>
              </w:rPr>
            </w:pPr>
            <w:r>
              <w:rPr>
                <w:rFonts w:ascii="Calibri" w:cs="Calibri" w:eastAsia="Calibri" w:hAnsi="Calibri"/>
                <w:sz w:val="20"/>
                <w:szCs w:val="20"/>
                <w:color w:val="auto"/>
              </w:rPr>
              <w:t>Taxes  15</w:t>
            </w: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6.11</w:t>
            </w:r>
          </w:p>
        </w:tc>
        <w:tc>
          <w:tcPr>
            <w:tcW w:w="2040" w:type="dxa"/>
            <w:vAlign w:val="bottom"/>
            <w:gridSpan w:val="4"/>
          </w:tcPr>
          <w:p>
            <w:pPr>
              <w:ind w:left="160"/>
              <w:spacing w:after="0"/>
              <w:rPr>
                <w:sz w:val="20"/>
                <w:szCs w:val="20"/>
                <w:color w:val="auto"/>
              </w:rPr>
            </w:pPr>
            <w:r>
              <w:rPr>
                <w:rFonts w:ascii="Calibri" w:cs="Calibri" w:eastAsia="Calibri" w:hAnsi="Calibri"/>
                <w:sz w:val="20"/>
                <w:szCs w:val="20"/>
                <w:color w:val="auto"/>
              </w:rPr>
              <w:t>Financial Statements</w:t>
            </w:r>
          </w:p>
        </w:tc>
        <w:tc>
          <w:tcPr>
            <w:tcW w:w="300" w:type="dxa"/>
            <w:vAlign w:val="bottom"/>
          </w:tcPr>
          <w:p>
            <w:pPr>
              <w:jc w:val="right"/>
              <w:spacing w:after="0"/>
              <w:rPr>
                <w:sz w:val="20"/>
                <w:szCs w:val="20"/>
                <w:color w:val="auto"/>
              </w:rPr>
            </w:pPr>
            <w:r>
              <w:rPr>
                <w:rFonts w:ascii="Calibri" w:cs="Calibri" w:eastAsia="Calibri" w:hAnsi="Calibri"/>
                <w:sz w:val="20"/>
                <w:szCs w:val="20"/>
                <w:color w:val="auto"/>
                <w:w w:val="98"/>
              </w:rPr>
              <w:t>15</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6.12</w:t>
            </w:r>
          </w:p>
        </w:tc>
        <w:tc>
          <w:tcPr>
            <w:tcW w:w="2700" w:type="dxa"/>
            <w:vAlign w:val="bottom"/>
            <w:gridSpan w:val="6"/>
          </w:tcPr>
          <w:p>
            <w:pPr>
              <w:ind w:left="160"/>
              <w:spacing w:after="0"/>
              <w:rPr>
                <w:sz w:val="20"/>
                <w:szCs w:val="20"/>
                <w:color w:val="auto"/>
              </w:rPr>
            </w:pPr>
            <w:r>
              <w:rPr>
                <w:rFonts w:ascii="Calibri" w:cs="Calibri" w:eastAsia="Calibri" w:hAnsi="Calibri"/>
                <w:sz w:val="20"/>
                <w:szCs w:val="20"/>
                <w:color w:val="auto"/>
              </w:rPr>
              <w:t>Contracts; Other Transactons</w:t>
            </w:r>
          </w:p>
        </w:tc>
        <w:tc>
          <w:tcPr>
            <w:tcW w:w="480" w:type="dxa"/>
            <w:vAlign w:val="bottom"/>
          </w:tcPr>
          <w:p>
            <w:pPr>
              <w:ind w:left="80"/>
              <w:spacing w:after="0"/>
              <w:rPr>
                <w:sz w:val="20"/>
                <w:szCs w:val="20"/>
                <w:color w:val="auto"/>
              </w:rPr>
            </w:pPr>
            <w:r>
              <w:rPr>
                <w:rFonts w:ascii="Calibri" w:cs="Calibri" w:eastAsia="Calibri" w:hAnsi="Calibri"/>
                <w:sz w:val="20"/>
                <w:szCs w:val="20"/>
                <w:color w:val="auto"/>
              </w:rPr>
              <w:t>15</w:t>
            </w: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00" w:type="dxa"/>
            <w:vAlign w:val="bottom"/>
          </w:tcPr>
          <w:p>
            <w:pPr>
              <w:ind w:left="660"/>
              <w:spacing w:after="0"/>
              <w:rPr>
                <w:sz w:val="20"/>
                <w:szCs w:val="20"/>
                <w:color w:val="auto"/>
              </w:rPr>
            </w:pPr>
            <w:r>
              <w:rPr>
                <w:rFonts w:ascii="Calibri" w:cs="Calibri" w:eastAsia="Calibri" w:hAnsi="Calibri"/>
                <w:sz w:val="20"/>
                <w:szCs w:val="20"/>
                <w:color w:val="auto"/>
              </w:rPr>
              <w:t>Secton 6.13</w:t>
            </w:r>
          </w:p>
        </w:tc>
        <w:tc>
          <w:tcPr>
            <w:tcW w:w="5060" w:type="dxa"/>
            <w:vAlign w:val="bottom"/>
            <w:gridSpan w:val="8"/>
          </w:tcPr>
          <w:p>
            <w:pPr>
              <w:ind w:left="160"/>
              <w:spacing w:after="0"/>
              <w:rPr>
                <w:sz w:val="20"/>
                <w:szCs w:val="20"/>
                <w:color w:val="auto"/>
              </w:rPr>
            </w:pPr>
            <w:r>
              <w:rPr>
                <w:rFonts w:ascii="Calibri" w:cs="Calibri" w:eastAsia="Calibri" w:hAnsi="Calibri"/>
                <w:sz w:val="20"/>
                <w:szCs w:val="20"/>
                <w:color w:val="auto"/>
              </w:rPr>
              <w:t>Constructon and Tool Installaton Budget; Project Schedule</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00"/>
        <w:spacing w:after="0"/>
        <w:rPr>
          <w:sz w:val="20"/>
          <w:szCs w:val="20"/>
          <w:color w:val="auto"/>
        </w:rPr>
      </w:pPr>
      <w:r>
        <w:rPr>
          <w:rFonts w:ascii="Calibri" w:cs="Calibri" w:eastAsia="Calibri" w:hAnsi="Calibri"/>
          <w:sz w:val="18"/>
          <w:szCs w:val="18"/>
          <w:color w:val="auto"/>
        </w:rPr>
        <w:t>i</w:t>
      </w:r>
    </w:p>
    <w:p>
      <w:pPr>
        <w:sectPr>
          <w:pgSz w:w="11900" w:h="16838" w:orient="portrait"/>
          <w:cols w:equalWidth="0" w:num="1">
            <w:col w:w="10139"/>
          </w:cols>
          <w:pgMar w:left="320" w:top="1401" w:right="1440"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44"/>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6.14</w:t>
            </w:r>
          </w:p>
        </w:tc>
        <w:tc>
          <w:tcPr>
            <w:tcW w:w="100" w:type="dxa"/>
            <w:vAlign w:val="bottom"/>
          </w:tcPr>
          <w:p>
            <w:pPr>
              <w:spacing w:after="0"/>
              <w:rPr>
                <w:sz w:val="21"/>
                <w:szCs w:val="21"/>
                <w:color w:val="auto"/>
              </w:rPr>
            </w:pPr>
          </w:p>
        </w:tc>
        <w:tc>
          <w:tcPr>
            <w:tcW w:w="2200" w:type="dxa"/>
            <w:vAlign w:val="bottom"/>
            <w:gridSpan w:val="6"/>
          </w:tcPr>
          <w:p>
            <w:pPr>
              <w:ind w:left="40"/>
              <w:spacing w:after="0"/>
              <w:rPr>
                <w:sz w:val="20"/>
                <w:szCs w:val="20"/>
                <w:color w:val="auto"/>
              </w:rPr>
            </w:pPr>
            <w:r>
              <w:rPr>
                <w:rFonts w:ascii="Calibri" w:cs="Calibri" w:eastAsia="Calibri" w:hAnsi="Calibri"/>
                <w:sz w:val="20"/>
                <w:szCs w:val="20"/>
                <w:color w:val="auto"/>
              </w:rPr>
              <w:t>Adequate Project Funding</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16</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6.15</w:t>
            </w:r>
          </w:p>
        </w:tc>
        <w:tc>
          <w:tcPr>
            <w:tcW w:w="100" w:type="dxa"/>
            <w:vAlign w:val="bottom"/>
          </w:tcPr>
          <w:p>
            <w:pPr>
              <w:spacing w:after="0"/>
              <w:rPr>
                <w:sz w:val="22"/>
                <w:szCs w:val="22"/>
                <w:color w:val="auto"/>
              </w:rPr>
            </w:pPr>
          </w:p>
        </w:tc>
        <w:tc>
          <w:tcPr>
            <w:tcW w:w="1800" w:type="dxa"/>
            <w:vAlign w:val="bottom"/>
            <w:gridSpan w:val="4"/>
          </w:tcPr>
          <w:p>
            <w:pPr>
              <w:ind w:left="40"/>
              <w:spacing w:after="0"/>
              <w:rPr>
                <w:sz w:val="20"/>
                <w:szCs w:val="20"/>
                <w:color w:val="auto"/>
              </w:rPr>
            </w:pPr>
            <w:r>
              <w:rPr>
                <w:rFonts w:ascii="Calibri" w:cs="Calibri" w:eastAsia="Calibri" w:hAnsi="Calibri"/>
                <w:sz w:val="20"/>
                <w:szCs w:val="20"/>
                <w:color w:val="auto"/>
              </w:rPr>
              <w:t>Environmental Laws</w:t>
            </w:r>
          </w:p>
        </w:tc>
        <w:tc>
          <w:tcPr>
            <w:tcW w:w="400" w:type="dxa"/>
            <w:vAlign w:val="bottom"/>
            <w:gridSpan w:val="2"/>
          </w:tcPr>
          <w:p>
            <w:pPr>
              <w:jc w:val="right"/>
              <w:ind w:right="21"/>
              <w:spacing w:after="0"/>
              <w:rPr>
                <w:sz w:val="20"/>
                <w:szCs w:val="20"/>
                <w:color w:val="auto"/>
              </w:rPr>
            </w:pPr>
            <w:r>
              <w:rPr>
                <w:rFonts w:ascii="Calibri" w:cs="Calibri" w:eastAsia="Calibri" w:hAnsi="Calibri"/>
                <w:sz w:val="20"/>
                <w:szCs w:val="20"/>
                <w:color w:val="auto"/>
              </w:rPr>
              <w:t>17</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6.16</w:t>
            </w:r>
          </w:p>
        </w:tc>
        <w:tc>
          <w:tcPr>
            <w:tcW w:w="100" w:type="dxa"/>
            <w:vAlign w:val="bottom"/>
          </w:tcPr>
          <w:p>
            <w:pPr>
              <w:spacing w:after="0"/>
              <w:rPr>
                <w:sz w:val="22"/>
                <w:szCs w:val="22"/>
                <w:color w:val="auto"/>
              </w:rPr>
            </w:pPr>
          </w:p>
        </w:tc>
        <w:tc>
          <w:tcPr>
            <w:tcW w:w="2020" w:type="dxa"/>
            <w:vAlign w:val="bottom"/>
            <w:gridSpan w:val="5"/>
          </w:tcPr>
          <w:p>
            <w:pPr>
              <w:ind w:left="40"/>
              <w:spacing w:after="0"/>
              <w:rPr>
                <w:sz w:val="20"/>
                <w:szCs w:val="20"/>
                <w:color w:val="auto"/>
              </w:rPr>
            </w:pPr>
            <w:r>
              <w:rPr>
                <w:rFonts w:ascii="Calibri" w:cs="Calibri" w:eastAsia="Calibri" w:hAnsi="Calibri"/>
                <w:sz w:val="20"/>
                <w:szCs w:val="20"/>
                <w:color w:val="auto"/>
              </w:rPr>
              <w:t>Federal Requirements</w:t>
            </w:r>
          </w:p>
        </w:tc>
        <w:tc>
          <w:tcPr>
            <w:tcW w:w="580" w:type="dxa"/>
            <w:vAlign w:val="bottom"/>
            <w:gridSpan w:val="2"/>
          </w:tcPr>
          <w:p>
            <w:pPr>
              <w:jc w:val="right"/>
              <w:ind w:right="261"/>
              <w:spacing w:after="0"/>
              <w:rPr>
                <w:sz w:val="20"/>
                <w:szCs w:val="20"/>
                <w:color w:val="auto"/>
              </w:rPr>
            </w:pPr>
            <w:r>
              <w:rPr>
                <w:rFonts w:ascii="Calibri" w:cs="Calibri" w:eastAsia="Calibri" w:hAnsi="Calibri"/>
                <w:sz w:val="20"/>
                <w:szCs w:val="20"/>
                <w:color w:val="auto"/>
                <w:w w:val="98"/>
              </w:rPr>
              <w:t>17</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70"/>
        </w:trPr>
        <w:tc>
          <w:tcPr>
            <w:tcW w:w="10580" w:type="dxa"/>
            <w:vAlign w:val="bottom"/>
            <w:gridSpan w:val="12"/>
          </w:tcPr>
          <w:p>
            <w:pPr>
              <w:ind w:left="660"/>
              <w:spacing w:after="0"/>
              <w:rPr>
                <w:sz w:val="20"/>
                <w:szCs w:val="20"/>
                <w:color w:val="auto"/>
              </w:rPr>
            </w:pPr>
            <w:r>
              <w:rPr>
                <w:rFonts w:ascii="Calibri" w:cs="Calibri" w:eastAsia="Calibri" w:hAnsi="Calibri"/>
                <w:sz w:val="20"/>
                <w:szCs w:val="20"/>
                <w:color w:val="auto"/>
              </w:rPr>
              <w:t>Secton 6.17   Foreign Entty of Concern; Prohibited Persons; Sanctons; Export Controls; Ant-Corrupton; Ant-Money</w:t>
            </w:r>
          </w:p>
        </w:tc>
      </w:tr>
      <w:tr>
        <w:trPr>
          <w:trHeight w:val="243"/>
        </w:trPr>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ind w:left="140"/>
              <w:spacing w:after="0" w:line="243" w:lineRule="exact"/>
              <w:rPr>
                <w:sz w:val="20"/>
                <w:szCs w:val="20"/>
                <w:color w:val="auto"/>
              </w:rPr>
            </w:pPr>
            <w:r>
              <w:rPr>
                <w:rFonts w:ascii="Calibri" w:cs="Calibri" w:eastAsia="Calibri" w:hAnsi="Calibri"/>
                <w:sz w:val="20"/>
                <w:szCs w:val="20"/>
                <w:color w:val="auto"/>
              </w:rPr>
              <w:t>Laundering Laws</w:t>
            </w:r>
          </w:p>
        </w:tc>
        <w:tc>
          <w:tcPr>
            <w:tcW w:w="360" w:type="dxa"/>
            <w:vAlign w:val="bottom"/>
            <w:gridSpan w:val="2"/>
          </w:tcPr>
          <w:p>
            <w:pPr>
              <w:jc w:val="right"/>
              <w:ind w:right="41"/>
              <w:spacing w:after="0" w:line="243" w:lineRule="exact"/>
              <w:rPr>
                <w:sz w:val="20"/>
                <w:szCs w:val="20"/>
                <w:color w:val="auto"/>
              </w:rPr>
            </w:pPr>
            <w:r>
              <w:rPr>
                <w:rFonts w:ascii="Calibri" w:cs="Calibri" w:eastAsia="Calibri" w:hAnsi="Calibri"/>
                <w:sz w:val="20"/>
                <w:szCs w:val="20"/>
                <w:color w:val="auto"/>
                <w:w w:val="98"/>
              </w:rPr>
              <w:t>18</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1720" w:type="dxa"/>
            <w:vAlign w:val="bottom"/>
          </w:tcPr>
          <w:p>
            <w:pPr>
              <w:ind w:left="660"/>
              <w:spacing w:after="0" w:line="243" w:lineRule="exact"/>
              <w:rPr>
                <w:sz w:val="20"/>
                <w:szCs w:val="20"/>
                <w:color w:val="auto"/>
              </w:rPr>
            </w:pPr>
            <w:r>
              <w:rPr>
                <w:rFonts w:ascii="Calibri" w:cs="Calibri" w:eastAsia="Calibri" w:hAnsi="Calibri"/>
                <w:sz w:val="20"/>
                <w:szCs w:val="20"/>
                <w:color w:val="auto"/>
              </w:rPr>
              <w:t>Secton 6.18</w:t>
            </w:r>
          </w:p>
        </w:tc>
        <w:tc>
          <w:tcPr>
            <w:tcW w:w="100" w:type="dxa"/>
            <w:vAlign w:val="bottom"/>
          </w:tcPr>
          <w:p>
            <w:pPr>
              <w:spacing w:after="0"/>
              <w:rPr>
                <w:sz w:val="21"/>
                <w:szCs w:val="21"/>
                <w:color w:val="auto"/>
              </w:rPr>
            </w:pPr>
          </w:p>
        </w:tc>
        <w:tc>
          <w:tcPr>
            <w:tcW w:w="2020" w:type="dxa"/>
            <w:vAlign w:val="bottom"/>
            <w:gridSpan w:val="5"/>
          </w:tcPr>
          <w:p>
            <w:pPr>
              <w:ind w:left="40"/>
              <w:spacing w:after="0" w:line="243" w:lineRule="exact"/>
              <w:rPr>
                <w:sz w:val="20"/>
                <w:szCs w:val="20"/>
                <w:color w:val="auto"/>
              </w:rPr>
            </w:pPr>
            <w:r>
              <w:rPr>
                <w:rFonts w:ascii="Calibri" w:cs="Calibri" w:eastAsia="Calibri" w:hAnsi="Calibri"/>
                <w:sz w:val="20"/>
                <w:szCs w:val="20"/>
                <w:color w:val="auto"/>
              </w:rPr>
              <w:t>Insolvency Proceedings</w:t>
            </w:r>
          </w:p>
        </w:tc>
        <w:tc>
          <w:tcPr>
            <w:tcW w:w="580" w:type="dxa"/>
            <w:vAlign w:val="bottom"/>
            <w:gridSpan w:val="2"/>
          </w:tcPr>
          <w:p>
            <w:pPr>
              <w:jc w:val="right"/>
              <w:ind w:right="161"/>
              <w:spacing w:after="0" w:line="243" w:lineRule="exact"/>
              <w:rPr>
                <w:sz w:val="20"/>
                <w:szCs w:val="20"/>
                <w:color w:val="auto"/>
              </w:rPr>
            </w:pPr>
            <w:r>
              <w:rPr>
                <w:rFonts w:ascii="Calibri" w:cs="Calibri" w:eastAsia="Calibri" w:hAnsi="Calibri"/>
                <w:sz w:val="20"/>
                <w:szCs w:val="20"/>
                <w:color w:val="auto"/>
              </w:rPr>
              <w:t>19</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70"/>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6.19</w:t>
            </w:r>
          </w:p>
        </w:tc>
        <w:tc>
          <w:tcPr>
            <w:tcW w:w="10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Calibri" w:cs="Calibri" w:eastAsia="Calibri" w:hAnsi="Calibri"/>
                <w:sz w:val="20"/>
                <w:szCs w:val="20"/>
                <w:color w:val="auto"/>
                <w:w w:val="98"/>
              </w:rPr>
              <w:t>No Defaults</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20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6.20</w:t>
            </w:r>
          </w:p>
        </w:tc>
        <w:tc>
          <w:tcPr>
            <w:tcW w:w="100" w:type="dxa"/>
            <w:vAlign w:val="bottom"/>
          </w:tcPr>
          <w:p>
            <w:pPr>
              <w:spacing w:after="0"/>
              <w:rPr>
                <w:sz w:val="22"/>
                <w:szCs w:val="22"/>
                <w:color w:val="auto"/>
              </w:rPr>
            </w:pPr>
          </w:p>
        </w:tc>
        <w:tc>
          <w:tcPr>
            <w:tcW w:w="2020" w:type="dxa"/>
            <w:vAlign w:val="bottom"/>
            <w:gridSpan w:val="5"/>
          </w:tcPr>
          <w:p>
            <w:pPr>
              <w:ind w:left="40"/>
              <w:spacing w:after="0"/>
              <w:rPr>
                <w:sz w:val="20"/>
                <w:szCs w:val="20"/>
                <w:color w:val="auto"/>
              </w:rPr>
            </w:pPr>
            <w:r>
              <w:rPr>
                <w:rFonts w:ascii="Calibri" w:cs="Calibri" w:eastAsia="Calibri" w:hAnsi="Calibri"/>
                <w:sz w:val="20"/>
                <w:szCs w:val="20"/>
                <w:color w:val="auto"/>
              </w:rPr>
              <w:t>Material Adverse Efect</w:t>
            </w:r>
          </w:p>
        </w:tc>
        <w:tc>
          <w:tcPr>
            <w:tcW w:w="580" w:type="dxa"/>
            <w:vAlign w:val="bottom"/>
            <w:gridSpan w:val="2"/>
          </w:tcPr>
          <w:p>
            <w:pPr>
              <w:jc w:val="right"/>
              <w:ind w:right="161"/>
              <w:spacing w:after="0"/>
              <w:rPr>
                <w:sz w:val="20"/>
                <w:szCs w:val="20"/>
                <w:color w:val="auto"/>
              </w:rPr>
            </w:pPr>
            <w:r>
              <w:rPr>
                <w:rFonts w:ascii="Calibri" w:cs="Calibri" w:eastAsia="Calibri" w:hAnsi="Calibri"/>
                <w:sz w:val="20"/>
                <w:szCs w:val="20"/>
                <w:color w:val="auto"/>
              </w:rPr>
              <w:t>20</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6.21</w:t>
            </w:r>
          </w:p>
        </w:tc>
        <w:tc>
          <w:tcPr>
            <w:tcW w:w="10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Calibri" w:cs="Calibri" w:eastAsia="Calibri" w:hAnsi="Calibri"/>
                <w:sz w:val="20"/>
                <w:szCs w:val="20"/>
                <w:color w:val="auto"/>
              </w:rPr>
              <w:t>Full Disclosure</w:t>
            </w:r>
          </w:p>
        </w:tc>
        <w:tc>
          <w:tcPr>
            <w:tcW w:w="260" w:type="dxa"/>
            <w:vAlign w:val="bottom"/>
          </w:tcPr>
          <w:p>
            <w:pPr>
              <w:spacing w:after="0"/>
              <w:rPr>
                <w:sz w:val="20"/>
                <w:szCs w:val="20"/>
                <w:color w:val="auto"/>
              </w:rPr>
            </w:pPr>
            <w:r>
              <w:rPr>
                <w:rFonts w:ascii="Calibri" w:cs="Calibri" w:eastAsia="Calibri" w:hAnsi="Calibri"/>
                <w:sz w:val="20"/>
                <w:szCs w:val="20"/>
                <w:color w:val="auto"/>
              </w:rPr>
              <w:t>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6.22</w:t>
            </w:r>
          </w:p>
        </w:tc>
        <w:tc>
          <w:tcPr>
            <w:tcW w:w="100" w:type="dxa"/>
            <w:vAlign w:val="bottom"/>
          </w:tcPr>
          <w:p>
            <w:pPr>
              <w:spacing w:after="0"/>
              <w:rPr>
                <w:sz w:val="22"/>
                <w:szCs w:val="22"/>
                <w:color w:val="auto"/>
              </w:rPr>
            </w:pPr>
          </w:p>
        </w:tc>
        <w:tc>
          <w:tcPr>
            <w:tcW w:w="1660" w:type="dxa"/>
            <w:vAlign w:val="bottom"/>
            <w:gridSpan w:val="3"/>
          </w:tcPr>
          <w:p>
            <w:pPr>
              <w:ind w:left="40"/>
              <w:spacing w:after="0"/>
              <w:rPr>
                <w:sz w:val="20"/>
                <w:szCs w:val="20"/>
                <w:color w:val="auto"/>
              </w:rPr>
            </w:pPr>
            <w:r>
              <w:rPr>
                <w:rFonts w:ascii="Calibri" w:cs="Calibri" w:eastAsia="Calibri" w:hAnsi="Calibri"/>
                <w:sz w:val="20"/>
                <w:szCs w:val="20"/>
                <w:color w:val="auto"/>
              </w:rPr>
              <w:t>No Immunity  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6.23</w:t>
            </w:r>
          </w:p>
        </w:tc>
        <w:tc>
          <w:tcPr>
            <w:tcW w:w="100" w:type="dxa"/>
            <w:vAlign w:val="bottom"/>
          </w:tcPr>
          <w:p>
            <w:pPr>
              <w:spacing w:after="0"/>
              <w:rPr>
                <w:sz w:val="22"/>
                <w:szCs w:val="22"/>
                <w:color w:val="auto"/>
              </w:rPr>
            </w:pPr>
          </w:p>
        </w:tc>
        <w:tc>
          <w:tcPr>
            <w:tcW w:w="2600" w:type="dxa"/>
            <w:vAlign w:val="bottom"/>
            <w:gridSpan w:val="7"/>
          </w:tcPr>
          <w:p>
            <w:pPr>
              <w:ind w:left="40"/>
              <w:spacing w:after="0"/>
              <w:rPr>
                <w:sz w:val="20"/>
                <w:szCs w:val="20"/>
                <w:color w:val="auto"/>
              </w:rPr>
            </w:pPr>
            <w:r>
              <w:rPr>
                <w:rFonts w:ascii="Calibri" w:cs="Calibri" w:eastAsia="Calibri" w:hAnsi="Calibri"/>
                <w:sz w:val="20"/>
                <w:szCs w:val="20"/>
                <w:color w:val="auto"/>
              </w:rPr>
              <w:t>No Federal Debt Delinquency</w:t>
            </w:r>
          </w:p>
        </w:tc>
        <w:tc>
          <w:tcPr>
            <w:tcW w:w="840" w:type="dxa"/>
            <w:vAlign w:val="bottom"/>
          </w:tcPr>
          <w:p>
            <w:pPr>
              <w:jc w:val="right"/>
              <w:ind w:right="501"/>
              <w:spacing w:after="0"/>
              <w:rPr>
                <w:sz w:val="20"/>
                <w:szCs w:val="20"/>
                <w:color w:val="auto"/>
              </w:rPr>
            </w:pPr>
            <w:r>
              <w:rPr>
                <w:rFonts w:ascii="Calibri" w:cs="Calibri" w:eastAsia="Calibri" w:hAnsi="Calibri"/>
                <w:sz w:val="20"/>
                <w:szCs w:val="20"/>
                <w:color w:val="auto"/>
              </w:rPr>
              <w:t>20</w:t>
            </w: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6.24</w:t>
            </w:r>
          </w:p>
        </w:tc>
        <w:tc>
          <w:tcPr>
            <w:tcW w:w="10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Calibri" w:cs="Calibri" w:eastAsia="Calibri" w:hAnsi="Calibri"/>
                <w:sz w:val="20"/>
                <w:szCs w:val="20"/>
                <w:color w:val="auto"/>
              </w:rPr>
              <w:t>No Debarment</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70"/>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6.25</w:t>
            </w:r>
          </w:p>
        </w:tc>
        <w:tc>
          <w:tcPr>
            <w:tcW w:w="100" w:type="dxa"/>
            <w:vAlign w:val="bottom"/>
          </w:tcPr>
          <w:p>
            <w:pPr>
              <w:spacing w:after="0"/>
              <w:rPr>
                <w:sz w:val="23"/>
                <w:szCs w:val="23"/>
                <w:color w:val="auto"/>
              </w:rPr>
            </w:pPr>
          </w:p>
        </w:tc>
        <w:tc>
          <w:tcPr>
            <w:tcW w:w="3440" w:type="dxa"/>
            <w:vAlign w:val="bottom"/>
            <w:gridSpan w:val="8"/>
          </w:tcPr>
          <w:p>
            <w:pPr>
              <w:ind w:left="40"/>
              <w:spacing w:after="0"/>
              <w:rPr>
                <w:sz w:val="20"/>
                <w:szCs w:val="20"/>
                <w:color w:val="auto"/>
              </w:rPr>
            </w:pPr>
            <w:r>
              <w:rPr>
                <w:rFonts w:ascii="Calibri" w:cs="Calibri" w:eastAsia="Calibri" w:hAnsi="Calibri"/>
                <w:sz w:val="20"/>
                <w:szCs w:val="20"/>
                <w:color w:val="auto"/>
              </w:rPr>
              <w:t>Informaton Technology; Cyber Security</w:t>
            </w:r>
          </w:p>
        </w:tc>
        <w:tc>
          <w:tcPr>
            <w:tcW w:w="1020" w:type="dxa"/>
            <w:vAlign w:val="bottom"/>
          </w:tcPr>
          <w:p>
            <w:pPr>
              <w:jc w:val="right"/>
              <w:ind w:right="701"/>
              <w:spacing w:after="0"/>
              <w:rPr>
                <w:sz w:val="20"/>
                <w:szCs w:val="20"/>
                <w:color w:val="auto"/>
              </w:rPr>
            </w:pPr>
            <w:r>
              <w:rPr>
                <w:rFonts w:ascii="Calibri" w:cs="Calibri" w:eastAsia="Calibri" w:hAnsi="Calibri"/>
                <w:sz w:val="20"/>
                <w:szCs w:val="20"/>
                <w:color w:val="auto"/>
                <w:w w:val="98"/>
              </w:rPr>
              <w:t>20</w:t>
            </w:r>
          </w:p>
        </w:tc>
        <w:tc>
          <w:tcPr>
            <w:tcW w:w="4300" w:type="dxa"/>
            <w:vAlign w:val="bottom"/>
          </w:tcPr>
          <w:p>
            <w:pPr>
              <w:spacing w:after="0"/>
              <w:rPr>
                <w:sz w:val="23"/>
                <w:szCs w:val="23"/>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6.26</w:t>
            </w:r>
          </w:p>
        </w:tc>
        <w:tc>
          <w:tcPr>
            <w:tcW w:w="100" w:type="dxa"/>
            <w:vAlign w:val="bottom"/>
          </w:tcPr>
          <w:p>
            <w:pPr>
              <w:spacing w:after="0"/>
              <w:rPr>
                <w:sz w:val="22"/>
                <w:szCs w:val="22"/>
                <w:color w:val="auto"/>
              </w:rPr>
            </w:pPr>
          </w:p>
        </w:tc>
        <w:tc>
          <w:tcPr>
            <w:tcW w:w="3440" w:type="dxa"/>
            <w:vAlign w:val="bottom"/>
            <w:gridSpan w:val="8"/>
          </w:tcPr>
          <w:p>
            <w:pPr>
              <w:ind w:left="40"/>
              <w:spacing w:after="0"/>
              <w:rPr>
                <w:sz w:val="20"/>
                <w:szCs w:val="20"/>
                <w:color w:val="auto"/>
              </w:rPr>
            </w:pPr>
            <w:r>
              <w:rPr>
                <w:rFonts w:ascii="Calibri" w:cs="Calibri" w:eastAsia="Calibri" w:hAnsi="Calibri"/>
                <w:sz w:val="20"/>
                <w:szCs w:val="20"/>
                <w:color w:val="auto"/>
              </w:rPr>
              <w:t>Acknowledgement Regarding Use of Data</w:t>
            </w:r>
          </w:p>
        </w:tc>
        <w:tc>
          <w:tcPr>
            <w:tcW w:w="1020" w:type="dxa"/>
            <w:vAlign w:val="bottom"/>
          </w:tcPr>
          <w:p>
            <w:pPr>
              <w:jc w:val="right"/>
              <w:ind w:right="541"/>
              <w:spacing w:after="0"/>
              <w:rPr>
                <w:sz w:val="20"/>
                <w:szCs w:val="20"/>
                <w:color w:val="auto"/>
              </w:rPr>
            </w:pPr>
            <w:r>
              <w:rPr>
                <w:rFonts w:ascii="Calibri" w:cs="Calibri" w:eastAsia="Calibri" w:hAnsi="Calibri"/>
                <w:sz w:val="20"/>
                <w:szCs w:val="20"/>
                <w:color w:val="auto"/>
              </w:rPr>
              <w:t>21</w:t>
            </w:r>
          </w:p>
        </w:tc>
        <w:tc>
          <w:tcPr>
            <w:tcW w:w="4300" w:type="dxa"/>
            <w:vAlign w:val="bottom"/>
          </w:tcPr>
          <w:p>
            <w:pPr>
              <w:spacing w:after="0"/>
              <w:rPr>
                <w:sz w:val="22"/>
                <w:szCs w:val="22"/>
                <w:color w:val="auto"/>
              </w:rPr>
            </w:pPr>
          </w:p>
        </w:tc>
      </w:tr>
      <w:tr>
        <w:trPr>
          <w:trHeight w:val="351"/>
        </w:trPr>
        <w:tc>
          <w:tcPr>
            <w:tcW w:w="3220" w:type="dxa"/>
            <w:vAlign w:val="bottom"/>
            <w:gridSpan w:val="4"/>
          </w:tcPr>
          <w:p>
            <w:pPr>
              <w:spacing w:after="0"/>
              <w:rPr>
                <w:sz w:val="20"/>
                <w:szCs w:val="20"/>
                <w:color w:val="auto"/>
              </w:rPr>
            </w:pPr>
            <w:r>
              <w:rPr>
                <w:rFonts w:ascii="Calibri" w:cs="Calibri" w:eastAsia="Calibri" w:hAnsi="Calibri"/>
                <w:sz w:val="20"/>
                <w:szCs w:val="20"/>
                <w:color w:val="auto"/>
              </w:rPr>
              <w:t>Artcle 7 Afrmatve Covenants  21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7.1</w:t>
            </w:r>
          </w:p>
        </w:tc>
        <w:tc>
          <w:tcPr>
            <w:tcW w:w="1760" w:type="dxa"/>
            <w:vAlign w:val="bottom"/>
            <w:gridSpan w:val="4"/>
          </w:tcPr>
          <w:p>
            <w:pPr>
              <w:ind w:left="40"/>
              <w:spacing w:after="0"/>
              <w:rPr>
                <w:sz w:val="20"/>
                <w:szCs w:val="20"/>
                <w:color w:val="auto"/>
              </w:rPr>
            </w:pPr>
            <w:r>
              <w:rPr>
                <w:rFonts w:ascii="Calibri" w:cs="Calibri" w:eastAsia="Calibri" w:hAnsi="Calibri"/>
                <w:sz w:val="20"/>
                <w:szCs w:val="20"/>
                <w:color w:val="auto"/>
              </w:rPr>
              <w:t>Reportng Covenants</w:t>
            </w:r>
          </w:p>
        </w:tc>
        <w:tc>
          <w:tcPr>
            <w:tcW w:w="140" w:type="dxa"/>
            <w:vAlign w:val="bottom"/>
          </w:tcPr>
          <w:p>
            <w:pPr>
              <w:spacing w:after="0"/>
              <w:rPr>
                <w:sz w:val="22"/>
                <w:szCs w:val="22"/>
                <w:color w:val="auto"/>
              </w:rPr>
            </w:pPr>
          </w:p>
        </w:tc>
        <w:tc>
          <w:tcPr>
            <w:tcW w:w="400" w:type="dxa"/>
            <w:vAlign w:val="bottom"/>
            <w:gridSpan w:val="2"/>
          </w:tcPr>
          <w:p>
            <w:pPr>
              <w:jc w:val="right"/>
              <w:ind w:right="61"/>
              <w:spacing w:after="0"/>
              <w:rPr>
                <w:sz w:val="20"/>
                <w:szCs w:val="20"/>
                <w:color w:val="auto"/>
              </w:rPr>
            </w:pPr>
            <w:r>
              <w:rPr>
                <w:rFonts w:ascii="Calibri" w:cs="Calibri" w:eastAsia="Calibri" w:hAnsi="Calibri"/>
                <w:sz w:val="20"/>
                <w:szCs w:val="20"/>
                <w:color w:val="auto"/>
              </w:rPr>
              <w:t>21</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7.2</w:t>
            </w:r>
          </w:p>
        </w:tc>
        <w:tc>
          <w:tcPr>
            <w:tcW w:w="8860" w:type="dxa"/>
            <w:vAlign w:val="bottom"/>
            <w:gridSpan w:val="11"/>
          </w:tcPr>
          <w:p>
            <w:pPr>
              <w:ind w:left="40"/>
              <w:spacing w:after="0"/>
              <w:rPr>
                <w:sz w:val="20"/>
                <w:szCs w:val="20"/>
                <w:color w:val="auto"/>
              </w:rPr>
            </w:pPr>
            <w:r>
              <w:rPr>
                <w:rFonts w:ascii="Calibri" w:cs="Calibri" w:eastAsia="Calibri" w:hAnsi="Calibri"/>
                <w:sz w:val="20"/>
                <w:szCs w:val="20"/>
                <w:color w:val="auto"/>
              </w:rPr>
              <w:t>Afrmatve Covenants during the Period of Performance  21</w:t>
            </w: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7.3</w:t>
            </w:r>
          </w:p>
        </w:tc>
        <w:tc>
          <w:tcPr>
            <w:tcW w:w="4560" w:type="dxa"/>
            <w:vAlign w:val="bottom"/>
            <w:gridSpan w:val="10"/>
          </w:tcPr>
          <w:p>
            <w:pPr>
              <w:ind w:left="40"/>
              <w:spacing w:after="0"/>
              <w:rPr>
                <w:sz w:val="20"/>
                <w:szCs w:val="20"/>
                <w:color w:val="auto"/>
              </w:rPr>
            </w:pPr>
            <w:r>
              <w:rPr>
                <w:rFonts w:ascii="Calibri" w:cs="Calibri" w:eastAsia="Calibri" w:hAnsi="Calibri"/>
                <w:sz w:val="20"/>
                <w:szCs w:val="20"/>
                <w:color w:val="auto"/>
              </w:rPr>
              <w:t>Afrmatve Covenants during the Upside Sharing Term</w:t>
            </w:r>
          </w:p>
        </w:tc>
        <w:tc>
          <w:tcPr>
            <w:tcW w:w="4300" w:type="dxa"/>
            <w:vAlign w:val="bottom"/>
          </w:tcPr>
          <w:p>
            <w:pPr>
              <w:jc w:val="right"/>
              <w:ind w:right="3881"/>
              <w:spacing w:after="0"/>
              <w:rPr>
                <w:sz w:val="20"/>
                <w:szCs w:val="20"/>
                <w:color w:val="auto"/>
              </w:rPr>
            </w:pPr>
            <w:r>
              <w:rPr>
                <w:rFonts w:ascii="Calibri" w:cs="Calibri" w:eastAsia="Calibri" w:hAnsi="Calibri"/>
                <w:sz w:val="20"/>
                <w:szCs w:val="20"/>
                <w:color w:val="auto"/>
              </w:rPr>
              <w:t>27</w:t>
            </w:r>
          </w:p>
        </w:tc>
      </w:tr>
      <w:tr>
        <w:trPr>
          <w:trHeight w:val="351"/>
        </w:trPr>
        <w:tc>
          <w:tcPr>
            <w:tcW w:w="2820" w:type="dxa"/>
            <w:vAlign w:val="bottom"/>
            <w:gridSpan w:val="3"/>
          </w:tcPr>
          <w:p>
            <w:pPr>
              <w:spacing w:after="0"/>
              <w:rPr>
                <w:sz w:val="20"/>
                <w:szCs w:val="20"/>
                <w:color w:val="auto"/>
              </w:rPr>
            </w:pPr>
            <w:r>
              <w:rPr>
                <w:rFonts w:ascii="Calibri" w:cs="Calibri" w:eastAsia="Calibri" w:hAnsi="Calibri"/>
                <w:sz w:val="20"/>
                <w:szCs w:val="20"/>
                <w:color w:val="auto"/>
              </w:rPr>
              <w:t>Artcle 8 Negatve Covenants  29</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8.1</w:t>
            </w:r>
          </w:p>
        </w:tc>
        <w:tc>
          <w:tcPr>
            <w:tcW w:w="4560" w:type="dxa"/>
            <w:vAlign w:val="bottom"/>
            <w:gridSpan w:val="10"/>
          </w:tcPr>
          <w:p>
            <w:pPr>
              <w:ind w:left="40"/>
              <w:spacing w:after="0"/>
              <w:rPr>
                <w:sz w:val="20"/>
                <w:szCs w:val="20"/>
                <w:color w:val="auto"/>
              </w:rPr>
            </w:pPr>
            <w:r>
              <w:rPr>
                <w:rFonts w:ascii="Calibri" w:cs="Calibri" w:eastAsia="Calibri" w:hAnsi="Calibri"/>
                <w:sz w:val="20"/>
                <w:szCs w:val="20"/>
                <w:color w:val="auto"/>
              </w:rPr>
              <w:t>Negatve Covenants during the Period of Performance</w:t>
            </w:r>
          </w:p>
        </w:tc>
        <w:tc>
          <w:tcPr>
            <w:tcW w:w="4300" w:type="dxa"/>
            <w:vAlign w:val="bottom"/>
          </w:tcPr>
          <w:p>
            <w:pPr>
              <w:jc w:val="right"/>
              <w:ind w:right="3921"/>
              <w:spacing w:after="0"/>
              <w:rPr>
                <w:sz w:val="20"/>
                <w:szCs w:val="20"/>
                <w:color w:val="auto"/>
              </w:rPr>
            </w:pPr>
            <w:r>
              <w:rPr>
                <w:rFonts w:ascii="Calibri" w:cs="Calibri" w:eastAsia="Calibri" w:hAnsi="Calibri"/>
                <w:sz w:val="20"/>
                <w:szCs w:val="20"/>
                <w:color w:val="auto"/>
              </w:rPr>
              <w:t>29</w:t>
            </w: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8.2</w:t>
            </w:r>
          </w:p>
        </w:tc>
        <w:tc>
          <w:tcPr>
            <w:tcW w:w="8860" w:type="dxa"/>
            <w:vAlign w:val="bottom"/>
            <w:gridSpan w:val="11"/>
          </w:tcPr>
          <w:p>
            <w:pPr>
              <w:ind w:left="40"/>
              <w:spacing w:after="0"/>
              <w:rPr>
                <w:sz w:val="20"/>
                <w:szCs w:val="20"/>
                <w:color w:val="auto"/>
              </w:rPr>
            </w:pPr>
            <w:r>
              <w:rPr>
                <w:rFonts w:ascii="Calibri" w:cs="Calibri" w:eastAsia="Calibri" w:hAnsi="Calibri"/>
                <w:sz w:val="20"/>
                <w:szCs w:val="20"/>
                <w:color w:val="auto"/>
              </w:rPr>
              <w:t>Negatve Covenants during the Upside Sharing Term  31</w:t>
            </w:r>
          </w:p>
        </w:tc>
      </w:tr>
      <w:tr>
        <w:trPr>
          <w:trHeight w:val="351"/>
        </w:trPr>
        <w:tc>
          <w:tcPr>
            <w:tcW w:w="3220" w:type="dxa"/>
            <w:vAlign w:val="bottom"/>
            <w:gridSpan w:val="4"/>
          </w:tcPr>
          <w:p>
            <w:pPr>
              <w:spacing w:after="0"/>
              <w:rPr>
                <w:sz w:val="20"/>
                <w:szCs w:val="20"/>
                <w:color w:val="auto"/>
              </w:rPr>
            </w:pPr>
            <w:r>
              <w:rPr>
                <w:rFonts w:ascii="Calibri" w:cs="Calibri" w:eastAsia="Calibri" w:hAnsi="Calibri"/>
                <w:sz w:val="20"/>
                <w:szCs w:val="20"/>
                <w:color w:val="auto"/>
              </w:rPr>
              <w:t>Artcle 9 Events of Default; Remedies</w:t>
            </w:r>
          </w:p>
        </w:tc>
        <w:tc>
          <w:tcPr>
            <w:tcW w:w="260" w:type="dxa"/>
            <w:vAlign w:val="bottom"/>
          </w:tcPr>
          <w:p>
            <w:pPr>
              <w:spacing w:after="0"/>
              <w:rPr>
                <w:sz w:val="20"/>
                <w:szCs w:val="20"/>
                <w:color w:val="auto"/>
              </w:rPr>
            </w:pPr>
            <w:r>
              <w:rPr>
                <w:rFonts w:ascii="Calibri" w:cs="Calibri" w:eastAsia="Calibri" w:hAnsi="Calibri"/>
                <w:sz w:val="20"/>
                <w:szCs w:val="20"/>
                <w:color w:val="auto"/>
              </w:rPr>
              <w:t>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9.1</w:t>
            </w:r>
          </w:p>
        </w:tc>
        <w:tc>
          <w:tcPr>
            <w:tcW w:w="1500" w:type="dxa"/>
            <w:vAlign w:val="bottom"/>
            <w:gridSpan w:val="3"/>
          </w:tcPr>
          <w:p>
            <w:pPr>
              <w:ind w:left="40"/>
              <w:spacing w:after="0"/>
              <w:rPr>
                <w:sz w:val="20"/>
                <w:szCs w:val="20"/>
                <w:color w:val="auto"/>
              </w:rPr>
            </w:pPr>
            <w:r>
              <w:rPr>
                <w:rFonts w:ascii="Calibri" w:cs="Calibri" w:eastAsia="Calibri" w:hAnsi="Calibri"/>
                <w:sz w:val="20"/>
                <w:szCs w:val="20"/>
                <w:color w:val="auto"/>
              </w:rPr>
              <w:t>Events of Default</w:t>
            </w:r>
          </w:p>
        </w:tc>
        <w:tc>
          <w:tcPr>
            <w:tcW w:w="400" w:type="dxa"/>
            <w:vAlign w:val="bottom"/>
            <w:gridSpan w:val="2"/>
          </w:tcPr>
          <w:p>
            <w:pPr>
              <w:jc w:val="right"/>
              <w:spacing w:after="0"/>
              <w:rPr>
                <w:sz w:val="20"/>
                <w:szCs w:val="20"/>
                <w:color w:val="auto"/>
              </w:rPr>
            </w:pPr>
            <w:r>
              <w:rPr>
                <w:rFonts w:ascii="Calibri" w:cs="Calibri" w:eastAsia="Calibri" w:hAnsi="Calibri"/>
                <w:sz w:val="20"/>
                <w:szCs w:val="20"/>
                <w:color w:val="auto"/>
              </w:rPr>
              <w:t>31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9.2</w:t>
            </w:r>
          </w:p>
        </w:tc>
        <w:tc>
          <w:tcPr>
            <w:tcW w:w="2700" w:type="dxa"/>
            <w:vAlign w:val="bottom"/>
            <w:gridSpan w:val="8"/>
          </w:tcPr>
          <w:p>
            <w:pPr>
              <w:ind w:left="40"/>
              <w:spacing w:after="0"/>
              <w:rPr>
                <w:sz w:val="20"/>
                <w:szCs w:val="20"/>
                <w:color w:val="auto"/>
              </w:rPr>
            </w:pPr>
            <w:r>
              <w:rPr>
                <w:rFonts w:ascii="Calibri" w:cs="Calibri" w:eastAsia="Calibri" w:hAnsi="Calibri"/>
                <w:sz w:val="20"/>
                <w:szCs w:val="20"/>
                <w:color w:val="auto"/>
              </w:rPr>
              <w:t>Remedies for Events of Default</w:t>
            </w:r>
          </w:p>
        </w:tc>
        <w:tc>
          <w:tcPr>
            <w:tcW w:w="840" w:type="dxa"/>
            <w:vAlign w:val="bottom"/>
          </w:tcPr>
          <w:p>
            <w:pPr>
              <w:jc w:val="right"/>
              <w:ind w:right="501"/>
              <w:spacing w:after="0"/>
              <w:rPr>
                <w:sz w:val="20"/>
                <w:szCs w:val="20"/>
                <w:color w:val="auto"/>
              </w:rPr>
            </w:pPr>
            <w:r>
              <w:rPr>
                <w:rFonts w:ascii="Calibri" w:cs="Calibri" w:eastAsia="Calibri" w:hAnsi="Calibri"/>
                <w:sz w:val="20"/>
                <w:szCs w:val="20"/>
                <w:color w:val="auto"/>
              </w:rPr>
              <w:t>35</w:t>
            </w: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9.3</w:t>
            </w:r>
          </w:p>
        </w:tc>
        <w:tc>
          <w:tcPr>
            <w:tcW w:w="2120" w:type="dxa"/>
            <w:vAlign w:val="bottom"/>
            <w:gridSpan w:val="6"/>
          </w:tcPr>
          <w:p>
            <w:pPr>
              <w:ind w:left="40"/>
              <w:spacing w:after="0"/>
              <w:rPr>
                <w:sz w:val="20"/>
                <w:szCs w:val="20"/>
                <w:color w:val="auto"/>
              </w:rPr>
            </w:pPr>
            <w:r>
              <w:rPr>
                <w:rFonts w:ascii="Calibri" w:cs="Calibri" w:eastAsia="Calibri" w:hAnsi="Calibri"/>
                <w:sz w:val="20"/>
                <w:szCs w:val="20"/>
                <w:color w:val="auto"/>
              </w:rPr>
              <w:t>Automatc Acceleraton</w:t>
            </w:r>
          </w:p>
        </w:tc>
        <w:tc>
          <w:tcPr>
            <w:tcW w:w="580" w:type="dxa"/>
            <w:vAlign w:val="bottom"/>
            <w:gridSpan w:val="2"/>
          </w:tcPr>
          <w:p>
            <w:pPr>
              <w:jc w:val="right"/>
              <w:ind w:right="261"/>
              <w:spacing w:after="0"/>
              <w:rPr>
                <w:sz w:val="20"/>
                <w:szCs w:val="20"/>
                <w:color w:val="auto"/>
              </w:rPr>
            </w:pPr>
            <w:r>
              <w:rPr>
                <w:rFonts w:ascii="Calibri" w:cs="Calibri" w:eastAsia="Calibri" w:hAnsi="Calibri"/>
                <w:sz w:val="20"/>
                <w:szCs w:val="20"/>
                <w:color w:val="auto"/>
                <w:w w:val="98"/>
              </w:rPr>
              <w:t>37</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9.4</w:t>
            </w:r>
          </w:p>
        </w:tc>
        <w:tc>
          <w:tcPr>
            <w:tcW w:w="1760" w:type="dxa"/>
            <w:vAlign w:val="bottom"/>
            <w:gridSpan w:val="4"/>
          </w:tcPr>
          <w:p>
            <w:pPr>
              <w:ind w:left="40"/>
              <w:spacing w:after="0"/>
              <w:rPr>
                <w:sz w:val="20"/>
                <w:szCs w:val="20"/>
                <w:color w:val="auto"/>
              </w:rPr>
            </w:pPr>
            <w:r>
              <w:rPr>
                <w:rFonts w:ascii="Calibri" w:cs="Calibri" w:eastAsia="Calibri" w:hAnsi="Calibri"/>
                <w:sz w:val="20"/>
                <w:szCs w:val="20"/>
                <w:color w:val="auto"/>
              </w:rPr>
              <w:t>Specifc Performance</w:t>
            </w:r>
          </w:p>
        </w:tc>
        <w:tc>
          <w:tcPr>
            <w:tcW w:w="140" w:type="dxa"/>
            <w:vAlign w:val="bottom"/>
          </w:tcPr>
          <w:p>
            <w:pPr>
              <w:spacing w:after="0"/>
              <w:rPr>
                <w:sz w:val="22"/>
                <w:szCs w:val="22"/>
                <w:color w:val="auto"/>
              </w:rPr>
            </w:pPr>
          </w:p>
        </w:tc>
        <w:tc>
          <w:tcPr>
            <w:tcW w:w="400" w:type="dxa"/>
            <w:vAlign w:val="bottom"/>
            <w:gridSpan w:val="2"/>
          </w:tcPr>
          <w:p>
            <w:pPr>
              <w:jc w:val="right"/>
              <w:ind w:right="41"/>
              <w:spacing w:after="0"/>
              <w:rPr>
                <w:sz w:val="20"/>
                <w:szCs w:val="20"/>
                <w:color w:val="auto"/>
              </w:rPr>
            </w:pPr>
            <w:r>
              <w:rPr>
                <w:rFonts w:ascii="Calibri" w:cs="Calibri" w:eastAsia="Calibri" w:hAnsi="Calibri"/>
                <w:sz w:val="20"/>
                <w:szCs w:val="20"/>
                <w:color w:val="auto"/>
              </w:rPr>
              <w:t>37</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70"/>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9.5</w:t>
            </w:r>
          </w:p>
        </w:tc>
        <w:tc>
          <w:tcPr>
            <w:tcW w:w="1100" w:type="dxa"/>
            <w:vAlign w:val="bottom"/>
            <w:gridSpan w:val="2"/>
          </w:tcPr>
          <w:p>
            <w:pPr>
              <w:ind w:left="40"/>
              <w:spacing w:after="0"/>
              <w:rPr>
                <w:sz w:val="20"/>
                <w:szCs w:val="20"/>
                <w:color w:val="auto"/>
              </w:rPr>
            </w:pPr>
            <w:r>
              <w:rPr>
                <w:rFonts w:ascii="Calibri" w:cs="Calibri" w:eastAsia="Calibri" w:hAnsi="Calibri"/>
                <w:sz w:val="20"/>
                <w:szCs w:val="20"/>
                <w:color w:val="auto"/>
              </w:rPr>
              <w:t>[Reserved]</w:t>
            </w:r>
          </w:p>
        </w:tc>
        <w:tc>
          <w:tcPr>
            <w:tcW w:w="400" w:type="dxa"/>
            <w:vAlign w:val="bottom"/>
          </w:tcPr>
          <w:p>
            <w:pPr>
              <w:jc w:val="right"/>
              <w:ind w:right="101"/>
              <w:spacing w:after="0"/>
              <w:rPr>
                <w:sz w:val="20"/>
                <w:szCs w:val="20"/>
                <w:color w:val="auto"/>
              </w:rPr>
            </w:pPr>
            <w:r>
              <w:rPr>
                <w:rFonts w:ascii="Calibri" w:cs="Calibri" w:eastAsia="Calibri" w:hAnsi="Calibri"/>
                <w:sz w:val="20"/>
                <w:szCs w:val="20"/>
                <w:color w:val="auto"/>
                <w:w w:val="88"/>
              </w:rPr>
              <w:t>38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9.6</w:t>
            </w:r>
          </w:p>
        </w:tc>
        <w:tc>
          <w:tcPr>
            <w:tcW w:w="1760" w:type="dxa"/>
            <w:vAlign w:val="bottom"/>
            <w:gridSpan w:val="4"/>
          </w:tcPr>
          <w:p>
            <w:pPr>
              <w:ind w:left="40"/>
              <w:spacing w:after="0"/>
              <w:rPr>
                <w:sz w:val="20"/>
                <w:szCs w:val="20"/>
                <w:color w:val="auto"/>
              </w:rPr>
            </w:pPr>
            <w:r>
              <w:rPr>
                <w:rFonts w:ascii="Calibri" w:cs="Calibri" w:eastAsia="Calibri" w:hAnsi="Calibri"/>
                <w:sz w:val="20"/>
                <w:szCs w:val="20"/>
                <w:color w:val="auto"/>
              </w:rPr>
              <w:t>Department Rights</w:t>
            </w:r>
          </w:p>
        </w:tc>
        <w:tc>
          <w:tcPr>
            <w:tcW w:w="360" w:type="dxa"/>
            <w:vAlign w:val="bottom"/>
            <w:gridSpan w:val="2"/>
          </w:tcPr>
          <w:p>
            <w:pPr>
              <w:jc w:val="right"/>
              <w:ind w:right="41"/>
              <w:spacing w:after="0"/>
              <w:rPr>
                <w:sz w:val="20"/>
                <w:szCs w:val="20"/>
                <w:color w:val="auto"/>
              </w:rPr>
            </w:pPr>
            <w:r>
              <w:rPr>
                <w:rFonts w:ascii="Calibri" w:cs="Calibri" w:eastAsia="Calibri" w:hAnsi="Calibri"/>
                <w:sz w:val="20"/>
                <w:szCs w:val="20"/>
                <w:color w:val="auto"/>
                <w:w w:val="98"/>
              </w:rPr>
              <w:t>38</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351"/>
        </w:trPr>
        <w:tc>
          <w:tcPr>
            <w:tcW w:w="2820" w:type="dxa"/>
            <w:vAlign w:val="bottom"/>
            <w:gridSpan w:val="3"/>
          </w:tcPr>
          <w:p>
            <w:pPr>
              <w:spacing w:after="0"/>
              <w:rPr>
                <w:sz w:val="20"/>
                <w:szCs w:val="20"/>
                <w:color w:val="auto"/>
              </w:rPr>
            </w:pPr>
            <w:r>
              <w:rPr>
                <w:rFonts w:ascii="Calibri" w:cs="Calibri" w:eastAsia="Calibri" w:hAnsi="Calibri"/>
                <w:sz w:val="20"/>
                <w:szCs w:val="20"/>
                <w:color w:val="auto"/>
              </w:rPr>
              <w:t>Artcle 10 Miscellaneous  38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43"/>
        </w:trPr>
        <w:tc>
          <w:tcPr>
            <w:tcW w:w="1720" w:type="dxa"/>
            <w:vAlign w:val="bottom"/>
          </w:tcPr>
          <w:p>
            <w:pPr>
              <w:ind w:left="660"/>
              <w:spacing w:after="0" w:line="243" w:lineRule="exact"/>
              <w:rPr>
                <w:sz w:val="20"/>
                <w:szCs w:val="20"/>
                <w:color w:val="auto"/>
              </w:rPr>
            </w:pPr>
            <w:r>
              <w:rPr>
                <w:rFonts w:ascii="Calibri" w:cs="Calibri" w:eastAsia="Calibri" w:hAnsi="Calibri"/>
                <w:sz w:val="20"/>
                <w:szCs w:val="20"/>
                <w:color w:val="auto"/>
              </w:rPr>
              <w:t>Secton 10.1</w:t>
            </w:r>
          </w:p>
        </w:tc>
        <w:tc>
          <w:tcPr>
            <w:tcW w:w="100" w:type="dxa"/>
            <w:vAlign w:val="bottom"/>
          </w:tcPr>
          <w:p>
            <w:pPr>
              <w:spacing w:after="0"/>
              <w:rPr>
                <w:sz w:val="21"/>
                <w:szCs w:val="21"/>
                <w:color w:val="auto"/>
              </w:rPr>
            </w:pPr>
          </w:p>
        </w:tc>
        <w:tc>
          <w:tcPr>
            <w:tcW w:w="1000" w:type="dxa"/>
            <w:vAlign w:val="bottom"/>
          </w:tcPr>
          <w:p>
            <w:pPr>
              <w:ind w:left="40"/>
              <w:spacing w:after="0" w:line="243" w:lineRule="exact"/>
              <w:rPr>
                <w:sz w:val="20"/>
                <w:szCs w:val="20"/>
                <w:color w:val="auto"/>
              </w:rPr>
            </w:pPr>
            <w:r>
              <w:rPr>
                <w:rFonts w:ascii="Calibri" w:cs="Calibri" w:eastAsia="Calibri" w:hAnsi="Calibri"/>
                <w:sz w:val="20"/>
                <w:szCs w:val="20"/>
                <w:color w:val="auto"/>
              </w:rPr>
              <w:t>Addresses</w:t>
            </w:r>
          </w:p>
        </w:tc>
        <w:tc>
          <w:tcPr>
            <w:tcW w:w="400" w:type="dxa"/>
            <w:vAlign w:val="bottom"/>
          </w:tcPr>
          <w:p>
            <w:pPr>
              <w:jc w:val="right"/>
              <w:ind w:right="41"/>
              <w:spacing w:after="0" w:line="243" w:lineRule="exact"/>
              <w:rPr>
                <w:sz w:val="20"/>
                <w:szCs w:val="20"/>
                <w:color w:val="auto"/>
              </w:rPr>
            </w:pPr>
            <w:r>
              <w:rPr>
                <w:rFonts w:ascii="Calibri" w:cs="Calibri" w:eastAsia="Calibri" w:hAnsi="Calibri"/>
                <w:sz w:val="20"/>
                <w:szCs w:val="20"/>
                <w:color w:val="auto"/>
              </w:rPr>
              <w:t>38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70"/>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10.2</w:t>
            </w:r>
          </w:p>
        </w:tc>
        <w:tc>
          <w:tcPr>
            <w:tcW w:w="10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Calibri" w:cs="Calibri" w:eastAsia="Calibri" w:hAnsi="Calibri"/>
                <w:sz w:val="20"/>
                <w:szCs w:val="20"/>
                <w:color w:val="auto"/>
              </w:rPr>
              <w:t>Use of Websites</w:t>
            </w:r>
          </w:p>
        </w:tc>
        <w:tc>
          <w:tcPr>
            <w:tcW w:w="400" w:type="dxa"/>
            <w:vAlign w:val="bottom"/>
            <w:gridSpan w:val="2"/>
          </w:tcPr>
          <w:p>
            <w:pPr>
              <w:jc w:val="right"/>
              <w:spacing w:after="0"/>
              <w:rPr>
                <w:sz w:val="20"/>
                <w:szCs w:val="20"/>
                <w:color w:val="auto"/>
              </w:rPr>
            </w:pPr>
            <w:r>
              <w:rPr>
                <w:rFonts w:ascii="Calibri" w:cs="Calibri" w:eastAsia="Calibri" w:hAnsi="Calibri"/>
                <w:sz w:val="20"/>
                <w:szCs w:val="20"/>
                <w:color w:val="auto"/>
              </w:rPr>
              <w:t>39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10.3</w:t>
            </w:r>
          </w:p>
        </w:tc>
        <w:tc>
          <w:tcPr>
            <w:tcW w:w="100" w:type="dxa"/>
            <w:vAlign w:val="bottom"/>
          </w:tcPr>
          <w:p>
            <w:pPr>
              <w:spacing w:after="0"/>
              <w:rPr>
                <w:sz w:val="22"/>
                <w:szCs w:val="22"/>
                <w:color w:val="auto"/>
              </w:rPr>
            </w:pPr>
          </w:p>
        </w:tc>
        <w:tc>
          <w:tcPr>
            <w:tcW w:w="1660" w:type="dxa"/>
            <w:vAlign w:val="bottom"/>
            <w:gridSpan w:val="3"/>
          </w:tcPr>
          <w:p>
            <w:pPr>
              <w:ind w:left="40"/>
              <w:spacing w:after="0"/>
              <w:rPr>
                <w:sz w:val="20"/>
                <w:szCs w:val="20"/>
                <w:color w:val="auto"/>
              </w:rPr>
            </w:pPr>
            <w:r>
              <w:rPr>
                <w:rFonts w:ascii="Calibri" w:cs="Calibri" w:eastAsia="Calibri" w:hAnsi="Calibri"/>
                <w:sz w:val="20"/>
                <w:szCs w:val="20"/>
                <w:color w:val="auto"/>
              </w:rPr>
              <w:t>Further Assurances</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Calibri" w:cs="Calibri" w:eastAsia="Calibri" w:hAnsi="Calibri"/>
                <w:sz w:val="20"/>
                <w:szCs w:val="20"/>
                <w:color w:val="auto"/>
                <w:w w:val="88"/>
              </w:rPr>
              <w:t>39</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10.4</w:t>
            </w:r>
          </w:p>
        </w:tc>
        <w:tc>
          <w:tcPr>
            <w:tcW w:w="100" w:type="dxa"/>
            <w:vAlign w:val="bottom"/>
          </w:tcPr>
          <w:p>
            <w:pPr>
              <w:spacing w:after="0"/>
              <w:rPr>
                <w:sz w:val="22"/>
                <w:szCs w:val="22"/>
                <w:color w:val="auto"/>
              </w:rPr>
            </w:pPr>
          </w:p>
        </w:tc>
        <w:tc>
          <w:tcPr>
            <w:tcW w:w="1660" w:type="dxa"/>
            <w:vAlign w:val="bottom"/>
            <w:gridSpan w:val="3"/>
          </w:tcPr>
          <w:p>
            <w:pPr>
              <w:ind w:left="40"/>
              <w:spacing w:after="0"/>
              <w:rPr>
                <w:sz w:val="20"/>
                <w:szCs w:val="20"/>
                <w:color w:val="auto"/>
              </w:rPr>
            </w:pPr>
            <w:r>
              <w:rPr>
                <w:rFonts w:ascii="Calibri" w:cs="Calibri" w:eastAsia="Calibri" w:hAnsi="Calibri"/>
                <w:sz w:val="20"/>
                <w:szCs w:val="20"/>
                <w:color w:val="auto"/>
              </w:rPr>
              <w:t>Non-Discriminaton</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Calibri" w:cs="Calibri" w:eastAsia="Calibri" w:hAnsi="Calibri"/>
                <w:sz w:val="20"/>
                <w:szCs w:val="20"/>
                <w:color w:val="auto"/>
                <w:w w:val="98"/>
              </w:rPr>
              <w:t>39</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10.5</w:t>
            </w:r>
          </w:p>
        </w:tc>
        <w:tc>
          <w:tcPr>
            <w:tcW w:w="100" w:type="dxa"/>
            <w:vAlign w:val="bottom"/>
          </w:tcPr>
          <w:p>
            <w:pPr>
              <w:spacing w:after="0"/>
              <w:rPr>
                <w:sz w:val="22"/>
                <w:szCs w:val="22"/>
                <w:color w:val="auto"/>
              </w:rPr>
            </w:pPr>
          </w:p>
        </w:tc>
        <w:tc>
          <w:tcPr>
            <w:tcW w:w="2200" w:type="dxa"/>
            <w:vAlign w:val="bottom"/>
            <w:gridSpan w:val="6"/>
          </w:tcPr>
          <w:p>
            <w:pPr>
              <w:ind w:left="40"/>
              <w:spacing w:after="0"/>
              <w:rPr>
                <w:sz w:val="20"/>
                <w:szCs w:val="20"/>
                <w:color w:val="auto"/>
              </w:rPr>
            </w:pPr>
            <w:r>
              <w:rPr>
                <w:rFonts w:ascii="Calibri" w:cs="Calibri" w:eastAsia="Calibri" w:hAnsi="Calibri"/>
                <w:sz w:val="20"/>
                <w:szCs w:val="20"/>
                <w:color w:val="auto"/>
              </w:rPr>
              <w:t>Waiver and Amendment</w:t>
            </w:r>
          </w:p>
        </w:tc>
        <w:tc>
          <w:tcPr>
            <w:tcW w:w="400" w:type="dxa"/>
            <w:vAlign w:val="bottom"/>
          </w:tcPr>
          <w:p>
            <w:pPr>
              <w:jc w:val="right"/>
              <w:ind w:right="61"/>
              <w:spacing w:after="0"/>
              <w:rPr>
                <w:sz w:val="20"/>
                <w:szCs w:val="20"/>
                <w:color w:val="auto"/>
              </w:rPr>
            </w:pPr>
            <w:r>
              <w:rPr>
                <w:rFonts w:ascii="Calibri" w:cs="Calibri" w:eastAsia="Calibri" w:hAnsi="Calibri"/>
                <w:sz w:val="20"/>
                <w:szCs w:val="20"/>
                <w:color w:val="auto"/>
              </w:rPr>
              <w:t>39</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10.6</w:t>
            </w:r>
          </w:p>
        </w:tc>
        <w:tc>
          <w:tcPr>
            <w:tcW w:w="100" w:type="dxa"/>
            <w:vAlign w:val="bottom"/>
          </w:tcPr>
          <w:p>
            <w:pPr>
              <w:spacing w:after="0"/>
              <w:rPr>
                <w:sz w:val="22"/>
                <w:szCs w:val="22"/>
                <w:color w:val="auto"/>
              </w:rPr>
            </w:pPr>
          </w:p>
        </w:tc>
        <w:tc>
          <w:tcPr>
            <w:tcW w:w="1660" w:type="dxa"/>
            <w:vAlign w:val="bottom"/>
            <w:gridSpan w:val="3"/>
          </w:tcPr>
          <w:p>
            <w:pPr>
              <w:ind w:left="40"/>
              <w:spacing w:after="0"/>
              <w:rPr>
                <w:sz w:val="20"/>
                <w:szCs w:val="20"/>
                <w:color w:val="auto"/>
              </w:rPr>
            </w:pPr>
            <w:r>
              <w:rPr>
                <w:rFonts w:ascii="Calibri" w:cs="Calibri" w:eastAsia="Calibri" w:hAnsi="Calibri"/>
                <w:sz w:val="20"/>
                <w:szCs w:val="20"/>
                <w:color w:val="auto"/>
              </w:rPr>
              <w:t>Entre Agreement</w:t>
            </w:r>
          </w:p>
        </w:tc>
        <w:tc>
          <w:tcPr>
            <w:tcW w:w="360" w:type="dxa"/>
            <w:vAlign w:val="bottom"/>
            <w:gridSpan w:val="2"/>
          </w:tcPr>
          <w:p>
            <w:pPr>
              <w:jc w:val="right"/>
              <w:ind w:right="41"/>
              <w:spacing w:after="0"/>
              <w:rPr>
                <w:sz w:val="20"/>
                <w:szCs w:val="20"/>
                <w:color w:val="auto"/>
              </w:rPr>
            </w:pPr>
            <w:r>
              <w:rPr>
                <w:rFonts w:ascii="Calibri" w:cs="Calibri" w:eastAsia="Calibri" w:hAnsi="Calibri"/>
                <w:sz w:val="20"/>
                <w:szCs w:val="20"/>
                <w:color w:val="auto"/>
                <w:w w:val="98"/>
              </w:rPr>
              <w:t>40</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70"/>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10.7</w:t>
            </w:r>
          </w:p>
        </w:tc>
        <w:tc>
          <w:tcPr>
            <w:tcW w:w="10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Calibri" w:cs="Calibri" w:eastAsia="Calibri" w:hAnsi="Calibri"/>
                <w:sz w:val="20"/>
                <w:szCs w:val="20"/>
                <w:color w:val="auto"/>
              </w:rPr>
              <w:t>Governing Law</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40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56"/>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10.8</w:t>
            </w:r>
          </w:p>
        </w:tc>
        <w:tc>
          <w:tcPr>
            <w:tcW w:w="100" w:type="dxa"/>
            <w:vAlign w:val="bottom"/>
          </w:tcPr>
          <w:p>
            <w:pPr>
              <w:spacing w:after="0"/>
              <w:rPr>
                <w:sz w:val="22"/>
                <w:szCs w:val="22"/>
                <w:color w:val="auto"/>
              </w:rPr>
            </w:pPr>
          </w:p>
        </w:tc>
        <w:tc>
          <w:tcPr>
            <w:tcW w:w="1000" w:type="dxa"/>
            <w:vAlign w:val="bottom"/>
          </w:tcPr>
          <w:p>
            <w:pPr>
              <w:ind w:left="40"/>
              <w:spacing w:after="0"/>
              <w:rPr>
                <w:sz w:val="20"/>
                <w:szCs w:val="20"/>
                <w:color w:val="auto"/>
              </w:rPr>
            </w:pPr>
            <w:r>
              <w:rPr>
                <w:rFonts w:ascii="Calibri" w:cs="Calibri" w:eastAsia="Calibri" w:hAnsi="Calibri"/>
                <w:sz w:val="20"/>
                <w:szCs w:val="20"/>
                <w:color w:val="auto"/>
                <w:w w:val="99"/>
              </w:rPr>
              <w:t>Severability</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40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720" w:type="dxa"/>
            <w:vAlign w:val="bottom"/>
          </w:tcPr>
          <w:p>
            <w:pPr>
              <w:ind w:left="660"/>
              <w:spacing w:after="0"/>
              <w:rPr>
                <w:sz w:val="20"/>
                <w:szCs w:val="20"/>
                <w:color w:val="auto"/>
              </w:rPr>
            </w:pPr>
            <w:r>
              <w:rPr>
                <w:rFonts w:ascii="Calibri" w:cs="Calibri" w:eastAsia="Calibri" w:hAnsi="Calibri"/>
                <w:sz w:val="20"/>
                <w:szCs w:val="20"/>
                <w:color w:val="auto"/>
              </w:rPr>
              <w:t>Secton 10.9</w:t>
            </w:r>
          </w:p>
        </w:tc>
        <w:tc>
          <w:tcPr>
            <w:tcW w:w="100" w:type="dxa"/>
            <w:vAlign w:val="bottom"/>
          </w:tcPr>
          <w:p>
            <w:pPr>
              <w:spacing w:after="0"/>
              <w:rPr>
                <w:sz w:val="22"/>
                <w:szCs w:val="22"/>
                <w:color w:val="auto"/>
              </w:rPr>
            </w:pPr>
          </w:p>
        </w:tc>
        <w:tc>
          <w:tcPr>
            <w:tcW w:w="1800" w:type="dxa"/>
            <w:vAlign w:val="bottom"/>
            <w:gridSpan w:val="4"/>
          </w:tcPr>
          <w:p>
            <w:pPr>
              <w:ind w:left="40"/>
              <w:spacing w:after="0"/>
              <w:rPr>
                <w:sz w:val="20"/>
                <w:szCs w:val="20"/>
                <w:color w:val="auto"/>
              </w:rPr>
            </w:pPr>
            <w:r>
              <w:rPr>
                <w:rFonts w:ascii="Calibri" w:cs="Calibri" w:eastAsia="Calibri" w:hAnsi="Calibri"/>
                <w:sz w:val="20"/>
                <w:szCs w:val="20"/>
                <w:color w:val="auto"/>
              </w:rPr>
              <w:t>Limitaton on Liability</w:t>
            </w:r>
          </w:p>
        </w:tc>
        <w:tc>
          <w:tcPr>
            <w:tcW w:w="400" w:type="dxa"/>
            <w:vAlign w:val="bottom"/>
            <w:gridSpan w:val="2"/>
          </w:tcPr>
          <w:p>
            <w:pPr>
              <w:jc w:val="right"/>
              <w:spacing w:after="0"/>
              <w:rPr>
                <w:sz w:val="20"/>
                <w:szCs w:val="20"/>
                <w:color w:val="auto"/>
              </w:rPr>
            </w:pPr>
            <w:r>
              <w:rPr>
                <w:rFonts w:ascii="Calibri" w:cs="Calibri" w:eastAsia="Calibri" w:hAnsi="Calibri"/>
                <w:sz w:val="20"/>
                <w:szCs w:val="20"/>
                <w:color w:val="auto"/>
              </w:rPr>
              <w:t>40</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3620" w:type="dxa"/>
            <w:vAlign w:val="bottom"/>
            <w:gridSpan w:val="6"/>
          </w:tcPr>
          <w:p>
            <w:pPr>
              <w:ind w:left="660"/>
              <w:spacing w:after="0"/>
              <w:rPr>
                <w:sz w:val="20"/>
                <w:szCs w:val="20"/>
                <w:color w:val="auto"/>
              </w:rPr>
            </w:pPr>
            <w:r>
              <w:rPr>
                <w:rFonts w:ascii="Calibri" w:cs="Calibri" w:eastAsia="Calibri" w:hAnsi="Calibri"/>
                <w:sz w:val="20"/>
                <w:szCs w:val="20"/>
                <w:color w:val="auto"/>
              </w:rPr>
              <w:t>Secton 10.10  Waiver of Jury Trial</w:t>
            </w:r>
          </w:p>
        </w:tc>
        <w:tc>
          <w:tcPr>
            <w:tcW w:w="400" w:type="dxa"/>
            <w:vAlign w:val="bottom"/>
            <w:gridSpan w:val="2"/>
          </w:tcPr>
          <w:p>
            <w:pPr>
              <w:jc w:val="right"/>
              <w:ind w:right="1"/>
              <w:spacing w:after="0"/>
              <w:rPr>
                <w:sz w:val="20"/>
                <w:szCs w:val="20"/>
                <w:color w:val="auto"/>
              </w:rPr>
            </w:pPr>
            <w:r>
              <w:rPr>
                <w:rFonts w:ascii="Calibri" w:cs="Calibri" w:eastAsia="Calibri" w:hAnsi="Calibri"/>
                <w:sz w:val="20"/>
                <w:szCs w:val="20"/>
                <w:color w:val="auto"/>
              </w:rPr>
              <w:t>40</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6"/>
        </w:trPr>
        <w:tc>
          <w:tcPr>
            <w:tcW w:w="3840" w:type="dxa"/>
            <w:vAlign w:val="bottom"/>
            <w:gridSpan w:val="7"/>
          </w:tcPr>
          <w:p>
            <w:pPr>
              <w:ind w:left="660"/>
              <w:spacing w:after="0"/>
              <w:rPr>
                <w:sz w:val="20"/>
                <w:szCs w:val="20"/>
                <w:color w:val="auto"/>
              </w:rPr>
            </w:pPr>
            <w:r>
              <w:rPr>
                <w:rFonts w:ascii="Calibri" w:cs="Calibri" w:eastAsia="Calibri" w:hAnsi="Calibri"/>
                <w:sz w:val="20"/>
                <w:szCs w:val="20"/>
                <w:color w:val="auto"/>
              </w:rPr>
              <w:t>Secton 10.11  Consent to Jurisdicton</w:t>
            </w:r>
          </w:p>
        </w:tc>
        <w:tc>
          <w:tcPr>
            <w:tcW w:w="180" w:type="dxa"/>
            <w:vAlign w:val="bottom"/>
          </w:tcPr>
          <w:p>
            <w:pPr>
              <w:spacing w:after="0"/>
              <w:rPr>
                <w:sz w:val="22"/>
                <w:szCs w:val="22"/>
                <w:color w:val="auto"/>
              </w:rPr>
            </w:pPr>
          </w:p>
        </w:tc>
        <w:tc>
          <w:tcPr>
            <w:tcW w:w="400" w:type="dxa"/>
            <w:vAlign w:val="bottom"/>
          </w:tcPr>
          <w:p>
            <w:pPr>
              <w:jc w:val="right"/>
              <w:ind w:right="101"/>
              <w:spacing w:after="0"/>
              <w:rPr>
                <w:sz w:val="20"/>
                <w:szCs w:val="20"/>
                <w:color w:val="auto"/>
              </w:rPr>
            </w:pPr>
            <w:r>
              <w:rPr>
                <w:rFonts w:ascii="Calibri" w:cs="Calibri" w:eastAsia="Calibri" w:hAnsi="Calibri"/>
                <w:sz w:val="20"/>
                <w:szCs w:val="20"/>
                <w:color w:val="auto"/>
                <w:w w:val="88"/>
              </w:rPr>
              <w:t>41</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70"/>
        </w:trPr>
        <w:tc>
          <w:tcPr>
            <w:tcW w:w="1820" w:type="dxa"/>
            <w:vAlign w:val="bottom"/>
            <w:gridSpan w:val="2"/>
          </w:tcPr>
          <w:p>
            <w:pPr>
              <w:ind w:left="660"/>
              <w:spacing w:after="0"/>
              <w:rPr>
                <w:sz w:val="20"/>
                <w:szCs w:val="20"/>
                <w:color w:val="auto"/>
              </w:rPr>
            </w:pPr>
            <w:r>
              <w:rPr>
                <w:rFonts w:ascii="Calibri" w:cs="Calibri" w:eastAsia="Calibri" w:hAnsi="Calibri"/>
                <w:sz w:val="20"/>
                <w:szCs w:val="20"/>
                <w:color w:val="auto"/>
              </w:rPr>
              <w:t>Secton 10.12</w:t>
            </w:r>
          </w:p>
        </w:tc>
        <w:tc>
          <w:tcPr>
            <w:tcW w:w="1800" w:type="dxa"/>
            <w:vAlign w:val="bottom"/>
            <w:gridSpan w:val="4"/>
          </w:tcPr>
          <w:p>
            <w:pPr>
              <w:ind w:left="140"/>
              <w:spacing w:after="0"/>
              <w:rPr>
                <w:sz w:val="20"/>
                <w:szCs w:val="20"/>
                <w:color w:val="auto"/>
              </w:rPr>
            </w:pPr>
            <w:r>
              <w:rPr>
                <w:rFonts w:ascii="Calibri" w:cs="Calibri" w:eastAsia="Calibri" w:hAnsi="Calibri"/>
                <w:sz w:val="20"/>
                <w:szCs w:val="20"/>
                <w:color w:val="auto"/>
              </w:rPr>
              <w:t>Dispute Resoluton</w:t>
            </w:r>
          </w:p>
        </w:tc>
        <w:tc>
          <w:tcPr>
            <w:tcW w:w="400" w:type="dxa"/>
            <w:vAlign w:val="bottom"/>
            <w:gridSpan w:val="2"/>
          </w:tcPr>
          <w:p>
            <w:pPr>
              <w:jc w:val="right"/>
              <w:ind w:right="21"/>
              <w:spacing w:after="0"/>
              <w:rPr>
                <w:sz w:val="20"/>
                <w:szCs w:val="20"/>
                <w:color w:val="auto"/>
              </w:rPr>
            </w:pPr>
            <w:r>
              <w:rPr>
                <w:rFonts w:ascii="Calibri" w:cs="Calibri" w:eastAsia="Calibri" w:hAnsi="Calibri"/>
                <w:sz w:val="20"/>
                <w:szCs w:val="20"/>
                <w:color w:val="auto"/>
              </w:rPr>
              <w:t>41</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300" w:type="dxa"/>
            <w:vAlign w:val="bottom"/>
          </w:tcPr>
          <w:p>
            <w:pPr>
              <w:spacing w:after="0"/>
              <w:rPr>
                <w:sz w:val="23"/>
                <w:szCs w:val="23"/>
                <w:color w:val="auto"/>
              </w:rPr>
            </w:pPr>
          </w:p>
        </w:tc>
      </w:tr>
      <w:tr>
        <w:trPr>
          <w:trHeight w:val="256"/>
        </w:trPr>
        <w:tc>
          <w:tcPr>
            <w:tcW w:w="3840" w:type="dxa"/>
            <w:vAlign w:val="bottom"/>
            <w:gridSpan w:val="7"/>
          </w:tcPr>
          <w:p>
            <w:pPr>
              <w:ind w:left="660"/>
              <w:spacing w:after="0"/>
              <w:rPr>
                <w:sz w:val="20"/>
                <w:szCs w:val="20"/>
                <w:color w:val="auto"/>
              </w:rPr>
            </w:pPr>
            <w:r>
              <w:rPr>
                <w:rFonts w:ascii="Calibri" w:cs="Calibri" w:eastAsia="Calibri" w:hAnsi="Calibri"/>
                <w:sz w:val="20"/>
                <w:szCs w:val="20"/>
                <w:color w:val="auto"/>
              </w:rPr>
              <w:t>Secton 10.13  Successors and Assigns</w:t>
            </w:r>
          </w:p>
        </w:tc>
        <w:tc>
          <w:tcPr>
            <w:tcW w:w="180" w:type="dxa"/>
            <w:vAlign w:val="bottom"/>
          </w:tcPr>
          <w:p>
            <w:pPr>
              <w:spacing w:after="0"/>
              <w:rPr>
                <w:sz w:val="22"/>
                <w:szCs w:val="22"/>
                <w:color w:val="auto"/>
              </w:rPr>
            </w:pPr>
          </w:p>
        </w:tc>
        <w:tc>
          <w:tcPr>
            <w:tcW w:w="400" w:type="dxa"/>
            <w:vAlign w:val="bottom"/>
          </w:tcPr>
          <w:p>
            <w:pPr>
              <w:jc w:val="right"/>
              <w:ind w:right="81"/>
              <w:spacing w:after="0"/>
              <w:rPr>
                <w:sz w:val="20"/>
                <w:szCs w:val="20"/>
                <w:color w:val="auto"/>
              </w:rPr>
            </w:pPr>
            <w:r>
              <w:rPr>
                <w:rFonts w:ascii="Calibri" w:cs="Calibri" w:eastAsia="Calibri" w:hAnsi="Calibri"/>
                <w:sz w:val="20"/>
                <w:szCs w:val="20"/>
                <w:color w:val="auto"/>
                <w:w w:val="98"/>
              </w:rPr>
              <w:t>44</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r>
        <w:trPr>
          <w:trHeight w:val="257"/>
        </w:trPr>
        <w:tc>
          <w:tcPr>
            <w:tcW w:w="1820" w:type="dxa"/>
            <w:vAlign w:val="bottom"/>
            <w:gridSpan w:val="2"/>
          </w:tcPr>
          <w:p>
            <w:pPr>
              <w:ind w:left="660"/>
              <w:spacing w:after="0"/>
              <w:rPr>
                <w:sz w:val="20"/>
                <w:szCs w:val="20"/>
                <w:color w:val="auto"/>
              </w:rPr>
            </w:pPr>
            <w:r>
              <w:rPr>
                <w:rFonts w:ascii="Calibri" w:cs="Calibri" w:eastAsia="Calibri" w:hAnsi="Calibri"/>
                <w:sz w:val="20"/>
                <w:szCs w:val="20"/>
                <w:color w:val="auto"/>
              </w:rPr>
              <w:t>Secton 10.14</w:t>
            </w:r>
          </w:p>
        </w:tc>
        <w:tc>
          <w:tcPr>
            <w:tcW w:w="1400" w:type="dxa"/>
            <w:vAlign w:val="bottom"/>
            <w:gridSpan w:val="2"/>
          </w:tcPr>
          <w:p>
            <w:pPr>
              <w:ind w:left="140"/>
              <w:spacing w:after="0"/>
              <w:rPr>
                <w:sz w:val="20"/>
                <w:szCs w:val="20"/>
                <w:color w:val="auto"/>
              </w:rPr>
            </w:pPr>
            <w:r>
              <w:rPr>
                <w:rFonts w:ascii="Calibri" w:cs="Calibri" w:eastAsia="Calibri" w:hAnsi="Calibri"/>
                <w:sz w:val="20"/>
                <w:szCs w:val="20"/>
                <w:color w:val="auto"/>
              </w:rPr>
              <w:t>Reinstatement</w:t>
            </w:r>
          </w:p>
        </w:tc>
        <w:tc>
          <w:tcPr>
            <w:tcW w:w="400" w:type="dxa"/>
            <w:vAlign w:val="bottom"/>
            <w:gridSpan w:val="2"/>
          </w:tcPr>
          <w:p>
            <w:pPr>
              <w:jc w:val="right"/>
              <w:spacing w:after="0"/>
              <w:rPr>
                <w:sz w:val="20"/>
                <w:szCs w:val="20"/>
                <w:color w:val="auto"/>
              </w:rPr>
            </w:pPr>
            <w:r>
              <w:rPr>
                <w:rFonts w:ascii="Calibri" w:cs="Calibri" w:eastAsia="Calibri" w:hAnsi="Calibri"/>
                <w:sz w:val="20"/>
                <w:szCs w:val="20"/>
                <w:color w:val="auto"/>
              </w:rPr>
              <w:t>44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Calibri" w:cs="Calibri" w:eastAsia="Calibri" w:hAnsi="Calibri"/>
          <w:sz w:val="18"/>
          <w:szCs w:val="18"/>
          <w:color w:val="auto"/>
        </w:rPr>
        <w:t>ii</w:t>
      </w:r>
    </w:p>
    <w:p>
      <w:pPr>
        <w:sectPr>
          <w:pgSz w:w="11900" w:h="16838" w:orient="portrait"/>
          <w:cols w:equalWidth="0" w:num="1">
            <w:col w:w="10580"/>
          </w:cols>
          <w:pgMar w:left="320" w:top="1415" w:right="99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44"/>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10.15</w:t>
            </w:r>
          </w:p>
        </w:tc>
        <w:tc>
          <w:tcPr>
            <w:tcW w:w="3400" w:type="dxa"/>
            <w:vAlign w:val="bottom"/>
            <w:gridSpan w:val="4"/>
          </w:tcPr>
          <w:p>
            <w:pPr>
              <w:ind w:left="100"/>
              <w:spacing w:after="0"/>
              <w:rPr>
                <w:sz w:val="20"/>
                <w:szCs w:val="20"/>
                <w:color w:val="auto"/>
              </w:rPr>
            </w:pPr>
            <w:r>
              <w:rPr>
                <w:rFonts w:ascii="Calibri" w:cs="Calibri" w:eastAsia="Calibri" w:hAnsi="Calibri"/>
                <w:sz w:val="20"/>
                <w:szCs w:val="20"/>
                <w:color w:val="auto"/>
              </w:rPr>
              <w:t>No Partnership; Etc  44</w:t>
            </w:r>
          </w:p>
        </w:tc>
      </w:tr>
      <w:tr>
        <w:trPr>
          <w:trHeight w:val="257"/>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10.16</w:t>
            </w:r>
          </w:p>
        </w:tc>
        <w:tc>
          <w:tcPr>
            <w:tcW w:w="1480" w:type="dxa"/>
            <w:vAlign w:val="bottom"/>
            <w:gridSpan w:val="2"/>
          </w:tcPr>
          <w:p>
            <w:pPr>
              <w:ind w:left="100"/>
              <w:spacing w:after="0"/>
              <w:rPr>
                <w:sz w:val="20"/>
                <w:szCs w:val="20"/>
                <w:color w:val="auto"/>
              </w:rPr>
            </w:pPr>
            <w:r>
              <w:rPr>
                <w:rFonts w:ascii="Calibri" w:cs="Calibri" w:eastAsia="Calibri" w:hAnsi="Calibri"/>
                <w:sz w:val="20"/>
                <w:szCs w:val="20"/>
                <w:color w:val="auto"/>
              </w:rPr>
              <w:t>Marshaling  44</w:t>
            </w: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10.17</w:t>
            </w:r>
          </w:p>
        </w:tc>
        <w:tc>
          <w:tcPr>
            <w:tcW w:w="1480" w:type="dxa"/>
            <w:vAlign w:val="bottom"/>
            <w:gridSpan w:val="2"/>
          </w:tcPr>
          <w:p>
            <w:pPr>
              <w:ind w:left="100"/>
              <w:spacing w:after="0"/>
              <w:rPr>
                <w:sz w:val="20"/>
                <w:szCs w:val="20"/>
                <w:color w:val="auto"/>
              </w:rPr>
            </w:pPr>
            <w:r>
              <w:rPr>
                <w:rFonts w:ascii="Calibri" w:cs="Calibri" w:eastAsia="Calibri" w:hAnsi="Calibri"/>
                <w:sz w:val="20"/>
                <w:szCs w:val="20"/>
                <w:color w:val="auto"/>
              </w:rPr>
              <w:t>Indemnifcaton</w:t>
            </w:r>
          </w:p>
        </w:tc>
        <w:tc>
          <w:tcPr>
            <w:tcW w:w="500" w:type="dxa"/>
            <w:vAlign w:val="bottom"/>
          </w:tcPr>
          <w:p>
            <w:pPr>
              <w:jc w:val="right"/>
              <w:ind w:right="101"/>
              <w:spacing w:after="0"/>
              <w:rPr>
                <w:sz w:val="20"/>
                <w:szCs w:val="20"/>
                <w:color w:val="auto"/>
              </w:rPr>
            </w:pPr>
            <w:r>
              <w:rPr>
                <w:rFonts w:ascii="Calibri" w:cs="Calibri" w:eastAsia="Calibri" w:hAnsi="Calibri"/>
                <w:sz w:val="20"/>
                <w:szCs w:val="20"/>
                <w:color w:val="auto"/>
              </w:rPr>
              <w:t>44</w:t>
            </w:r>
          </w:p>
        </w:tc>
        <w:tc>
          <w:tcPr>
            <w:tcW w:w="1420" w:type="dxa"/>
            <w:vAlign w:val="bottom"/>
          </w:tcPr>
          <w:p>
            <w:pPr>
              <w:spacing w:after="0"/>
              <w:rPr>
                <w:sz w:val="22"/>
                <w:szCs w:val="22"/>
                <w:color w:val="auto"/>
              </w:rPr>
            </w:pPr>
          </w:p>
        </w:tc>
      </w:tr>
      <w:tr>
        <w:trPr>
          <w:trHeight w:val="270"/>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10.18</w:t>
            </w:r>
          </w:p>
        </w:tc>
        <w:tc>
          <w:tcPr>
            <w:tcW w:w="3400" w:type="dxa"/>
            <w:vAlign w:val="bottom"/>
            <w:gridSpan w:val="4"/>
          </w:tcPr>
          <w:p>
            <w:pPr>
              <w:ind w:left="100"/>
              <w:spacing w:after="0"/>
              <w:rPr>
                <w:sz w:val="20"/>
                <w:szCs w:val="20"/>
                <w:color w:val="auto"/>
              </w:rPr>
            </w:pPr>
            <w:r>
              <w:rPr>
                <w:rFonts w:ascii="Calibri" w:cs="Calibri" w:eastAsia="Calibri" w:hAnsi="Calibri"/>
                <w:sz w:val="20"/>
                <w:szCs w:val="20"/>
                <w:color w:val="auto"/>
              </w:rPr>
              <w:t>Counterparts; Electronic Signatures  45</w:t>
            </w:r>
          </w:p>
        </w:tc>
      </w:tr>
      <w:tr>
        <w:trPr>
          <w:trHeight w:val="257"/>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10.19</w:t>
            </w:r>
          </w:p>
        </w:tc>
        <w:tc>
          <w:tcPr>
            <w:tcW w:w="1980" w:type="dxa"/>
            <w:vAlign w:val="bottom"/>
            <w:gridSpan w:val="3"/>
          </w:tcPr>
          <w:p>
            <w:pPr>
              <w:ind w:left="100"/>
              <w:spacing w:after="0"/>
              <w:rPr>
                <w:sz w:val="20"/>
                <w:szCs w:val="20"/>
                <w:color w:val="auto"/>
              </w:rPr>
            </w:pPr>
            <w:r>
              <w:rPr>
                <w:rFonts w:ascii="Calibri" w:cs="Calibri" w:eastAsia="Calibri" w:hAnsi="Calibri"/>
                <w:sz w:val="20"/>
                <w:szCs w:val="20"/>
                <w:color w:val="auto"/>
              </w:rPr>
              <w:t>Benefts of Agreement</w:t>
            </w:r>
          </w:p>
        </w:tc>
        <w:tc>
          <w:tcPr>
            <w:tcW w:w="1420" w:type="dxa"/>
            <w:vAlign w:val="bottom"/>
          </w:tcPr>
          <w:p>
            <w:pPr>
              <w:jc w:val="right"/>
              <w:ind w:right="961"/>
              <w:spacing w:after="0"/>
              <w:rPr>
                <w:sz w:val="20"/>
                <w:szCs w:val="20"/>
                <w:color w:val="auto"/>
              </w:rPr>
            </w:pPr>
            <w:r>
              <w:rPr>
                <w:rFonts w:ascii="Calibri" w:cs="Calibri" w:eastAsia="Calibri" w:hAnsi="Calibri"/>
                <w:sz w:val="20"/>
                <w:szCs w:val="20"/>
                <w:color w:val="auto"/>
              </w:rPr>
              <w:t>46</w:t>
            </w:r>
          </w:p>
        </w:tc>
      </w:tr>
      <w:tr>
        <w:trPr>
          <w:trHeight w:val="257"/>
        </w:trPr>
        <w:tc>
          <w:tcPr>
            <w:tcW w:w="1860" w:type="dxa"/>
            <w:vAlign w:val="bottom"/>
          </w:tcPr>
          <w:p>
            <w:pPr>
              <w:jc w:val="center"/>
              <w:ind w:left="461"/>
              <w:spacing w:after="0"/>
              <w:rPr>
                <w:sz w:val="20"/>
                <w:szCs w:val="20"/>
                <w:color w:val="auto"/>
              </w:rPr>
            </w:pPr>
            <w:r>
              <w:rPr>
                <w:rFonts w:ascii="Calibri" w:cs="Calibri" w:eastAsia="Calibri" w:hAnsi="Calibri"/>
                <w:sz w:val="20"/>
                <w:szCs w:val="20"/>
                <w:color w:val="auto"/>
              </w:rPr>
              <w:t>Secton 10.20</w:t>
            </w:r>
          </w:p>
        </w:tc>
        <w:tc>
          <w:tcPr>
            <w:tcW w:w="1980" w:type="dxa"/>
            <w:vAlign w:val="bottom"/>
            <w:gridSpan w:val="3"/>
          </w:tcPr>
          <w:p>
            <w:pPr>
              <w:ind w:left="100"/>
              <w:spacing w:after="0"/>
              <w:rPr>
                <w:sz w:val="20"/>
                <w:szCs w:val="20"/>
                <w:color w:val="auto"/>
              </w:rPr>
            </w:pPr>
            <w:r>
              <w:rPr>
                <w:rFonts w:ascii="Calibri" w:cs="Calibri" w:eastAsia="Calibri" w:hAnsi="Calibri"/>
                <w:sz w:val="20"/>
                <w:szCs w:val="20"/>
                <w:color w:val="auto"/>
              </w:rPr>
              <w:t>Terminaton; Survival</w:t>
            </w:r>
          </w:p>
        </w:tc>
        <w:tc>
          <w:tcPr>
            <w:tcW w:w="1420" w:type="dxa"/>
            <w:vAlign w:val="bottom"/>
          </w:tcPr>
          <w:p>
            <w:pPr>
              <w:jc w:val="right"/>
              <w:ind w:right="1081"/>
              <w:spacing w:after="0"/>
              <w:rPr>
                <w:sz w:val="20"/>
                <w:szCs w:val="20"/>
                <w:color w:val="auto"/>
              </w:rPr>
            </w:pPr>
            <w:r>
              <w:rPr>
                <w:rFonts w:ascii="Calibri" w:cs="Calibri" w:eastAsia="Calibri" w:hAnsi="Calibri"/>
                <w:sz w:val="20"/>
                <w:szCs w:val="20"/>
                <w:color w:val="auto"/>
              </w:rPr>
              <w:t>46</w:t>
            </w:r>
          </w:p>
        </w:tc>
      </w:tr>
      <w:tr>
        <w:trPr>
          <w:trHeight w:val="486"/>
        </w:trPr>
        <w:tc>
          <w:tcPr>
            <w:tcW w:w="2600" w:type="dxa"/>
            <w:vAlign w:val="bottom"/>
            <w:gridSpan w:val="2"/>
          </w:tcPr>
          <w:p>
            <w:pPr>
              <w:spacing w:after="0"/>
              <w:rPr>
                <w:sz w:val="20"/>
                <w:szCs w:val="20"/>
                <w:color w:val="auto"/>
              </w:rPr>
            </w:pPr>
            <w:r>
              <w:rPr>
                <w:rFonts w:ascii="Calibri" w:cs="Calibri" w:eastAsia="Calibri" w:hAnsi="Calibri"/>
                <w:sz w:val="20"/>
                <w:szCs w:val="20"/>
                <w:color w:val="auto"/>
              </w:rPr>
              <w:t>Annex B Rules of Interpretaton</w:t>
            </w:r>
          </w:p>
        </w:tc>
        <w:tc>
          <w:tcPr>
            <w:tcW w:w="740" w:type="dxa"/>
            <w:vAlign w:val="bottom"/>
          </w:tcPr>
          <w:p>
            <w:pPr>
              <w:ind w:left="160"/>
              <w:spacing w:after="0"/>
              <w:rPr>
                <w:sz w:val="20"/>
                <w:szCs w:val="20"/>
                <w:color w:val="auto"/>
              </w:rPr>
            </w:pPr>
            <w:r>
              <w:rPr>
                <w:rFonts w:ascii="Calibri" w:cs="Calibri" w:eastAsia="Calibri" w:hAnsi="Calibri"/>
                <w:sz w:val="20"/>
                <w:szCs w:val="20"/>
                <w:color w:val="auto"/>
              </w:rPr>
              <w:t>B-1</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3340" w:type="dxa"/>
            <w:vAlign w:val="bottom"/>
            <w:gridSpan w:val="3"/>
          </w:tcPr>
          <w:p>
            <w:pPr>
              <w:spacing w:after="0" w:line="239" w:lineRule="exact"/>
              <w:rPr>
                <w:sz w:val="20"/>
                <w:szCs w:val="20"/>
                <w:color w:val="auto"/>
              </w:rPr>
            </w:pPr>
            <w:r>
              <w:rPr>
                <w:rFonts w:ascii="Calibri" w:cs="Calibri" w:eastAsia="Calibri" w:hAnsi="Calibri"/>
                <w:sz w:val="20"/>
                <w:szCs w:val="20"/>
                <w:color w:val="auto"/>
              </w:rPr>
              <w:t>Annex C Guardrail Provisions  C-1</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4"/>
        </w:trPr>
        <w:tc>
          <w:tcPr>
            <w:tcW w:w="3340" w:type="dxa"/>
            <w:vAlign w:val="bottom"/>
            <w:gridSpan w:val="3"/>
          </w:tcPr>
          <w:p>
            <w:pPr>
              <w:spacing w:after="0" w:line="234" w:lineRule="exact"/>
              <w:rPr>
                <w:sz w:val="20"/>
                <w:szCs w:val="20"/>
                <w:color w:val="auto"/>
              </w:rPr>
            </w:pPr>
            <w:r>
              <w:rPr>
                <w:rFonts w:ascii="Calibri" w:cs="Calibri" w:eastAsia="Calibri" w:hAnsi="Calibri"/>
                <w:sz w:val="20"/>
                <w:szCs w:val="20"/>
                <w:color w:val="auto"/>
              </w:rPr>
              <w:t>Annex D Program Requirements  D-1</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3340" w:type="dxa"/>
            <w:vAlign w:val="bottom"/>
            <w:gridSpan w:val="3"/>
          </w:tcPr>
          <w:p>
            <w:pPr>
              <w:spacing w:after="0" w:line="243" w:lineRule="exact"/>
              <w:rPr>
                <w:sz w:val="20"/>
                <w:szCs w:val="20"/>
                <w:color w:val="auto"/>
              </w:rPr>
            </w:pPr>
            <w:r>
              <w:rPr>
                <w:rFonts w:ascii="Calibri" w:cs="Calibri" w:eastAsia="Calibri" w:hAnsi="Calibri"/>
                <w:sz w:val="20"/>
                <w:szCs w:val="20"/>
                <w:color w:val="auto"/>
              </w:rPr>
              <w:t>Annex E Davis-Bacon Act Requirements</w:t>
            </w:r>
          </w:p>
        </w:tc>
        <w:tc>
          <w:tcPr>
            <w:tcW w:w="500" w:type="dxa"/>
            <w:vAlign w:val="bottom"/>
          </w:tcPr>
          <w:p>
            <w:pPr>
              <w:jc w:val="center"/>
              <w:ind w:right="1"/>
              <w:spacing w:after="0" w:line="243" w:lineRule="exact"/>
              <w:rPr>
                <w:sz w:val="20"/>
                <w:szCs w:val="20"/>
                <w:color w:val="auto"/>
              </w:rPr>
            </w:pPr>
            <w:r>
              <w:rPr>
                <w:rFonts w:ascii="Calibri" w:cs="Calibri" w:eastAsia="Calibri" w:hAnsi="Calibri"/>
                <w:sz w:val="20"/>
                <w:szCs w:val="20"/>
                <w:color w:val="auto"/>
                <w:w w:val="92"/>
              </w:rPr>
              <w:t>E-1</w:t>
            </w:r>
          </w:p>
        </w:tc>
        <w:tc>
          <w:tcPr>
            <w:tcW w:w="1420" w:type="dxa"/>
            <w:vAlign w:val="bottom"/>
          </w:tcPr>
          <w:p>
            <w:pPr>
              <w:spacing w:after="0"/>
              <w:rPr>
                <w:sz w:val="21"/>
                <w:szCs w:val="21"/>
                <w:color w:val="auto"/>
              </w:rPr>
            </w:pPr>
          </w:p>
        </w:tc>
      </w:tr>
      <w:tr>
        <w:trPr>
          <w:trHeight w:val="243"/>
        </w:trPr>
        <w:tc>
          <w:tcPr>
            <w:tcW w:w="2600" w:type="dxa"/>
            <w:vAlign w:val="bottom"/>
            <w:gridSpan w:val="2"/>
          </w:tcPr>
          <w:p>
            <w:pPr>
              <w:jc w:val="center"/>
              <w:ind w:right="81"/>
              <w:spacing w:after="0" w:line="243" w:lineRule="exact"/>
              <w:rPr>
                <w:sz w:val="20"/>
                <w:szCs w:val="20"/>
                <w:color w:val="auto"/>
              </w:rPr>
            </w:pPr>
            <w:r>
              <w:rPr>
                <w:rFonts w:ascii="Calibri" w:cs="Calibri" w:eastAsia="Calibri" w:hAnsi="Calibri"/>
                <w:sz w:val="20"/>
                <w:szCs w:val="20"/>
                <w:color w:val="auto"/>
              </w:rPr>
              <w:t>Annex F Reportng Covenants</w:t>
            </w:r>
          </w:p>
        </w:tc>
        <w:tc>
          <w:tcPr>
            <w:tcW w:w="740" w:type="dxa"/>
            <w:vAlign w:val="bottom"/>
          </w:tcPr>
          <w:p>
            <w:pPr>
              <w:spacing w:after="0" w:line="243" w:lineRule="exact"/>
              <w:rPr>
                <w:sz w:val="20"/>
                <w:szCs w:val="20"/>
                <w:color w:val="auto"/>
              </w:rPr>
            </w:pPr>
            <w:r>
              <w:rPr>
                <w:rFonts w:ascii="Calibri" w:cs="Calibri" w:eastAsia="Calibri" w:hAnsi="Calibri"/>
                <w:sz w:val="20"/>
                <w:szCs w:val="20"/>
                <w:color w:val="auto"/>
              </w:rPr>
              <w:t>F-1</w:t>
            </w:r>
          </w:p>
        </w:tc>
        <w:tc>
          <w:tcPr>
            <w:tcW w:w="5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59"/>
        <w:spacing w:after="0"/>
        <w:rPr>
          <w:sz w:val="20"/>
          <w:szCs w:val="20"/>
          <w:color w:val="auto"/>
        </w:rPr>
      </w:pPr>
      <w:r>
        <w:rPr>
          <w:rFonts w:ascii="Calibri" w:cs="Calibri" w:eastAsia="Calibri" w:hAnsi="Calibri"/>
          <w:sz w:val="18"/>
          <w:szCs w:val="18"/>
          <w:color w:val="auto"/>
        </w:rPr>
        <w:t>iii</w:t>
      </w:r>
    </w:p>
    <w:p>
      <w:pPr>
        <w:sectPr>
          <w:pgSz w:w="11900" w:h="16838" w:orient="portrait"/>
          <w:cols w:equalWidth="0" w:num="1">
            <w:col w:w="10139"/>
          </w:cols>
          <w:pgMar w:left="320" w:top="1415" w:right="1440" w:bottom="1440" w:gutter="0" w:footer="0" w:header="0"/>
        </w:sectPr>
      </w:pPr>
    </w:p>
    <w:bookmarkStart w:id="339" w:name="page340"/>
    <w:bookmarkEnd w:id="339"/>
    <w:p>
      <w:pPr>
        <w:spacing w:after="0"/>
        <w:rPr>
          <w:sz w:val="20"/>
          <w:szCs w:val="20"/>
          <w:color w:val="auto"/>
        </w:rPr>
      </w:pPr>
      <w:r>
        <w:rPr>
          <w:rFonts w:ascii="Calibri" w:cs="Calibri" w:eastAsia="Calibri" w:hAnsi="Calibri"/>
          <w:sz w:val="20"/>
          <w:szCs w:val="20"/>
          <w:b w:val="1"/>
          <w:bCs w:val="1"/>
          <w:color w:val="auto"/>
        </w:rPr>
        <w:t>EXHIBITS</w:t>
      </w:r>
    </w:p>
    <w:p>
      <w:pPr>
        <w:spacing w:after="0" w:line="225" w:lineRule="exact"/>
        <w:rPr>
          <w:sz w:val="20"/>
          <w:szCs w:val="20"/>
          <w:color w:val="auto"/>
        </w:rPr>
      </w:pPr>
    </w:p>
    <w:p>
      <w:pPr>
        <w:ind w:right="5059"/>
        <w:spacing w:after="0" w:line="228" w:lineRule="auto"/>
        <w:rPr>
          <w:sz w:val="20"/>
          <w:szCs w:val="20"/>
          <w:color w:val="auto"/>
        </w:rPr>
      </w:pPr>
      <w:r>
        <w:rPr>
          <w:rFonts w:ascii="Calibri" w:cs="Calibri" w:eastAsia="Calibri" w:hAnsi="Calibri"/>
          <w:sz w:val="20"/>
          <w:szCs w:val="20"/>
          <w:u w:val="single" w:color="auto"/>
          <w:color w:val="0563C1"/>
        </w:rPr>
        <w:t>Exhibit A-2 Form of Sponsor Guarantor Award Date Certfcate Exhibit B Form of Direct Funding Disbursement Request</w:t>
      </w:r>
    </w:p>
    <w:p>
      <w:pPr>
        <w:spacing w:after="0" w:line="238" w:lineRule="auto"/>
        <w:rPr>
          <w:sz w:val="20"/>
          <w:szCs w:val="20"/>
          <w:color w:val="auto"/>
        </w:rPr>
      </w:pPr>
      <w:r>
        <w:rPr>
          <w:rFonts w:ascii="Calibri" w:cs="Calibri" w:eastAsia="Calibri" w:hAnsi="Calibri"/>
          <w:sz w:val="20"/>
          <w:szCs w:val="20"/>
          <w:u w:val="single" w:color="auto"/>
          <w:color w:val="0563C1"/>
        </w:rPr>
        <w:t>Exhibit C Form of Direct Funding Disbursement Approval Notce</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0563C1"/>
        </w:rPr>
        <w:t>Exhibit D-1 Form of Recipient Direct Funding Disbursement Date Certfcate</w:t>
      </w:r>
    </w:p>
    <w:p>
      <w:pPr>
        <w:spacing w:after="0" w:line="9" w:lineRule="exact"/>
        <w:rPr>
          <w:sz w:val="20"/>
          <w:szCs w:val="20"/>
          <w:color w:val="auto"/>
        </w:rPr>
      </w:pPr>
    </w:p>
    <w:p>
      <w:pPr>
        <w:ind w:right="3179"/>
        <w:spacing w:after="0" w:line="234" w:lineRule="auto"/>
        <w:rPr>
          <w:sz w:val="20"/>
          <w:szCs w:val="20"/>
          <w:color w:val="auto"/>
        </w:rPr>
      </w:pPr>
      <w:r>
        <w:rPr>
          <w:rFonts w:ascii="Calibri" w:cs="Calibri" w:eastAsia="Calibri" w:hAnsi="Calibri"/>
          <w:sz w:val="20"/>
          <w:szCs w:val="20"/>
          <w:u w:val="single" w:color="auto"/>
          <w:color w:val="0563C1"/>
        </w:rPr>
        <w:t>Exhibit D-2 Form of Sponsor Guarantor Direct Funding Disbursement Date Certfcate Exhibit E Form of Intercompany Agreement</w:t>
      </w:r>
    </w:p>
    <w:p>
      <w:pPr>
        <w:spacing w:after="0" w:line="226" w:lineRule="auto"/>
        <w:rPr>
          <w:sz w:val="20"/>
          <w:szCs w:val="20"/>
          <w:color w:val="auto"/>
        </w:rPr>
      </w:pPr>
      <w:r>
        <w:rPr>
          <w:rFonts w:ascii="Calibri" w:cs="Calibri" w:eastAsia="Calibri" w:hAnsi="Calibri"/>
          <w:sz w:val="20"/>
          <w:szCs w:val="20"/>
          <w:u w:val="single" w:color="auto"/>
          <w:color w:val="0563C1"/>
        </w:rPr>
        <w:t>Exhibit F Form of Project Completon Certfcate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SCHEDULES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0563C1"/>
        </w:rPr>
        <w:t>Schedule B Project Milestone Schedule</w:t>
      </w:r>
    </w:p>
    <w:p>
      <w:pPr>
        <w:spacing w:after="0" w:line="238" w:lineRule="auto"/>
        <w:rPr>
          <w:sz w:val="20"/>
          <w:szCs w:val="20"/>
          <w:color w:val="auto"/>
        </w:rPr>
      </w:pPr>
      <w:r>
        <w:rPr>
          <w:rFonts w:ascii="Calibri" w:cs="Calibri" w:eastAsia="Calibri" w:hAnsi="Calibri"/>
          <w:sz w:val="20"/>
          <w:szCs w:val="20"/>
          <w:u w:val="single" w:color="auto"/>
          <w:color w:val="0563C1"/>
        </w:rPr>
        <w:t>Schedule C Permitng Plan</w:t>
      </w:r>
    </w:p>
    <w:p>
      <w:pPr>
        <w:spacing w:after="0"/>
        <w:rPr>
          <w:sz w:val="20"/>
          <w:szCs w:val="20"/>
          <w:color w:val="auto"/>
        </w:rPr>
      </w:pPr>
      <w:r>
        <w:rPr>
          <w:rFonts w:ascii="Calibri" w:cs="Calibri" w:eastAsia="Calibri" w:hAnsi="Calibri"/>
          <w:sz w:val="20"/>
          <w:szCs w:val="20"/>
          <w:u w:val="single" w:color="auto"/>
          <w:color w:val="0563C1"/>
        </w:rPr>
        <w:t>Schedule D Project Site</w:t>
      </w:r>
    </w:p>
    <w:p>
      <w:pPr>
        <w:spacing w:after="0" w:line="225" w:lineRule="auto"/>
        <w:rPr>
          <w:sz w:val="20"/>
          <w:szCs w:val="20"/>
          <w:color w:val="auto"/>
        </w:rPr>
      </w:pPr>
      <w:r>
        <w:rPr>
          <w:rFonts w:ascii="Calibri" w:cs="Calibri" w:eastAsia="Calibri" w:hAnsi="Calibri"/>
          <w:sz w:val="20"/>
          <w:szCs w:val="20"/>
          <w:u w:val="single" w:color="auto"/>
          <w:color w:val="0563C1"/>
        </w:rPr>
        <w:t>Schedule E Litgaton</w:t>
      </w:r>
    </w:p>
    <w:p>
      <w:pPr>
        <w:spacing w:after="0"/>
        <w:rPr>
          <w:sz w:val="20"/>
          <w:szCs w:val="20"/>
          <w:color w:val="auto"/>
        </w:rPr>
      </w:pPr>
      <w:r>
        <w:rPr>
          <w:rFonts w:ascii="Calibri" w:cs="Calibri" w:eastAsia="Calibri" w:hAnsi="Calibri"/>
          <w:sz w:val="20"/>
          <w:szCs w:val="20"/>
          <w:u w:val="single" w:color="auto"/>
          <w:color w:val="0563C1"/>
        </w:rPr>
        <w:t>Schedule F Afliate Transactons</w:t>
      </w:r>
    </w:p>
    <w:p>
      <w:pPr>
        <w:spacing w:after="0" w:line="225" w:lineRule="auto"/>
        <w:rPr>
          <w:sz w:val="20"/>
          <w:szCs w:val="20"/>
          <w:color w:val="auto"/>
        </w:rPr>
      </w:pPr>
      <w:r>
        <w:rPr>
          <w:rFonts w:ascii="Calibri" w:cs="Calibri" w:eastAsia="Calibri" w:hAnsi="Calibri"/>
          <w:sz w:val="20"/>
          <w:szCs w:val="20"/>
          <w:u w:val="single" w:color="auto"/>
          <w:color w:val="0563C1"/>
        </w:rPr>
        <w:t>Schedule G Addresses</w:t>
      </w:r>
    </w:p>
    <w:p>
      <w:pPr>
        <w:spacing w:after="0"/>
        <w:rPr>
          <w:sz w:val="20"/>
          <w:szCs w:val="20"/>
          <w:color w:val="auto"/>
        </w:rPr>
      </w:pPr>
      <w:r>
        <w:rPr>
          <w:rFonts w:ascii="Calibri" w:cs="Calibri" w:eastAsia="Calibri" w:hAnsi="Calibri"/>
          <w:sz w:val="20"/>
          <w:szCs w:val="20"/>
          <w:u w:val="single" w:color="auto"/>
          <w:color w:val="0563C1"/>
        </w:rPr>
        <w:t>Schedule H Dispute Resoluton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iv</w:t>
      </w:r>
    </w:p>
    <w:p>
      <w:pPr>
        <w:sectPr>
          <w:pgSz w:w="11900" w:h="16838" w:orient="portrait"/>
          <w:cols w:equalWidth="0" w:num="1">
            <w:col w:w="10139"/>
          </w:cols>
          <w:pgMar w:left="320" w:top="1401" w:right="1440" w:bottom="1440" w:gutter="0" w:footer="0" w:header="0"/>
        </w:sectPr>
      </w:pPr>
    </w:p>
    <w:bookmarkStart w:id="340" w:name="page341"/>
    <w:bookmarkEnd w:id="340"/>
    <w:p>
      <w:pPr>
        <w:ind w:left="660"/>
        <w:spacing w:after="0"/>
        <w:rPr>
          <w:sz w:val="20"/>
          <w:szCs w:val="20"/>
          <w:color w:val="auto"/>
        </w:rPr>
      </w:pPr>
      <w:r>
        <w:rPr>
          <w:rFonts w:ascii="Calibri" w:cs="Calibri" w:eastAsia="Calibri" w:hAnsi="Calibri"/>
          <w:sz w:val="20"/>
          <w:szCs w:val="20"/>
          <w:color w:val="auto"/>
        </w:rPr>
        <w:t>This DIRECT FUNDING AGREEMENT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dated as of December 9, 2024, is entered into by and between</w:t>
      </w:r>
    </w:p>
    <w:p>
      <w:pPr>
        <w:spacing w:after="0" w:line="9" w:lineRule="exact"/>
        <w:rPr>
          <w:sz w:val="20"/>
          <w:szCs w:val="20"/>
          <w:color w:val="auto"/>
        </w:rPr>
      </w:pPr>
    </w:p>
    <w:p>
      <w:pPr>
        <w:jc w:val="both"/>
        <w:ind w:firstLine="8"/>
        <w:spacing w:after="0" w:line="230" w:lineRule="auto"/>
        <w:tabs>
          <w:tab w:leader="none" w:pos="310" w:val="left"/>
        </w:tabs>
        <w:numPr>
          <w:ilvl w:val="0"/>
          <w:numId w:val="317"/>
        </w:numPr>
        <w:rPr>
          <w:rFonts w:ascii="Calibri" w:cs="Calibri" w:eastAsia="Calibri" w:hAnsi="Calibri"/>
          <w:sz w:val="20"/>
          <w:szCs w:val="20"/>
          <w:color w:val="auto"/>
        </w:rPr>
      </w:pPr>
      <w:r>
        <w:rPr>
          <w:rFonts w:ascii="Calibri" w:cs="Calibri" w:eastAsia="Calibri" w:hAnsi="Calibri"/>
          <w:sz w:val="20"/>
          <w:szCs w:val="20"/>
          <w:color w:val="auto"/>
        </w:rPr>
        <w:t>MICRON IDAHO SEMICONDUCTOR MANUFACTURING (TRITON) LLC, a Delaware limited liability company, as the recipient (the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and (b) the UNITED STATES DEPARTMENT OF COMMERCE (the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and together with the Recipient,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 agency of the United States of America, actng by and through the Secretary of Commerce (or appropriate authorized representatve thereof).</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RECITALS</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has undertaken the constructon of a fabricaton facility in Boise, Idaho (the “</w:t>
      </w:r>
      <w:r>
        <w:rPr>
          <w:rFonts w:ascii="Calibri" w:cs="Calibri" w:eastAsia="Calibri" w:hAnsi="Calibri"/>
          <w:sz w:val="20"/>
          <w:szCs w:val="20"/>
          <w:b w:val="1"/>
          <w:bCs w:val="1"/>
          <w:color w:val="auto"/>
        </w:rPr>
        <w:t>Project</w:t>
      </w:r>
      <w:r>
        <w:rPr>
          <w:rFonts w:ascii="Calibri" w:cs="Calibri" w:eastAsia="Calibri" w:hAnsi="Calibri"/>
          <w:sz w:val="20"/>
          <w:szCs w:val="20"/>
          <w:color w:val="auto"/>
        </w:rPr>
        <w:t>”);</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the CHIPS Incentves Program—Commercial Fabricaton Facilites Notce of Funding Opportunity No.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2023-NIST-CHIPS-CFF-01 (as amended, supplemented, or otherwise modifed from tme to tme, the </w:t>
      </w:r>
      <w:r>
        <w:rPr>
          <w:rFonts w:ascii="Calibri" w:cs="Calibri" w:eastAsia="Calibri" w:hAnsi="Calibri"/>
          <w:sz w:val="20"/>
          <w:szCs w:val="20"/>
          <w:b w:val="1"/>
          <w:bCs w:val="1"/>
          <w:color w:val="auto"/>
        </w:rPr>
        <w:t>“NOFO</w:t>
      </w:r>
      <w:r>
        <w:rPr>
          <w:rFonts w:ascii="Calibri" w:cs="Calibri" w:eastAsia="Calibri" w:hAnsi="Calibri"/>
          <w:sz w:val="20"/>
          <w:szCs w:val="20"/>
          <w:color w:val="auto"/>
        </w:rPr>
        <w:t>”), the Recipient submited an applicaton with the CHIPS ID No. CHIPS-001437 (the “</w:t>
      </w:r>
      <w:r>
        <w:rPr>
          <w:rFonts w:ascii="Calibri" w:cs="Calibri" w:eastAsia="Calibri" w:hAnsi="Calibri"/>
          <w:sz w:val="20"/>
          <w:szCs w:val="20"/>
          <w:b w:val="1"/>
          <w:bCs w:val="1"/>
          <w:color w:val="auto"/>
        </w:rPr>
        <w:t>Applicaton</w:t>
      </w:r>
      <w:r>
        <w:rPr>
          <w:rFonts w:ascii="Calibri" w:cs="Calibri" w:eastAsia="Calibri" w:hAnsi="Calibri"/>
          <w:sz w:val="20"/>
          <w:szCs w:val="20"/>
          <w:color w:val="auto"/>
        </w:rPr>
        <w:t>”) to the Department’s CHIPS Incentves Program Portal for a Direct Funding Award for the Project under the CHIPS Incentves Program established pursuant to 15 U.S.C. § 4652 of the CHIPS Act (the “</w:t>
      </w:r>
      <w:r>
        <w:rPr>
          <w:rFonts w:ascii="Calibri" w:cs="Calibri" w:eastAsia="Calibri" w:hAnsi="Calibri"/>
          <w:sz w:val="20"/>
          <w:szCs w:val="20"/>
          <w:b w:val="1"/>
          <w:bCs w:val="1"/>
          <w:color w:val="auto"/>
        </w:rPr>
        <w:t>CHIPS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Incentves Program</w:t>
      </w:r>
      <w:r>
        <w:rPr>
          <w:rFonts w:ascii="Calibri" w:cs="Calibri" w:eastAsia="Calibri" w:hAnsi="Calibri"/>
          <w:sz w:val="20"/>
          <w:szCs w:val="20"/>
          <w:color w:val="auto"/>
        </w:rPr>
        <w:t>”);</w:t>
      </w:r>
    </w:p>
    <w:p>
      <w:pPr>
        <w:spacing w:after="0" w:line="214" w:lineRule="exact"/>
        <w:rPr>
          <w:sz w:val="20"/>
          <w:szCs w:val="20"/>
          <w:color w:val="auto"/>
        </w:rPr>
      </w:pPr>
    </w:p>
    <w:p>
      <w:pPr>
        <w:jc w:val="both"/>
        <w:ind w:firstLine="324"/>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has agreed to issue awards to an Afliate of the Recipient, MICRON NEW YORK SEMICONDUCTOR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MANUFACTURING LLC, a corporaton organized and existng under the laws of Delaware (the “</w:t>
      </w:r>
      <w:r>
        <w:rPr>
          <w:rFonts w:ascii="Calibri" w:cs="Calibri" w:eastAsia="Calibri" w:hAnsi="Calibri"/>
          <w:sz w:val="20"/>
          <w:szCs w:val="20"/>
          <w:b w:val="1"/>
          <w:bCs w:val="1"/>
          <w:color w:val="auto"/>
        </w:rPr>
        <w:t>NY Recipient</w:t>
      </w:r>
      <w:r>
        <w:rPr>
          <w:rFonts w:ascii="Calibri" w:cs="Calibri" w:eastAsia="Calibri" w:hAnsi="Calibri"/>
          <w:sz w:val="20"/>
          <w:szCs w:val="20"/>
          <w:color w:val="auto"/>
        </w:rPr>
        <w:t>”), pursuant to that certain Direct Funding Agreement by and between the NY Recipient and the Department, dated on or about the date hereof (the “</w:t>
      </w:r>
      <w:r>
        <w:rPr>
          <w:rFonts w:ascii="Calibri" w:cs="Calibri" w:eastAsia="Calibri" w:hAnsi="Calibri"/>
          <w:sz w:val="20"/>
          <w:szCs w:val="20"/>
          <w:b w:val="1"/>
          <w:bCs w:val="1"/>
          <w:color w:val="auto"/>
        </w:rPr>
        <w:t>NY DFA</w:t>
      </w:r>
      <w:r>
        <w:rPr>
          <w:rFonts w:ascii="Calibri" w:cs="Calibri" w:eastAsia="Calibri" w:hAnsi="Calibri"/>
          <w:sz w:val="20"/>
          <w:szCs w:val="20"/>
          <w:color w:val="auto"/>
        </w:rPr>
        <w:t>”), which NY DFA provides for, among other things, the issuance of an award for reimbursement of Eligible Workforce Costs (as defned in the NY DFA);</w:t>
      </w:r>
    </w:p>
    <w:p>
      <w:pPr>
        <w:spacing w:after="0" w:line="146"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has agreed to issue an Award subject to, and in accordance with, the terms and conditons of 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Agreement, which is entered into pursuant to 15 U.S.C. §§ 4652 and 4659(a)(1) of the CHIPS Act as an other transacton on such terms as the Secretary considers appropriate;</w:t>
      </w:r>
    </w:p>
    <w:p>
      <w:pPr>
        <w:spacing w:after="0" w:line="227" w:lineRule="exact"/>
        <w:rPr>
          <w:sz w:val="20"/>
          <w:szCs w:val="20"/>
          <w:color w:val="auto"/>
        </w:rPr>
      </w:pPr>
    </w:p>
    <w:p>
      <w:pPr>
        <w:jc w:val="both"/>
        <w:ind w:firstLine="648"/>
        <w:spacing w:after="0" w:line="228"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foregoing and other good and valid consideraton, the receipt and adequacy of which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are hereby expressly acknowledged, the Partes hereby agree as follows:</w:t>
      </w:r>
    </w:p>
    <w:p>
      <w:pPr>
        <w:spacing w:after="0" w:line="18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w:t>
      </w:r>
    </w:p>
    <w:p>
      <w:pPr>
        <w:spacing w:after="0" w:line="21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Capitalized terms used in this Agreement and its Exhibits and Schedules shall have the meanings set forth in Annex A (</w:t>
      </w:r>
      <w:r>
        <w:rPr>
          <w:rFonts w:ascii="Calibri" w:cs="Calibri" w:eastAsia="Calibri" w:hAnsi="Calibri"/>
          <w:sz w:val="20"/>
          <w:szCs w:val="20"/>
          <w:b w:val="1"/>
          <w:bCs w:val="1"/>
          <w:color w:val="auto"/>
        </w:rPr>
        <w:t>Defnitons</w:t>
      </w:r>
      <w:r>
        <w:rPr>
          <w:rFonts w:ascii="Calibri" w:cs="Calibri" w:eastAsia="Calibri" w:hAnsi="Calibri"/>
          <w:sz w:val="20"/>
          <w:szCs w:val="20"/>
          <w:color w:val="auto"/>
        </w:rPr>
        <w:t>) and the rules of interpretaton set forth in Annex B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shall apply to this Agreement, except, in each case, as otherwise expressly provided herein.</w:t>
      </w:r>
    </w:p>
    <w:p>
      <w:pPr>
        <w:spacing w:after="0" w:line="17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AWARD AND DISBURSEMENTS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2.1</w:t>
      </w:r>
      <w:r>
        <w:rPr>
          <w:sz w:val="20"/>
          <w:szCs w:val="20"/>
          <w:color w:val="auto"/>
        </w:rPr>
        <w:tab/>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401" w:right="339" w:bottom="1440" w:gutter="0" w:footer="0" w:header="0"/>
        </w:sectPr>
      </w:pPr>
    </w:p>
    <w:bookmarkStart w:id="341" w:name="page342"/>
    <w:bookmarkEnd w:id="341"/>
    <w:p>
      <w:pPr>
        <w:jc w:val="both"/>
        <w:ind w:firstLine="1952"/>
        <w:spacing w:after="0" w:line="203" w:lineRule="auto"/>
        <w:tabs>
          <w:tab w:leader="none" w:pos="2596" w:val="left"/>
        </w:tabs>
        <w:numPr>
          <w:ilvl w:val="0"/>
          <w:numId w:val="318"/>
        </w:numPr>
        <w:rPr>
          <w:rFonts w:ascii="Calibri" w:cs="Calibri" w:eastAsia="Calibri" w:hAnsi="Calibri"/>
          <w:sz w:val="20"/>
          <w:szCs w:val="20"/>
          <w:color w:val="auto"/>
        </w:rPr>
      </w:pPr>
      <w:r>
        <w:rPr>
          <w:rFonts w:ascii="Calibri" w:cs="Calibri" w:eastAsia="Calibri" w:hAnsi="Calibri"/>
          <w:sz w:val="20"/>
          <w:szCs w:val="20"/>
          <w:color w:val="auto"/>
        </w:rPr>
        <w:t>The total maximum amount of the Award for Direct Funding for the Project is one billion fve hundred million Dollars ($1,500,000,000) (the “</w:t>
      </w:r>
      <w:r>
        <w:rPr>
          <w:rFonts w:ascii="Calibri" w:cs="Calibri" w:eastAsia="Calibri" w:hAnsi="Calibri"/>
          <w:sz w:val="20"/>
          <w:szCs w:val="20"/>
          <w:b w:val="1"/>
          <w:bCs w:val="1"/>
          <w:color w:val="auto"/>
        </w:rPr>
        <w:t>Maximum Direct Funding Award Amount</w:t>
      </w:r>
      <w:r>
        <w:rPr>
          <w:rFonts w:ascii="Calibri" w:cs="Calibri" w:eastAsia="Calibri" w:hAnsi="Calibri"/>
          <w:sz w:val="20"/>
          <w:szCs w:val="20"/>
          <w:color w:val="auto"/>
        </w:rPr>
        <w:t>” and such Award, the “</w:t>
      </w:r>
      <w:r>
        <w:rPr>
          <w:rFonts w:ascii="Calibri" w:cs="Calibri" w:eastAsia="Calibri" w:hAnsi="Calibri"/>
          <w:sz w:val="20"/>
          <w:szCs w:val="20"/>
          <w:b w:val="1"/>
          <w:bCs w:val="1"/>
          <w:color w:val="auto"/>
        </w:rPr>
        <w:t>Direct Funding Award</w:t>
      </w:r>
      <w:r>
        <w:rPr>
          <w:rFonts w:ascii="Calibri" w:cs="Calibri" w:eastAsia="Calibri" w:hAnsi="Calibri"/>
          <w:sz w:val="20"/>
          <w:szCs w:val="20"/>
          <w:color w:val="auto"/>
        </w:rPr>
        <w:t>”), which, represents the total amount of funds that may be disbursed by the Department to the Recipient upon executon and delivery of one or more Funding Obligatons in accordance with Schedule A (</w:t>
      </w:r>
      <w:r>
        <w:rPr>
          <w:rFonts w:ascii="Calibri" w:cs="Calibri" w:eastAsia="Calibri" w:hAnsi="Calibri"/>
          <w:sz w:val="20"/>
          <w:szCs w:val="20"/>
          <w:b w:val="1"/>
          <w:bCs w:val="1"/>
          <w:color w:val="auto"/>
        </w:rPr>
        <w:t>Fiscal Year Appropriatons</w:t>
      </w:r>
      <w:r>
        <w:rPr>
          <w:rFonts w:ascii="Calibri" w:cs="Calibri" w:eastAsia="Calibri" w:hAnsi="Calibri"/>
          <w:sz w:val="20"/>
          <w:szCs w:val="20"/>
          <w:color w:val="auto"/>
        </w:rPr>
        <w:t>).</w:t>
      </w:r>
    </w:p>
    <w:p>
      <w:pPr>
        <w:spacing w:after="0" w:line="186"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318"/>
        </w:numPr>
        <w:rPr>
          <w:rFonts w:ascii="Calibri" w:cs="Calibri" w:eastAsia="Calibri" w:hAnsi="Calibri"/>
          <w:sz w:val="20"/>
          <w:szCs w:val="20"/>
          <w:color w:val="auto"/>
        </w:rPr>
      </w:pPr>
      <w:r>
        <w:rPr>
          <w:rFonts w:ascii="Calibri" w:cs="Calibri" w:eastAsia="Calibri" w:hAnsi="Calibri"/>
          <w:sz w:val="20"/>
          <w:szCs w:val="20"/>
          <w:color w:val="auto"/>
        </w:rPr>
        <w:t>For the Project, the Department may execute and deliver one or more Funding Obligatons authorizing the obligaton of funds for the Direct Funding Award up to the Scheduled Cumulatve Disbursement Amount as set out in Schedule B (</w:t>
      </w:r>
      <w:r>
        <w:rPr>
          <w:rFonts w:ascii="Calibri" w:cs="Calibri" w:eastAsia="Calibri" w:hAnsi="Calibri"/>
          <w:sz w:val="20"/>
          <w:szCs w:val="20"/>
          <w:b w:val="1"/>
          <w:bCs w:val="1"/>
          <w:color w:val="auto"/>
        </w:rPr>
        <w:t>Project Milestone</w:t>
      </w:r>
      <w:r>
        <w:rPr>
          <w:rFonts w:ascii="Calibri" w:cs="Calibri" w:eastAsia="Calibri" w:hAnsi="Calibri"/>
          <w:sz w:val="20"/>
          <w:szCs w:val="20"/>
          <w:color w:val="auto"/>
        </w:rPr>
        <w:t>), subject to the satsfactory progress of the Project as determined by the Department. No obligaton of funds for the Award by the Department shall occur upon executon of this Agreement. An obligaton of funds for the Award shall occur only upon delivery of a Funding Obligaton.</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318"/>
        </w:numPr>
        <w:rPr>
          <w:rFonts w:ascii="Calibri" w:cs="Calibri" w:eastAsia="Calibri" w:hAnsi="Calibri"/>
          <w:sz w:val="20"/>
          <w:szCs w:val="20"/>
          <w:color w:val="auto"/>
        </w:rPr>
      </w:pPr>
      <w:r>
        <w:rPr>
          <w:rFonts w:ascii="Calibri" w:cs="Calibri" w:eastAsia="Calibri" w:hAnsi="Calibri"/>
          <w:sz w:val="20"/>
          <w:szCs w:val="20"/>
          <w:color w:val="auto"/>
        </w:rPr>
        <w:t>The Department shall not be obligated to make, and shall be prohibited from making, any Direct Funding Disbursement pursuant to this Agreement in excess of the Scheduled Cumulatve Disbursement Amount, as authorized in executed and delivered Funding Obligatons related to the Project.</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18"/>
        </w:numPr>
        <w:rPr>
          <w:rFonts w:ascii="Calibri" w:cs="Calibri" w:eastAsia="Calibri" w:hAnsi="Calibri"/>
          <w:sz w:val="20"/>
          <w:szCs w:val="20"/>
          <w:color w:val="auto"/>
        </w:rPr>
      </w:pPr>
      <w:r>
        <w:rPr>
          <w:rFonts w:ascii="Calibri" w:cs="Calibri" w:eastAsia="Calibri" w:hAnsi="Calibri"/>
          <w:sz w:val="20"/>
          <w:szCs w:val="20"/>
          <w:color w:val="auto"/>
        </w:rPr>
        <w:t>Notwithstanding the foregoing, the Recipient may request that the NY Recipient submit a Workforce Disbursement Request (as defned in the NY DFA) on behalf of the Recipient with respect to the Project, the approval of which shall be governed by the terms and conditons set forth in the NY DFA.</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86" w:val="left"/>
        </w:tabs>
        <w:numPr>
          <w:ilvl w:val="0"/>
          <w:numId w:val="318"/>
        </w:numPr>
        <w:rPr>
          <w:rFonts w:ascii="Calibri" w:cs="Calibri" w:eastAsia="Calibri" w:hAnsi="Calibri"/>
          <w:sz w:val="20"/>
          <w:szCs w:val="20"/>
          <w:color w:val="auto"/>
        </w:rPr>
      </w:pPr>
      <w:r>
        <w:rPr>
          <w:rFonts w:ascii="Calibri" w:cs="Calibri" w:eastAsia="Calibri" w:hAnsi="Calibri"/>
          <w:sz w:val="20"/>
          <w:szCs w:val="20"/>
          <w:color w:val="auto"/>
        </w:rPr>
        <w:t>It is acknowledged that the Department can only execute and deliver Funding Obligatons once it has the ability to do so under Ant-Defciency Act, the CHIPS Act, and other Applicable Law and in accordance with its processes, policies and procedures. It is the intenton of the Department that none of (i) the Disbursement Milestone Schedule; (ii) the pendency of any Direct Funding Disbursement Request; or (iii) the satsfacton or failure of any conditon precedent that relates to any Direct Funding Disbursement for which a Direct Funding Disbursement Request has not been received by the Department, shall, in each case, limit or restrain the Department’s ability to execute and deliver any Funding Obligaton afer the Award Date.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2.2</w:t>
      </w:r>
      <w:r>
        <w:rPr>
          <w:sz w:val="20"/>
          <w:szCs w:val="20"/>
          <w:color w:val="auto"/>
        </w:rPr>
        <w:tab/>
      </w:r>
      <w:r>
        <w:rPr>
          <w:rFonts w:ascii="Calibri" w:cs="Calibri" w:eastAsia="Calibri" w:hAnsi="Calibri"/>
          <w:sz w:val="20"/>
          <w:szCs w:val="20"/>
          <w:b w:val="1"/>
          <w:bCs w:val="1"/>
          <w:color w:val="auto"/>
        </w:rPr>
        <w:t>Disbursement Procedure.</w:t>
      </w:r>
    </w:p>
    <w:p>
      <w:pPr>
        <w:spacing w:after="0" w:line="171"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2.2.1 </w:t>
      </w:r>
      <w:r>
        <w:rPr>
          <w:rFonts w:ascii="Calibri" w:cs="Calibri" w:eastAsia="Calibri" w:hAnsi="Calibri"/>
          <w:sz w:val="20"/>
          <w:szCs w:val="20"/>
          <w:b w:val="1"/>
          <w:bCs w:val="1"/>
          <w:color w:val="auto"/>
        </w:rPr>
        <w:t>ASAP System.</w:t>
      </w:r>
      <w:r>
        <w:rPr>
          <w:rFonts w:ascii="Calibri" w:cs="Calibri" w:eastAsia="Calibri" w:hAnsi="Calibri"/>
          <w:sz w:val="20"/>
          <w:szCs w:val="20"/>
          <w:color w:val="auto"/>
        </w:rPr>
        <w:t xml:space="preserve"> Subject to the terms of this Agreement, each Disbursement shall be made through the Department of Treasury’s Automated Standard Applicaton for Payment System (“</w:t>
      </w:r>
      <w:r>
        <w:rPr>
          <w:rFonts w:ascii="Calibri" w:cs="Calibri" w:eastAsia="Calibri" w:hAnsi="Calibri"/>
          <w:sz w:val="20"/>
          <w:szCs w:val="20"/>
          <w:b w:val="1"/>
          <w:bCs w:val="1"/>
          <w:color w:val="auto"/>
        </w:rPr>
        <w:t>ASAP</w:t>
      </w:r>
      <w:r>
        <w:rPr>
          <w:rFonts w:ascii="Calibri" w:cs="Calibri" w:eastAsia="Calibri" w:hAnsi="Calibri"/>
          <w:sz w:val="20"/>
          <w:szCs w:val="20"/>
          <w:color w:val="auto"/>
        </w:rPr>
        <w:t>”). Notwithstanding anything to the contrary set forth in this Artcle 2 (</w:t>
      </w:r>
      <w:r>
        <w:rPr>
          <w:rFonts w:ascii="Calibri" w:cs="Calibri" w:eastAsia="Calibri" w:hAnsi="Calibri"/>
          <w:sz w:val="20"/>
          <w:szCs w:val="20"/>
          <w:b w:val="1"/>
          <w:bCs w:val="1"/>
          <w:color w:val="auto"/>
        </w:rPr>
        <w:t>Award and Disbursements</w:t>
      </w:r>
      <w:r>
        <w:rPr>
          <w:rFonts w:ascii="Calibri" w:cs="Calibri" w:eastAsia="Calibri" w:hAnsi="Calibri"/>
          <w:sz w:val="20"/>
          <w:szCs w:val="20"/>
          <w:color w:val="auto"/>
        </w:rPr>
        <w:t>), the Recipient shall comply with all requirements and technical instructons necessary to receive a Disbursement through ASAP as set out in the “Award Handbook”. The Recipient may designate a payment requestor through ASAP.</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2.2.2</w:t>
      </w:r>
      <w:r>
        <w:rPr>
          <w:sz w:val="20"/>
          <w:szCs w:val="20"/>
          <w:color w:val="auto"/>
        </w:rPr>
        <w:tab/>
      </w:r>
      <w:r>
        <w:rPr>
          <w:rFonts w:ascii="Calibri" w:cs="Calibri" w:eastAsia="Calibri" w:hAnsi="Calibri"/>
          <w:sz w:val="20"/>
          <w:szCs w:val="20"/>
          <w:b w:val="1"/>
          <w:bCs w:val="1"/>
          <w:color w:val="auto"/>
        </w:rPr>
        <w:t>Direct Funding Disbursement Request.</w:t>
      </w:r>
    </w:p>
    <w:p>
      <w:pPr>
        <w:spacing w:after="0" w:line="171" w:lineRule="exact"/>
        <w:rPr>
          <w:sz w:val="20"/>
          <w:szCs w:val="20"/>
          <w:color w:val="auto"/>
        </w:rPr>
      </w:pPr>
    </w:p>
    <w:p>
      <w:pPr>
        <w:jc w:val="both"/>
        <w:ind w:firstLine="1952"/>
        <w:spacing w:after="0" w:line="199" w:lineRule="auto"/>
        <w:tabs>
          <w:tab w:leader="none" w:pos="2596" w:val="left"/>
        </w:tabs>
        <w:numPr>
          <w:ilvl w:val="0"/>
          <w:numId w:val="319"/>
        </w:numPr>
        <w:rPr>
          <w:rFonts w:ascii="Calibri" w:cs="Calibri" w:eastAsia="Calibri" w:hAnsi="Calibri"/>
          <w:sz w:val="20"/>
          <w:szCs w:val="20"/>
          <w:color w:val="auto"/>
        </w:rPr>
      </w:pPr>
      <w:r>
        <w:rPr>
          <w:rFonts w:ascii="Calibri" w:cs="Calibri" w:eastAsia="Calibri" w:hAnsi="Calibri"/>
          <w:sz w:val="20"/>
          <w:szCs w:val="20"/>
          <w:color w:val="auto"/>
        </w:rPr>
        <w:t>Subject to the other requirements of this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the Recipient may request a Direct Funding Disbursement for a Disbursement Milestone for the Project on any date that is (i) on or afer the date on which the Recipient reasonably determines that the Actual Milestone Completon Date for such Disbursement Milestone has been achieved (without regards to, solely with respect to a Direct Funding Disbursement Request, the Department’s confrmaton thereof); and (ii) prior to the Milestone Completon Longstop Date for such Disbursement Milestone, by delivering to the Department, a completed Direct Funding Disbursement Request substantally in the form of Exhibit B-1 (</w:t>
      </w:r>
      <w:r>
        <w:rPr>
          <w:rFonts w:ascii="Calibri" w:cs="Calibri" w:eastAsia="Calibri" w:hAnsi="Calibri"/>
          <w:sz w:val="20"/>
          <w:szCs w:val="20"/>
          <w:b w:val="1"/>
          <w:bCs w:val="1"/>
          <w:color w:val="auto"/>
        </w:rPr>
        <w:t>Form of Direct Funding Disbursement Request</w:t>
      </w:r>
      <w:r>
        <w:rPr>
          <w:rFonts w:ascii="Calibri" w:cs="Calibri" w:eastAsia="Calibri" w:hAnsi="Calibri"/>
          <w:sz w:val="20"/>
          <w:szCs w:val="20"/>
          <w:color w:val="auto"/>
        </w:rPr>
        <w:t>) evidencing the satsfactory completon of the applicable Disbursement Milestone and satsfacton of the conditons in Secton 5.1 (</w:t>
      </w:r>
      <w:r>
        <w:rPr>
          <w:rFonts w:ascii="Calibri" w:cs="Calibri" w:eastAsia="Calibri" w:hAnsi="Calibri"/>
          <w:sz w:val="20"/>
          <w:szCs w:val="20"/>
          <w:b w:val="1"/>
          <w:bCs w:val="1"/>
          <w:color w:val="auto"/>
        </w:rPr>
        <w:t>Conditons Precedent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to Each Direct Funding Disbursement</w:t>
      </w:r>
      <w:r>
        <w:rPr>
          <w:rFonts w:ascii="Calibri" w:cs="Calibri" w:eastAsia="Calibri" w:hAnsi="Calibri"/>
          <w:sz w:val="20"/>
          <w:szCs w:val="20"/>
          <w:color w:val="auto"/>
        </w:rPr>
        <w:t>), except for the conditons set out in Sectons 5.1.1 (</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and 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w:t>
      </w:r>
    </w:p>
    <w:p>
      <w:pPr>
        <w:spacing w:after="0" w:line="176" w:lineRule="exact"/>
        <w:rPr>
          <w:rFonts w:ascii="Calibri" w:cs="Calibri" w:eastAsia="Calibri" w:hAnsi="Calibri"/>
          <w:sz w:val="20"/>
          <w:szCs w:val="20"/>
          <w:color w:val="auto"/>
        </w:rPr>
      </w:pPr>
    </w:p>
    <w:p>
      <w:pPr>
        <w:jc w:val="both"/>
        <w:ind w:right="20" w:firstLine="1952"/>
        <w:spacing w:after="0" w:line="209" w:lineRule="auto"/>
        <w:tabs>
          <w:tab w:leader="none" w:pos="2592" w:val="left"/>
        </w:tabs>
        <w:numPr>
          <w:ilvl w:val="0"/>
          <w:numId w:val="319"/>
        </w:numPr>
        <w:rPr>
          <w:rFonts w:ascii="Calibri" w:cs="Calibri" w:eastAsia="Calibri" w:hAnsi="Calibri"/>
          <w:sz w:val="20"/>
          <w:szCs w:val="20"/>
          <w:color w:val="auto"/>
        </w:rPr>
      </w:pPr>
      <w:r>
        <w:rPr>
          <w:rFonts w:ascii="Calibri" w:cs="Calibri" w:eastAsia="Calibri" w:hAnsi="Calibri"/>
          <w:sz w:val="20"/>
          <w:szCs w:val="20"/>
          <w:color w:val="auto"/>
        </w:rPr>
        <w:t>The Recipient shall be enttled to submit a Direct Funding Disbursement Request for the Project only during the Direct Funding Disbursement Period in accordance with this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The Recipient may not request a Direct Funding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84" w:right="339" w:bottom="1440" w:gutter="0" w:footer="0" w:header="0"/>
        </w:sectPr>
      </w:pPr>
    </w:p>
    <w:bookmarkStart w:id="342" w:name="page343"/>
    <w:bookmarkEnd w:id="342"/>
    <w:p>
      <w:pPr>
        <w:spacing w:after="0"/>
        <w:rPr>
          <w:sz w:val="20"/>
          <w:szCs w:val="20"/>
          <w:color w:val="auto"/>
        </w:rPr>
      </w:pPr>
      <w:r>
        <w:rPr>
          <w:rFonts w:ascii="Calibri" w:cs="Calibri" w:eastAsia="Calibri" w:hAnsi="Calibri"/>
          <w:sz w:val="20"/>
          <w:szCs w:val="20"/>
          <w:color w:val="auto"/>
        </w:rPr>
        <w:t>for the Project more frequently than once per Fiscal Quarter without the Department’s prior writen consent.</w:t>
      </w:r>
    </w:p>
    <w:p>
      <w:pPr>
        <w:spacing w:after="0" w:line="184"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2. 2.3 </w:t>
      </w:r>
      <w:r>
        <w:rPr>
          <w:rFonts w:ascii="Calibri" w:cs="Calibri" w:eastAsia="Calibri" w:hAnsi="Calibri"/>
          <w:sz w:val="20"/>
          <w:szCs w:val="20"/>
          <w:b w:val="1"/>
          <w:bCs w:val="1"/>
          <w:color w:val="auto"/>
        </w:rPr>
        <w:t>Disbursement Approval Notce.</w:t>
      </w:r>
      <w:r>
        <w:rPr>
          <w:rFonts w:ascii="Calibri" w:cs="Calibri" w:eastAsia="Calibri" w:hAnsi="Calibri"/>
          <w:sz w:val="20"/>
          <w:szCs w:val="20"/>
          <w:color w:val="auto"/>
        </w:rPr>
        <w:t xml:space="preserve"> Once the Department is satsfed that the relevant Disbursement Milestone has been achieved in accordance with the terms of this Agreement, the Department shall (a) issue a Direct Funding Disbursement Approval Notce to the Recipient; and (b) make a Direct Funding Disbursement within thirty (30) days of the issuance of such Direct Funding Disbursement Approval Notce.</w:t>
      </w:r>
    </w:p>
    <w:p>
      <w:pPr>
        <w:spacing w:after="0" w:line="173"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2.2.4 </w:t>
      </w:r>
      <w:r>
        <w:rPr>
          <w:rFonts w:ascii="Calibri" w:cs="Calibri" w:eastAsia="Calibri" w:hAnsi="Calibri"/>
          <w:sz w:val="20"/>
          <w:szCs w:val="20"/>
          <w:b w:val="1"/>
          <w:bCs w:val="1"/>
          <w:color w:val="auto"/>
        </w:rPr>
        <w:t>Disbursement Date.</w:t>
      </w:r>
      <w:r>
        <w:rPr>
          <w:rFonts w:ascii="Calibri" w:cs="Calibri" w:eastAsia="Calibri" w:hAnsi="Calibri"/>
          <w:sz w:val="20"/>
          <w:szCs w:val="20"/>
          <w:color w:val="auto"/>
        </w:rPr>
        <w:t xml:space="preserve"> The actual Direct Funding Disbursement Date for any Disbursement Milestone may occur afer the Milestone Completon Longstop Date for such Disbursement Milestone.</w:t>
      </w:r>
    </w:p>
    <w:p>
      <w:pPr>
        <w:spacing w:after="0" w:line="186"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2.2.5 </w:t>
      </w:r>
      <w:r>
        <w:rPr>
          <w:rFonts w:ascii="Calibri" w:cs="Calibri" w:eastAsia="Calibri" w:hAnsi="Calibri"/>
          <w:sz w:val="20"/>
          <w:szCs w:val="20"/>
          <w:b w:val="1"/>
          <w:bCs w:val="1"/>
          <w:color w:val="auto"/>
        </w:rPr>
        <w:t>Disbursement Date Certfcate.</w:t>
      </w:r>
      <w:r>
        <w:rPr>
          <w:rFonts w:ascii="Calibri" w:cs="Calibri" w:eastAsia="Calibri" w:hAnsi="Calibri"/>
          <w:sz w:val="20"/>
          <w:szCs w:val="20"/>
          <w:color w:val="auto"/>
        </w:rPr>
        <w:t xml:space="preserve"> The Recipient and the Sponsor Guarantor shall deliver a Direct Funding Disbursement Date Certfcate one (1) Business Day prior to the scheduled Direct Funding Disbursement Date in accordance with Secton 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2.2.6</w:t>
      </w:r>
      <w:r>
        <w:rPr>
          <w:sz w:val="20"/>
          <w:szCs w:val="20"/>
          <w:color w:val="auto"/>
        </w:rPr>
        <w:tab/>
      </w:r>
      <w:r>
        <w:rPr>
          <w:rFonts w:ascii="Calibri" w:cs="Calibri" w:eastAsia="Calibri" w:hAnsi="Calibri"/>
          <w:sz w:val="20"/>
          <w:szCs w:val="20"/>
          <w:b w:val="1"/>
          <w:bCs w:val="1"/>
          <w:color w:val="auto"/>
        </w:rPr>
        <w:t>Direct Funding Disbursement Amount.</w:t>
      </w:r>
    </w:p>
    <w:p>
      <w:pPr>
        <w:spacing w:after="0" w:line="171" w:lineRule="exact"/>
        <w:rPr>
          <w:sz w:val="20"/>
          <w:szCs w:val="20"/>
          <w:color w:val="auto"/>
        </w:rPr>
      </w:pPr>
    </w:p>
    <w:p>
      <w:pPr>
        <w:jc w:val="both"/>
        <w:ind w:firstLine="1952"/>
        <w:spacing w:after="0"/>
        <w:tabs>
          <w:tab w:leader="none" w:pos="2596" w:val="left"/>
        </w:tabs>
        <w:numPr>
          <w:ilvl w:val="0"/>
          <w:numId w:val="320"/>
        </w:numPr>
        <w:rPr>
          <w:rFonts w:ascii="Calibri" w:cs="Calibri" w:eastAsia="Calibri" w:hAnsi="Calibri"/>
          <w:sz w:val="20"/>
          <w:szCs w:val="20"/>
          <w:color w:val="auto"/>
        </w:rPr>
      </w:pPr>
      <w:r>
        <w:rPr>
          <w:rFonts w:ascii="Calibri" w:cs="Calibri" w:eastAsia="Calibri" w:hAnsi="Calibri"/>
          <w:sz w:val="20"/>
          <w:szCs w:val="20"/>
          <w:color w:val="auto"/>
        </w:rPr>
        <w:t>In the event that the Actual Capex Amount for any Disbursement Milestone is less than the Scheduled Capex Amount for such Disbursement Milestone, then the amount of the Scheduled Disbursement Amount for such Disbursement Milestone shall be decreased to an amount equal to the Scheduled Cumulatve Disbursement Rato multplied by the Actual Capex Amount.</w:t>
      </w:r>
    </w:p>
    <w:p>
      <w:pPr>
        <w:spacing w:after="0" w:line="280"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320"/>
        </w:numPr>
        <w:rPr>
          <w:rFonts w:ascii="Calibri" w:cs="Calibri" w:eastAsia="Calibri" w:hAnsi="Calibri"/>
          <w:sz w:val="20"/>
          <w:szCs w:val="20"/>
          <w:color w:val="auto"/>
        </w:rPr>
      </w:pPr>
      <w:r>
        <w:rPr>
          <w:rFonts w:ascii="Calibri" w:cs="Calibri" w:eastAsia="Calibri" w:hAnsi="Calibri"/>
          <w:sz w:val="20"/>
          <w:szCs w:val="20"/>
          <w:color w:val="auto"/>
        </w:rPr>
        <w:t>Beginning with the second Disbursement Milestone, the Scheduled Disbursement Amount for any Disbursement Milestone shall be increased by the True-Up Amount (if any), subject to clause (d) below.</w:t>
      </w:r>
    </w:p>
    <w:p>
      <w:pPr>
        <w:spacing w:after="0" w:line="172"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320"/>
        </w:numPr>
        <w:rPr>
          <w:rFonts w:ascii="Calibri" w:cs="Calibri" w:eastAsia="Calibri" w:hAnsi="Calibri"/>
          <w:sz w:val="20"/>
          <w:szCs w:val="20"/>
          <w:color w:val="auto"/>
        </w:rPr>
      </w:pPr>
      <w:r>
        <w:rPr>
          <w:rFonts w:ascii="Calibri" w:cs="Calibri" w:eastAsia="Calibri" w:hAnsi="Calibri"/>
          <w:sz w:val="20"/>
          <w:szCs w:val="20"/>
          <w:color w:val="auto"/>
        </w:rPr>
        <w:t>With respect to the last Disbursement Milestone, if the Actual Cumulatve Disbursement Rato at the tme the Recipient submits the Direct Funding Disbursement Request for such last Disbursement Milestone is greater than the Scheduled Cumulatve Disbursement Rato for such Disbursement Milestone at such tme, then the Scheduled Disbursement Amount for such last Disbursement Milestone shall be decreased by an amount necessary to ensure that, afer giving efect to such last Direct Funding Disbursement, the Actual Cumulatve Disbursement Rato shall equal the Scheduled Cumulatve Disbursement Rato.</w:t>
      </w:r>
    </w:p>
    <w:p>
      <w:pPr>
        <w:spacing w:after="0" w:line="174"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20"/>
        </w:numPr>
        <w:rPr>
          <w:rFonts w:ascii="Calibri" w:cs="Calibri" w:eastAsia="Calibri" w:hAnsi="Calibri"/>
          <w:sz w:val="20"/>
          <w:szCs w:val="20"/>
          <w:color w:val="auto"/>
        </w:rPr>
      </w:pPr>
      <w:r>
        <w:rPr>
          <w:rFonts w:ascii="Calibri" w:cs="Calibri" w:eastAsia="Calibri" w:hAnsi="Calibri"/>
          <w:sz w:val="20"/>
          <w:szCs w:val="20"/>
          <w:color w:val="auto"/>
        </w:rPr>
        <w:t>As of the date the Recipient submits any Direct Funding Disbursement Request with respect to a Disbursement Milestone, afer giving efect to the Scheduled Disbursement Amount to be made on such date, the aggregate outstanding amount of all Direct Funding Disbursements shall not exceed the Scheduled Cumulatve Disbursement Amount for such Disbursement Milestone.</w:t>
      </w:r>
    </w:p>
    <w:p>
      <w:pPr>
        <w:spacing w:after="0" w:line="18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2.3 </w:t>
      </w:r>
      <w:r>
        <w:rPr>
          <w:rFonts w:ascii="Calibri" w:cs="Calibri" w:eastAsia="Calibri" w:hAnsi="Calibri"/>
          <w:sz w:val="20"/>
          <w:szCs w:val="20"/>
          <w:b w:val="1"/>
          <w:bCs w:val="1"/>
          <w:color w:val="auto"/>
        </w:rPr>
        <w:t>No Interest.</w:t>
      </w:r>
      <w:r>
        <w:rPr>
          <w:rFonts w:ascii="Calibri" w:cs="Calibri" w:eastAsia="Calibri" w:hAnsi="Calibri"/>
          <w:sz w:val="20"/>
          <w:szCs w:val="20"/>
          <w:color w:val="auto"/>
        </w:rPr>
        <w:t xml:space="preserve"> For the avoidance of doubt, no interest or penaltes shall accrue on the amount of a requested Disbursement between the date of the Disbursement Request and the Disbursement Date.</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2.4 </w:t>
      </w:r>
      <w:r>
        <w:rPr>
          <w:rFonts w:ascii="Calibri" w:cs="Calibri" w:eastAsia="Calibri" w:hAnsi="Calibri"/>
          <w:sz w:val="20"/>
          <w:szCs w:val="20"/>
          <w:b w:val="1"/>
          <w:bCs w:val="1"/>
          <w:color w:val="auto"/>
        </w:rPr>
        <w:t>No Approval of Work.</w:t>
      </w:r>
      <w:r>
        <w:rPr>
          <w:rFonts w:ascii="Calibri" w:cs="Calibri" w:eastAsia="Calibri" w:hAnsi="Calibri"/>
          <w:sz w:val="20"/>
          <w:szCs w:val="20"/>
          <w:color w:val="auto"/>
        </w:rPr>
        <w:t xml:space="preserve"> The making of any Disbursement under the Award Documents shall not be deemed an approval or acceptance by the Department of the quality of any work, labor, supplies, materials or equipment furnished or supplied with respect to the Project.</w:t>
      </w:r>
    </w:p>
    <w:p>
      <w:pPr>
        <w:spacing w:after="0" w:line="16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PAYMENTS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3.1</w:t>
      </w:r>
      <w:r>
        <w:rPr>
          <w:sz w:val="20"/>
          <w:szCs w:val="20"/>
          <w:color w:val="auto"/>
        </w:rPr>
        <w:tab/>
      </w:r>
      <w:r>
        <w:rPr>
          <w:rFonts w:ascii="Calibri" w:cs="Calibri" w:eastAsia="Calibri" w:hAnsi="Calibri"/>
          <w:sz w:val="20"/>
          <w:szCs w:val="20"/>
          <w:b w:val="1"/>
          <w:bCs w:val="1"/>
          <w:color w:val="auto"/>
        </w:rPr>
        <w:t>Place and Manner of Payments to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74" w:right="339" w:bottom="1440" w:gutter="0" w:footer="0" w:header="0"/>
        </w:sectPr>
      </w:pPr>
    </w:p>
    <w:bookmarkStart w:id="343" w:name="page344"/>
    <w:bookmarkEnd w:id="343"/>
    <w:p>
      <w:pPr>
        <w:jc w:val="both"/>
        <w:ind w:firstLine="1952"/>
        <w:spacing w:after="0" w:line="199" w:lineRule="auto"/>
        <w:tabs>
          <w:tab w:leader="none" w:pos="2596" w:val="left"/>
        </w:tabs>
        <w:numPr>
          <w:ilvl w:val="0"/>
          <w:numId w:val="321"/>
        </w:numPr>
        <w:rPr>
          <w:rFonts w:ascii="Calibri" w:cs="Calibri" w:eastAsia="Calibri" w:hAnsi="Calibri"/>
          <w:sz w:val="20"/>
          <w:szCs w:val="20"/>
          <w:color w:val="auto"/>
        </w:rPr>
      </w:pPr>
      <w:r>
        <w:rPr>
          <w:rFonts w:ascii="Calibri" w:cs="Calibri" w:eastAsia="Calibri" w:hAnsi="Calibri"/>
          <w:sz w:val="20"/>
          <w:szCs w:val="20"/>
          <w:color w:val="auto"/>
        </w:rPr>
        <w:t>All payments to be made to the Department under this Agreement shall be sent by the Recipient in Dollars in immediately available funds before 1:00 p.m. (District of Columbia tme) on the date when due and shall be due pursuant to payment instructons provided by the Department to the Recipient (as such instructons may be amended from tme to tme by the Department upon notce to the Recipient made in accordance with this Agreement) not less than fve (5) Business Days prior to the date when such payments are due (unless expressly provided for otherwise in this Agreement); provided, however, that if the Department does not provide such payment instructons to the Recipient at least fve (5) Business Days prior to the due date for any such payment, such due date shall be extended to the date that is fve (5) Business Days from the date the Department provides such payment instructons to the Recipient.</w:t>
      </w:r>
    </w:p>
    <w:p>
      <w:pPr>
        <w:spacing w:after="0" w:line="176"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21"/>
        </w:numPr>
        <w:rPr>
          <w:rFonts w:ascii="Calibri" w:cs="Calibri" w:eastAsia="Calibri" w:hAnsi="Calibri"/>
          <w:sz w:val="20"/>
          <w:szCs w:val="20"/>
          <w:color w:val="auto"/>
        </w:rPr>
      </w:pPr>
      <w:r>
        <w:rPr>
          <w:rFonts w:ascii="Calibri" w:cs="Calibri" w:eastAsia="Calibri" w:hAnsi="Calibri"/>
          <w:sz w:val="20"/>
          <w:szCs w:val="20"/>
          <w:color w:val="auto"/>
        </w:rPr>
        <w:t>In the event that the date of any payment to the Department or the expiraton of any tme period hereunder occurs on a day that is not a Business Day, then such payment or expiraton of tme period shall be made or occur on the next succeeding Business Day, and such extension of tme shall in such cases be included in computng interest or fees, if any, in connecton with such payment.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3.2</w:t>
      </w:r>
      <w:r>
        <w:rPr>
          <w:sz w:val="20"/>
          <w:szCs w:val="20"/>
          <w:color w:val="auto"/>
        </w:rPr>
        <w:tab/>
      </w:r>
      <w:r>
        <w:rPr>
          <w:rFonts w:ascii="Calibri" w:cs="Calibri" w:eastAsia="Calibri" w:hAnsi="Calibri"/>
          <w:sz w:val="20"/>
          <w:szCs w:val="20"/>
          <w:b w:val="1"/>
          <w:bCs w:val="1"/>
          <w:color w:val="auto"/>
        </w:rPr>
        <w:t>Upside Sharing.</w:t>
      </w:r>
    </w:p>
    <w:p>
      <w:pPr>
        <w:spacing w:after="0" w:line="184" w:lineRule="exact"/>
        <w:rPr>
          <w:sz w:val="20"/>
          <w:szCs w:val="20"/>
          <w:color w:val="auto"/>
        </w:rPr>
      </w:pPr>
    </w:p>
    <w:p>
      <w:pPr>
        <w:jc w:val="both"/>
        <w:ind w:firstLine="1296"/>
        <w:spacing w:after="0" w:line="200" w:lineRule="auto"/>
        <w:rPr>
          <w:sz w:val="20"/>
          <w:szCs w:val="20"/>
          <w:color w:val="auto"/>
        </w:rPr>
      </w:pPr>
      <w:r>
        <w:rPr>
          <w:rFonts w:ascii="Calibri" w:cs="Calibri" w:eastAsia="Calibri" w:hAnsi="Calibri"/>
          <w:sz w:val="20"/>
          <w:szCs w:val="20"/>
          <w:color w:val="auto"/>
        </w:rPr>
        <w:t xml:space="preserve">3.2.1 </w:t>
      </w:r>
      <w:r>
        <w:rPr>
          <w:rFonts w:ascii="Calibri" w:cs="Calibri" w:eastAsia="Calibri" w:hAnsi="Calibri"/>
          <w:sz w:val="20"/>
          <w:szCs w:val="20"/>
          <w:b w:val="1"/>
          <w:bCs w:val="1"/>
          <w:color w:val="auto"/>
        </w:rPr>
        <w:t>Upside Sharing Amount Payment Instructons.</w:t>
      </w:r>
      <w:r>
        <w:rPr>
          <w:rFonts w:ascii="Calibri" w:cs="Calibri" w:eastAsia="Calibri" w:hAnsi="Calibri"/>
          <w:sz w:val="20"/>
          <w:szCs w:val="20"/>
          <w:color w:val="auto"/>
        </w:rPr>
        <w:t xml:space="preserve"> During the Upside Sharing Term, and in accordance with this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 the Recipient shall pay the Upside Sharing Amount for each completed Relevant Period due to the Department as set forth in the Upside Sharing Amount Certfcaton delivered pursuant to Secton 3.2.3 (</w:t>
      </w:r>
      <w:r>
        <w:rPr>
          <w:rFonts w:ascii="Calibri" w:cs="Calibri" w:eastAsia="Calibri" w:hAnsi="Calibri"/>
          <w:sz w:val="20"/>
          <w:szCs w:val="20"/>
          <w:b w:val="1"/>
          <w:bCs w:val="1"/>
          <w:color w:val="auto"/>
        </w:rPr>
        <w:t>Upside Sharing Amount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Certfcaton</w:t>
      </w:r>
      <w:r>
        <w:rPr>
          <w:rFonts w:ascii="Calibri" w:cs="Calibri" w:eastAsia="Calibri" w:hAnsi="Calibri"/>
          <w:sz w:val="20"/>
          <w:szCs w:val="20"/>
          <w:color w:val="auto"/>
        </w:rPr>
        <w:t>) for the fnal Fiscal Year of each Relevant Period, no later than ten (10) Business Days afer receipt of such Upside Sharing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Amount Certfcaton by the Department pursuant to the payment instructons provided by the Department pursuant to Secton 3.1</w:t>
      </w:r>
    </w:p>
    <w:p>
      <w:pPr>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Place and Manner of Payments to the Department</w:t>
      </w:r>
      <w:r>
        <w:rPr>
          <w:rFonts w:ascii="Calibri" w:cs="Calibri" w:eastAsia="Calibri" w:hAnsi="Calibri"/>
          <w:sz w:val="20"/>
          <w:szCs w:val="20"/>
          <w:color w:val="auto"/>
        </w:rPr>
        <w:t>).</w:t>
      </w:r>
    </w:p>
    <w:p>
      <w:pPr>
        <w:spacing w:after="0" w:line="171"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 xml:space="preserve"> The Upside Sharing Amount with respect to the Project shall be calculated for each Relevant Period (or prior to the end of such Relevant Period, for porton of such Relevant Period consistng of the completed Fiscal Years in such Relevant Period) as set forth in this Secton 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w:t>
      </w:r>
    </w:p>
    <w:p>
      <w:pPr>
        <w:spacing w:after="0" w:line="172" w:lineRule="exact"/>
        <w:rPr>
          <w:sz w:val="20"/>
          <w:szCs w:val="20"/>
          <w:color w:val="auto"/>
        </w:rPr>
      </w:pPr>
    </w:p>
    <w:p>
      <w:pPr>
        <w:ind w:firstLine="1952"/>
        <w:spacing w:after="0" w:line="214" w:lineRule="auto"/>
        <w:tabs>
          <w:tab w:leader="none" w:pos="2596" w:val="left"/>
        </w:tabs>
        <w:numPr>
          <w:ilvl w:val="0"/>
          <w:numId w:val="322"/>
        </w:numPr>
        <w:rPr>
          <w:rFonts w:ascii="Calibri" w:cs="Calibri" w:eastAsia="Calibri" w:hAnsi="Calibri"/>
          <w:sz w:val="20"/>
          <w:szCs w:val="20"/>
          <w:color w:val="auto"/>
        </w:rPr>
      </w:pPr>
      <w:r>
        <w:rPr>
          <w:rFonts w:ascii="Calibri" w:cs="Calibri" w:eastAsia="Calibri" w:hAnsi="Calibri"/>
          <w:sz w:val="20"/>
          <w:szCs w:val="20"/>
          <w:color w:val="auto"/>
        </w:rPr>
        <w:t>If the Actual Cumulatve Unlevered Free Cash Flow is less than or equal to the applicable Threshold for the Relevant Period, the Upside Sharing Amount shall be zero Dollars ($0).</w:t>
      </w:r>
    </w:p>
    <w:p>
      <w:pPr>
        <w:spacing w:after="0" w:line="185" w:lineRule="exact"/>
        <w:rPr>
          <w:rFonts w:ascii="Calibri" w:cs="Calibri" w:eastAsia="Calibri" w:hAnsi="Calibri"/>
          <w:sz w:val="20"/>
          <w:szCs w:val="20"/>
          <w:color w:val="auto"/>
        </w:rPr>
      </w:pPr>
    </w:p>
    <w:p>
      <w:pPr>
        <w:ind w:firstLine="1952"/>
        <w:spacing w:after="0" w:line="208" w:lineRule="auto"/>
        <w:tabs>
          <w:tab w:leader="none" w:pos="2592" w:val="left"/>
        </w:tabs>
        <w:numPr>
          <w:ilvl w:val="0"/>
          <w:numId w:val="322"/>
        </w:numPr>
        <w:rPr>
          <w:rFonts w:ascii="Calibri" w:cs="Calibri" w:eastAsia="Calibri" w:hAnsi="Calibri"/>
          <w:sz w:val="20"/>
          <w:szCs w:val="20"/>
          <w:color w:val="auto"/>
        </w:rPr>
      </w:pPr>
      <w:r>
        <w:rPr>
          <w:rFonts w:ascii="Calibri" w:cs="Calibri" w:eastAsia="Calibri" w:hAnsi="Calibri"/>
          <w:sz w:val="20"/>
          <w:szCs w:val="20"/>
          <w:color w:val="auto"/>
        </w:rPr>
        <w:t>Subject to paragraph (c), if the Actual Cumulatve Unlevered Free Cash Flow for the Project is greater than the applicable Threshold for the Relevant Period, the Upside Sharing Amount shall be equal to:</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322"/>
        </w:numPr>
        <w:rPr>
          <w:rFonts w:ascii="Calibri" w:cs="Calibri" w:eastAsia="Calibri" w:hAnsi="Calibri"/>
          <w:sz w:val="20"/>
          <w:szCs w:val="20"/>
          <w:color w:val="auto"/>
        </w:rPr>
      </w:pPr>
      <w:r>
        <w:rPr>
          <w:rFonts w:ascii="Calibri" w:cs="Calibri" w:eastAsia="Calibri" w:hAnsi="Calibri"/>
          <w:sz w:val="20"/>
          <w:szCs w:val="20"/>
          <w:color w:val="auto"/>
        </w:rPr>
        <w:t>the product of:</w:t>
      </w:r>
    </w:p>
    <w:p>
      <w:pPr>
        <w:spacing w:after="0" w:line="201" w:lineRule="exact"/>
        <w:rPr>
          <w:rFonts w:ascii="Calibri" w:cs="Calibri" w:eastAsia="Calibri" w:hAnsi="Calibri"/>
          <w:sz w:val="20"/>
          <w:szCs w:val="20"/>
          <w:color w:val="auto"/>
        </w:rPr>
      </w:pPr>
    </w:p>
    <w:p>
      <w:pPr>
        <w:ind w:left="3240"/>
        <w:spacing w:after="0"/>
        <w:rPr>
          <w:rFonts w:ascii="Calibri" w:cs="Calibri" w:eastAsia="Calibri" w:hAnsi="Calibri"/>
          <w:sz w:val="20"/>
          <w:szCs w:val="20"/>
          <w:color w:val="auto"/>
        </w:rPr>
      </w:pPr>
      <w:r>
        <w:rPr>
          <w:rFonts w:ascii="Calibri" w:cs="Calibri" w:eastAsia="Calibri" w:hAnsi="Calibri"/>
          <w:sz w:val="20"/>
          <w:szCs w:val="20"/>
          <w:color w:val="auto"/>
        </w:rPr>
        <w:t>(x) the Upside Sharing Percentage</w:t>
      </w:r>
    </w:p>
    <w:p>
      <w:pPr>
        <w:spacing w:after="0" w:line="201" w:lineRule="exact"/>
        <w:rPr>
          <w:sz w:val="20"/>
          <w:szCs w:val="20"/>
          <w:color w:val="auto"/>
        </w:rPr>
      </w:pPr>
    </w:p>
    <w:p>
      <w:pPr>
        <w:ind w:left="3240"/>
        <w:spacing w:after="0"/>
        <w:rPr>
          <w:sz w:val="20"/>
          <w:szCs w:val="20"/>
          <w:color w:val="auto"/>
        </w:rPr>
      </w:pPr>
      <w:r>
        <w:rPr>
          <w:rFonts w:ascii="Calibri" w:cs="Calibri" w:eastAsia="Calibri" w:hAnsi="Calibri"/>
          <w:sz w:val="20"/>
          <w:szCs w:val="20"/>
          <w:u w:val="single" w:color="auto"/>
          <w:color w:val="auto"/>
        </w:rPr>
        <w:t>multplied by</w:t>
      </w:r>
    </w:p>
    <w:p>
      <w:pPr>
        <w:spacing w:after="0" w:line="225" w:lineRule="exact"/>
        <w:rPr>
          <w:sz w:val="20"/>
          <w:szCs w:val="20"/>
          <w:color w:val="auto"/>
        </w:rPr>
      </w:pPr>
    </w:p>
    <w:p>
      <w:pPr>
        <w:ind w:left="3240" w:right="20" w:firstLine="8"/>
        <w:spacing w:after="0" w:line="234" w:lineRule="auto"/>
        <w:tabs>
          <w:tab w:leader="none" w:pos="3503" w:val="left"/>
        </w:tabs>
        <w:numPr>
          <w:ilvl w:val="0"/>
          <w:numId w:val="323"/>
        </w:numPr>
        <w:rPr>
          <w:rFonts w:ascii="Calibri" w:cs="Calibri" w:eastAsia="Calibri" w:hAnsi="Calibri"/>
          <w:sz w:val="20"/>
          <w:szCs w:val="20"/>
          <w:color w:val="auto"/>
        </w:rPr>
      </w:pPr>
      <w:r>
        <w:rPr>
          <w:rFonts w:ascii="Calibri" w:cs="Calibri" w:eastAsia="Calibri" w:hAnsi="Calibri"/>
          <w:sz w:val="20"/>
          <w:szCs w:val="20"/>
          <w:color w:val="auto"/>
        </w:rPr>
        <w:t>the amount by which the Actual Cumulatve Unlevered Free Cash Flow exceeds the applicable Threshold for such Relevant Period</w:t>
      </w:r>
    </w:p>
    <w:p>
      <w:pPr>
        <w:spacing w:after="0" w:line="203" w:lineRule="exact"/>
        <w:rPr>
          <w:sz w:val="20"/>
          <w:szCs w:val="20"/>
          <w:color w:val="auto"/>
        </w:rPr>
      </w:pPr>
    </w:p>
    <w:p>
      <w:pPr>
        <w:ind w:left="2600"/>
        <w:spacing w:after="0"/>
        <w:rPr>
          <w:sz w:val="20"/>
          <w:szCs w:val="20"/>
          <w:color w:val="auto"/>
        </w:rPr>
      </w:pPr>
      <w:r>
        <w:rPr>
          <w:rFonts w:ascii="Calibri" w:cs="Calibri" w:eastAsia="Calibri" w:hAnsi="Calibri"/>
          <w:sz w:val="20"/>
          <w:szCs w:val="20"/>
          <w:u w:val="single" w:color="auto"/>
          <w:color w:val="auto"/>
        </w:rPr>
        <w:t>minus</w:t>
      </w:r>
    </w:p>
    <w:p>
      <w:pPr>
        <w:spacing w:after="0" w:line="198" w:lineRule="exact"/>
        <w:rPr>
          <w:sz w:val="20"/>
          <w:szCs w:val="20"/>
          <w:color w:val="auto"/>
        </w:rPr>
      </w:pPr>
    </w:p>
    <w:p>
      <w:pPr>
        <w:ind w:right="20" w:firstLine="2600"/>
        <w:spacing w:after="0" w:line="208" w:lineRule="auto"/>
        <w:tabs>
          <w:tab w:leader="none" w:pos="3240" w:val="left"/>
        </w:tabs>
        <w:numPr>
          <w:ilvl w:val="0"/>
          <w:numId w:val="324"/>
        </w:numPr>
        <w:rPr>
          <w:rFonts w:ascii="Calibri" w:cs="Calibri" w:eastAsia="Calibri" w:hAnsi="Calibri"/>
          <w:sz w:val="20"/>
          <w:szCs w:val="20"/>
          <w:color w:val="auto"/>
        </w:rPr>
      </w:pPr>
      <w:r>
        <w:rPr>
          <w:rFonts w:ascii="Calibri" w:cs="Calibri" w:eastAsia="Calibri" w:hAnsi="Calibri"/>
          <w:sz w:val="20"/>
          <w:szCs w:val="20"/>
          <w:color w:val="auto"/>
        </w:rPr>
        <w:t>the aggregate amount of any Upside Sharing Amounts previously paid by the Recipient to the Department pursuant to this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384" w:right="339" w:bottom="1440" w:gutter="0" w:footer="0" w:header="0"/>
        </w:sectPr>
      </w:pPr>
    </w:p>
    <w:bookmarkStart w:id="344" w:name="page345"/>
    <w:bookmarkEnd w:id="344"/>
    <w:p>
      <w:pPr>
        <w:spacing w:after="0"/>
        <w:rPr>
          <w:sz w:val="20"/>
          <w:szCs w:val="20"/>
          <w:color w:val="auto"/>
        </w:rPr>
      </w:pPr>
      <w:r>
        <w:rPr>
          <w:rFonts w:ascii="Calibri" w:cs="Calibri" w:eastAsia="Calibri" w:hAnsi="Calibri"/>
          <w:sz w:val="20"/>
          <w:szCs w:val="20"/>
          <w:color w:val="auto"/>
        </w:rPr>
        <w:t>provided that, the Upside Sharing Amount calculated pursuant to this paragraph (b) shall not be less than zero Dollars ($0).</w:t>
      </w:r>
    </w:p>
    <w:p>
      <w:pPr>
        <w:spacing w:after="0" w:line="198" w:lineRule="exact"/>
        <w:rPr>
          <w:sz w:val="20"/>
          <w:szCs w:val="20"/>
          <w:color w:val="auto"/>
        </w:rPr>
      </w:pPr>
    </w:p>
    <w:p>
      <w:pPr>
        <w:jc w:val="both"/>
        <w:ind w:firstLine="1952"/>
        <w:spacing w:after="0" w:line="200" w:lineRule="auto"/>
        <w:tabs>
          <w:tab w:leader="none" w:pos="2584" w:val="left"/>
        </w:tabs>
        <w:numPr>
          <w:ilvl w:val="0"/>
          <w:numId w:val="325"/>
        </w:numPr>
        <w:rPr>
          <w:rFonts w:ascii="Calibri" w:cs="Calibri" w:eastAsia="Calibri" w:hAnsi="Calibri"/>
          <w:sz w:val="20"/>
          <w:szCs w:val="20"/>
          <w:color w:val="auto"/>
        </w:rPr>
      </w:pPr>
      <w:r>
        <w:rPr>
          <w:rFonts w:ascii="Calibri" w:cs="Calibri" w:eastAsia="Calibri" w:hAnsi="Calibri"/>
          <w:sz w:val="20"/>
          <w:szCs w:val="20"/>
          <w:color w:val="auto"/>
        </w:rPr>
        <w:t xml:space="preserve">Notwithstanding anything herein to the contrary, the aggregate amount of all Upside Sharing Amounts paid by the Recipient to the Department shall not exceed seventy-fve percent (75%) of an amount equal to the diference of (i) the Actual Cumulatve Disbursement Amount for the Project, </w:t>
      </w:r>
      <w:r>
        <w:rPr>
          <w:rFonts w:ascii="Calibri" w:cs="Calibri" w:eastAsia="Calibri" w:hAnsi="Calibri"/>
          <w:sz w:val="20"/>
          <w:szCs w:val="20"/>
          <w:i w:val="1"/>
          <w:iCs w:val="1"/>
          <w:color w:val="auto"/>
        </w:rPr>
        <w:t>minus</w:t>
      </w:r>
      <w:r>
        <w:rPr>
          <w:rFonts w:ascii="Calibri" w:cs="Calibri" w:eastAsia="Calibri" w:hAnsi="Calibri"/>
          <w:sz w:val="20"/>
          <w:szCs w:val="20"/>
          <w:color w:val="auto"/>
        </w:rPr>
        <w:t xml:space="preserve"> (ii) the aggregate amount (if any) of recoveries by the Department of all or any part of any Direct Funding Disbursements previously paid to the Department pursuant to the exercise of any of the Department’s remedies under this Agreement or the Sponsor Guarantee.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3.2.3</w:t>
      </w:r>
      <w:r>
        <w:rPr>
          <w:sz w:val="20"/>
          <w:szCs w:val="20"/>
          <w:color w:val="auto"/>
        </w:rPr>
        <w:tab/>
      </w:r>
      <w:r>
        <w:rPr>
          <w:rFonts w:ascii="Calibri" w:cs="Calibri" w:eastAsia="Calibri" w:hAnsi="Calibri"/>
          <w:sz w:val="20"/>
          <w:szCs w:val="20"/>
          <w:b w:val="1"/>
          <w:bCs w:val="1"/>
          <w:color w:val="auto"/>
        </w:rPr>
        <w:t>Upside Sharing Amount Certfcaton.</w:t>
      </w:r>
    </w:p>
    <w:p>
      <w:pPr>
        <w:spacing w:after="0" w:line="184" w:lineRule="exact"/>
        <w:rPr>
          <w:sz w:val="20"/>
          <w:szCs w:val="20"/>
          <w:color w:val="auto"/>
        </w:rPr>
      </w:pPr>
    </w:p>
    <w:p>
      <w:pPr>
        <w:jc w:val="both"/>
        <w:ind w:firstLine="1952"/>
        <w:spacing w:after="0" w:line="200" w:lineRule="auto"/>
        <w:tabs>
          <w:tab w:leader="none" w:pos="2596" w:val="left"/>
        </w:tabs>
        <w:numPr>
          <w:ilvl w:val="0"/>
          <w:numId w:val="326"/>
        </w:numPr>
        <w:rPr>
          <w:rFonts w:ascii="Calibri" w:cs="Calibri" w:eastAsia="Calibri" w:hAnsi="Calibri"/>
          <w:sz w:val="20"/>
          <w:szCs w:val="20"/>
          <w:color w:val="auto"/>
        </w:rPr>
      </w:pPr>
      <w:r>
        <w:rPr>
          <w:rFonts w:ascii="Calibri" w:cs="Calibri" w:eastAsia="Calibri" w:hAnsi="Calibri"/>
          <w:sz w:val="20"/>
          <w:szCs w:val="20"/>
          <w:color w:val="auto"/>
        </w:rPr>
        <w:t>Commencing with the frst (1st) Fiscal Year afer the Fiscal Year in which the Breakeven Date occurs, within ten (10) Business Days of the Recipient’s delivery of its Financial Statements for each Fiscal Year pursuant to Annex F (</w:t>
      </w:r>
      <w:r>
        <w:rPr>
          <w:rFonts w:ascii="Calibri" w:cs="Calibri" w:eastAsia="Calibri" w:hAnsi="Calibri"/>
          <w:sz w:val="20"/>
          <w:szCs w:val="20"/>
          <w:b w:val="1"/>
          <w:bCs w:val="1"/>
          <w:color w:val="auto"/>
        </w:rPr>
        <w:t>Reportng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Covenants)</w:t>
      </w:r>
      <w:r>
        <w:rPr>
          <w:rFonts w:ascii="Calibri" w:cs="Calibri" w:eastAsia="Calibri" w:hAnsi="Calibri"/>
          <w:sz w:val="20"/>
          <w:szCs w:val="20"/>
          <w:color w:val="auto"/>
        </w:rPr>
        <w:t>, the Recipient shall deliver to the Department a writen certfcaton of the Upside Sharing Amount by a Financial Ofcer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Recipient prepared in accordance with the Applicable Accountng Requirements (i.e., Carve-Out Financials basis of presentaton) for such Relevant Period for the Project (an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92" w:val="left"/>
        </w:tabs>
        <w:numPr>
          <w:ilvl w:val="0"/>
          <w:numId w:val="326"/>
        </w:numPr>
        <w:rPr>
          <w:rFonts w:ascii="Calibri" w:cs="Calibri" w:eastAsia="Calibri" w:hAnsi="Calibri"/>
          <w:sz w:val="20"/>
          <w:szCs w:val="20"/>
          <w:color w:val="auto"/>
        </w:rPr>
      </w:pPr>
      <w:r>
        <w:rPr>
          <w:rFonts w:ascii="Calibri" w:cs="Calibri" w:eastAsia="Calibri" w:hAnsi="Calibri"/>
          <w:sz w:val="20"/>
          <w:szCs w:val="20"/>
          <w:color w:val="auto"/>
        </w:rPr>
        <w:t>In connecton with the Recipient’s obligaton to deliver a calculaton of the Upside Sharing Amount pursuant to the Upside Sharing Amount Certfcaton, the Recipient shall deliver fnancial informaton as required by the Department supportng the Upside Sharing Amount calculaton prepared on the basis of the Actual Unlevered Free Cash Flow of the Project and in a manner consistent with Applicable Accountng Requirements (such fnancial informaton the “</w:t>
      </w:r>
      <w:r>
        <w:rPr>
          <w:rFonts w:ascii="Calibri" w:cs="Calibri" w:eastAsia="Calibri" w:hAnsi="Calibri"/>
          <w:sz w:val="20"/>
          <w:szCs w:val="20"/>
          <w:b w:val="1"/>
          <w:bCs w:val="1"/>
          <w:color w:val="auto"/>
        </w:rPr>
        <w:t>Carve-Out Financials</w:t>
      </w:r>
      <w:r>
        <w:rPr>
          <w:rFonts w:ascii="Calibri" w:cs="Calibri" w:eastAsia="Calibri" w:hAnsi="Calibri"/>
          <w:sz w:val="20"/>
          <w:szCs w:val="20"/>
          <w:color w:val="auto"/>
        </w:rPr>
        <w:t>”), accompanied by the Upside Sharing Amount Report from the Recipient’s Accountant’s with respect to the calculaton of the Upside Sharing Amount and the Carve-Out Financials.</w:t>
      </w:r>
    </w:p>
    <w:p>
      <w:pPr>
        <w:spacing w:after="0" w:line="179" w:lineRule="exact"/>
        <w:rPr>
          <w:rFonts w:ascii="Calibri" w:cs="Calibri" w:eastAsia="Calibri" w:hAnsi="Calibri"/>
          <w:sz w:val="20"/>
          <w:szCs w:val="20"/>
          <w:color w:val="auto"/>
        </w:rPr>
      </w:pPr>
    </w:p>
    <w:p>
      <w:pPr>
        <w:ind w:left="2600" w:hanging="648"/>
        <w:spacing w:after="0"/>
        <w:tabs>
          <w:tab w:leader="none" w:pos="2600" w:val="left"/>
        </w:tabs>
        <w:numPr>
          <w:ilvl w:val="0"/>
          <w:numId w:val="326"/>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3.3 </w:t>
      </w:r>
      <w:r>
        <w:rPr>
          <w:rFonts w:ascii="Calibri" w:cs="Calibri" w:eastAsia="Calibri" w:hAnsi="Calibri"/>
          <w:sz w:val="20"/>
          <w:szCs w:val="20"/>
          <w:b w:val="1"/>
          <w:bCs w:val="1"/>
          <w:color w:val="auto"/>
        </w:rPr>
        <w:t>Payment of Costs and Expenses.</w:t>
      </w:r>
      <w:r>
        <w:rPr>
          <w:rFonts w:ascii="Calibri" w:cs="Calibri" w:eastAsia="Calibri" w:hAnsi="Calibri"/>
          <w:sz w:val="20"/>
          <w:szCs w:val="20"/>
          <w:color w:val="auto"/>
        </w:rPr>
        <w:t xml:space="preserve"> The Recipient shall, whether or not the transactons contemplated by this Agreement or the other Financing Documents are consummated, pay or reimburse, without duplicaton, all reasonable documented fees, out-of-pocket costs and expenses of the Department (including all commissions, charges, costs and expenses for the conversion of currencies and all other fees, costs, charges and expenses, including all Periodic Expenses of any Consultant) paid or incurred on or prior to the Award Date in connecton with (a) the due diligence of the Recipient Partes and the Project; and (b) the negotaton, review, preparaton of this Agreement, the other Financing Documents and any other documents and instruments related to this Agreement or thereto (including legal opinions). The Recipient shall not be responsible for any costs and expenses of the Department (including Periodic Expenses of any Consultant) incurred afer the Award Date in connecton with this Agreement, the other Financing Documents and the Project.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3.4</w:t>
      </w:r>
      <w:r>
        <w:rPr>
          <w:sz w:val="20"/>
          <w:szCs w:val="20"/>
          <w:color w:val="auto"/>
        </w:rPr>
        <w:tab/>
      </w:r>
      <w:r>
        <w:rPr>
          <w:rFonts w:ascii="Calibri" w:cs="Calibri" w:eastAsia="Calibri" w:hAnsi="Calibri"/>
          <w:sz w:val="19"/>
          <w:szCs w:val="19"/>
          <w:b w:val="1"/>
          <w:bCs w:val="1"/>
          <w:color w:val="auto"/>
        </w:rPr>
        <w:t>Net of Tax.</w:t>
      </w:r>
    </w:p>
    <w:p>
      <w:pPr>
        <w:spacing w:after="0" w:line="184" w:lineRule="exact"/>
        <w:rPr>
          <w:sz w:val="20"/>
          <w:szCs w:val="20"/>
          <w:color w:val="auto"/>
        </w:rPr>
      </w:pPr>
    </w:p>
    <w:p>
      <w:pPr>
        <w:jc w:val="both"/>
        <w:ind w:firstLine="1952"/>
        <w:spacing w:after="0" w:line="205" w:lineRule="auto"/>
        <w:tabs>
          <w:tab w:leader="none" w:pos="2596" w:val="left"/>
        </w:tabs>
        <w:numPr>
          <w:ilvl w:val="0"/>
          <w:numId w:val="327"/>
        </w:numPr>
        <w:rPr>
          <w:rFonts w:ascii="Calibri" w:cs="Calibri" w:eastAsia="Calibri" w:hAnsi="Calibri"/>
          <w:sz w:val="20"/>
          <w:szCs w:val="20"/>
          <w:color w:val="auto"/>
        </w:rPr>
      </w:pPr>
      <w:r>
        <w:rPr>
          <w:rFonts w:ascii="Calibri" w:cs="Calibri" w:eastAsia="Calibri" w:hAnsi="Calibri"/>
          <w:sz w:val="20"/>
          <w:szCs w:val="20"/>
          <w:color w:val="auto"/>
        </w:rPr>
        <w:t>The Recipient understands and agrees that the Department is an agency or instrumentality of the United States and that all payments by the Recipient to the Department hereunder are payable, and shall in all cases be paid, free and clear of all Taxes.</w:t>
      </w:r>
    </w:p>
    <w:p>
      <w:pPr>
        <w:spacing w:after="0" w:line="184"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327"/>
        </w:numPr>
        <w:rPr>
          <w:rFonts w:ascii="Calibri" w:cs="Calibri" w:eastAsia="Calibri" w:hAnsi="Calibri"/>
          <w:sz w:val="20"/>
          <w:szCs w:val="20"/>
          <w:color w:val="auto"/>
        </w:rPr>
      </w:pPr>
      <w:r>
        <w:rPr>
          <w:rFonts w:ascii="Calibri" w:cs="Calibri" w:eastAsia="Calibri" w:hAnsi="Calibri"/>
          <w:sz w:val="20"/>
          <w:szCs w:val="20"/>
          <w:color w:val="auto"/>
        </w:rPr>
        <w:t>If the Recipient shall be required by Applicable Law to withhold or deduct any tax from or in respect of any sum payable hereunder or under any other Financing Document to the Department, (i) the sum payable shall be increased as may be necessary so that afer making all such required deductons, the Department receives an amount equal to the sum it would have received had no such deductons been made; (ii) the Recipient shall make such deductons; and (iii) the Recipient shall pay the full amount deducted to the relevant taxaton authority or other authority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401" w:right="339" w:bottom="1440" w:gutter="0" w:footer="0" w:header="0"/>
        </w:sectPr>
      </w:pPr>
    </w:p>
    <w:bookmarkStart w:id="345" w:name="page346"/>
    <w:bookmarkEnd w:id="345"/>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TERMS SATISFIED AS OF THE AWARD DATE</w:t>
      </w:r>
    </w:p>
    <w:p>
      <w:pPr>
        <w:spacing w:after="0" w:line="211" w:lineRule="exact"/>
        <w:rPr>
          <w:sz w:val="20"/>
          <w:szCs w:val="20"/>
          <w:color w:val="auto"/>
        </w:rPr>
      </w:pPr>
    </w:p>
    <w:p>
      <w:pPr>
        <w:jc w:val="both"/>
        <w:ind w:right="20" w:firstLine="635"/>
        <w:spacing w:after="0" w:line="234" w:lineRule="auto"/>
        <w:rPr>
          <w:sz w:val="20"/>
          <w:szCs w:val="20"/>
          <w:color w:val="auto"/>
        </w:rPr>
      </w:pPr>
      <w:r>
        <w:rPr>
          <w:rFonts w:ascii="Calibri" w:cs="Calibri" w:eastAsia="Calibri" w:hAnsi="Calibri"/>
          <w:sz w:val="20"/>
          <w:szCs w:val="20"/>
          <w:color w:val="auto"/>
        </w:rPr>
        <w:t>By executon and delivery of this Agreement each of the Recipient and the Department acknowledges and agrees that the following terms have been satsfed in form and substance satsfactory to the Department as of the Award Date:</w:t>
      </w:r>
    </w:p>
    <w:p>
      <w:pPr>
        <w:spacing w:after="0" w:line="185"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4.1 </w:t>
      </w:r>
      <w:r>
        <w:rPr>
          <w:rFonts w:ascii="Calibri" w:cs="Calibri" w:eastAsia="Calibri" w:hAnsi="Calibri"/>
          <w:sz w:val="20"/>
          <w:szCs w:val="20"/>
          <w:b w:val="1"/>
          <w:bCs w:val="1"/>
          <w:color w:val="auto"/>
        </w:rPr>
        <w:t>Financing Documents</w:t>
      </w:r>
      <w:r>
        <w:rPr>
          <w:rFonts w:ascii="Calibri" w:cs="Calibri" w:eastAsia="Calibri" w:hAnsi="Calibri"/>
          <w:sz w:val="20"/>
          <w:szCs w:val="20"/>
          <w:color w:val="auto"/>
        </w:rPr>
        <w:t>: The Department shall have received (a) a fully executed original of each Award Document and the Sponsor Guarantee; and (b) copies of each other Financing Document then-available, and each such Financing Document shall be in full force and efect in accordance with its terms.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4.2</w:t>
      </w:r>
      <w:r>
        <w:rPr>
          <w:sz w:val="20"/>
          <w:szCs w:val="20"/>
          <w:color w:val="auto"/>
        </w:rPr>
        <w:tab/>
      </w:r>
      <w:r>
        <w:rPr>
          <w:rFonts w:ascii="Calibri" w:cs="Calibri" w:eastAsia="Calibri" w:hAnsi="Calibri"/>
          <w:sz w:val="20"/>
          <w:szCs w:val="20"/>
          <w:b w:val="1"/>
          <w:bCs w:val="1"/>
          <w:color w:val="auto"/>
        </w:rPr>
        <w:t>Organizatonal Documents</w:t>
      </w:r>
      <w:r>
        <w:rPr>
          <w:rFonts w:ascii="Calibri" w:cs="Calibri" w:eastAsia="Calibri" w:hAnsi="Calibri"/>
          <w:sz w:val="20"/>
          <w:szCs w:val="20"/>
          <w:color w:val="auto"/>
        </w:rPr>
        <w:t>.</w:t>
      </w:r>
    </w:p>
    <w:p>
      <w:pPr>
        <w:spacing w:after="0" w:line="184"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4. 2.1 </w:t>
      </w:r>
      <w:r>
        <w:rPr>
          <w:rFonts w:ascii="Calibri" w:cs="Calibri" w:eastAsia="Calibri" w:hAnsi="Calibri"/>
          <w:sz w:val="20"/>
          <w:szCs w:val="20"/>
          <w:b w:val="1"/>
          <w:bCs w:val="1"/>
          <w:color w:val="auto"/>
        </w:rPr>
        <w:t>Recipient Partes Organizatonal Documents</w:t>
      </w:r>
      <w:r>
        <w:rPr>
          <w:rFonts w:ascii="Calibri" w:cs="Calibri" w:eastAsia="Calibri" w:hAnsi="Calibri"/>
          <w:sz w:val="20"/>
          <w:szCs w:val="20"/>
          <w:color w:val="auto"/>
        </w:rPr>
        <w:t>: The Department shall have received the Organizatonal Documents of each Recipient Party, accompanied in each case by an Ofcer’s Certfcate of such Recipient Party substantally in the form of Exhibit A-</w:t>
      </w:r>
    </w:p>
    <w:p>
      <w:pPr>
        <w:ind w:firstLine="8"/>
        <w:spacing w:after="0" w:line="199" w:lineRule="auto"/>
        <w:tabs>
          <w:tab w:leader="none" w:pos="162" w:val="left"/>
        </w:tabs>
        <w:numPr>
          <w:ilvl w:val="0"/>
          <w:numId w:val="328"/>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or Exhibit A-2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as applicable, good standing certfcates, incumbency certfcates in customary form, resolutons with respect to approval of:</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1"/>
          <w:numId w:val="328"/>
        </w:numPr>
        <w:rPr>
          <w:rFonts w:ascii="Calibri" w:cs="Calibri" w:eastAsia="Calibri" w:hAnsi="Calibri"/>
          <w:sz w:val="20"/>
          <w:szCs w:val="20"/>
          <w:color w:val="auto"/>
        </w:rPr>
      </w:pPr>
      <w:r>
        <w:rPr>
          <w:rFonts w:ascii="Calibri" w:cs="Calibri" w:eastAsia="Calibri" w:hAnsi="Calibri"/>
          <w:sz w:val="20"/>
          <w:szCs w:val="20"/>
          <w:color w:val="auto"/>
        </w:rPr>
        <w:t>each such Recipient Party’s partcipaton in the Project;</w:t>
      </w:r>
    </w:p>
    <w:p>
      <w:pPr>
        <w:spacing w:after="0" w:line="184" w:lineRule="exact"/>
        <w:rPr>
          <w:rFonts w:ascii="Calibri" w:cs="Calibri" w:eastAsia="Calibri" w:hAnsi="Calibri"/>
          <w:sz w:val="20"/>
          <w:szCs w:val="20"/>
          <w:color w:val="auto"/>
        </w:rPr>
      </w:pPr>
    </w:p>
    <w:p>
      <w:pPr>
        <w:ind w:firstLine="1952"/>
        <w:spacing w:after="0" w:line="214" w:lineRule="auto"/>
        <w:tabs>
          <w:tab w:leader="none" w:pos="2592" w:val="left"/>
        </w:tabs>
        <w:numPr>
          <w:ilvl w:val="1"/>
          <w:numId w:val="328"/>
        </w:numPr>
        <w:rPr>
          <w:rFonts w:ascii="Calibri" w:cs="Calibri" w:eastAsia="Calibri" w:hAnsi="Calibri"/>
          <w:sz w:val="20"/>
          <w:szCs w:val="20"/>
          <w:color w:val="auto"/>
        </w:rPr>
      </w:pPr>
      <w:r>
        <w:rPr>
          <w:rFonts w:ascii="Calibri" w:cs="Calibri" w:eastAsia="Calibri" w:hAnsi="Calibri"/>
          <w:sz w:val="20"/>
          <w:szCs w:val="20"/>
          <w:color w:val="auto"/>
        </w:rPr>
        <w:t>the fnancing therefor (including the Award and this Agreement) and the grantng of Liens to secure the Recipient’s Obligatons under any Third Party Debt Funding (as applicable); and</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1"/>
          <w:numId w:val="328"/>
        </w:numPr>
        <w:rPr>
          <w:rFonts w:ascii="Calibri" w:cs="Calibri" w:eastAsia="Calibri" w:hAnsi="Calibri"/>
          <w:sz w:val="20"/>
          <w:szCs w:val="20"/>
          <w:color w:val="auto"/>
        </w:rPr>
      </w:pPr>
      <w:r>
        <w:rPr>
          <w:rFonts w:ascii="Calibri" w:cs="Calibri" w:eastAsia="Calibri" w:hAnsi="Calibri"/>
          <w:sz w:val="20"/>
          <w:szCs w:val="20"/>
          <w:color w:val="auto"/>
        </w:rPr>
        <w:t>the executon, delivery and performance by each such Recipient Party of the Financing Documents to</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which it is party.</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4.2.2 </w:t>
      </w:r>
      <w:r>
        <w:rPr>
          <w:rFonts w:ascii="Calibri" w:cs="Calibri" w:eastAsia="Calibri" w:hAnsi="Calibri"/>
          <w:sz w:val="20"/>
          <w:szCs w:val="20"/>
          <w:b w:val="1"/>
          <w:bCs w:val="1"/>
          <w:color w:val="auto"/>
        </w:rPr>
        <w:t>Recipient Partes Organizatonal Structure.</w:t>
      </w:r>
      <w:r>
        <w:rPr>
          <w:rFonts w:ascii="Calibri" w:cs="Calibri" w:eastAsia="Calibri" w:hAnsi="Calibri"/>
          <w:sz w:val="20"/>
          <w:szCs w:val="20"/>
          <w:color w:val="auto"/>
        </w:rPr>
        <w:t xml:space="preserve"> The Department shall have received an up-to -date corporate group chart showing each Recipient Party and each Afliate and Subsidiary of each Recipient Party, accompanied by an Ofcer’s Certfcate of such Recipient Party certfying such group chart as true and correct.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4.2.3</w:t>
      </w:r>
      <w:r>
        <w:rPr>
          <w:sz w:val="20"/>
          <w:szCs w:val="20"/>
          <w:color w:val="auto"/>
        </w:rPr>
        <w:tab/>
      </w:r>
      <w:r>
        <w:rPr>
          <w:rFonts w:ascii="Calibri" w:cs="Calibri" w:eastAsia="Calibri" w:hAnsi="Calibri"/>
          <w:sz w:val="20"/>
          <w:szCs w:val="20"/>
          <w:b w:val="1"/>
          <w:bCs w:val="1"/>
          <w:color w:val="auto"/>
        </w:rPr>
        <w:t xml:space="preserve">Recipient Partes Ownership. </w:t>
      </w:r>
      <w:r>
        <w:rPr>
          <w:rFonts w:ascii="Calibri" w:cs="Calibri" w:eastAsia="Calibri" w:hAnsi="Calibri"/>
          <w:sz w:val="20"/>
          <w:szCs w:val="20"/>
          <w:color w:val="auto"/>
        </w:rPr>
        <w:t>The Department shall have received:</w:t>
      </w:r>
    </w:p>
    <w:p>
      <w:pPr>
        <w:spacing w:after="0" w:line="171" w:lineRule="exact"/>
        <w:rPr>
          <w:sz w:val="20"/>
          <w:szCs w:val="20"/>
          <w:color w:val="auto"/>
        </w:rPr>
      </w:pPr>
    </w:p>
    <w:p>
      <w:pPr>
        <w:jc w:val="both"/>
        <w:ind w:firstLine="1952"/>
        <w:spacing w:after="0" w:line="209" w:lineRule="auto"/>
        <w:tabs>
          <w:tab w:leader="none" w:pos="2664" w:val="left"/>
        </w:tabs>
        <w:numPr>
          <w:ilvl w:val="0"/>
          <w:numId w:val="329"/>
        </w:numPr>
        <w:rPr>
          <w:rFonts w:ascii="Calibri" w:cs="Calibri" w:eastAsia="Calibri" w:hAnsi="Calibri"/>
          <w:sz w:val="20"/>
          <w:szCs w:val="20"/>
          <w:color w:val="auto"/>
        </w:rPr>
      </w:pPr>
      <w:r>
        <w:rPr>
          <w:rFonts w:ascii="Calibri" w:cs="Calibri" w:eastAsia="Calibri" w:hAnsi="Calibri"/>
          <w:sz w:val="20"/>
          <w:szCs w:val="20"/>
          <w:color w:val="auto"/>
        </w:rPr>
        <w:t>(i) an SF-328 Certfcate Pertaining to Foreign Interests executed by the Recipient dated on or around December 3, 2024; and (ii) an Ofcer’s Certfcate of the Recipient dated as of the Award Date, certfying that the informaton contained therein remains true and correct; and</w:t>
      </w:r>
    </w:p>
    <w:p>
      <w:pPr>
        <w:spacing w:after="0" w:line="172"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329"/>
        </w:numPr>
        <w:rPr>
          <w:rFonts w:ascii="Calibri" w:cs="Calibri" w:eastAsia="Calibri" w:hAnsi="Calibri"/>
          <w:sz w:val="20"/>
          <w:szCs w:val="20"/>
          <w:color w:val="auto"/>
        </w:rPr>
      </w:pPr>
      <w:r>
        <w:rPr>
          <w:rFonts w:ascii="Calibri" w:cs="Calibri" w:eastAsia="Calibri" w:hAnsi="Calibri"/>
          <w:sz w:val="20"/>
          <w:szCs w:val="20"/>
          <w:color w:val="auto"/>
        </w:rPr>
        <w:t>an Ofcer’s Certfcate of the Sponsor Guarantor substantally in the form of Exhibit A-2 (</w:t>
      </w:r>
      <w:r>
        <w:rPr>
          <w:rFonts w:ascii="Calibri" w:cs="Calibri" w:eastAsia="Calibri" w:hAnsi="Calibri"/>
          <w:sz w:val="20"/>
          <w:szCs w:val="20"/>
          <w:b w:val="1"/>
          <w:bCs w:val="1"/>
          <w:color w:val="auto"/>
        </w:rPr>
        <w:t>Form of Sponsor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Guarantor Award Date Certfcate</w:t>
      </w:r>
      <w:r>
        <w:rPr>
          <w:rFonts w:ascii="Calibri" w:cs="Calibri" w:eastAsia="Calibri" w:hAnsi="Calibri"/>
          <w:sz w:val="20"/>
          <w:szCs w:val="20"/>
          <w:color w:val="auto"/>
        </w:rPr>
        <w:t>), confrming that (i) the Sponsor Guarantor owns, directly or indirectly, 100% of the Equity Interests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Recipient; and (ii) based on public flings with the U.S. Securites and Exchange Commission submited as of November 26, 2024, either (A) no Person benefcially owns, directly or indirectly, more than ten percent (10%) of the Equity Interests of the Sponsor Guarantor; or (B) a capitalizaton table that sets out each Person that benefcially owns, directly or indirectly, more than ten percent (10%) of the Equity Interests of the Sponsor Guarantor.</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4.3</w:t>
      </w:r>
      <w:r>
        <w:rPr>
          <w:sz w:val="20"/>
          <w:szCs w:val="20"/>
          <w:color w:val="auto"/>
        </w:rPr>
        <w:tab/>
      </w:r>
      <w:r>
        <w:rPr>
          <w:rFonts w:ascii="Calibri" w:cs="Calibri" w:eastAsia="Calibri" w:hAnsi="Calibri"/>
          <w:sz w:val="20"/>
          <w:szCs w:val="20"/>
          <w:b w:val="1"/>
          <w:bCs w:val="1"/>
          <w:color w:val="auto"/>
        </w:rPr>
        <w:t>Sources and Uses Plan.</w:t>
      </w:r>
    </w:p>
    <w:p>
      <w:pPr>
        <w:spacing w:after="0" w:line="174" w:lineRule="exact"/>
        <w:rPr>
          <w:sz w:val="20"/>
          <w:szCs w:val="20"/>
          <w:color w:val="auto"/>
        </w:rPr>
      </w:pPr>
    </w:p>
    <w:p>
      <w:pPr>
        <w:ind w:left="2600" w:hanging="648"/>
        <w:spacing w:after="0"/>
        <w:tabs>
          <w:tab w:leader="none" w:pos="2600" w:val="left"/>
        </w:tabs>
        <w:numPr>
          <w:ilvl w:val="0"/>
          <w:numId w:val="330"/>
        </w:numPr>
        <w:rPr>
          <w:rFonts w:ascii="Calibri" w:cs="Calibri" w:eastAsia="Calibri" w:hAnsi="Calibri"/>
          <w:sz w:val="20"/>
          <w:szCs w:val="20"/>
          <w:color w:val="auto"/>
        </w:rPr>
      </w:pPr>
      <w:r>
        <w:rPr>
          <w:rFonts w:ascii="Calibri" w:cs="Calibri" w:eastAsia="Calibri" w:hAnsi="Calibri"/>
          <w:sz w:val="20"/>
          <w:szCs w:val="20"/>
          <w:color w:val="auto"/>
        </w:rPr>
        <w:t>The Department shall have received, as part of the Base Case Financial Model or separately, a Sources</w:t>
      </w:r>
    </w:p>
    <w:p>
      <w:pPr>
        <w:spacing w:after="0" w:line="199" w:lineRule="auto"/>
        <w:rPr>
          <w:sz w:val="20"/>
          <w:szCs w:val="20"/>
          <w:color w:val="auto"/>
        </w:rPr>
      </w:pPr>
      <w:r>
        <w:rPr>
          <w:rFonts w:ascii="Calibri" w:cs="Calibri" w:eastAsia="Calibri" w:hAnsi="Calibri"/>
          <w:sz w:val="20"/>
          <w:szCs w:val="20"/>
          <w:color w:val="auto"/>
        </w:rPr>
        <w:t>and Uses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374" w:right="339" w:bottom="1440" w:gutter="0" w:footer="0" w:header="0"/>
        </w:sectPr>
      </w:pPr>
    </w:p>
    <w:bookmarkStart w:id="346" w:name="page347"/>
    <w:bookmarkEnd w:id="346"/>
    <w:p>
      <w:pPr>
        <w:ind w:right="20" w:firstLine="1952"/>
        <w:spacing w:after="0" w:line="214" w:lineRule="auto"/>
        <w:tabs>
          <w:tab w:leader="none" w:pos="2592" w:val="left"/>
        </w:tabs>
        <w:numPr>
          <w:ilvl w:val="0"/>
          <w:numId w:val="331"/>
        </w:numPr>
        <w:rPr>
          <w:rFonts w:ascii="Calibri" w:cs="Calibri" w:eastAsia="Calibri" w:hAnsi="Calibri"/>
          <w:sz w:val="20"/>
          <w:szCs w:val="20"/>
          <w:color w:val="auto"/>
        </w:rPr>
      </w:pPr>
      <w:r>
        <w:rPr>
          <w:rFonts w:ascii="Calibri" w:cs="Calibri" w:eastAsia="Calibri" w:hAnsi="Calibri"/>
          <w:sz w:val="20"/>
          <w:szCs w:val="20"/>
          <w:color w:val="auto"/>
        </w:rPr>
        <w:t>The Department shall have received evidence of the sources of funding associated with the Project (other than the Direct Funding) as set out in the Sources and Uses Plan.</w:t>
      </w:r>
    </w:p>
    <w:p>
      <w:pPr>
        <w:spacing w:after="0" w:line="172"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4.4 </w:t>
      </w:r>
      <w:r>
        <w:rPr>
          <w:rFonts w:ascii="Calibri" w:cs="Calibri" w:eastAsia="Calibri" w:hAnsi="Calibri"/>
          <w:sz w:val="20"/>
          <w:szCs w:val="20"/>
          <w:b w:val="1"/>
          <w:bCs w:val="1"/>
          <w:color w:val="auto"/>
        </w:rPr>
        <w:t>Financial Statements.</w:t>
      </w:r>
      <w:r>
        <w:rPr>
          <w:rFonts w:ascii="Calibri" w:cs="Calibri" w:eastAsia="Calibri" w:hAnsi="Calibri"/>
          <w:sz w:val="20"/>
          <w:szCs w:val="20"/>
          <w:color w:val="auto"/>
        </w:rPr>
        <w:t xml:space="preserve"> The Department shall have received (a) the most recent annual Consolidated Financial Statement of the Sponsor Guarantor; (b) [reserved]; and (c) the most recent 10-K and 10-Q fled by the Sponsor Guarantor with the U.S. Securites and Exchange Commission, together, in each case, with an Ofcer’s Certfcate of such Recipient Party substantally in the form of Exhibit A-1 (</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or Exhibit A-2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as applicable, concerning the accuracy of such Financial Statements and, solely with respect to the Recipient, that the Recipient’s accountng systems and controls and management informaton systems are satsfactory for purposes of providing informaton necessary for fnancial reportng in accordance with the Applicable Accountng Requirements.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4.5</w:t>
      </w:r>
      <w:r>
        <w:rPr>
          <w:sz w:val="20"/>
          <w:szCs w:val="20"/>
          <w:color w:val="auto"/>
        </w:rPr>
        <w:tab/>
      </w:r>
      <w:r>
        <w:rPr>
          <w:rFonts w:ascii="Calibri" w:cs="Calibri" w:eastAsia="Calibri" w:hAnsi="Calibri"/>
          <w:sz w:val="20"/>
          <w:szCs w:val="20"/>
          <w:b w:val="1"/>
          <w:bCs w:val="1"/>
          <w:color w:val="auto"/>
        </w:rPr>
        <w:t xml:space="preserve">Required Approvals. </w:t>
      </w:r>
      <w:r>
        <w:rPr>
          <w:rFonts w:ascii="Calibri" w:cs="Calibri" w:eastAsia="Calibri" w:hAnsi="Calibri"/>
          <w:sz w:val="20"/>
          <w:szCs w:val="20"/>
          <w:color w:val="auto"/>
        </w:rPr>
        <w:t>The Department shall have received:</w:t>
      </w:r>
    </w:p>
    <w:p>
      <w:pPr>
        <w:spacing w:after="0" w:line="167" w:lineRule="exact"/>
        <w:rPr>
          <w:sz w:val="20"/>
          <w:szCs w:val="20"/>
          <w:color w:val="auto"/>
        </w:rPr>
      </w:pPr>
    </w:p>
    <w:p>
      <w:pPr>
        <w:ind w:left="2600" w:hanging="648"/>
        <w:spacing w:after="0"/>
        <w:tabs>
          <w:tab w:leader="none" w:pos="2600" w:val="left"/>
        </w:tabs>
        <w:numPr>
          <w:ilvl w:val="0"/>
          <w:numId w:val="332"/>
        </w:numPr>
        <w:rPr>
          <w:rFonts w:ascii="Calibri" w:cs="Calibri" w:eastAsia="Calibri" w:hAnsi="Calibri"/>
          <w:sz w:val="20"/>
          <w:szCs w:val="20"/>
          <w:color w:val="auto"/>
        </w:rPr>
      </w:pPr>
      <w:r>
        <w:rPr>
          <w:rFonts w:ascii="Calibri" w:cs="Calibri" w:eastAsia="Calibri" w:hAnsi="Calibri"/>
          <w:sz w:val="20"/>
          <w:szCs w:val="20"/>
          <w:color w:val="auto"/>
        </w:rPr>
        <w:t>copies of each Required Approval that is listed on the Permitng Plan and required to be obtained prior</w:t>
      </w:r>
    </w:p>
    <w:p>
      <w:pPr>
        <w:spacing w:after="0" w:line="193" w:lineRule="auto"/>
        <w:rPr>
          <w:sz w:val="20"/>
          <w:szCs w:val="20"/>
          <w:color w:val="auto"/>
        </w:rPr>
      </w:pPr>
      <w:r>
        <w:rPr>
          <w:rFonts w:ascii="Calibri" w:cs="Calibri" w:eastAsia="Calibri" w:hAnsi="Calibri"/>
          <w:sz w:val="20"/>
          <w:szCs w:val="20"/>
          <w:color w:val="auto"/>
        </w:rPr>
        <w:t>to the Award Date; and</w:t>
      </w:r>
    </w:p>
    <w:p>
      <w:pPr>
        <w:spacing w:after="0" w:line="174" w:lineRule="exact"/>
        <w:rPr>
          <w:sz w:val="20"/>
          <w:szCs w:val="20"/>
          <w:color w:val="auto"/>
        </w:rPr>
      </w:pPr>
    </w:p>
    <w:p>
      <w:pPr>
        <w:ind w:left="2600" w:hanging="648"/>
        <w:spacing w:after="0"/>
        <w:tabs>
          <w:tab w:leader="none" w:pos="2600" w:val="left"/>
        </w:tabs>
        <w:numPr>
          <w:ilvl w:val="0"/>
          <w:numId w:val="333"/>
        </w:numPr>
        <w:rPr>
          <w:rFonts w:ascii="Calibri" w:cs="Calibri" w:eastAsia="Calibri" w:hAnsi="Calibri"/>
          <w:sz w:val="20"/>
          <w:szCs w:val="20"/>
          <w:color w:val="auto"/>
        </w:rPr>
      </w:pPr>
      <w:r>
        <w:rPr>
          <w:rFonts w:ascii="Calibri" w:cs="Calibri" w:eastAsia="Calibri" w:hAnsi="Calibri"/>
          <w:sz w:val="20"/>
          <w:szCs w:val="20"/>
          <w:color w:val="auto"/>
        </w:rPr>
        <w:t>an Ofcer’s Certfcate of the Recipient, certfying that:</w:t>
      </w:r>
    </w:p>
    <w:p>
      <w:pPr>
        <w:spacing w:after="0" w:line="184" w:lineRule="exact"/>
        <w:rPr>
          <w:rFonts w:ascii="Calibri" w:cs="Calibri" w:eastAsia="Calibri" w:hAnsi="Calibri"/>
          <w:sz w:val="20"/>
          <w:szCs w:val="20"/>
          <w:color w:val="auto"/>
        </w:rPr>
      </w:pPr>
    </w:p>
    <w:p>
      <w:pPr>
        <w:ind w:right="20" w:firstLine="2600"/>
        <w:spacing w:after="0" w:line="208" w:lineRule="auto"/>
        <w:tabs>
          <w:tab w:leader="none" w:pos="3234" w:val="left"/>
        </w:tabs>
        <w:numPr>
          <w:ilvl w:val="1"/>
          <w:numId w:val="333"/>
        </w:numPr>
        <w:rPr>
          <w:rFonts w:ascii="Calibri" w:cs="Calibri" w:eastAsia="Calibri" w:hAnsi="Calibri"/>
          <w:sz w:val="20"/>
          <w:szCs w:val="20"/>
          <w:color w:val="auto"/>
        </w:rPr>
      </w:pPr>
      <w:r>
        <w:rPr>
          <w:rFonts w:ascii="Calibri" w:cs="Calibri" w:eastAsia="Calibri" w:hAnsi="Calibri"/>
          <w:sz w:val="20"/>
          <w:szCs w:val="20"/>
          <w:color w:val="auto"/>
        </w:rPr>
        <w:t>such copies are true, correct and complete (including all schedules, exhibits, atachments, supplements and amendments thereto and any related protocols or side leters);</w:t>
      </w:r>
    </w:p>
    <w:p>
      <w:pPr>
        <w:spacing w:after="0" w:line="184" w:lineRule="exact"/>
        <w:rPr>
          <w:rFonts w:ascii="Calibri" w:cs="Calibri" w:eastAsia="Calibri" w:hAnsi="Calibri"/>
          <w:sz w:val="20"/>
          <w:szCs w:val="20"/>
          <w:color w:val="auto"/>
        </w:rPr>
      </w:pPr>
    </w:p>
    <w:p>
      <w:pPr>
        <w:ind w:right="20" w:firstLine="2600"/>
        <w:spacing w:after="0" w:line="214" w:lineRule="auto"/>
        <w:tabs>
          <w:tab w:leader="none" w:pos="3240" w:val="left"/>
        </w:tabs>
        <w:numPr>
          <w:ilvl w:val="1"/>
          <w:numId w:val="333"/>
        </w:numPr>
        <w:rPr>
          <w:rFonts w:ascii="Calibri" w:cs="Calibri" w:eastAsia="Calibri" w:hAnsi="Calibri"/>
          <w:sz w:val="20"/>
          <w:szCs w:val="20"/>
          <w:color w:val="auto"/>
        </w:rPr>
      </w:pPr>
      <w:r>
        <w:rPr>
          <w:rFonts w:ascii="Calibri" w:cs="Calibri" w:eastAsia="Calibri" w:hAnsi="Calibri"/>
          <w:sz w:val="20"/>
          <w:szCs w:val="20"/>
          <w:color w:val="auto"/>
        </w:rPr>
        <w:t>no term or conditon of any such Required Approval has been amended from that delivered pursuant to this Secton 4.5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and</w:t>
      </w:r>
    </w:p>
    <w:p>
      <w:pPr>
        <w:spacing w:after="0" w:line="172" w:lineRule="exact"/>
        <w:rPr>
          <w:rFonts w:ascii="Calibri" w:cs="Calibri" w:eastAsia="Calibri" w:hAnsi="Calibri"/>
          <w:sz w:val="20"/>
          <w:szCs w:val="20"/>
          <w:color w:val="auto"/>
        </w:rPr>
      </w:pPr>
    </w:p>
    <w:p>
      <w:pPr>
        <w:jc w:val="both"/>
        <w:ind w:firstLine="2600"/>
        <w:spacing w:after="0" w:line="205" w:lineRule="auto"/>
        <w:tabs>
          <w:tab w:leader="none" w:pos="3246" w:val="left"/>
        </w:tabs>
        <w:numPr>
          <w:ilvl w:val="1"/>
          <w:numId w:val="333"/>
        </w:numPr>
        <w:rPr>
          <w:rFonts w:ascii="Calibri" w:cs="Calibri" w:eastAsia="Calibri" w:hAnsi="Calibri"/>
          <w:sz w:val="20"/>
          <w:szCs w:val="20"/>
          <w:color w:val="auto"/>
        </w:rPr>
      </w:pPr>
      <w:r>
        <w:rPr>
          <w:rFonts w:ascii="Calibri" w:cs="Calibri" w:eastAsia="Calibri" w:hAnsi="Calibri"/>
          <w:sz w:val="20"/>
          <w:szCs w:val="20"/>
          <w:color w:val="auto"/>
        </w:rPr>
        <w:t>each such Required Approval is unconditonal (or, if conditonal, all conditons precedent (if any) to the efectveness of each Required Approval has been satsfed or waived) and the Recipient has no reasonable basis to conclude that any such Required Approval already obtained will be revoked.</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4.6 </w:t>
      </w:r>
      <w:r>
        <w:rPr>
          <w:rFonts w:ascii="Calibri" w:cs="Calibri" w:eastAsia="Calibri" w:hAnsi="Calibri"/>
          <w:sz w:val="20"/>
          <w:szCs w:val="20"/>
          <w:b w:val="1"/>
          <w:bCs w:val="1"/>
          <w:color w:val="auto"/>
        </w:rPr>
        <w:t>Legal Opinions.</w:t>
      </w:r>
      <w:r>
        <w:rPr>
          <w:rFonts w:ascii="Calibri" w:cs="Calibri" w:eastAsia="Calibri" w:hAnsi="Calibri"/>
          <w:sz w:val="20"/>
          <w:szCs w:val="20"/>
          <w:color w:val="auto"/>
        </w:rPr>
        <w:t xml:space="preserve"> The Department shall have received legal opinions dated as of the Award Date and addressed to the Department from Akin Gump Strauss Hauer &amp; Feld LLP, as New York and Delaware counsel to the Recipient Partes.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4.7</w:t>
      </w:r>
      <w:r>
        <w:rPr>
          <w:sz w:val="20"/>
          <w:szCs w:val="20"/>
          <w:color w:val="auto"/>
        </w:rPr>
        <w:tab/>
      </w:r>
      <w:r>
        <w:rPr>
          <w:rFonts w:ascii="Calibri" w:cs="Calibri" w:eastAsia="Calibri" w:hAnsi="Calibri"/>
          <w:sz w:val="20"/>
          <w:szCs w:val="20"/>
          <w:b w:val="1"/>
          <w:bCs w:val="1"/>
          <w:color w:val="auto"/>
        </w:rPr>
        <w:t>Certfcates.</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4.7.1 </w:t>
      </w:r>
      <w:r>
        <w:rPr>
          <w:rFonts w:ascii="Calibri" w:cs="Calibri" w:eastAsia="Calibri" w:hAnsi="Calibri"/>
          <w:sz w:val="20"/>
          <w:szCs w:val="20"/>
          <w:b w:val="1"/>
          <w:bCs w:val="1"/>
          <w:color w:val="auto"/>
        </w:rPr>
        <w:t>Recipient Award Date Certfcate.</w:t>
      </w:r>
      <w:r>
        <w:rPr>
          <w:rFonts w:ascii="Calibri" w:cs="Calibri" w:eastAsia="Calibri" w:hAnsi="Calibri"/>
          <w:sz w:val="20"/>
          <w:szCs w:val="20"/>
          <w:color w:val="auto"/>
        </w:rPr>
        <w:t xml:space="preserve"> The Department shall have received an Ofcer’s Certfcate of the Recipient substantally in the form of Exhibit A-1 (</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and addressing such other maters as the Department may reasonably request.</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4.7.2 </w:t>
      </w:r>
      <w:r>
        <w:rPr>
          <w:rFonts w:ascii="Calibri" w:cs="Calibri" w:eastAsia="Calibri" w:hAnsi="Calibri"/>
          <w:sz w:val="20"/>
          <w:szCs w:val="20"/>
          <w:b w:val="1"/>
          <w:bCs w:val="1"/>
          <w:color w:val="auto"/>
        </w:rPr>
        <w:t>Sponsor Guarantor Award Date Certfcate.</w:t>
      </w:r>
      <w:r>
        <w:rPr>
          <w:rFonts w:ascii="Calibri" w:cs="Calibri" w:eastAsia="Calibri" w:hAnsi="Calibri"/>
          <w:sz w:val="20"/>
          <w:szCs w:val="20"/>
          <w:color w:val="auto"/>
        </w:rPr>
        <w:t xml:space="preserve"> The Department shall have received an Ofcer’s Certfcate of the Sponsor Guarantor substantally in the form of Exhibit A-2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and addressing such other maters as the Department may reasonably request.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4.8</w:t>
      </w:r>
      <w:r>
        <w:rPr>
          <w:sz w:val="20"/>
          <w:szCs w:val="20"/>
          <w:color w:val="auto"/>
        </w:rPr>
        <w:tab/>
      </w:r>
      <w:r>
        <w:rPr>
          <w:rFonts w:ascii="Calibri" w:cs="Calibri" w:eastAsia="Calibri" w:hAnsi="Calibri"/>
          <w:sz w:val="20"/>
          <w:szCs w:val="20"/>
          <w:b w:val="1"/>
          <w:bCs w:val="1"/>
          <w:color w:val="auto"/>
        </w:rPr>
        <w:t>Federal Requirements and Approvals.</w:t>
      </w:r>
    </w:p>
    <w:p>
      <w:pPr>
        <w:spacing w:after="0" w:line="184"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4.8.1 </w:t>
      </w:r>
      <w:r>
        <w:rPr>
          <w:rFonts w:ascii="Calibri" w:cs="Calibri" w:eastAsia="Calibri" w:hAnsi="Calibri"/>
          <w:sz w:val="20"/>
          <w:szCs w:val="20"/>
          <w:b w:val="1"/>
          <w:bCs w:val="1"/>
          <w:color w:val="auto"/>
        </w:rPr>
        <w:t>Lobbying Certfcaton.</w:t>
      </w:r>
      <w:r>
        <w:rPr>
          <w:rFonts w:ascii="Calibri" w:cs="Calibri" w:eastAsia="Calibri" w:hAnsi="Calibri"/>
          <w:sz w:val="20"/>
          <w:szCs w:val="20"/>
          <w:color w:val="auto"/>
        </w:rPr>
        <w:t xml:space="preserve"> The Department shall have received an executed (a) “Disclosure Form to Report Lobbying” (Standard Form LLL); and (b) “Certfcaton Regarding Lobbying” (Form CD-511), in each case, from the Recipient.</w:t>
      </w:r>
    </w:p>
    <w:p>
      <w:pPr>
        <w:spacing w:after="0" w:line="184"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4.8.2 </w:t>
      </w:r>
      <w:r>
        <w:rPr>
          <w:rFonts w:ascii="Calibri" w:cs="Calibri" w:eastAsia="Calibri" w:hAnsi="Calibri"/>
          <w:sz w:val="20"/>
          <w:szCs w:val="20"/>
          <w:b w:val="1"/>
          <w:bCs w:val="1"/>
          <w:color w:val="auto"/>
        </w:rPr>
        <w:t>Applicaton for Federal Assistance.</w:t>
      </w:r>
      <w:r>
        <w:rPr>
          <w:rFonts w:ascii="Calibri" w:cs="Calibri" w:eastAsia="Calibri" w:hAnsi="Calibri"/>
          <w:sz w:val="20"/>
          <w:szCs w:val="20"/>
          <w:color w:val="auto"/>
        </w:rPr>
        <w:t xml:space="preserve"> The Department shall have received an executed “Applicaton for Federal Assistance” (Standard Form 424) from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384" w:right="339" w:bottom="1440" w:gutter="0" w:footer="0" w:header="0"/>
        </w:sectPr>
      </w:pPr>
    </w:p>
    <w:bookmarkStart w:id="347" w:name="page348"/>
    <w:bookmarkEnd w:id="347"/>
    <w:p>
      <w:pPr>
        <w:ind w:left="1300"/>
        <w:spacing w:after="0"/>
        <w:tabs>
          <w:tab w:leader="none" w:pos="1940" w:val="left"/>
        </w:tabs>
        <w:rPr>
          <w:sz w:val="20"/>
          <w:szCs w:val="20"/>
          <w:color w:val="auto"/>
        </w:rPr>
      </w:pPr>
      <w:r>
        <w:rPr>
          <w:rFonts w:ascii="Calibri" w:cs="Calibri" w:eastAsia="Calibri" w:hAnsi="Calibri"/>
          <w:sz w:val="20"/>
          <w:szCs w:val="20"/>
          <w:color w:val="auto"/>
        </w:rPr>
        <w:t>4.8.3</w:t>
      </w:r>
      <w:r>
        <w:rPr>
          <w:sz w:val="20"/>
          <w:szCs w:val="20"/>
          <w:color w:val="auto"/>
        </w:rPr>
        <w:tab/>
      </w:r>
      <w:r>
        <w:rPr>
          <w:rFonts w:ascii="Calibri" w:cs="Calibri" w:eastAsia="Calibri" w:hAnsi="Calibri"/>
          <w:sz w:val="20"/>
          <w:szCs w:val="20"/>
          <w:b w:val="1"/>
          <w:bCs w:val="1"/>
          <w:color w:val="auto"/>
        </w:rPr>
        <w:t xml:space="preserve">SAM Registraton. </w:t>
      </w:r>
      <w:r>
        <w:rPr>
          <w:rFonts w:ascii="Calibri" w:cs="Calibri" w:eastAsia="Calibri" w:hAnsi="Calibri"/>
          <w:sz w:val="20"/>
          <w:szCs w:val="20"/>
          <w:color w:val="auto"/>
        </w:rPr>
        <w:t>The Department shall have received evidence of the registraton by the Recipient in SAM.</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4.8.4</w:t>
      </w:r>
      <w:r>
        <w:rPr>
          <w:sz w:val="20"/>
          <w:szCs w:val="20"/>
          <w:color w:val="auto"/>
        </w:rPr>
        <w:tab/>
      </w:r>
      <w:r>
        <w:rPr>
          <w:rFonts w:ascii="Calibri" w:cs="Calibri" w:eastAsia="Calibri" w:hAnsi="Calibri"/>
          <w:sz w:val="20"/>
          <w:szCs w:val="20"/>
          <w:b w:val="1"/>
          <w:bCs w:val="1"/>
          <w:color w:val="auto"/>
        </w:rPr>
        <w:t xml:space="preserve">ASAP Enrollment. </w:t>
      </w:r>
      <w:r>
        <w:rPr>
          <w:rFonts w:ascii="Calibri" w:cs="Calibri" w:eastAsia="Calibri" w:hAnsi="Calibri"/>
          <w:sz w:val="20"/>
          <w:szCs w:val="20"/>
          <w:color w:val="auto"/>
        </w:rPr>
        <w:t>The Department shall have received evidence of the enrollment by the Recipient in ASAP.</w:t>
      </w:r>
    </w:p>
    <w:p>
      <w:pPr>
        <w:spacing w:after="0" w:line="171" w:lineRule="exact"/>
        <w:rPr>
          <w:sz w:val="20"/>
          <w:szCs w:val="20"/>
          <w:color w:val="auto"/>
        </w:rPr>
      </w:pPr>
    </w:p>
    <w:p>
      <w:pPr>
        <w:jc w:val="both"/>
        <w:ind w:right="20" w:firstLine="1296"/>
        <w:spacing w:after="0" w:line="209" w:lineRule="auto"/>
        <w:rPr>
          <w:sz w:val="20"/>
          <w:szCs w:val="20"/>
          <w:color w:val="auto"/>
        </w:rPr>
      </w:pPr>
      <w:r>
        <w:rPr>
          <w:rFonts w:ascii="Calibri" w:cs="Calibri" w:eastAsia="Calibri" w:hAnsi="Calibri"/>
          <w:sz w:val="20"/>
          <w:szCs w:val="20"/>
          <w:color w:val="auto"/>
        </w:rPr>
        <w:t xml:space="preserve">4.8.5 </w:t>
      </w:r>
      <w:r>
        <w:rPr>
          <w:rFonts w:ascii="Calibri" w:cs="Calibri" w:eastAsia="Calibri" w:hAnsi="Calibri"/>
          <w:sz w:val="20"/>
          <w:szCs w:val="20"/>
          <w:b w:val="1"/>
          <w:bCs w:val="1"/>
          <w:color w:val="auto"/>
        </w:rPr>
        <w:t>KYC Requirements.</w:t>
      </w:r>
      <w:r>
        <w:rPr>
          <w:rFonts w:ascii="Calibri" w:cs="Calibri" w:eastAsia="Calibri" w:hAnsi="Calibri"/>
          <w:sz w:val="20"/>
          <w:szCs w:val="20"/>
          <w:color w:val="auto"/>
        </w:rPr>
        <w:t xml:space="preserve"> The Department shall have received all documentaton (including taxpayer identfcaton documents) and other informaton in respect of each Recipient Party, as required by the Department to enable it to be satsfed with the results of all “know your customer” and other requirements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the Ant-Money Laundering Laws).</w:t>
      </w:r>
    </w:p>
    <w:p>
      <w:pPr>
        <w:spacing w:after="0" w:line="172"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4.8.6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xml:space="preserve"> The Recipient shall be in compliance with all provisions set forth in Annex D (</w:t>
      </w:r>
      <w:r>
        <w:rPr>
          <w:rFonts w:ascii="Calibri" w:cs="Calibri" w:eastAsia="Calibri" w:hAnsi="Calibri"/>
          <w:sz w:val="20"/>
          <w:szCs w:val="20"/>
          <w:b w:val="1"/>
          <w:bCs w:val="1"/>
          <w:color w:val="auto"/>
        </w:rPr>
        <w:t>Program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applicable as of the Award Date.</w:t>
      </w:r>
    </w:p>
    <w:p>
      <w:pPr>
        <w:spacing w:after="0" w:line="186" w:lineRule="exact"/>
        <w:rPr>
          <w:sz w:val="20"/>
          <w:szCs w:val="20"/>
          <w:color w:val="auto"/>
        </w:rPr>
      </w:pPr>
    </w:p>
    <w:p>
      <w:pPr>
        <w:jc w:val="both"/>
        <w:ind w:right="20" w:firstLine="1296"/>
        <w:spacing w:after="0" w:line="208" w:lineRule="auto"/>
        <w:rPr>
          <w:sz w:val="20"/>
          <w:szCs w:val="20"/>
          <w:color w:val="auto"/>
        </w:rPr>
      </w:pPr>
      <w:r>
        <w:rPr>
          <w:rFonts w:ascii="Calibri" w:cs="Calibri" w:eastAsia="Calibri" w:hAnsi="Calibri"/>
          <w:sz w:val="20"/>
          <w:szCs w:val="20"/>
          <w:color w:val="auto"/>
        </w:rPr>
        <w:t xml:space="preserve">4.8.7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xml:space="preserve"> The conditons precedent in Secton 2 (</w:t>
      </w:r>
      <w:r>
        <w:rPr>
          <w:rFonts w:ascii="Calibri" w:cs="Calibri" w:eastAsia="Calibri" w:hAnsi="Calibri"/>
          <w:sz w:val="20"/>
          <w:szCs w:val="20"/>
          <w:b w:val="1"/>
          <w:bCs w:val="1"/>
          <w:color w:val="auto"/>
        </w:rPr>
        <w:t>Conditons Precedent to Award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Issuance</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 Bacon Act Requirements</w:t>
      </w:r>
      <w:r>
        <w:rPr>
          <w:rFonts w:ascii="Calibri" w:cs="Calibri" w:eastAsia="Calibri" w:hAnsi="Calibri"/>
          <w:sz w:val="20"/>
          <w:szCs w:val="20"/>
          <w:color w:val="auto"/>
        </w:rPr>
        <w:t>) shall have been satsfed.</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4.9 </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 xml:space="preserve"> The Department shall have received a Base Case Financial Model, accompanied by an Ofcer’s Certfcate from the chief fnancial ofcer of the Sponsor Guarantor substantally in the form of Exhibit A-2 (</w:t>
      </w:r>
      <w:r>
        <w:rPr>
          <w:rFonts w:ascii="Calibri" w:cs="Calibri" w:eastAsia="Calibri" w:hAnsi="Calibri"/>
          <w:sz w:val="20"/>
          <w:szCs w:val="20"/>
          <w:b w:val="1"/>
          <w:bCs w:val="1"/>
          <w:color w:val="auto"/>
        </w:rPr>
        <w:t>Form of Sponsor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Guarantor Award Date Certfcate</w:t>
      </w:r>
      <w:r>
        <w:rPr>
          <w:rFonts w:ascii="Calibri" w:cs="Calibri" w:eastAsia="Calibri" w:hAnsi="Calibri"/>
          <w:sz w:val="20"/>
          <w:szCs w:val="20"/>
          <w:color w:val="auto"/>
        </w:rPr>
        <w:t>), confrming that such Base Case Financial Model:</w:t>
      </w:r>
    </w:p>
    <w:p>
      <w:pPr>
        <w:spacing w:after="0" w:line="175" w:lineRule="exact"/>
        <w:rPr>
          <w:sz w:val="20"/>
          <w:szCs w:val="20"/>
          <w:color w:val="auto"/>
        </w:rPr>
      </w:pPr>
    </w:p>
    <w:p>
      <w:pPr>
        <w:ind w:left="2600" w:hanging="648"/>
        <w:spacing w:after="0"/>
        <w:tabs>
          <w:tab w:leader="none" w:pos="2600" w:val="left"/>
        </w:tabs>
        <w:numPr>
          <w:ilvl w:val="0"/>
          <w:numId w:val="334"/>
        </w:numPr>
        <w:rPr>
          <w:rFonts w:ascii="Calibri" w:cs="Calibri" w:eastAsia="Calibri" w:hAnsi="Calibri"/>
          <w:sz w:val="20"/>
          <w:szCs w:val="20"/>
          <w:color w:val="auto"/>
        </w:rPr>
      </w:pPr>
      <w:r>
        <w:rPr>
          <w:rFonts w:ascii="Calibri" w:cs="Calibri" w:eastAsia="Calibri" w:hAnsi="Calibri"/>
          <w:sz w:val="20"/>
          <w:szCs w:val="20"/>
          <w:color w:val="auto"/>
        </w:rPr>
        <w:t>is complete and was based upon assumptons believed by the Recipient Partes to be reasonable at the</w:t>
      </w:r>
    </w:p>
    <w:p>
      <w:pPr>
        <w:spacing w:after="0" w:line="199" w:lineRule="auto"/>
        <w:rPr>
          <w:sz w:val="20"/>
          <w:szCs w:val="20"/>
          <w:color w:val="auto"/>
        </w:rPr>
      </w:pPr>
      <w:r>
        <w:rPr>
          <w:rFonts w:ascii="Calibri" w:cs="Calibri" w:eastAsia="Calibri" w:hAnsi="Calibri"/>
          <w:sz w:val="20"/>
          <w:szCs w:val="20"/>
          <w:color w:val="auto"/>
        </w:rPr>
        <w:t>tme delivered;</w:t>
      </w:r>
    </w:p>
    <w:p>
      <w:pPr>
        <w:spacing w:after="0" w:line="161" w:lineRule="exact"/>
        <w:rPr>
          <w:sz w:val="20"/>
          <w:szCs w:val="20"/>
          <w:color w:val="auto"/>
        </w:rPr>
      </w:pPr>
    </w:p>
    <w:p>
      <w:pPr>
        <w:ind w:left="2600" w:hanging="648"/>
        <w:spacing w:after="0"/>
        <w:tabs>
          <w:tab w:leader="none" w:pos="2600" w:val="left"/>
        </w:tabs>
        <w:numPr>
          <w:ilvl w:val="0"/>
          <w:numId w:val="335"/>
        </w:numPr>
        <w:rPr>
          <w:rFonts w:ascii="Calibri" w:cs="Calibri" w:eastAsia="Calibri" w:hAnsi="Calibri"/>
          <w:sz w:val="20"/>
          <w:szCs w:val="20"/>
          <w:color w:val="auto"/>
        </w:rPr>
      </w:pPr>
      <w:r>
        <w:rPr>
          <w:rFonts w:ascii="Calibri" w:cs="Calibri" w:eastAsia="Calibri" w:hAnsi="Calibri"/>
          <w:sz w:val="20"/>
          <w:szCs w:val="20"/>
          <w:color w:val="auto"/>
        </w:rPr>
        <w:t>is consistent with the provisions of the applicable Project Documents entered into on or prior to the date</w:t>
      </w:r>
    </w:p>
    <w:p>
      <w:pPr>
        <w:spacing w:after="0" w:line="199" w:lineRule="auto"/>
        <w:rPr>
          <w:sz w:val="20"/>
          <w:szCs w:val="20"/>
          <w:color w:val="auto"/>
        </w:rPr>
      </w:pPr>
      <w:r>
        <w:rPr>
          <w:rFonts w:ascii="Calibri" w:cs="Calibri" w:eastAsia="Calibri" w:hAnsi="Calibri"/>
          <w:sz w:val="20"/>
          <w:szCs w:val="20"/>
          <w:color w:val="auto"/>
        </w:rPr>
        <w:t>of this Agreement; and</w:t>
      </w:r>
    </w:p>
    <w:p>
      <w:pPr>
        <w:spacing w:after="0" w:line="174" w:lineRule="exact"/>
        <w:rPr>
          <w:sz w:val="20"/>
          <w:szCs w:val="20"/>
          <w:color w:val="auto"/>
        </w:rPr>
      </w:pPr>
    </w:p>
    <w:p>
      <w:pPr>
        <w:ind w:left="2600" w:hanging="648"/>
        <w:spacing w:after="0"/>
        <w:tabs>
          <w:tab w:leader="none" w:pos="2600" w:val="left"/>
        </w:tabs>
        <w:numPr>
          <w:ilvl w:val="0"/>
          <w:numId w:val="336"/>
        </w:numPr>
        <w:rPr>
          <w:rFonts w:ascii="Calibri" w:cs="Calibri" w:eastAsia="Calibri" w:hAnsi="Calibri"/>
          <w:sz w:val="20"/>
          <w:szCs w:val="20"/>
          <w:color w:val="auto"/>
        </w:rPr>
      </w:pPr>
      <w:r>
        <w:rPr>
          <w:rFonts w:ascii="Calibri" w:cs="Calibri" w:eastAsia="Calibri" w:hAnsi="Calibri"/>
          <w:sz w:val="20"/>
          <w:szCs w:val="20"/>
          <w:color w:val="auto"/>
        </w:rPr>
        <w:t>has been prepared in good faith and with due care.</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4.10 </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xml:space="preserve"> The Department shall have received evidence of (a) the Recipient’s appointment of the Recipient’s Accountant; and (b) the Sponsor Guarantor’s appointment of the Sponsor Guarantor’s Accountant, in each case, to act as its independent public accountant.</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4.11 </w:t>
      </w:r>
      <w:r>
        <w:rPr>
          <w:rFonts w:ascii="Calibri" w:cs="Calibri" w:eastAsia="Calibri" w:hAnsi="Calibri"/>
          <w:sz w:val="20"/>
          <w:szCs w:val="20"/>
          <w:b w:val="1"/>
          <w:bCs w:val="1"/>
          <w:color w:val="auto"/>
        </w:rPr>
        <w:t>Fees and Expenses.</w:t>
      </w:r>
      <w:r>
        <w:rPr>
          <w:rFonts w:ascii="Calibri" w:cs="Calibri" w:eastAsia="Calibri" w:hAnsi="Calibri"/>
          <w:sz w:val="20"/>
          <w:szCs w:val="20"/>
          <w:color w:val="auto"/>
        </w:rPr>
        <w:t xml:space="preserve"> The Department shall have received evidence that all Periodic Expenses due and payable to the Department and the Department’s Consultants on or prior to the Award Date have been paid or reimbursed in full or, in the case of the Department’s Consultants, arrangements for payment have been made, in each case, in accordance with any applicable fee leters.</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4.12 </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xml:space="preserve"> The Department shall have received the Constructon and Tool Installaton Budget consistent with the Base Case Financial Model.</w:t>
      </w:r>
    </w:p>
    <w:p>
      <w:pPr>
        <w:spacing w:after="0" w:line="162"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4.13</w:t>
      </w:r>
      <w:r>
        <w:rPr>
          <w:sz w:val="20"/>
          <w:szCs w:val="20"/>
          <w:color w:val="auto"/>
        </w:rPr>
        <w:tab/>
      </w:r>
      <w:r>
        <w:rPr>
          <w:rFonts w:ascii="Calibri" w:cs="Calibri" w:eastAsia="Calibri" w:hAnsi="Calibri"/>
          <w:sz w:val="20"/>
          <w:szCs w:val="20"/>
          <w:b w:val="1"/>
          <w:bCs w:val="1"/>
          <w:color w:val="auto"/>
        </w:rPr>
        <w:t>Milestone Based Schedule</w:t>
      </w:r>
      <w:r>
        <w:rPr>
          <w:rFonts w:ascii="Calibri" w:cs="Calibri" w:eastAsia="Calibri" w:hAnsi="Calibri"/>
          <w:sz w:val="20"/>
          <w:szCs w:val="20"/>
          <w:color w:val="auto"/>
        </w:rPr>
        <w:t>. The Department shall have received the Milestone Based Schedule.</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4.14 </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The Department shall have received a preliminary Advanced Packaging Resiliency Plan.</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4.15 </w:t>
      </w:r>
      <w:r>
        <w:rPr>
          <w:rFonts w:ascii="Calibri" w:cs="Calibri" w:eastAsia="Calibri" w:hAnsi="Calibri"/>
          <w:sz w:val="20"/>
          <w:szCs w:val="20"/>
          <w:b w:val="1"/>
          <w:bCs w:val="1"/>
          <w:color w:val="auto"/>
        </w:rPr>
        <w:t>No Violaton.</w:t>
      </w:r>
      <w:r>
        <w:rPr>
          <w:rFonts w:ascii="Calibri" w:cs="Calibri" w:eastAsia="Calibri" w:hAnsi="Calibri"/>
          <w:sz w:val="20"/>
          <w:szCs w:val="20"/>
          <w:color w:val="auto"/>
        </w:rPr>
        <w:t xml:space="preserve"> Entering into the Award Documents shall not result in a violaton of any Applicable Law, Financing Document, Governmental Approval, or any other material agreement or consent to which the Recipient is a party, or any material judgment or approval to which the Recipient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1374" w:right="339" w:bottom="1440" w:gutter="0" w:footer="0" w:header="0"/>
        </w:sectPr>
      </w:pPr>
    </w:p>
    <w:bookmarkStart w:id="348" w:name="page349"/>
    <w:bookmarkEnd w:id="348"/>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CONDITIONS PRECEDENT TO EACH DISBURSEMENT</w:t>
      </w:r>
    </w:p>
    <w:p>
      <w:pPr>
        <w:spacing w:after="0" w:line="174" w:lineRule="exact"/>
        <w:rPr>
          <w:sz w:val="20"/>
          <w:szCs w:val="20"/>
          <w:color w:val="auto"/>
        </w:rPr>
      </w:pPr>
    </w:p>
    <w:p>
      <w:pPr>
        <w:ind w:left="660"/>
        <w:spacing w:after="0"/>
        <w:tabs>
          <w:tab w:leader="none" w:pos="1980" w:val="left"/>
        </w:tabs>
        <w:rPr>
          <w:sz w:val="20"/>
          <w:szCs w:val="20"/>
          <w:color w:val="auto"/>
        </w:rPr>
      </w:pPr>
      <w:r>
        <w:rPr>
          <w:rFonts w:ascii="Calibri" w:cs="Calibri" w:eastAsia="Calibri" w:hAnsi="Calibri"/>
          <w:sz w:val="20"/>
          <w:szCs w:val="20"/>
          <w:color w:val="auto"/>
        </w:rPr>
        <w:t>Secton 5.1</w:t>
      </w:r>
      <w:r>
        <w:rPr>
          <w:sz w:val="20"/>
          <w:szCs w:val="20"/>
          <w:color w:val="auto"/>
        </w:rPr>
        <w:tab/>
      </w:r>
      <w:r>
        <w:rPr>
          <w:rFonts w:ascii="Calibri" w:cs="Calibri" w:eastAsia="Calibri" w:hAnsi="Calibri"/>
          <w:sz w:val="20"/>
          <w:szCs w:val="20"/>
          <w:b w:val="1"/>
          <w:bCs w:val="1"/>
          <w:color w:val="auto"/>
        </w:rPr>
        <w:t xml:space="preserve">Conditons Precedent to Each Direct Funding Disbursement. </w:t>
      </w:r>
      <w:r>
        <w:rPr>
          <w:rFonts w:ascii="Calibri" w:cs="Calibri" w:eastAsia="Calibri" w:hAnsi="Calibri"/>
          <w:sz w:val="20"/>
          <w:szCs w:val="20"/>
          <w:color w:val="auto"/>
        </w:rPr>
        <w:t>The obligaton of the Department to make any</w:t>
      </w:r>
    </w:p>
    <w:p>
      <w:pPr>
        <w:jc w:val="both"/>
        <w:spacing w:after="0" w:line="193" w:lineRule="auto"/>
        <w:rPr>
          <w:sz w:val="20"/>
          <w:szCs w:val="20"/>
          <w:color w:val="auto"/>
        </w:rPr>
      </w:pPr>
      <w:r>
        <w:rPr>
          <w:rFonts w:ascii="Calibri" w:cs="Calibri" w:eastAsia="Calibri" w:hAnsi="Calibri"/>
          <w:sz w:val="20"/>
          <w:szCs w:val="20"/>
          <w:color w:val="auto"/>
        </w:rPr>
        <w:t>Direct Funding Disbursement (including the frst Direct Funding Disbursement) shall be subject to the prior satsfacton (or waiver in writng), of each of the following conditons precedent and the delivery to the Department of each of the documents indicated below, all in form and substance satsfactory to the Department as of the Direct Funding Disbursement Date for such Direct Funding Disbursement, unless indicated otherwise, and to their contnued satsfacton on the relevant Direct Funding Disbursement Date. The Department may (but shall not be required to) consult with any of the Department’s Consultants regarding the satsfacton of any conditon precedent.</w:t>
      </w:r>
    </w:p>
    <w:p>
      <w:pPr>
        <w:spacing w:after="0" w:line="188"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5.1.1 </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xml:space="preserve"> As set forth in Secton 2.1(b)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 the Department shall have executed and delivered one or more Funding Obligatons acknowledged by the Recipient that cumulatvely obligates, at a minimum, the Scheduled Cumulatve Disbursement Amount (inclusive of the then requested Direct Funding Disbursement).</w:t>
      </w:r>
    </w:p>
    <w:p>
      <w:pPr>
        <w:spacing w:after="0" w:line="184"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5.1.2 </w:t>
      </w:r>
      <w:r>
        <w:rPr>
          <w:rFonts w:ascii="Calibri" w:cs="Calibri" w:eastAsia="Calibri" w:hAnsi="Calibri"/>
          <w:sz w:val="20"/>
          <w:szCs w:val="20"/>
          <w:b w:val="1"/>
          <w:bCs w:val="1"/>
          <w:color w:val="auto"/>
        </w:rPr>
        <w:t>Disbursement Request.</w:t>
      </w:r>
      <w:r>
        <w:rPr>
          <w:rFonts w:ascii="Calibri" w:cs="Calibri" w:eastAsia="Calibri" w:hAnsi="Calibri"/>
          <w:sz w:val="20"/>
          <w:szCs w:val="20"/>
          <w:color w:val="auto"/>
        </w:rPr>
        <w:t xml:space="preserve"> The Department shall have received a Direct Funding Disbursement Request in accordance with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demonstratng completon of the applicable Disbursement Milestone as required by Secton 5.1.4 (</w:t>
      </w:r>
      <w:r>
        <w:rPr>
          <w:rFonts w:ascii="Calibri" w:cs="Calibri" w:eastAsia="Calibri" w:hAnsi="Calibri"/>
          <w:sz w:val="20"/>
          <w:szCs w:val="20"/>
          <w:b w:val="1"/>
          <w:bCs w:val="1"/>
          <w:color w:val="auto"/>
        </w:rPr>
        <w:t>Completon of Disbursement Milestone</w:t>
      </w:r>
      <w:r>
        <w:rPr>
          <w:rFonts w:ascii="Calibri" w:cs="Calibri" w:eastAsia="Calibri" w:hAnsi="Calibri"/>
          <w:sz w:val="20"/>
          <w:szCs w:val="20"/>
          <w:color w:val="auto"/>
        </w:rPr>
        <w:t>), together with (a) relevant invoices demonstratng that the proceeds of the relevant Direct Funding Disbursement reimburse payment of Eligible Uses of Funds by the Recipient; and (b) an inventory of invoices describing the categories of spending to be reimbursed with the requested Direct Funding Disbursement.</w:t>
      </w:r>
    </w:p>
    <w:p>
      <w:pPr>
        <w:spacing w:after="0" w:line="174"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5.1.3 </w:t>
      </w:r>
      <w:r>
        <w:rPr>
          <w:rFonts w:ascii="Calibri" w:cs="Calibri" w:eastAsia="Calibri" w:hAnsi="Calibri"/>
          <w:sz w:val="20"/>
          <w:szCs w:val="20"/>
          <w:b w:val="1"/>
          <w:bCs w:val="1"/>
          <w:color w:val="auto"/>
        </w:rPr>
        <w:t>Commencement of Project.</w:t>
      </w:r>
      <w:r>
        <w:rPr>
          <w:rFonts w:ascii="Calibri" w:cs="Calibri" w:eastAsia="Calibri" w:hAnsi="Calibri"/>
          <w:sz w:val="20"/>
          <w:szCs w:val="20"/>
          <w:color w:val="auto"/>
        </w:rPr>
        <w:t xml:space="preserve"> With respect to the frst Direct Funding Disbursement, the Project Commencement Date shall have occurred no later than the Project Commencement Clawback Date.</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5.1.4</w:t>
      </w:r>
      <w:r>
        <w:rPr>
          <w:sz w:val="20"/>
          <w:szCs w:val="20"/>
          <w:color w:val="auto"/>
        </w:rPr>
        <w:tab/>
      </w:r>
      <w:r>
        <w:rPr>
          <w:rFonts w:ascii="Calibri" w:cs="Calibri" w:eastAsia="Calibri" w:hAnsi="Calibri"/>
          <w:sz w:val="20"/>
          <w:szCs w:val="20"/>
          <w:b w:val="1"/>
          <w:bCs w:val="1"/>
          <w:color w:val="auto"/>
        </w:rPr>
        <w:t>Completon of Disbursement Milestone.</w:t>
      </w:r>
    </w:p>
    <w:p>
      <w:pPr>
        <w:spacing w:after="0" w:line="184" w:lineRule="exact"/>
        <w:rPr>
          <w:sz w:val="20"/>
          <w:szCs w:val="20"/>
          <w:color w:val="auto"/>
        </w:rPr>
      </w:pPr>
    </w:p>
    <w:p>
      <w:pPr>
        <w:jc w:val="both"/>
        <w:ind w:firstLine="1952"/>
        <w:spacing w:after="0" w:line="205" w:lineRule="auto"/>
        <w:tabs>
          <w:tab w:leader="none" w:pos="2596" w:val="left"/>
        </w:tabs>
        <w:numPr>
          <w:ilvl w:val="0"/>
          <w:numId w:val="337"/>
        </w:numPr>
        <w:rPr>
          <w:rFonts w:ascii="Calibri" w:cs="Calibri" w:eastAsia="Calibri" w:hAnsi="Calibri"/>
          <w:sz w:val="20"/>
          <w:szCs w:val="20"/>
          <w:color w:val="auto"/>
        </w:rPr>
      </w:pPr>
      <w:r>
        <w:rPr>
          <w:rFonts w:ascii="Calibri" w:cs="Calibri" w:eastAsia="Calibri" w:hAnsi="Calibri"/>
          <w:sz w:val="20"/>
          <w:szCs w:val="20"/>
          <w:color w:val="auto"/>
        </w:rPr>
        <w:t>The Department shall have received evidence that the Disbursement Milestone for the Project that is required to have been achieved on or prior to the relevant Direct Funding Disbursement Date in accordance with the applicable Disbursement Milestone Schedule has been achieved.</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37"/>
        </w:numPr>
        <w:rPr>
          <w:rFonts w:ascii="Calibri" w:cs="Calibri" w:eastAsia="Calibri" w:hAnsi="Calibri"/>
          <w:sz w:val="20"/>
          <w:szCs w:val="20"/>
          <w:color w:val="auto"/>
        </w:rPr>
      </w:pPr>
      <w:r>
        <w:rPr>
          <w:rFonts w:ascii="Calibri" w:cs="Calibri" w:eastAsia="Calibri" w:hAnsi="Calibri"/>
          <w:sz w:val="20"/>
          <w:szCs w:val="20"/>
          <w:color w:val="auto"/>
        </w:rPr>
        <w:t>With respect to the Disbursement for the [***], the Department shall have received evidence of</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completon of [***].</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37"/>
        </w:numPr>
        <w:rPr>
          <w:rFonts w:ascii="Calibri" w:cs="Calibri" w:eastAsia="Calibri" w:hAnsi="Calibri"/>
          <w:sz w:val="20"/>
          <w:szCs w:val="20"/>
          <w:color w:val="auto"/>
        </w:rPr>
      </w:pPr>
      <w:r>
        <w:rPr>
          <w:rFonts w:ascii="Calibri" w:cs="Calibri" w:eastAsia="Calibri" w:hAnsi="Calibri"/>
          <w:sz w:val="20"/>
          <w:szCs w:val="20"/>
          <w:color w:val="auto"/>
        </w:rPr>
        <w:t>With respect to the Disbursement for the [***], the Department shall have received evidence of</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completon of [***].</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5.1.5</w:t>
      </w:r>
      <w:r>
        <w:rPr>
          <w:sz w:val="20"/>
          <w:szCs w:val="20"/>
          <w:color w:val="auto"/>
        </w:rPr>
        <w:tab/>
      </w:r>
      <w:r>
        <w:rPr>
          <w:rFonts w:ascii="Calibri" w:cs="Calibri" w:eastAsia="Calibri" w:hAnsi="Calibri"/>
          <w:sz w:val="20"/>
          <w:szCs w:val="20"/>
          <w:b w:val="1"/>
          <w:bCs w:val="1"/>
          <w:color w:val="auto"/>
        </w:rPr>
        <w:t>[Reserved]</w:t>
      </w:r>
    </w:p>
    <w:p>
      <w:pPr>
        <w:spacing w:after="0" w:line="171" w:lineRule="exact"/>
        <w:rPr>
          <w:sz w:val="20"/>
          <w:szCs w:val="20"/>
          <w:color w:val="auto"/>
        </w:rPr>
      </w:pPr>
    </w:p>
    <w:p>
      <w:pPr>
        <w:jc w:val="both"/>
        <w:ind w:right="20" w:firstLine="1296"/>
        <w:spacing w:after="0" w:line="209" w:lineRule="auto"/>
        <w:rPr>
          <w:sz w:val="20"/>
          <w:szCs w:val="20"/>
          <w:color w:val="auto"/>
        </w:rPr>
      </w:pPr>
      <w:r>
        <w:rPr>
          <w:rFonts w:ascii="Calibri" w:cs="Calibri" w:eastAsia="Calibri" w:hAnsi="Calibri"/>
          <w:sz w:val="20"/>
          <w:szCs w:val="20"/>
          <w:color w:val="auto"/>
        </w:rPr>
        <w:t xml:space="preserve">5.1.6 </w:t>
      </w:r>
      <w:r>
        <w:rPr>
          <w:rFonts w:ascii="Calibri" w:cs="Calibri" w:eastAsia="Calibri" w:hAnsi="Calibri"/>
          <w:sz w:val="20"/>
          <w:szCs w:val="20"/>
          <w:b w:val="1"/>
          <w:bCs w:val="1"/>
          <w:color w:val="auto"/>
        </w:rPr>
        <w:t>Equity Contributon.</w:t>
      </w:r>
      <w:r>
        <w:rPr>
          <w:rFonts w:ascii="Calibri" w:cs="Calibri" w:eastAsia="Calibri" w:hAnsi="Calibri"/>
          <w:sz w:val="20"/>
          <w:szCs w:val="20"/>
          <w:color w:val="auto"/>
        </w:rPr>
        <w:t xml:space="preserve"> The Department shall have received evidence that (a) the Sponsor Guarantor has made Equity Contributons to the Recipient in respect of the Project; and (b) such funds have been used exclusively to fund Project Costs with respect to the Project, in each case, in accordance with the Sponsor Guarantee.</w:t>
      </w:r>
    </w:p>
    <w:p>
      <w:pPr>
        <w:spacing w:after="0" w:line="172"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 xml:space="preserve"> The Department shall have received one (1) Business Day prior to the Direct Funding Disbursement Date, an Ofcer’s Certfcate of each Recipient Party, each substantally in the form of Exhibit D-1 (</w:t>
      </w:r>
      <w:r>
        <w:rPr>
          <w:rFonts w:ascii="Calibri" w:cs="Calibri" w:eastAsia="Calibri" w:hAnsi="Calibri"/>
          <w:sz w:val="20"/>
          <w:szCs w:val="20"/>
          <w:b w:val="1"/>
          <w:bCs w:val="1"/>
          <w:color w:val="auto"/>
        </w:rPr>
        <w:t>Form</w:t>
      </w:r>
    </w:p>
    <w:p>
      <w:pPr>
        <w:spacing w:after="0" w:line="2" w:lineRule="exact"/>
        <w:rPr>
          <w:sz w:val="20"/>
          <w:szCs w:val="20"/>
          <w:color w:val="auto"/>
        </w:rPr>
      </w:pPr>
    </w:p>
    <w:p>
      <w:pPr>
        <w:jc w:val="both"/>
        <w:ind w:right="20"/>
        <w:spacing w:after="0" w:line="192" w:lineRule="auto"/>
        <w:rPr>
          <w:sz w:val="20"/>
          <w:szCs w:val="20"/>
          <w:color w:val="auto"/>
        </w:rPr>
      </w:pPr>
      <w:r>
        <w:rPr>
          <w:rFonts w:ascii="Calibri" w:cs="Calibri" w:eastAsia="Calibri" w:hAnsi="Calibri"/>
          <w:sz w:val="20"/>
          <w:szCs w:val="20"/>
          <w:b w:val="1"/>
          <w:bCs w:val="1"/>
          <w:color w:val="auto"/>
        </w:rPr>
        <w:t>of Recipient Direct Funding Disbursement Date Certfcate</w:t>
      </w:r>
      <w:r>
        <w:rPr>
          <w:rFonts w:ascii="Calibri" w:cs="Calibri" w:eastAsia="Calibri" w:hAnsi="Calibri"/>
          <w:sz w:val="20"/>
          <w:szCs w:val="20"/>
          <w:color w:val="auto"/>
        </w:rPr>
        <w:t>) or Exhibit D-2 (</w:t>
      </w:r>
      <w:r>
        <w:rPr>
          <w:rFonts w:ascii="Calibri" w:cs="Calibri" w:eastAsia="Calibri" w:hAnsi="Calibri"/>
          <w:sz w:val="20"/>
          <w:szCs w:val="20"/>
          <w:b w:val="1"/>
          <w:bCs w:val="1"/>
          <w:color w:val="auto"/>
        </w:rPr>
        <w:t>Form of Sponsor Guarantor Direct Funding Disbursement Date Certfcate</w:t>
      </w:r>
      <w:r>
        <w:rPr>
          <w:rFonts w:ascii="Calibri" w:cs="Calibri" w:eastAsia="Calibri" w:hAnsi="Calibri"/>
          <w:sz w:val="20"/>
          <w:szCs w:val="20"/>
          <w:color w:val="auto"/>
        </w:rPr>
        <w: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5.1.8</w:t>
      </w:r>
      <w:r>
        <w:rPr>
          <w:sz w:val="20"/>
          <w:szCs w:val="20"/>
          <w:color w:val="auto"/>
        </w:rPr>
        <w:tab/>
      </w:r>
      <w:r>
        <w:rPr>
          <w:rFonts w:ascii="Calibri" w:cs="Calibri" w:eastAsia="Calibri" w:hAnsi="Calibri"/>
          <w:sz w:val="20"/>
          <w:szCs w:val="20"/>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374" w:right="339" w:bottom="1440" w:gutter="0" w:footer="0" w:header="0"/>
        </w:sectPr>
      </w:pPr>
    </w:p>
    <w:bookmarkStart w:id="349" w:name="page350"/>
    <w:bookmarkEnd w:id="349"/>
    <w:p>
      <w:pPr>
        <w:ind w:left="1300"/>
        <w:spacing w:after="0"/>
        <w:tabs>
          <w:tab w:leader="none" w:pos="1940" w:val="left"/>
        </w:tabs>
        <w:rPr>
          <w:sz w:val="20"/>
          <w:szCs w:val="20"/>
          <w:color w:val="auto"/>
        </w:rPr>
      </w:pPr>
      <w:r>
        <w:rPr>
          <w:rFonts w:ascii="Calibri" w:cs="Calibri" w:eastAsia="Calibri" w:hAnsi="Calibri"/>
          <w:sz w:val="20"/>
          <w:szCs w:val="20"/>
          <w:color w:val="auto"/>
        </w:rPr>
        <w:t>5.1.9</w:t>
      </w:r>
      <w:r>
        <w:rPr>
          <w:sz w:val="20"/>
          <w:szCs w:val="20"/>
          <w:color w:val="auto"/>
        </w:rPr>
        <w:tab/>
      </w:r>
      <w:r>
        <w:rPr>
          <w:rFonts w:ascii="Calibri" w:cs="Calibri" w:eastAsia="Calibri" w:hAnsi="Calibri"/>
          <w:sz w:val="20"/>
          <w:szCs w:val="20"/>
          <w:b w:val="1"/>
          <w:bCs w:val="1"/>
          <w:color w:val="auto"/>
        </w:rPr>
        <w:t xml:space="preserve">Required Approvals. </w:t>
      </w:r>
      <w:r>
        <w:rPr>
          <w:rFonts w:ascii="Calibri" w:cs="Calibri" w:eastAsia="Calibri" w:hAnsi="Calibri"/>
          <w:sz w:val="20"/>
          <w:szCs w:val="20"/>
          <w:color w:val="auto"/>
        </w:rPr>
        <w:t>The Department shall have received:</w:t>
      </w:r>
    </w:p>
    <w:p>
      <w:pPr>
        <w:spacing w:after="0" w:line="184" w:lineRule="exact"/>
        <w:rPr>
          <w:sz w:val="20"/>
          <w:szCs w:val="20"/>
          <w:color w:val="auto"/>
        </w:rPr>
      </w:pPr>
    </w:p>
    <w:p>
      <w:pPr>
        <w:ind w:firstLine="1952"/>
        <w:spacing w:after="0" w:line="208" w:lineRule="auto"/>
        <w:tabs>
          <w:tab w:leader="none" w:pos="2596" w:val="left"/>
        </w:tabs>
        <w:numPr>
          <w:ilvl w:val="0"/>
          <w:numId w:val="338"/>
        </w:numPr>
        <w:rPr>
          <w:rFonts w:ascii="Calibri" w:cs="Calibri" w:eastAsia="Calibri" w:hAnsi="Calibri"/>
          <w:sz w:val="20"/>
          <w:szCs w:val="20"/>
          <w:color w:val="auto"/>
        </w:rPr>
      </w:pPr>
      <w:r>
        <w:rPr>
          <w:rFonts w:ascii="Calibri" w:cs="Calibri" w:eastAsia="Calibri" w:hAnsi="Calibri"/>
          <w:sz w:val="20"/>
          <w:szCs w:val="20"/>
          <w:color w:val="auto"/>
        </w:rPr>
        <w:t>copies of each Required Approval listed on the applicable Permitng Plan as required to have been obtained as of the relevant Direct Funding Disbursement Date and not previously provided by the Recipient to the Department; and</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38"/>
        </w:numPr>
        <w:rPr>
          <w:rFonts w:ascii="Calibri" w:cs="Calibri" w:eastAsia="Calibri" w:hAnsi="Calibri"/>
          <w:sz w:val="20"/>
          <w:szCs w:val="20"/>
          <w:color w:val="auto"/>
        </w:rPr>
      </w:pPr>
      <w:r>
        <w:rPr>
          <w:rFonts w:ascii="Calibri" w:cs="Calibri" w:eastAsia="Calibri" w:hAnsi="Calibri"/>
          <w:sz w:val="20"/>
          <w:szCs w:val="20"/>
          <w:color w:val="auto"/>
        </w:rPr>
        <w:t>an Ofcer’s Certfcate of the Recipient, certfying that:</w:t>
      </w:r>
    </w:p>
    <w:p>
      <w:pPr>
        <w:spacing w:after="0" w:line="184" w:lineRule="exact"/>
        <w:rPr>
          <w:rFonts w:ascii="Calibri" w:cs="Calibri" w:eastAsia="Calibri" w:hAnsi="Calibri"/>
          <w:sz w:val="20"/>
          <w:szCs w:val="20"/>
          <w:color w:val="auto"/>
        </w:rPr>
      </w:pPr>
    </w:p>
    <w:p>
      <w:pPr>
        <w:ind w:right="20" w:firstLine="2600"/>
        <w:spacing w:after="0" w:line="208" w:lineRule="auto"/>
        <w:tabs>
          <w:tab w:leader="none" w:pos="3234" w:val="left"/>
        </w:tabs>
        <w:numPr>
          <w:ilvl w:val="1"/>
          <w:numId w:val="338"/>
        </w:numPr>
        <w:rPr>
          <w:rFonts w:ascii="Calibri" w:cs="Calibri" w:eastAsia="Calibri" w:hAnsi="Calibri"/>
          <w:sz w:val="20"/>
          <w:szCs w:val="20"/>
          <w:color w:val="auto"/>
        </w:rPr>
      </w:pPr>
      <w:r>
        <w:rPr>
          <w:rFonts w:ascii="Calibri" w:cs="Calibri" w:eastAsia="Calibri" w:hAnsi="Calibri"/>
          <w:sz w:val="20"/>
          <w:szCs w:val="20"/>
          <w:color w:val="auto"/>
        </w:rPr>
        <w:t>such copies are true, correct and complete (including all schedules, exhibits, atachments, supplements and amendments thereto and any related protocols or side leters);</w:t>
      </w:r>
    </w:p>
    <w:p>
      <w:pPr>
        <w:spacing w:after="0" w:line="184" w:lineRule="exact"/>
        <w:rPr>
          <w:rFonts w:ascii="Calibri" w:cs="Calibri" w:eastAsia="Calibri" w:hAnsi="Calibri"/>
          <w:sz w:val="20"/>
          <w:szCs w:val="20"/>
          <w:color w:val="auto"/>
        </w:rPr>
      </w:pPr>
    </w:p>
    <w:p>
      <w:pPr>
        <w:ind w:right="20" w:firstLine="2600"/>
        <w:spacing w:after="0" w:line="214" w:lineRule="auto"/>
        <w:tabs>
          <w:tab w:leader="none" w:pos="3240" w:val="left"/>
        </w:tabs>
        <w:numPr>
          <w:ilvl w:val="1"/>
          <w:numId w:val="338"/>
        </w:numPr>
        <w:rPr>
          <w:rFonts w:ascii="Calibri" w:cs="Calibri" w:eastAsia="Calibri" w:hAnsi="Calibri"/>
          <w:sz w:val="20"/>
          <w:szCs w:val="20"/>
          <w:color w:val="auto"/>
        </w:rPr>
      </w:pPr>
      <w:r>
        <w:rPr>
          <w:rFonts w:ascii="Calibri" w:cs="Calibri" w:eastAsia="Calibri" w:hAnsi="Calibri"/>
          <w:sz w:val="20"/>
          <w:szCs w:val="20"/>
          <w:color w:val="auto"/>
        </w:rPr>
        <w:t>no term or conditon of any such Required Approval has been amended from that delivered pursuant to this Secton 5.1.9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and</w:t>
      </w:r>
    </w:p>
    <w:p>
      <w:pPr>
        <w:spacing w:after="0" w:line="172" w:lineRule="exact"/>
        <w:rPr>
          <w:rFonts w:ascii="Calibri" w:cs="Calibri" w:eastAsia="Calibri" w:hAnsi="Calibri"/>
          <w:sz w:val="20"/>
          <w:szCs w:val="20"/>
          <w:color w:val="auto"/>
        </w:rPr>
      </w:pPr>
    </w:p>
    <w:p>
      <w:pPr>
        <w:jc w:val="both"/>
        <w:ind w:right="20" w:firstLine="2600"/>
        <w:spacing w:after="0" w:line="209" w:lineRule="auto"/>
        <w:tabs>
          <w:tab w:leader="none" w:pos="3246" w:val="left"/>
        </w:tabs>
        <w:numPr>
          <w:ilvl w:val="1"/>
          <w:numId w:val="338"/>
        </w:numPr>
        <w:rPr>
          <w:rFonts w:ascii="Calibri" w:cs="Calibri" w:eastAsia="Calibri" w:hAnsi="Calibri"/>
          <w:sz w:val="20"/>
          <w:szCs w:val="20"/>
          <w:color w:val="auto"/>
        </w:rPr>
      </w:pPr>
      <w:r>
        <w:rPr>
          <w:rFonts w:ascii="Calibri" w:cs="Calibri" w:eastAsia="Calibri" w:hAnsi="Calibri"/>
          <w:sz w:val="20"/>
          <w:szCs w:val="20"/>
          <w:color w:val="auto"/>
        </w:rPr>
        <w:t>each such Required Approval, is unconditonal (or, if conditonal, all conditons precedent (if any) to the efectveness of each Required Approval have been satsfed) and the Recipient has no reasonable basis to conclude that any such Required Approval already obtained will be revoked.</w:t>
      </w:r>
    </w:p>
    <w:p>
      <w:pPr>
        <w:spacing w:after="0" w:line="172"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5.1.10 </w:t>
      </w:r>
      <w:r>
        <w:rPr>
          <w:rFonts w:ascii="Calibri" w:cs="Calibri" w:eastAsia="Calibri" w:hAnsi="Calibri"/>
          <w:sz w:val="20"/>
          <w:szCs w:val="20"/>
          <w:b w:val="1"/>
          <w:bCs w:val="1"/>
          <w:color w:val="auto"/>
        </w:rPr>
        <w:t>Representatons and Warrantes.</w:t>
      </w:r>
      <w:r>
        <w:rPr>
          <w:rFonts w:ascii="Calibri" w:cs="Calibri" w:eastAsia="Calibri" w:hAnsi="Calibri"/>
          <w:sz w:val="20"/>
          <w:szCs w:val="20"/>
          <w:color w:val="auto"/>
        </w:rPr>
        <w:t xml:space="preserve"> Each of the representatons and warrantes made (or deemed made) by the Recipient under this Agreement and the Sponsor Guarantor in the Sponsor Guarantee shall be true and correct in all material respects (except to the extent any such representaton and warranty itself is qualifed by “materiality,” “material adverse efect” or a similar qualifer, in which case it shall be true and correct in all respects (subject to any qualifcaton set forth in such representaton) as of the date such representaton or warranty is made (or deemed made), except to the extent such representaton or warranty is made only as of a specifc date or tme (in which event such representaton or warranty shall be true and correct as of such date or tme).</w:t>
      </w:r>
    </w:p>
    <w:p>
      <w:pPr>
        <w:spacing w:after="0" w:line="171"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5.1.11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xml:space="preserve"> The Recipient shall be in compliance with the covenants set forth in Annex D (</w:t>
      </w:r>
      <w:r>
        <w:rPr>
          <w:rFonts w:ascii="Calibri" w:cs="Calibri" w:eastAsia="Calibri" w:hAnsi="Calibri"/>
          <w:sz w:val="20"/>
          <w:szCs w:val="20"/>
          <w:b w:val="1"/>
          <w:bCs w:val="1"/>
          <w:color w:val="auto"/>
        </w:rPr>
        <w:t>Program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applicable as of the Direct Funding Disbursement Date.</w:t>
      </w:r>
    </w:p>
    <w:p>
      <w:pPr>
        <w:spacing w:after="0" w:line="172"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5.1.12 </w:t>
      </w:r>
      <w:r>
        <w:rPr>
          <w:rFonts w:ascii="Calibri" w:cs="Calibri" w:eastAsia="Calibri" w:hAnsi="Calibri"/>
          <w:sz w:val="20"/>
          <w:szCs w:val="20"/>
          <w:b w:val="1"/>
          <w:bCs w:val="1"/>
          <w:color w:val="auto"/>
        </w:rPr>
        <w:t>No Default.</w:t>
      </w:r>
      <w:r>
        <w:rPr>
          <w:rFonts w:ascii="Calibri" w:cs="Calibri" w:eastAsia="Calibri" w:hAnsi="Calibri"/>
          <w:sz w:val="20"/>
          <w:szCs w:val="20"/>
          <w:color w:val="auto"/>
        </w:rPr>
        <w:t xml:space="preserve"> No Event of Default or Potental Event of Default has occurred and is contnuing or would result from the making of such Direct Funding Disbursement or from the applicaton of the proceeds thereof.</w:t>
      </w:r>
    </w:p>
    <w:p>
      <w:pPr>
        <w:spacing w:after="0" w:line="186"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5.1.13 </w:t>
      </w:r>
      <w:r>
        <w:rPr>
          <w:rFonts w:ascii="Calibri" w:cs="Calibri" w:eastAsia="Calibri" w:hAnsi="Calibri"/>
          <w:sz w:val="20"/>
          <w:szCs w:val="20"/>
          <w:b w:val="1"/>
          <w:bCs w:val="1"/>
          <w:color w:val="auto"/>
        </w:rPr>
        <w:t>No Guardrail Suspension</w:t>
      </w:r>
      <w:r>
        <w:rPr>
          <w:rFonts w:ascii="Calibri" w:cs="Calibri" w:eastAsia="Calibri" w:hAnsi="Calibri"/>
          <w:sz w:val="20"/>
          <w:szCs w:val="20"/>
          <w:color w:val="auto"/>
        </w:rPr>
        <w:t>. The Secretary has not made any determinaton in accordance with the Guardrail Provisions to suspend the Recipient’s ability to request Direct Funding Disbursements.</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5.1.14 </w:t>
      </w:r>
      <w:r>
        <w:rPr>
          <w:rFonts w:ascii="Calibri" w:cs="Calibri" w:eastAsia="Calibri" w:hAnsi="Calibri"/>
          <w:sz w:val="20"/>
          <w:szCs w:val="20"/>
          <w:b w:val="1"/>
          <w:bCs w:val="1"/>
          <w:color w:val="auto"/>
        </w:rPr>
        <w:t>No Material Adverse Efect.</w:t>
      </w:r>
      <w:r>
        <w:rPr>
          <w:rFonts w:ascii="Calibri" w:cs="Calibri" w:eastAsia="Calibri" w:hAnsi="Calibri"/>
          <w:sz w:val="20"/>
          <w:szCs w:val="20"/>
          <w:color w:val="auto"/>
        </w:rPr>
        <w:t xml:space="preserve"> No event or circumstance (including a change in law) shall have occurred or would reasonably be expected to occur with respect to the Recipient, any Recipient Party or the Project that has had, or would reasonably be expected to have, a Material Adverse Efect.</w:t>
      </w:r>
    </w:p>
    <w:p>
      <w:pPr>
        <w:spacing w:after="0" w:line="184"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5.1.15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xml:space="preserve"> The conditons precedent in Secton 3 of (</w:t>
      </w:r>
      <w:r>
        <w:rPr>
          <w:rFonts w:ascii="Calibri" w:cs="Calibri" w:eastAsia="Calibri" w:hAnsi="Calibri"/>
          <w:sz w:val="20"/>
          <w:szCs w:val="20"/>
          <w:b w:val="1"/>
          <w:bCs w:val="1"/>
          <w:color w:val="auto"/>
        </w:rPr>
        <w:t>Conditons Precedent to each Direct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Funding Disbursement</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have been satsfed.</w:t>
      </w:r>
    </w:p>
    <w:p>
      <w:pPr>
        <w:spacing w:after="0" w:line="16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6</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REPRESENTATIONS AND WARRANTIES</w:t>
      </w:r>
    </w:p>
    <w:p>
      <w:pPr>
        <w:spacing w:after="0" w:line="198"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color w:val="auto"/>
        </w:rPr>
        <w:t>The Recipient makes each of the following representatons and warrantes to and in favor of the Department as of (a) the Award Date; (b) each Disbursement Date; and (c) the Project Completon Date, as applicable (in all cases, both immediately before and immediately afer giving efect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374" w:right="339" w:bottom="1440" w:gutter="0" w:footer="0" w:header="0"/>
        </w:sectPr>
      </w:pPr>
    </w:p>
    <w:bookmarkStart w:id="350" w:name="page351"/>
    <w:bookmarkEnd w:id="350"/>
    <w:p>
      <w:pPr>
        <w:jc w:val="both"/>
        <w:spacing w:after="0" w:line="234" w:lineRule="auto"/>
        <w:rPr>
          <w:sz w:val="20"/>
          <w:szCs w:val="20"/>
          <w:color w:val="auto"/>
        </w:rPr>
      </w:pPr>
      <w:r>
        <w:rPr>
          <w:rFonts w:ascii="Calibri" w:cs="Calibri" w:eastAsia="Calibri" w:hAnsi="Calibri"/>
          <w:sz w:val="20"/>
          <w:szCs w:val="20"/>
          <w:color w:val="auto"/>
        </w:rPr>
        <w:t>Disbursements, if any, being made on such date), except as such representatons and warrantes are expressly made as to an earlier date, in which case such representatons and warrantes will be true as of such earlier date:</w:t>
      </w:r>
    </w:p>
    <w:p>
      <w:pPr>
        <w:spacing w:after="0" w:line="185"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6.1 </w:t>
      </w:r>
      <w:r>
        <w:rPr>
          <w:rFonts w:ascii="Calibri" w:cs="Calibri" w:eastAsia="Calibri" w:hAnsi="Calibri"/>
          <w:sz w:val="20"/>
          <w:szCs w:val="20"/>
          <w:b w:val="1"/>
          <w:bCs w:val="1"/>
          <w:color w:val="auto"/>
        </w:rPr>
        <w:t>Organizaton.</w:t>
      </w:r>
      <w:r>
        <w:rPr>
          <w:rFonts w:ascii="Calibri" w:cs="Calibri" w:eastAsia="Calibri" w:hAnsi="Calibri"/>
          <w:sz w:val="20"/>
          <w:szCs w:val="20"/>
          <w:color w:val="auto"/>
        </w:rPr>
        <w:t xml:space="preserve"> The Recipient (a) is a limited liability company, duly organized, validly existng and in good standing under the laws of the State of Delaware; (b) is duly qualifed to do business in the State of Idaho and in each other jurisdicton where the failure to so qualify would reasonably be expected to have a Material Adverse Efect; and (c) has all requisite company power and authority to (i) own or hold under lease and operate the property it purports to own or hold under lease; (ii) carry on its business as now being conducted and as proposed to be conducted in respect of the Project; (iii) incur Indebtedness and create Liens on all and any of its Propertes; and (iv) execute, deliver, perform and observe the terms and conditons of each of the Financing Documents to which it is a party.</w:t>
      </w:r>
    </w:p>
    <w:p>
      <w:pPr>
        <w:spacing w:after="0" w:line="190" w:lineRule="exact"/>
        <w:rPr>
          <w:sz w:val="20"/>
          <w:szCs w:val="20"/>
          <w:color w:val="auto"/>
        </w:rPr>
      </w:pPr>
    </w:p>
    <w:p>
      <w:pPr>
        <w:jc w:val="both"/>
        <w:ind w:firstLine="648"/>
        <w:spacing w:after="0" w:line="198" w:lineRule="auto"/>
        <w:rPr>
          <w:sz w:val="20"/>
          <w:szCs w:val="20"/>
          <w:color w:val="auto"/>
        </w:rPr>
      </w:pPr>
      <w:r>
        <w:rPr>
          <w:rFonts w:ascii="Calibri" w:cs="Calibri" w:eastAsia="Calibri" w:hAnsi="Calibri"/>
          <w:sz w:val="20"/>
          <w:szCs w:val="20"/>
          <w:color w:val="auto"/>
        </w:rPr>
        <w:t xml:space="preserve">Secton 6.2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xml:space="preserve"> The Recipient has duly authorized, executed and delivered the Financing Documents to which it is a party, and neither its executon and delivery thereof nor its consummaton of the transactons contemplated hereby or thereby nor its compliance with the terms of this Agreement or thereof does or will (a) contravene its Organizatonal Documents or any Applicable Laws in any material respects; (b) contravene or result in any breach or consttute any default under any material Governmental Judgment; (c) contravene or result in any breach or consttute any default under any material agreement or instrument to which it is a party or by which it or any of its material Propertes related to the Project may be bound; or (d) require any material consent or approval of any Person other than the Required Approvals and any other consents or approvals that have been obtained and are in full force and efect.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6.3</w:t>
      </w:r>
      <w:r>
        <w:rPr>
          <w:sz w:val="20"/>
          <w:szCs w:val="20"/>
          <w:color w:val="auto"/>
        </w:rPr>
        <w:tab/>
      </w:r>
      <w:r>
        <w:rPr>
          <w:rFonts w:ascii="Calibri" w:cs="Calibri" w:eastAsia="Calibri" w:hAnsi="Calibri"/>
          <w:sz w:val="20"/>
          <w:szCs w:val="20"/>
          <w:b w:val="1"/>
          <w:bCs w:val="1"/>
          <w:color w:val="auto"/>
        </w:rPr>
        <w:t xml:space="preserve">Compliance with Laws </w:t>
      </w:r>
      <w:r>
        <w:rPr>
          <w:rFonts w:ascii="Calibri" w:cs="Calibri" w:eastAsia="Calibri" w:hAnsi="Calibri"/>
          <w:sz w:val="20"/>
          <w:szCs w:val="20"/>
          <w:color w:val="auto"/>
        </w:rPr>
        <w:t>The Recipient has conducted and is conductng its business and the Project in compliance</w:t>
      </w:r>
    </w:p>
    <w:p>
      <w:pPr>
        <w:spacing w:after="0" w:line="199" w:lineRule="auto"/>
        <w:rPr>
          <w:sz w:val="20"/>
          <w:szCs w:val="20"/>
          <w:color w:val="auto"/>
        </w:rPr>
      </w:pPr>
      <w:r>
        <w:rPr>
          <w:rFonts w:ascii="Calibri" w:cs="Calibri" w:eastAsia="Calibri" w:hAnsi="Calibri"/>
          <w:sz w:val="20"/>
          <w:szCs w:val="20"/>
          <w:color w:val="auto"/>
        </w:rPr>
        <w:t>with:</w:t>
      </w:r>
    </w:p>
    <w:p>
      <w:pPr>
        <w:spacing w:after="0" w:line="161" w:lineRule="exact"/>
        <w:rPr>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 xml:space="preserve">the Program Fraud Civil Remedies Act (31 U.S.C. § 3801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Civil False Claims Act (31 U.S.C. §§ 3729 - 3733);</w:t>
      </w:r>
    </w:p>
    <w:p>
      <w:pPr>
        <w:spacing w:after="0" w:line="166" w:lineRule="exact"/>
        <w:rPr>
          <w:rFonts w:ascii="Calibri" w:cs="Calibri" w:eastAsia="Calibri" w:hAnsi="Calibri"/>
          <w:sz w:val="20"/>
          <w:szCs w:val="20"/>
          <w:color w:val="auto"/>
        </w:rPr>
      </w:pPr>
    </w:p>
    <w:p>
      <w:pPr>
        <w:ind w:left="2600" w:hanging="648"/>
        <w:spacing w:after="0"/>
        <w:tabs>
          <w:tab w:leader="none" w:pos="2600"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 xml:space="preserve">the Uniform Relocaton Assistance and Real Property Acquisiton Policies Act of 1970 (42 U.S.C. § 4601 </w:t>
      </w:r>
      <w:r>
        <w:rPr>
          <w:rFonts w:ascii="Calibri" w:cs="Calibri" w:eastAsia="Calibri" w:hAnsi="Calibri"/>
          <w:sz w:val="20"/>
          <w:szCs w:val="20"/>
          <w:i w:val="1"/>
          <w:iCs w:val="1"/>
          <w:color w:val="auto"/>
        </w:rPr>
        <w:t>et</w:t>
      </w:r>
    </w:p>
    <w:p>
      <w:pPr>
        <w:spacing w:after="0" w:line="193" w:lineRule="auto"/>
        <w:rPr>
          <w:rFonts w:ascii="Calibri" w:cs="Calibri" w:eastAsia="Calibri" w:hAnsi="Calibri"/>
          <w:sz w:val="20"/>
          <w:szCs w:val="20"/>
          <w:color w:val="auto"/>
        </w:rPr>
      </w:pPr>
      <w:r>
        <w:rPr>
          <w:rFonts w:ascii="Calibri" w:cs="Calibri" w:eastAsia="Calibri" w:hAnsi="Calibri"/>
          <w:sz w:val="20"/>
          <w:szCs w:val="20"/>
          <w:i w:val="1"/>
          <w:iCs w:val="1"/>
          <w:color w:val="auto"/>
        </w:rPr>
        <w:t>seq</w:t>
      </w:r>
      <w:r>
        <w:rPr>
          <w:rFonts w:ascii="Calibri" w:cs="Calibri" w:eastAsia="Calibri" w:hAnsi="Calibri"/>
          <w:sz w:val="20"/>
          <w:szCs w:val="20"/>
          <w:color w:val="auto"/>
        </w:rPr>
        <w:t>.) in all material respects;</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5"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 xml:space="preserve">all applicable federal labor and employment laws, including Title VII of the Civil Rights Act of 1964 (42 U.S.C. § 2000e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the Fair Labor Standards Act (29 U.S.C. § 203), the Occupatonal Safety and Health Act (29 U.S.C. § 653) and the Natonal Labor Relatons Act (29 U.S.C. § 151 </w:t>
      </w:r>
      <w:r>
        <w:rPr>
          <w:rFonts w:ascii="Calibri" w:cs="Calibri" w:eastAsia="Calibri" w:hAnsi="Calibri"/>
          <w:sz w:val="20"/>
          <w:szCs w:val="20"/>
          <w:i w:val="1"/>
          <w:iCs w:val="1"/>
          <w:color w:val="auto"/>
        </w:rPr>
        <w:t>et seq</w:t>
      </w:r>
      <w:r>
        <w:rPr>
          <w:rFonts w:ascii="Calibri" w:cs="Calibri" w:eastAsia="Calibri" w:hAnsi="Calibri"/>
          <w:sz w:val="20"/>
          <w:szCs w:val="20"/>
          <w:color w:val="auto"/>
        </w:rPr>
        <w:t>.); in all material respects;</w:t>
      </w:r>
    </w:p>
    <w:p>
      <w:pPr>
        <w:spacing w:after="0" w:line="184"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all applicable Export Control Laws in all respects, except for any actual or potental violatons that involve only unintentonal minor, technical infractons, which either (i) were voluntarily self-disclosed to BIS within sixty (60) days of the Recipient Party becoming aware of the violaton, and, within sixty (60) days of disclosure resulted in the issuance of a warning or no acton leter by BIS; or (ii) otherwise could not reasonably be expected to give rise to an enforcement acton, or the impositon of any fne or penalty by any Governmental Authority; and</w:t>
      </w:r>
    </w:p>
    <w:p>
      <w:pPr>
        <w:spacing w:after="0" w:line="174" w:lineRule="exact"/>
        <w:rPr>
          <w:rFonts w:ascii="Calibri" w:cs="Calibri" w:eastAsia="Calibri" w:hAnsi="Calibri"/>
          <w:sz w:val="20"/>
          <w:szCs w:val="20"/>
          <w:color w:val="auto"/>
        </w:rPr>
      </w:pPr>
    </w:p>
    <w:p>
      <w:pPr>
        <w:jc w:val="both"/>
        <w:ind w:firstLine="1952"/>
        <w:spacing w:after="0" w:line="207" w:lineRule="auto"/>
        <w:tabs>
          <w:tab w:leader="none" w:pos="2586" w:val="left"/>
        </w:tabs>
        <w:numPr>
          <w:ilvl w:val="0"/>
          <w:numId w:val="339"/>
        </w:numPr>
        <w:rPr>
          <w:rFonts w:ascii="Calibri" w:cs="Calibri" w:eastAsia="Calibri" w:hAnsi="Calibri"/>
          <w:sz w:val="20"/>
          <w:szCs w:val="20"/>
          <w:color w:val="auto"/>
        </w:rPr>
      </w:pPr>
      <w:r>
        <w:rPr>
          <w:rFonts w:ascii="Calibri" w:cs="Calibri" w:eastAsia="Calibri" w:hAnsi="Calibri"/>
          <w:sz w:val="20"/>
          <w:szCs w:val="20"/>
          <w:color w:val="auto"/>
        </w:rPr>
        <w:t>without prejudice to Secton 6.2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Secton 6.3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Secton 6.6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Secton 6.7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Secton 6.15 (</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Secton 6.16 (</w:t>
      </w:r>
      <w:r>
        <w:rPr>
          <w:rFonts w:ascii="Calibri" w:cs="Calibri" w:eastAsia="Calibri" w:hAnsi="Calibri"/>
          <w:sz w:val="20"/>
          <w:szCs w:val="20"/>
          <w:b w:val="1"/>
          <w:bCs w:val="1"/>
          <w:color w:val="auto"/>
        </w:rPr>
        <w:t>Federal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Secton 6.17 (</w:t>
      </w:r>
      <w:r>
        <w:rPr>
          <w:rFonts w:ascii="Calibri" w:cs="Calibri" w:eastAsia="Calibri" w:hAnsi="Calibri"/>
          <w:sz w:val="20"/>
          <w:szCs w:val="20"/>
          <w:b w:val="1"/>
          <w:bCs w:val="1"/>
          <w:color w:val="auto"/>
        </w:rPr>
        <w:t>Foreign Entty of Concern; Prohibited Persons; Sanctons; Export Controls; Ant-Corrupton; Ant-Money</w:t>
      </w:r>
    </w:p>
    <w:p>
      <w:pPr>
        <w:spacing w:after="0" w:line="193" w:lineRule="auto"/>
        <w:rPr>
          <w:rFonts w:ascii="Calibri" w:cs="Calibri" w:eastAsia="Calibri" w:hAnsi="Calibri"/>
          <w:sz w:val="20"/>
          <w:szCs w:val="20"/>
          <w:color w:val="auto"/>
        </w:rPr>
      </w:pPr>
      <w:r>
        <w:rPr>
          <w:rFonts w:ascii="Calibri" w:cs="Calibri" w:eastAsia="Calibri" w:hAnsi="Calibri"/>
          <w:sz w:val="20"/>
          <w:szCs w:val="20"/>
          <w:b w:val="1"/>
          <w:bCs w:val="1"/>
          <w:color w:val="auto"/>
        </w:rPr>
        <w:t>Laundering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411" w:right="339" w:bottom="1440" w:gutter="0" w:footer="0" w:header="0"/>
        </w:sectPr>
      </w:pPr>
    </w:p>
    <w:bookmarkStart w:id="351" w:name="page352"/>
    <w:bookmarkEnd w:id="351"/>
    <w:p>
      <w:pPr>
        <w:spacing w:after="0"/>
        <w:rPr>
          <w:sz w:val="20"/>
          <w:szCs w:val="20"/>
          <w:color w:val="auto"/>
        </w:rPr>
      </w:pPr>
      <w:r>
        <w:rPr>
          <w:rFonts w:ascii="Calibri" w:cs="Calibri" w:eastAsia="Calibri" w:hAnsi="Calibri"/>
          <w:sz w:val="20"/>
          <w:szCs w:val="20"/>
          <w:b w:val="1"/>
          <w:bCs w:val="1"/>
          <w:color w:val="auto"/>
        </w:rPr>
        <w:t>Laws</w:t>
      </w:r>
      <w:r>
        <w:rPr>
          <w:rFonts w:ascii="Calibri" w:cs="Calibri" w:eastAsia="Calibri" w:hAnsi="Calibri"/>
          <w:sz w:val="20"/>
          <w:szCs w:val="20"/>
          <w:color w:val="auto"/>
        </w:rPr>
        <w:t>), all other Applicable Laws, Required Approvals and its Organizatonal Documents in all material respects.</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6.4 </w:t>
      </w:r>
      <w:r>
        <w:rPr>
          <w:rFonts w:ascii="Calibri" w:cs="Calibri" w:eastAsia="Calibri" w:hAnsi="Calibri"/>
          <w:sz w:val="20"/>
          <w:szCs w:val="20"/>
          <w:b w:val="1"/>
          <w:bCs w:val="1"/>
          <w:color w:val="auto"/>
        </w:rPr>
        <w:t>Legality; Validity; Enforceability.</w:t>
      </w:r>
      <w:r>
        <w:rPr>
          <w:rFonts w:ascii="Calibri" w:cs="Calibri" w:eastAsia="Calibri" w:hAnsi="Calibri"/>
          <w:sz w:val="20"/>
          <w:szCs w:val="20"/>
          <w:color w:val="auto"/>
        </w:rPr>
        <w:t xml:space="preserve"> Assuming the duly authorized executon and delivery thereof by each other party thereto other than Recipient Party, each Financing Document to which the Recipient is (or will be when executed) a party consttutes (or when executed, will consttute) a legal, valid and binding obligaton of the Recipient, enforceable against the Recipient in accordance with its terms, except as such enforceability may be limited by bankruptcy, insolvency, reorganizaton, receivership, moratorium or other Applicable Laws afectng creditors’ rights generally and by general principles of equity (whether enforcement is sought by proceedings in equity or at law).</w:t>
      </w:r>
    </w:p>
    <w:p>
      <w:pPr>
        <w:spacing w:after="0" w:line="18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6.5</w:t>
      </w:r>
      <w:r>
        <w:rPr>
          <w:sz w:val="20"/>
          <w:szCs w:val="20"/>
          <w:color w:val="auto"/>
        </w:rPr>
        <w:tab/>
      </w:r>
      <w:r>
        <w:rPr>
          <w:rFonts w:ascii="Calibri" w:cs="Calibri" w:eastAsia="Calibri" w:hAnsi="Calibri"/>
          <w:sz w:val="20"/>
          <w:szCs w:val="20"/>
          <w:b w:val="1"/>
          <w:bCs w:val="1"/>
          <w:color w:val="auto"/>
        </w:rPr>
        <w:t>Real Property.</w:t>
      </w:r>
    </w:p>
    <w:p>
      <w:pPr>
        <w:spacing w:after="0" w:line="161" w:lineRule="exact"/>
        <w:rPr>
          <w:sz w:val="20"/>
          <w:szCs w:val="20"/>
          <w:color w:val="auto"/>
        </w:rPr>
      </w:pPr>
    </w:p>
    <w:p>
      <w:pPr>
        <w:ind w:left="2600" w:hanging="648"/>
        <w:spacing w:after="0"/>
        <w:tabs>
          <w:tab w:leader="none" w:pos="2600" w:val="left"/>
        </w:tabs>
        <w:numPr>
          <w:ilvl w:val="0"/>
          <w:numId w:val="340"/>
        </w:numPr>
        <w:rPr>
          <w:rFonts w:ascii="Calibri" w:cs="Calibri" w:eastAsia="Calibri" w:hAnsi="Calibri"/>
          <w:sz w:val="20"/>
          <w:szCs w:val="20"/>
          <w:color w:val="auto"/>
        </w:rPr>
      </w:pPr>
      <w:r>
        <w:rPr>
          <w:rFonts w:ascii="Calibri" w:cs="Calibri" w:eastAsia="Calibri" w:hAnsi="Calibri"/>
          <w:sz w:val="20"/>
          <w:szCs w:val="20"/>
          <w:color w:val="auto"/>
        </w:rPr>
        <w:t>A Recipient Party owns and has valid legal and benefcial ttle to all real property interests in the Project</w:t>
      </w:r>
    </w:p>
    <w:p>
      <w:pPr>
        <w:spacing w:after="0" w:line="199" w:lineRule="auto"/>
        <w:rPr>
          <w:sz w:val="20"/>
          <w:szCs w:val="20"/>
          <w:color w:val="auto"/>
        </w:rPr>
      </w:pPr>
      <w:r>
        <w:rPr>
          <w:rFonts w:ascii="Calibri" w:cs="Calibri" w:eastAsia="Calibri" w:hAnsi="Calibri"/>
          <w:sz w:val="20"/>
          <w:szCs w:val="20"/>
          <w:color w:val="auto"/>
        </w:rPr>
        <w:t>Site.</w:t>
      </w:r>
    </w:p>
    <w:p>
      <w:pPr>
        <w:spacing w:after="0" w:line="184" w:lineRule="exact"/>
        <w:rPr>
          <w:sz w:val="20"/>
          <w:szCs w:val="20"/>
          <w:color w:val="auto"/>
        </w:rPr>
      </w:pPr>
    </w:p>
    <w:p>
      <w:pPr>
        <w:jc w:val="both"/>
        <w:ind w:firstLine="1952"/>
        <w:spacing w:after="0" w:line="203" w:lineRule="auto"/>
        <w:tabs>
          <w:tab w:leader="none" w:pos="2592" w:val="left"/>
        </w:tabs>
        <w:numPr>
          <w:ilvl w:val="0"/>
          <w:numId w:val="341"/>
        </w:numPr>
        <w:rPr>
          <w:rFonts w:ascii="Calibri" w:cs="Calibri" w:eastAsia="Calibri" w:hAnsi="Calibri"/>
          <w:sz w:val="20"/>
          <w:szCs w:val="20"/>
          <w:color w:val="auto"/>
        </w:rPr>
      </w:pPr>
      <w:r>
        <w:rPr>
          <w:rFonts w:ascii="Calibri" w:cs="Calibri" w:eastAsia="Calibri" w:hAnsi="Calibri"/>
          <w:sz w:val="20"/>
          <w:szCs w:val="20"/>
          <w:color w:val="auto"/>
        </w:rPr>
        <w:t>All material easements, leasehold and other property interests and utlity and other services, means of transportaton, facilites, other materials and rights held that are reasonably necessary for the constructon, completon and operaton of the Project have been obtained or are commercially available to the Project at the Project Site as and when required to have been obtained for the Project.</w:t>
      </w:r>
    </w:p>
    <w:p>
      <w:pPr>
        <w:spacing w:after="0" w:line="173" w:lineRule="exact"/>
        <w:rPr>
          <w:rFonts w:ascii="Calibri" w:cs="Calibri" w:eastAsia="Calibri" w:hAnsi="Calibri"/>
          <w:sz w:val="20"/>
          <w:szCs w:val="20"/>
          <w:color w:val="auto"/>
        </w:rPr>
      </w:pPr>
    </w:p>
    <w:p>
      <w:pPr>
        <w:jc w:val="both"/>
        <w:ind w:firstLine="1952"/>
        <w:spacing w:after="0" w:line="203" w:lineRule="auto"/>
        <w:tabs>
          <w:tab w:leader="none" w:pos="2584" w:val="left"/>
        </w:tabs>
        <w:numPr>
          <w:ilvl w:val="0"/>
          <w:numId w:val="341"/>
        </w:numPr>
        <w:rPr>
          <w:rFonts w:ascii="Calibri" w:cs="Calibri" w:eastAsia="Calibri" w:hAnsi="Calibri"/>
          <w:sz w:val="20"/>
          <w:szCs w:val="20"/>
          <w:color w:val="auto"/>
        </w:rPr>
      </w:pPr>
      <w:r>
        <w:rPr>
          <w:rFonts w:ascii="Calibri" w:cs="Calibri" w:eastAsia="Calibri" w:hAnsi="Calibri"/>
          <w:sz w:val="20"/>
          <w:szCs w:val="20"/>
          <w:color w:val="auto"/>
        </w:rPr>
        <w:t>(i) Any Leases material to the Project and in existence on the date of this representaton and under which a Recipient Party is a lessee are valid and subsistng; (ii) such Recipient is not in default under any such Leases; (iii) such Recipient Party enjoys peaceful and undisturbed possession of all Property subject to such Leases; and (iv) the Recipient Partes have the right to contnue to enjoy such possession during the tme when any Property is necessary for the Project, in each case, in all material respects.</w:t>
      </w:r>
    </w:p>
    <w:p>
      <w:pPr>
        <w:spacing w:after="0" w:line="186" w:lineRule="exact"/>
        <w:rPr>
          <w:rFonts w:ascii="Calibri" w:cs="Calibri" w:eastAsia="Calibri" w:hAnsi="Calibri"/>
          <w:sz w:val="20"/>
          <w:szCs w:val="20"/>
          <w:color w:val="auto"/>
        </w:rPr>
      </w:pPr>
    </w:p>
    <w:p>
      <w:pPr>
        <w:jc w:val="both"/>
        <w:ind w:right="20" w:firstLine="1952"/>
        <w:spacing w:after="0" w:line="205" w:lineRule="auto"/>
        <w:tabs>
          <w:tab w:leader="none" w:pos="2592" w:val="left"/>
        </w:tabs>
        <w:numPr>
          <w:ilvl w:val="0"/>
          <w:numId w:val="341"/>
        </w:numPr>
        <w:rPr>
          <w:rFonts w:ascii="Calibri" w:cs="Calibri" w:eastAsia="Calibri" w:hAnsi="Calibri"/>
          <w:sz w:val="20"/>
          <w:szCs w:val="20"/>
          <w:color w:val="auto"/>
        </w:rPr>
      </w:pPr>
      <w:r>
        <w:rPr>
          <w:rFonts w:ascii="Calibri" w:cs="Calibri" w:eastAsia="Calibri" w:hAnsi="Calibri"/>
          <w:sz w:val="20"/>
          <w:szCs w:val="20"/>
          <w:color w:val="auto"/>
        </w:rPr>
        <w:t>To the Recipient’s Knowledge, the Project Site is sufcient and appropriate in all material respects for the development, sitng, design, engineering, constructon, ownership, operaton, maintenance and use of the Project as contemplated by the Award Documents.</w:t>
      </w:r>
    </w:p>
    <w:p>
      <w:pPr>
        <w:spacing w:after="0" w:line="184" w:lineRule="exact"/>
        <w:rPr>
          <w:rFonts w:ascii="Calibri" w:cs="Calibri" w:eastAsia="Calibri" w:hAnsi="Calibri"/>
          <w:sz w:val="20"/>
          <w:szCs w:val="20"/>
          <w:color w:val="auto"/>
        </w:rPr>
      </w:pPr>
    </w:p>
    <w:p>
      <w:pPr>
        <w:jc w:val="both"/>
        <w:ind w:firstLine="1952"/>
        <w:spacing w:after="0" w:line="203" w:lineRule="auto"/>
        <w:tabs>
          <w:tab w:leader="none" w:pos="2586" w:val="left"/>
        </w:tabs>
        <w:numPr>
          <w:ilvl w:val="0"/>
          <w:numId w:val="341"/>
        </w:numPr>
        <w:rPr>
          <w:rFonts w:ascii="Calibri" w:cs="Calibri" w:eastAsia="Calibri" w:hAnsi="Calibri"/>
          <w:sz w:val="20"/>
          <w:szCs w:val="20"/>
          <w:color w:val="auto"/>
        </w:rPr>
      </w:pPr>
      <w:r>
        <w:rPr>
          <w:rFonts w:ascii="Calibri" w:cs="Calibri" w:eastAsia="Calibri" w:hAnsi="Calibri"/>
          <w:sz w:val="20"/>
          <w:szCs w:val="20"/>
          <w:color w:val="auto"/>
        </w:rPr>
        <w:t>all of the improvements on the Project Site lie wholly within the boundaries and building restricton lines of the Project Site, and no improvements on adjoining propertes encroach upon the Project Site, and no improvements on the Project Site encroach upon or violate any easements or other encumbrances upon the Project Site, in each case, so as to materially impair the development, constructon, operaton, or use by (or for the beneft of) the Recipient of the Project Site for the Project.</w:t>
      </w:r>
    </w:p>
    <w:p>
      <w:pPr>
        <w:spacing w:after="0" w:line="173" w:lineRule="exact"/>
        <w:rPr>
          <w:rFonts w:ascii="Calibri" w:cs="Calibri" w:eastAsia="Calibri" w:hAnsi="Calibri"/>
          <w:sz w:val="20"/>
          <w:szCs w:val="20"/>
          <w:color w:val="auto"/>
        </w:rPr>
      </w:pPr>
    </w:p>
    <w:p>
      <w:pPr>
        <w:jc w:val="both"/>
        <w:ind w:firstLine="1952"/>
        <w:spacing w:after="0" w:line="209" w:lineRule="auto"/>
        <w:tabs>
          <w:tab w:leader="none" w:pos="2590" w:val="left"/>
        </w:tabs>
        <w:numPr>
          <w:ilvl w:val="0"/>
          <w:numId w:val="341"/>
        </w:numPr>
        <w:rPr>
          <w:rFonts w:ascii="Calibri" w:cs="Calibri" w:eastAsia="Calibri" w:hAnsi="Calibri"/>
          <w:sz w:val="20"/>
          <w:szCs w:val="20"/>
          <w:color w:val="auto"/>
        </w:rPr>
      </w:pPr>
      <w:r>
        <w:rPr>
          <w:rFonts w:ascii="Calibri" w:cs="Calibri" w:eastAsia="Calibri" w:hAnsi="Calibri"/>
          <w:sz w:val="20"/>
          <w:szCs w:val="20"/>
          <w:color w:val="auto"/>
        </w:rPr>
        <w:t>No condemnaton or adverse zoning or usage change proceeding has occurred been threatened against any of the Real Property that would reasonably be expected to materially impair the development, constructon, operaton, access to or use by (or for the beneft of) the Recipient of the Project Site for the Project.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6.6</w:t>
      </w:r>
      <w:r>
        <w:rPr>
          <w:sz w:val="20"/>
          <w:szCs w:val="20"/>
          <w:color w:val="auto"/>
        </w:rPr>
        <w:tab/>
      </w:r>
      <w:r>
        <w:rPr>
          <w:rFonts w:ascii="Calibri" w:cs="Calibri" w:eastAsia="Calibri" w:hAnsi="Calibri"/>
          <w:sz w:val="20"/>
          <w:szCs w:val="20"/>
          <w:b w:val="1"/>
          <w:bCs w:val="1"/>
          <w:color w:val="auto"/>
        </w:rPr>
        <w:t>Required Approvals.</w:t>
      </w:r>
    </w:p>
    <w:p>
      <w:pPr>
        <w:spacing w:after="0" w:line="174" w:lineRule="exact"/>
        <w:rPr>
          <w:sz w:val="20"/>
          <w:szCs w:val="20"/>
          <w:color w:val="auto"/>
        </w:rPr>
      </w:pPr>
    </w:p>
    <w:p>
      <w:pPr>
        <w:ind w:left="2600" w:hanging="648"/>
        <w:spacing w:after="0"/>
        <w:tabs>
          <w:tab w:leader="none" w:pos="2600" w:val="left"/>
        </w:tabs>
        <w:numPr>
          <w:ilvl w:val="0"/>
          <w:numId w:val="342"/>
        </w:numPr>
        <w:rPr>
          <w:rFonts w:ascii="Calibri" w:cs="Calibri" w:eastAsia="Calibri" w:hAnsi="Calibri"/>
          <w:sz w:val="20"/>
          <w:szCs w:val="20"/>
          <w:color w:val="auto"/>
        </w:rPr>
      </w:pPr>
      <w:r>
        <w:rPr>
          <w:rFonts w:ascii="Calibri" w:cs="Calibri" w:eastAsia="Calibri" w:hAnsi="Calibri"/>
          <w:sz w:val="20"/>
          <w:szCs w:val="20"/>
          <w:color w:val="auto"/>
        </w:rPr>
        <w:t>The Permitng Plans set forth all Required Approvals.</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42"/>
        </w:numPr>
        <w:rPr>
          <w:rFonts w:ascii="Calibri" w:cs="Calibri" w:eastAsia="Calibri" w:hAnsi="Calibri"/>
          <w:sz w:val="20"/>
          <w:szCs w:val="20"/>
          <w:color w:val="auto"/>
        </w:rPr>
      </w:pPr>
      <w:r>
        <w:rPr>
          <w:rFonts w:ascii="Calibri" w:cs="Calibri" w:eastAsia="Calibri" w:hAnsi="Calibri"/>
          <w:sz w:val="20"/>
          <w:szCs w:val="20"/>
          <w:color w:val="auto"/>
        </w:rPr>
        <w:t>Each Required Approval listed on the applicable Permitng Plan that is required to be obtained as of any date on which this representaton is made has been issued, and the Recipient has no reasonable basis to conclude that any such Required Approvals already obtained will be revoked.</w:t>
      </w:r>
    </w:p>
    <w:p>
      <w:pPr>
        <w:spacing w:after="0" w:line="184" w:lineRule="exact"/>
        <w:rPr>
          <w:rFonts w:ascii="Calibri" w:cs="Calibri" w:eastAsia="Calibri" w:hAnsi="Calibri"/>
          <w:sz w:val="20"/>
          <w:szCs w:val="20"/>
          <w:color w:val="auto"/>
        </w:rPr>
      </w:pPr>
    </w:p>
    <w:p>
      <w:pPr>
        <w:ind w:firstLine="1952"/>
        <w:spacing w:after="0" w:line="208" w:lineRule="auto"/>
        <w:tabs>
          <w:tab w:leader="none" w:pos="2584" w:val="left"/>
        </w:tabs>
        <w:numPr>
          <w:ilvl w:val="0"/>
          <w:numId w:val="342"/>
        </w:numPr>
        <w:rPr>
          <w:rFonts w:ascii="Calibri" w:cs="Calibri" w:eastAsia="Calibri" w:hAnsi="Calibri"/>
          <w:sz w:val="20"/>
          <w:szCs w:val="20"/>
          <w:color w:val="auto"/>
        </w:rPr>
      </w:pPr>
      <w:r>
        <w:rPr>
          <w:rFonts w:ascii="Calibri" w:cs="Calibri" w:eastAsia="Calibri" w:hAnsi="Calibri"/>
          <w:sz w:val="20"/>
          <w:szCs w:val="20"/>
          <w:color w:val="auto"/>
        </w:rPr>
        <w:t>The Recipient has no reasonable basis to conclude that it or any other Recipient Party will be unable to obtain the Required Approvals applicable to it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40"/>
          </w:cols>
          <w:pgMar w:left="320" w:top="1374" w:right="339" w:bottom="1440" w:gutter="0" w:footer="0" w:header="0"/>
        </w:sectPr>
      </w:pPr>
    </w:p>
    <w:bookmarkStart w:id="352" w:name="page353"/>
    <w:bookmarkEnd w:id="352"/>
    <w:p>
      <w:pPr>
        <w:spacing w:after="0" w:line="214" w:lineRule="auto"/>
        <w:rPr>
          <w:sz w:val="20"/>
          <w:szCs w:val="20"/>
          <w:color w:val="auto"/>
        </w:rPr>
      </w:pPr>
      <w:r>
        <w:rPr>
          <w:rFonts w:ascii="Calibri" w:cs="Calibri" w:eastAsia="Calibri" w:hAnsi="Calibri"/>
          <w:sz w:val="20"/>
          <w:szCs w:val="20"/>
          <w:color w:val="auto"/>
        </w:rPr>
        <w:t>business and at such tme or tmes as may be necessary to avoid any material delay in, or impairment to the transactons contemplated by the Financing Documents.</w:t>
      </w:r>
    </w:p>
    <w:p>
      <w:pPr>
        <w:spacing w:after="0" w:line="172" w:lineRule="exact"/>
        <w:rPr>
          <w:sz w:val="20"/>
          <w:szCs w:val="20"/>
          <w:color w:val="auto"/>
        </w:rPr>
      </w:pPr>
    </w:p>
    <w:p>
      <w:pPr>
        <w:ind w:firstLine="1952"/>
        <w:spacing w:after="0" w:line="214" w:lineRule="auto"/>
        <w:tabs>
          <w:tab w:leader="none" w:pos="2592" w:val="left"/>
        </w:tabs>
        <w:numPr>
          <w:ilvl w:val="0"/>
          <w:numId w:val="343"/>
        </w:numPr>
        <w:rPr>
          <w:rFonts w:ascii="Calibri" w:cs="Calibri" w:eastAsia="Calibri" w:hAnsi="Calibri"/>
          <w:sz w:val="20"/>
          <w:szCs w:val="20"/>
          <w:color w:val="auto"/>
        </w:rPr>
      </w:pPr>
      <w:r>
        <w:rPr>
          <w:rFonts w:ascii="Calibri" w:cs="Calibri" w:eastAsia="Calibri" w:hAnsi="Calibri"/>
          <w:sz w:val="20"/>
          <w:szCs w:val="20"/>
          <w:color w:val="auto"/>
        </w:rPr>
        <w:t>Each Recipient Party is in compliance in all material respects with all Required Approvals that have been obtained by, or are otherwise applicable to, such Recipient Party.</w:t>
      </w:r>
    </w:p>
    <w:p>
      <w:pPr>
        <w:spacing w:after="0" w:line="176"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6.7</w:t>
      </w:r>
      <w:r>
        <w:rPr>
          <w:sz w:val="20"/>
          <w:szCs w:val="20"/>
          <w:color w:val="auto"/>
        </w:rPr>
        <w:tab/>
      </w:r>
      <w:r>
        <w:rPr>
          <w:rFonts w:ascii="Calibri" w:cs="Calibri" w:eastAsia="Calibri" w:hAnsi="Calibri"/>
          <w:sz w:val="20"/>
          <w:szCs w:val="20"/>
          <w:b w:val="1"/>
          <w:bCs w:val="1"/>
          <w:color w:val="auto"/>
        </w:rPr>
        <w:t>Intellectual Property.</w:t>
      </w:r>
    </w:p>
    <w:p>
      <w:pPr>
        <w:spacing w:after="0" w:line="171" w:lineRule="exact"/>
        <w:rPr>
          <w:sz w:val="20"/>
          <w:szCs w:val="20"/>
          <w:color w:val="auto"/>
        </w:rPr>
      </w:pPr>
    </w:p>
    <w:p>
      <w:pPr>
        <w:ind w:firstLine="1952"/>
        <w:spacing w:after="0" w:line="214" w:lineRule="auto"/>
        <w:tabs>
          <w:tab w:leader="none" w:pos="2596" w:val="left"/>
        </w:tabs>
        <w:numPr>
          <w:ilvl w:val="0"/>
          <w:numId w:val="344"/>
        </w:numPr>
        <w:rPr>
          <w:rFonts w:ascii="Calibri" w:cs="Calibri" w:eastAsia="Calibri" w:hAnsi="Calibri"/>
          <w:sz w:val="20"/>
          <w:szCs w:val="20"/>
          <w:color w:val="auto"/>
        </w:rPr>
      </w:pPr>
      <w:r>
        <w:rPr>
          <w:rFonts w:ascii="Calibri" w:cs="Calibri" w:eastAsia="Calibri" w:hAnsi="Calibri"/>
          <w:sz w:val="20"/>
          <w:szCs w:val="20"/>
          <w:color w:val="auto"/>
        </w:rPr>
        <w:t>The Recipient owns or holds a valid and enforceable license, permit, certfcate, franchise, or other authorizaton or right to use all know-how included in the Project IP.</w:t>
      </w:r>
    </w:p>
    <w:p>
      <w:pPr>
        <w:spacing w:after="0" w:line="185"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44"/>
        </w:numPr>
        <w:rPr>
          <w:rFonts w:ascii="Calibri" w:cs="Calibri" w:eastAsia="Calibri" w:hAnsi="Calibri"/>
          <w:sz w:val="20"/>
          <w:szCs w:val="20"/>
          <w:color w:val="auto"/>
        </w:rPr>
      </w:pPr>
      <w:r>
        <w:rPr>
          <w:rFonts w:ascii="Calibri" w:cs="Calibri" w:eastAsia="Calibri" w:hAnsi="Calibri"/>
          <w:sz w:val="20"/>
          <w:szCs w:val="20"/>
          <w:color w:val="auto"/>
        </w:rPr>
        <w:t>To the Recipient’s Knowledge, neither the Recipient nor the Sponsor Guarantor is in material breach of or default under any Project IP Agreement then in efect. To the Recipient’s Knowledge, there are no facts or circumstances that would be reasonably expected (afer the giving of notce, the lapse of tme, or both) to give rise to any revocaton or terminaton of any material Project IP Agreement, or the Recipient’s rights or licenses to Project IP thereunder.</w:t>
      </w:r>
    </w:p>
    <w:p>
      <w:pPr>
        <w:spacing w:after="0" w:line="173" w:lineRule="exact"/>
        <w:rPr>
          <w:rFonts w:ascii="Calibri" w:cs="Calibri" w:eastAsia="Calibri" w:hAnsi="Calibri"/>
          <w:sz w:val="20"/>
          <w:szCs w:val="20"/>
          <w:color w:val="auto"/>
        </w:rPr>
      </w:pPr>
    </w:p>
    <w:p>
      <w:pPr>
        <w:ind w:firstLine="1952"/>
        <w:spacing w:after="0" w:line="214" w:lineRule="auto"/>
        <w:tabs>
          <w:tab w:leader="none" w:pos="2584" w:val="left"/>
        </w:tabs>
        <w:numPr>
          <w:ilvl w:val="0"/>
          <w:numId w:val="344"/>
        </w:numPr>
        <w:rPr>
          <w:rFonts w:ascii="Calibri" w:cs="Calibri" w:eastAsia="Calibri" w:hAnsi="Calibri"/>
          <w:sz w:val="20"/>
          <w:szCs w:val="20"/>
          <w:color w:val="auto"/>
        </w:rPr>
      </w:pPr>
      <w:r>
        <w:rPr>
          <w:rFonts w:ascii="Calibri" w:cs="Calibri" w:eastAsia="Calibri" w:hAnsi="Calibri"/>
          <w:sz w:val="20"/>
          <w:szCs w:val="20"/>
          <w:color w:val="auto"/>
        </w:rPr>
        <w:t>The Recipient owns or holds a valid and enforceable license or other authorizaton or right to use, sufcient know-how to operate and maintain the Existng Facilites to manufacture the Product.</w:t>
      </w:r>
    </w:p>
    <w:p>
      <w:pPr>
        <w:spacing w:after="0" w:line="185" w:lineRule="exact"/>
        <w:rPr>
          <w:rFonts w:ascii="Calibri" w:cs="Calibri" w:eastAsia="Calibri" w:hAnsi="Calibri"/>
          <w:sz w:val="20"/>
          <w:szCs w:val="20"/>
          <w:color w:val="auto"/>
        </w:rPr>
      </w:pPr>
    </w:p>
    <w:p>
      <w:pPr>
        <w:ind w:firstLine="1952"/>
        <w:spacing w:after="0" w:line="208" w:lineRule="auto"/>
        <w:tabs>
          <w:tab w:leader="none" w:pos="2592" w:val="left"/>
        </w:tabs>
        <w:numPr>
          <w:ilvl w:val="0"/>
          <w:numId w:val="344"/>
        </w:numPr>
        <w:rPr>
          <w:rFonts w:ascii="Calibri" w:cs="Calibri" w:eastAsia="Calibri" w:hAnsi="Calibri"/>
          <w:sz w:val="20"/>
          <w:szCs w:val="20"/>
          <w:color w:val="auto"/>
        </w:rPr>
      </w:pPr>
      <w:r>
        <w:rPr>
          <w:rFonts w:ascii="Calibri" w:cs="Calibri" w:eastAsia="Calibri" w:hAnsi="Calibri"/>
          <w:sz w:val="20"/>
          <w:szCs w:val="20"/>
          <w:color w:val="auto"/>
        </w:rPr>
        <w:t>There is no agreement that materially restricts Recipient’s ability to use Project IP to achieve any Disbursement Milestone by the respectve Milestone Completon Longstop Date</w:t>
      </w:r>
      <w:r>
        <w:rPr>
          <w:rFonts w:ascii="Calibri" w:cs="Calibri" w:eastAsia="Calibri" w:hAnsi="Calibri"/>
          <w:sz w:val="20"/>
          <w:szCs w:val="20"/>
          <w:i w:val="1"/>
          <w:iCs w:val="1"/>
          <w:color w:val="auto"/>
        </w:rPr>
        <w:t>.</w:t>
      </w:r>
    </w:p>
    <w:p>
      <w:pPr>
        <w:spacing w:after="0" w:line="184" w:lineRule="exact"/>
        <w:rPr>
          <w:sz w:val="20"/>
          <w:szCs w:val="20"/>
          <w:color w:val="auto"/>
        </w:rPr>
      </w:pPr>
    </w:p>
    <w:p>
      <w:pPr>
        <w:jc w:val="both"/>
        <w:ind w:firstLine="648"/>
        <w:spacing w:after="0" w:line="239" w:lineRule="auto"/>
        <w:rPr>
          <w:sz w:val="20"/>
          <w:szCs w:val="20"/>
          <w:color w:val="auto"/>
        </w:rPr>
      </w:pPr>
      <w:r>
        <w:rPr>
          <w:rFonts w:ascii="Calibri" w:cs="Calibri" w:eastAsia="Calibri" w:hAnsi="Calibri"/>
          <w:sz w:val="20"/>
          <w:szCs w:val="20"/>
          <w:color w:val="auto"/>
        </w:rPr>
        <w:t xml:space="preserve">Secton 6.8 </w:t>
      </w:r>
      <w:r>
        <w:rPr>
          <w:rFonts w:ascii="Calibri" w:cs="Calibri" w:eastAsia="Calibri" w:hAnsi="Calibri"/>
          <w:sz w:val="20"/>
          <w:szCs w:val="20"/>
          <w:b w:val="1"/>
          <w:bCs w:val="1"/>
          <w:color w:val="auto"/>
        </w:rPr>
        <w:t>Litgaton.</w:t>
      </w:r>
      <w:r>
        <w:rPr>
          <w:rFonts w:ascii="Calibri" w:cs="Calibri" w:eastAsia="Calibri" w:hAnsi="Calibri"/>
          <w:sz w:val="20"/>
          <w:szCs w:val="20"/>
          <w:color w:val="auto"/>
        </w:rPr>
        <w:t xml:space="preserve"> Except (x) as expressly set forth on Schedule E (</w:t>
      </w:r>
      <w:r>
        <w:rPr>
          <w:rFonts w:ascii="Calibri" w:cs="Calibri" w:eastAsia="Calibri" w:hAnsi="Calibri"/>
          <w:sz w:val="20"/>
          <w:szCs w:val="20"/>
          <w:b w:val="1"/>
          <w:bCs w:val="1"/>
          <w:color w:val="auto"/>
        </w:rPr>
        <w:t>Litgaton</w:t>
      </w:r>
      <w:r>
        <w:rPr>
          <w:rFonts w:ascii="Calibri" w:cs="Calibri" w:eastAsia="Calibri" w:hAnsi="Calibri"/>
          <w:sz w:val="20"/>
          <w:szCs w:val="20"/>
          <w:color w:val="auto"/>
        </w:rPr>
        <w:t>) (as such schedule may be updated from tme to tme upon writen notce to the Department), and (y) as set forth in forms, reports, statements or certfcatons and other documents (including all exhibits, amendments and supplements thereto) furnished to or fled from tme to tme (including afer the date hereof) with the U.S. Securites and Exchange Commission by the Sponsor Guarantor, there is no pending material Acton or, to the Recipient’s Knowledge, threatened Acton (in writng) that the Recipient reasonably believes is likely to result in a material Acton that relates to:</w:t>
      </w:r>
    </w:p>
    <w:p>
      <w:pPr>
        <w:spacing w:after="0" w:line="171" w:lineRule="exact"/>
        <w:rPr>
          <w:sz w:val="20"/>
          <w:szCs w:val="20"/>
          <w:color w:val="auto"/>
        </w:rPr>
      </w:pPr>
    </w:p>
    <w:p>
      <w:pPr>
        <w:ind w:left="1960"/>
        <w:spacing w:after="0"/>
        <w:tabs>
          <w:tab w:leader="none" w:pos="2580" w:val="left"/>
        </w:tabs>
        <w:rPr>
          <w:sz w:val="20"/>
          <w:szCs w:val="20"/>
          <w:color w:val="auto"/>
        </w:rPr>
      </w:pPr>
      <w:r>
        <w:rPr>
          <w:rFonts w:ascii="Calibri" w:cs="Calibri" w:eastAsia="Calibri" w:hAnsi="Calibri"/>
          <w:sz w:val="20"/>
          <w:szCs w:val="20"/>
          <w:color w:val="auto"/>
        </w:rPr>
        <w:t>(a)</w:t>
      </w:r>
      <w:r>
        <w:rPr>
          <w:sz w:val="20"/>
          <w:szCs w:val="20"/>
          <w:color w:val="auto"/>
        </w:rPr>
        <w:tab/>
      </w:r>
      <w:r>
        <w:rPr>
          <w:rFonts w:ascii="Calibri" w:cs="Calibri" w:eastAsia="Calibri" w:hAnsi="Calibri"/>
          <w:sz w:val="20"/>
          <w:szCs w:val="20"/>
          <w:color w:val="auto"/>
        </w:rPr>
        <w:t>the legality, validity or enforceability of any Financing Document or any transacton contemplated</w:t>
      </w:r>
    </w:p>
    <w:p>
      <w:pPr>
        <w:spacing w:after="0" w:line="193" w:lineRule="auto"/>
        <w:rPr>
          <w:sz w:val="20"/>
          <w:szCs w:val="20"/>
          <w:color w:val="auto"/>
        </w:rPr>
      </w:pPr>
      <w:r>
        <w:rPr>
          <w:rFonts w:ascii="Calibri" w:cs="Calibri" w:eastAsia="Calibri" w:hAnsi="Calibri"/>
          <w:sz w:val="20"/>
          <w:szCs w:val="20"/>
          <w:color w:val="auto"/>
        </w:rPr>
        <w:t>thereby;</w:t>
      </w:r>
    </w:p>
    <w:p>
      <w:pPr>
        <w:spacing w:after="0" w:line="174" w:lineRule="exact"/>
        <w:rPr>
          <w:sz w:val="20"/>
          <w:szCs w:val="20"/>
          <w:color w:val="auto"/>
        </w:rPr>
      </w:pPr>
    </w:p>
    <w:p>
      <w:pPr>
        <w:ind w:left="2600" w:hanging="648"/>
        <w:spacing w:after="0"/>
        <w:tabs>
          <w:tab w:leader="none" w:pos="2600" w:val="left"/>
        </w:tabs>
        <w:numPr>
          <w:ilvl w:val="0"/>
          <w:numId w:val="345"/>
        </w:numPr>
        <w:rPr>
          <w:rFonts w:ascii="Calibri" w:cs="Calibri" w:eastAsia="Calibri" w:hAnsi="Calibri"/>
          <w:sz w:val="20"/>
          <w:szCs w:val="20"/>
          <w:color w:val="auto"/>
        </w:rPr>
      </w:pPr>
      <w:r>
        <w:rPr>
          <w:rFonts w:ascii="Calibri" w:cs="Calibri" w:eastAsia="Calibri" w:hAnsi="Calibri"/>
          <w:sz w:val="20"/>
          <w:szCs w:val="20"/>
          <w:color w:val="auto"/>
        </w:rPr>
        <w:t>the Project and that has, or would reasonably be expected to cause, a Material Adverse Efect; or</w:t>
      </w:r>
    </w:p>
    <w:p>
      <w:pPr>
        <w:spacing w:after="0" w:line="184" w:lineRule="exact"/>
        <w:rPr>
          <w:rFonts w:ascii="Calibri" w:cs="Calibri" w:eastAsia="Calibri" w:hAnsi="Calibri"/>
          <w:sz w:val="20"/>
          <w:szCs w:val="20"/>
          <w:color w:val="auto"/>
        </w:rPr>
      </w:pPr>
    </w:p>
    <w:p>
      <w:pPr>
        <w:ind w:firstLine="1952"/>
        <w:spacing w:after="0" w:line="208" w:lineRule="auto"/>
        <w:tabs>
          <w:tab w:leader="none" w:pos="2584" w:val="left"/>
        </w:tabs>
        <w:numPr>
          <w:ilvl w:val="0"/>
          <w:numId w:val="345"/>
        </w:numPr>
        <w:rPr>
          <w:rFonts w:ascii="Calibri" w:cs="Calibri" w:eastAsia="Calibri" w:hAnsi="Calibri"/>
          <w:sz w:val="20"/>
          <w:szCs w:val="20"/>
          <w:color w:val="auto"/>
        </w:rPr>
      </w:pPr>
      <w:r>
        <w:rPr>
          <w:rFonts w:ascii="Calibri" w:cs="Calibri" w:eastAsia="Calibri" w:hAnsi="Calibri"/>
          <w:sz w:val="20"/>
          <w:szCs w:val="20"/>
          <w:color w:val="auto"/>
        </w:rPr>
        <w:t>any Recipient Party that, either individually or in the aggregate, has, or would reasonably be expected to cause, a Material Adverse Efect.</w:t>
      </w:r>
    </w:p>
    <w:p>
      <w:pPr>
        <w:spacing w:after="0" w:line="184"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6.9 </w:t>
      </w:r>
      <w:r>
        <w:rPr>
          <w:rFonts w:ascii="Calibri" w:cs="Calibri" w:eastAsia="Calibri" w:hAnsi="Calibri"/>
          <w:sz w:val="20"/>
          <w:szCs w:val="20"/>
          <w:b w:val="1"/>
          <w:bCs w:val="1"/>
          <w:color w:val="auto"/>
        </w:rPr>
        <w:t>Labor Disputes.</w:t>
      </w:r>
      <w:r>
        <w:rPr>
          <w:rFonts w:ascii="Calibri" w:cs="Calibri" w:eastAsia="Calibri" w:hAnsi="Calibri"/>
          <w:sz w:val="20"/>
          <w:szCs w:val="20"/>
          <w:color w:val="auto"/>
        </w:rPr>
        <w:t xml:space="preserve"> There are no strikes, slowdowns or work stoppages ongoing or threatened in writng by the employees of any Recipient that have caused or would reasonably be expected to cause a Material Adverse Efect.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6.10</w:t>
      </w:r>
      <w:r>
        <w:rPr>
          <w:sz w:val="20"/>
          <w:szCs w:val="20"/>
          <w:color w:val="auto"/>
        </w:rPr>
        <w:tab/>
      </w:r>
      <w:r>
        <w:rPr>
          <w:rFonts w:ascii="Calibri" w:cs="Calibri" w:eastAsia="Calibri" w:hAnsi="Calibri"/>
          <w:sz w:val="19"/>
          <w:szCs w:val="19"/>
          <w:b w:val="1"/>
          <w:bCs w:val="1"/>
          <w:color w:val="auto"/>
        </w:rPr>
        <w:t>Taxes.</w:t>
      </w:r>
    </w:p>
    <w:p>
      <w:pPr>
        <w:spacing w:after="0" w:line="184" w:lineRule="exact"/>
        <w:rPr>
          <w:sz w:val="20"/>
          <w:szCs w:val="20"/>
          <w:color w:val="auto"/>
        </w:rPr>
      </w:pPr>
    </w:p>
    <w:p>
      <w:pPr>
        <w:jc w:val="both"/>
        <w:ind w:firstLine="1952"/>
        <w:spacing w:after="0" w:line="203" w:lineRule="auto"/>
        <w:tabs>
          <w:tab w:leader="none" w:pos="2596" w:val="left"/>
        </w:tabs>
        <w:numPr>
          <w:ilvl w:val="0"/>
          <w:numId w:val="346"/>
        </w:numPr>
        <w:rPr>
          <w:rFonts w:ascii="Calibri" w:cs="Calibri" w:eastAsia="Calibri" w:hAnsi="Calibri"/>
          <w:sz w:val="20"/>
          <w:szCs w:val="20"/>
          <w:color w:val="auto"/>
        </w:rPr>
      </w:pPr>
      <w:r>
        <w:rPr>
          <w:rFonts w:ascii="Calibri" w:cs="Calibri" w:eastAsia="Calibri" w:hAnsi="Calibri"/>
          <w:sz w:val="20"/>
          <w:szCs w:val="20"/>
          <w:color w:val="auto"/>
        </w:rPr>
        <w:t>The Recipient has (i) fled all tax returns required by Applicable Laws to be fled by it; and (ii) has paid: (A) all income Taxes that have become due pursuant to such tax returns; and (B) all other material Taxes and assessments payable by it that have become due (other than those Taxes that it is contestng in good faith and by appropriate proceedings, for which reserves have been established to the extent required by the Applicable Accountng Requirements on the books of the applicable Recipient Party).</w:t>
      </w:r>
    </w:p>
    <w:p>
      <w:pPr>
        <w:spacing w:after="0" w:line="176" w:lineRule="exact"/>
        <w:rPr>
          <w:rFonts w:ascii="Calibri" w:cs="Calibri" w:eastAsia="Calibri" w:hAnsi="Calibri"/>
          <w:sz w:val="20"/>
          <w:szCs w:val="20"/>
          <w:color w:val="auto"/>
        </w:rPr>
      </w:pPr>
    </w:p>
    <w:p>
      <w:pPr>
        <w:ind w:left="2600" w:hanging="648"/>
        <w:spacing w:after="0"/>
        <w:tabs>
          <w:tab w:leader="none" w:pos="2600" w:val="left"/>
        </w:tabs>
        <w:numPr>
          <w:ilvl w:val="0"/>
          <w:numId w:val="346"/>
        </w:numPr>
        <w:rPr>
          <w:rFonts w:ascii="Calibri" w:cs="Calibri" w:eastAsia="Calibri" w:hAnsi="Calibri"/>
          <w:sz w:val="20"/>
          <w:szCs w:val="20"/>
          <w:color w:val="auto"/>
        </w:rPr>
      </w:pPr>
      <w:r>
        <w:rPr>
          <w:rFonts w:ascii="Calibri" w:cs="Calibri" w:eastAsia="Calibri" w:hAnsi="Calibri"/>
          <w:sz w:val="20"/>
          <w:szCs w:val="20"/>
          <w:color w:val="auto"/>
        </w:rPr>
        <w:t>The Recipient has not been convicted of a criminal ofense under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384" w:right="339" w:bottom="1440" w:gutter="0" w:footer="0" w:header="0"/>
        </w:sectPr>
      </w:pPr>
    </w:p>
    <w:bookmarkStart w:id="353" w:name="page354"/>
    <w:bookmarkEnd w:id="353"/>
    <w:p>
      <w:pPr>
        <w:ind w:left="660"/>
        <w:spacing w:after="0"/>
        <w:tabs>
          <w:tab w:leader="none" w:pos="1940" w:val="left"/>
        </w:tabs>
        <w:rPr>
          <w:sz w:val="20"/>
          <w:szCs w:val="20"/>
          <w:color w:val="auto"/>
        </w:rPr>
      </w:pPr>
      <w:r>
        <w:rPr>
          <w:rFonts w:ascii="Calibri" w:cs="Calibri" w:eastAsia="Calibri" w:hAnsi="Calibri"/>
          <w:sz w:val="20"/>
          <w:szCs w:val="20"/>
          <w:color w:val="auto"/>
        </w:rPr>
        <w:t>Secton 6.11</w:t>
      </w:r>
      <w:r>
        <w:rPr>
          <w:sz w:val="20"/>
          <w:szCs w:val="20"/>
          <w:color w:val="auto"/>
        </w:rPr>
        <w:tab/>
      </w:r>
      <w:r>
        <w:rPr>
          <w:rFonts w:ascii="Calibri" w:cs="Calibri" w:eastAsia="Calibri" w:hAnsi="Calibri"/>
          <w:sz w:val="20"/>
          <w:szCs w:val="20"/>
          <w:b w:val="1"/>
          <w:bCs w:val="1"/>
          <w:color w:val="auto"/>
        </w:rPr>
        <w:t>Financial Statements.</w:t>
      </w:r>
    </w:p>
    <w:p>
      <w:pPr>
        <w:spacing w:after="0" w:line="184" w:lineRule="exact"/>
        <w:rPr>
          <w:sz w:val="20"/>
          <w:szCs w:val="20"/>
          <w:color w:val="auto"/>
        </w:rPr>
      </w:pPr>
    </w:p>
    <w:p>
      <w:pPr>
        <w:jc w:val="both"/>
        <w:ind w:firstLine="1952"/>
        <w:spacing w:after="0" w:line="199" w:lineRule="auto"/>
        <w:tabs>
          <w:tab w:leader="none" w:pos="2596" w:val="left"/>
        </w:tabs>
        <w:numPr>
          <w:ilvl w:val="0"/>
          <w:numId w:val="347"/>
        </w:numPr>
        <w:rPr>
          <w:rFonts w:ascii="Calibri" w:cs="Calibri" w:eastAsia="Calibri" w:hAnsi="Calibri"/>
          <w:sz w:val="20"/>
          <w:szCs w:val="20"/>
          <w:color w:val="auto"/>
        </w:rPr>
      </w:pPr>
      <w:r>
        <w:rPr>
          <w:rFonts w:ascii="Calibri" w:cs="Calibri" w:eastAsia="Calibri" w:hAnsi="Calibri"/>
          <w:sz w:val="20"/>
          <w:szCs w:val="20"/>
          <w:color w:val="auto"/>
        </w:rPr>
        <w:t>Each of the Financial Statements of each Recipient Party delivered to the Department pursuant to Annex F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(i) has been prepared in accordance with the Applicable Accountng Requirements, on a Consolidated Basis, and presents fairly, in all material respects, the fnancial conditon of such Recipient Party as of the respectve dates of the Financial Statements for the respectve periods covered therein; and (ii) refects all liabilites or obligatons of such Recipient Party and other informaton of any nature whatsoever for the period to which such Financial Statements relate and that are required to be disclosed in accordance with Applicable Accountng Requirements.</w:t>
      </w:r>
    </w:p>
    <w:p>
      <w:pPr>
        <w:spacing w:after="0" w:line="189"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47"/>
        </w:numPr>
        <w:rPr>
          <w:rFonts w:ascii="Calibri" w:cs="Calibri" w:eastAsia="Calibri" w:hAnsi="Calibri"/>
          <w:sz w:val="20"/>
          <w:szCs w:val="20"/>
          <w:color w:val="auto"/>
        </w:rPr>
      </w:pPr>
      <w:r>
        <w:rPr>
          <w:rFonts w:ascii="Calibri" w:cs="Calibri" w:eastAsia="Calibri" w:hAnsi="Calibri"/>
          <w:sz w:val="20"/>
          <w:szCs w:val="20"/>
          <w:color w:val="auto"/>
        </w:rPr>
        <w:t>Since the date of delivery of such Financial Statements, or the respectve date of such Financial Statements, whichever is earlier, such Recipient Party, has not incurred or assumed any liabilites or obligatons that would be required to be recognized in such Financial Statements in accordance with the Applicable Accountng Requirements, except to the extent such liabilites or obligatons have been disclosed to the Department in writng.</w:t>
      </w:r>
    </w:p>
    <w:p>
      <w:pPr>
        <w:spacing w:after="0" w:line="163"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6.12</w:t>
      </w:r>
      <w:r>
        <w:rPr>
          <w:sz w:val="20"/>
          <w:szCs w:val="20"/>
          <w:color w:val="auto"/>
        </w:rPr>
        <w:tab/>
      </w:r>
      <w:r>
        <w:rPr>
          <w:rFonts w:ascii="Calibri" w:cs="Calibri" w:eastAsia="Calibri" w:hAnsi="Calibri"/>
          <w:sz w:val="20"/>
          <w:szCs w:val="20"/>
          <w:b w:val="1"/>
          <w:bCs w:val="1"/>
          <w:color w:val="auto"/>
        </w:rPr>
        <w:t>Contracts; Other Transactons.</w:t>
      </w:r>
    </w:p>
    <w:p>
      <w:pPr>
        <w:spacing w:after="0" w:line="184" w:lineRule="exact"/>
        <w:rPr>
          <w:sz w:val="20"/>
          <w:szCs w:val="20"/>
          <w:color w:val="auto"/>
        </w:rPr>
      </w:pPr>
    </w:p>
    <w:p>
      <w:pPr>
        <w:ind w:firstLine="1952"/>
        <w:spacing w:after="0" w:line="214" w:lineRule="auto"/>
        <w:tabs>
          <w:tab w:leader="none" w:pos="2596" w:val="left"/>
        </w:tabs>
        <w:numPr>
          <w:ilvl w:val="0"/>
          <w:numId w:val="348"/>
        </w:numPr>
        <w:rPr>
          <w:rFonts w:ascii="Calibri" w:cs="Calibri" w:eastAsia="Calibri" w:hAnsi="Calibri"/>
          <w:sz w:val="20"/>
          <w:szCs w:val="20"/>
          <w:color w:val="auto"/>
        </w:rPr>
      </w:pPr>
      <w:r>
        <w:rPr>
          <w:rFonts w:ascii="Calibri" w:cs="Calibri" w:eastAsia="Calibri" w:hAnsi="Calibri"/>
          <w:sz w:val="20"/>
          <w:szCs w:val="20"/>
          <w:color w:val="auto"/>
        </w:rPr>
        <w:t>Except as expressly set forth on Schedule E (</w:t>
      </w:r>
      <w:r>
        <w:rPr>
          <w:rFonts w:ascii="Calibri" w:cs="Calibri" w:eastAsia="Calibri" w:hAnsi="Calibri"/>
          <w:sz w:val="20"/>
          <w:szCs w:val="20"/>
          <w:b w:val="1"/>
          <w:bCs w:val="1"/>
          <w:color w:val="auto"/>
        </w:rPr>
        <w:t>Afliate Transacton</w:t>
      </w:r>
      <w:r>
        <w:rPr>
          <w:rFonts w:ascii="Calibri" w:cs="Calibri" w:eastAsia="Calibri" w:hAnsi="Calibri"/>
          <w:sz w:val="20"/>
          <w:szCs w:val="20"/>
          <w:color w:val="auto"/>
        </w:rPr>
        <w:t>) or as set forth in clause (b) below, the Recipient is not a party to any contract or agreement with, and does not have any other loan commitment to, any Afliate.</w:t>
      </w:r>
    </w:p>
    <w:p>
      <w:pPr>
        <w:spacing w:after="0" w:line="172"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348"/>
        </w:numPr>
        <w:rPr>
          <w:rFonts w:ascii="Calibri" w:cs="Calibri" w:eastAsia="Calibri" w:hAnsi="Calibri"/>
          <w:sz w:val="20"/>
          <w:szCs w:val="20"/>
          <w:color w:val="auto"/>
        </w:rPr>
      </w:pPr>
      <w:r>
        <w:rPr>
          <w:rFonts w:ascii="Calibri" w:cs="Calibri" w:eastAsia="Calibri" w:hAnsi="Calibri"/>
          <w:sz w:val="20"/>
          <w:szCs w:val="20"/>
          <w:color w:val="auto"/>
        </w:rPr>
        <w:t>The Recipient has not (i) entered into any transacton or series of related transactons with respect to the Project with any Person (including any Afliate) other than in the ordinary course of business and on an arm’s-length basis; or (ii) entered into any transacton with respect to the Project whereby the Recipient might pay more than the fair market value for products of others.</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348"/>
        </w:numPr>
        <w:rPr>
          <w:rFonts w:ascii="Calibri" w:cs="Calibri" w:eastAsia="Calibri" w:hAnsi="Calibri"/>
          <w:sz w:val="20"/>
          <w:szCs w:val="20"/>
          <w:color w:val="auto"/>
        </w:rPr>
      </w:pPr>
      <w:r>
        <w:rPr>
          <w:rFonts w:ascii="Calibri" w:cs="Calibri" w:eastAsia="Calibri" w:hAnsi="Calibri"/>
          <w:sz w:val="20"/>
          <w:szCs w:val="20"/>
          <w:color w:val="auto"/>
        </w:rPr>
        <w:t>The Recipient has no Subsidiaries and does not legally or benefcially own any Equity Interests of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other Person.</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6.13</w:t>
      </w:r>
      <w:r>
        <w:rPr>
          <w:sz w:val="20"/>
          <w:szCs w:val="20"/>
          <w:color w:val="auto"/>
        </w:rPr>
        <w:tab/>
      </w:r>
      <w:r>
        <w:rPr>
          <w:rFonts w:ascii="Calibri" w:cs="Calibri" w:eastAsia="Calibri" w:hAnsi="Calibri"/>
          <w:sz w:val="20"/>
          <w:szCs w:val="20"/>
          <w:b w:val="1"/>
          <w:bCs w:val="1"/>
          <w:color w:val="auto"/>
        </w:rPr>
        <w:t>Constructon and Tool Installaton Budget; Project Schedule.</w:t>
      </w:r>
    </w:p>
    <w:p>
      <w:pPr>
        <w:spacing w:after="0" w:line="174" w:lineRule="exact"/>
        <w:rPr>
          <w:sz w:val="20"/>
          <w:szCs w:val="20"/>
          <w:color w:val="auto"/>
        </w:rPr>
      </w:pPr>
    </w:p>
    <w:p>
      <w:pPr>
        <w:ind w:left="2600" w:hanging="648"/>
        <w:spacing w:after="0"/>
        <w:tabs>
          <w:tab w:leader="none" w:pos="2600" w:val="left"/>
        </w:tabs>
        <w:numPr>
          <w:ilvl w:val="0"/>
          <w:numId w:val="349"/>
        </w:numPr>
        <w:rPr>
          <w:rFonts w:ascii="Calibri" w:cs="Calibri" w:eastAsia="Calibri" w:hAnsi="Calibri"/>
          <w:sz w:val="20"/>
          <w:szCs w:val="20"/>
          <w:color w:val="auto"/>
        </w:rPr>
      </w:pPr>
      <w:r>
        <w:rPr>
          <w:rFonts w:ascii="Calibri" w:cs="Calibri" w:eastAsia="Calibri" w:hAnsi="Calibri"/>
          <w:sz w:val="20"/>
          <w:szCs w:val="20"/>
          <w:color w:val="auto"/>
        </w:rPr>
        <w:t>The Constructon and Tool Installaton Budget as of the Award Date and each Disbursement Date:</w:t>
      </w:r>
    </w:p>
    <w:p>
      <w:pPr>
        <w:spacing w:after="0" w:line="184" w:lineRule="exact"/>
        <w:rPr>
          <w:rFonts w:ascii="Calibri" w:cs="Calibri" w:eastAsia="Calibri" w:hAnsi="Calibri"/>
          <w:sz w:val="20"/>
          <w:szCs w:val="20"/>
          <w:color w:val="auto"/>
        </w:rPr>
      </w:pPr>
    </w:p>
    <w:p>
      <w:pPr>
        <w:ind w:right="20" w:firstLine="2600"/>
        <w:spacing w:after="0" w:line="208" w:lineRule="auto"/>
        <w:tabs>
          <w:tab w:leader="none" w:pos="3234" w:val="left"/>
        </w:tabs>
        <w:numPr>
          <w:ilvl w:val="1"/>
          <w:numId w:val="349"/>
        </w:numPr>
        <w:rPr>
          <w:rFonts w:ascii="Calibri" w:cs="Calibri" w:eastAsia="Calibri" w:hAnsi="Calibri"/>
          <w:sz w:val="20"/>
          <w:szCs w:val="20"/>
          <w:color w:val="auto"/>
        </w:rPr>
      </w:pPr>
      <w:r>
        <w:rPr>
          <w:rFonts w:ascii="Calibri" w:cs="Calibri" w:eastAsia="Calibri" w:hAnsi="Calibri"/>
          <w:sz w:val="20"/>
          <w:szCs w:val="20"/>
          <w:color w:val="auto"/>
        </w:rPr>
        <w:t>is complete, in all material respects, and based upon assumptons believed by the Recipient to be reasonable as of the tme such Constructon and Tool Installaton Budget was prepared;</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349"/>
        </w:numPr>
        <w:rPr>
          <w:rFonts w:ascii="Calibri" w:cs="Calibri" w:eastAsia="Calibri" w:hAnsi="Calibri"/>
          <w:sz w:val="20"/>
          <w:szCs w:val="20"/>
          <w:color w:val="auto"/>
        </w:rPr>
      </w:pPr>
      <w:r>
        <w:rPr>
          <w:rFonts w:ascii="Calibri" w:cs="Calibri" w:eastAsia="Calibri" w:hAnsi="Calibri"/>
          <w:sz w:val="20"/>
          <w:szCs w:val="20"/>
          <w:color w:val="auto"/>
        </w:rPr>
        <w:t>is consistent, in all material respects, with the provisions of the applicable Project Documents;</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and</w:t>
      </w:r>
    </w:p>
    <w:p>
      <w:pPr>
        <w:spacing w:after="0" w:line="160" w:lineRule="exact"/>
        <w:rPr>
          <w:rFonts w:ascii="Calibri" w:cs="Calibri" w:eastAsia="Calibri" w:hAnsi="Calibri"/>
          <w:sz w:val="20"/>
          <w:szCs w:val="20"/>
          <w:color w:val="auto"/>
        </w:rPr>
      </w:pPr>
    </w:p>
    <w:p>
      <w:pPr>
        <w:ind w:left="3260" w:hanging="660"/>
        <w:spacing w:after="0"/>
        <w:tabs>
          <w:tab w:leader="none" w:pos="3260" w:val="left"/>
        </w:tabs>
        <w:numPr>
          <w:ilvl w:val="1"/>
          <w:numId w:val="349"/>
        </w:numPr>
        <w:rPr>
          <w:rFonts w:ascii="Calibri" w:cs="Calibri" w:eastAsia="Calibri" w:hAnsi="Calibri"/>
          <w:sz w:val="20"/>
          <w:szCs w:val="20"/>
          <w:color w:val="auto"/>
        </w:rPr>
      </w:pPr>
      <w:r>
        <w:rPr>
          <w:rFonts w:ascii="Calibri" w:cs="Calibri" w:eastAsia="Calibri" w:hAnsi="Calibri"/>
          <w:sz w:val="20"/>
          <w:szCs w:val="20"/>
          <w:color w:val="auto"/>
        </w:rPr>
        <w:t>has been prepared in good faith and with due care.</w:t>
      </w:r>
    </w:p>
    <w:p>
      <w:pPr>
        <w:spacing w:after="0" w:line="184"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49"/>
        </w:numPr>
        <w:rPr>
          <w:rFonts w:ascii="Calibri" w:cs="Calibri" w:eastAsia="Calibri" w:hAnsi="Calibri"/>
          <w:sz w:val="20"/>
          <w:szCs w:val="20"/>
          <w:color w:val="auto"/>
        </w:rPr>
      </w:pPr>
      <w:r>
        <w:rPr>
          <w:rFonts w:ascii="Calibri" w:cs="Calibri" w:eastAsia="Calibri" w:hAnsi="Calibri"/>
          <w:sz w:val="20"/>
          <w:szCs w:val="20"/>
          <w:color w:val="auto"/>
        </w:rPr>
        <w:t>With respect to the Project, the Constructon and Tool Installaton Budget as of the Award Date and each Disbursement Date represents the Recipient’s best estmate of Total Project Costs antcipated to be incurred to achieve the Project Completon Date for the Project by the fnal Milestone Completon Longstop Date set forth in Schedule B (</w:t>
      </w:r>
      <w:r>
        <w:rPr>
          <w:rFonts w:ascii="Calibri" w:cs="Calibri" w:eastAsia="Calibri" w:hAnsi="Calibri"/>
          <w:sz w:val="20"/>
          <w:szCs w:val="20"/>
          <w:b w:val="1"/>
          <w:bCs w:val="1"/>
          <w:color w:val="auto"/>
        </w:rPr>
        <w:t>Project Milestone Schedule</w:t>
      </w:r>
      <w:r>
        <w:rPr>
          <w:rFonts w:ascii="Calibri" w:cs="Calibri" w:eastAsia="Calibri" w:hAnsi="Calibri"/>
          <w:sz w:val="20"/>
          <w:szCs w:val="20"/>
          <w:color w:val="auto"/>
        </w:rPr>
        <w:t>) based on reasonable assumptons as of the tme such Constructon and Tool Installaton Budget was prepared.</w:t>
      </w:r>
    </w:p>
    <w:p>
      <w:pPr>
        <w:spacing w:after="0" w:line="186" w:lineRule="exact"/>
        <w:rPr>
          <w:rFonts w:ascii="Calibri" w:cs="Calibri" w:eastAsia="Calibri" w:hAnsi="Calibri"/>
          <w:sz w:val="20"/>
          <w:szCs w:val="20"/>
          <w:color w:val="auto"/>
        </w:rPr>
      </w:pPr>
    </w:p>
    <w:p>
      <w:pPr>
        <w:jc w:val="both"/>
        <w:ind w:firstLine="1952"/>
        <w:spacing w:after="0"/>
        <w:tabs>
          <w:tab w:leader="none" w:pos="2584" w:val="left"/>
        </w:tabs>
        <w:numPr>
          <w:ilvl w:val="0"/>
          <w:numId w:val="349"/>
        </w:numPr>
        <w:rPr>
          <w:rFonts w:ascii="Calibri" w:cs="Calibri" w:eastAsia="Calibri" w:hAnsi="Calibri"/>
          <w:sz w:val="20"/>
          <w:szCs w:val="20"/>
          <w:color w:val="auto"/>
        </w:rPr>
      </w:pPr>
      <w:r>
        <w:rPr>
          <w:rFonts w:ascii="Calibri" w:cs="Calibri" w:eastAsia="Calibri" w:hAnsi="Calibri"/>
          <w:sz w:val="20"/>
          <w:szCs w:val="20"/>
          <w:color w:val="auto"/>
        </w:rPr>
        <w:t>As of the applicable Disbursement Date, (i) no Constructon and Tool Installaton Budget for the Project has been amended or changed to refect that the Total Project Costs for the Project exceed ffeen percent (15%) (or ten percent (10%) if the Sponsor Guarantor does not hold an Investment Grade Ratng as of such Disbursement Date) of the Total Project Costs for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ectPr>
          <w:pgSz w:w="11900" w:h="16838" w:orient="portrait"/>
          <w:cols w:equalWidth="0" w:num="1">
            <w:col w:w="11240"/>
          </w:cols>
          <w:pgMar w:left="320" w:top="1374" w:right="339" w:bottom="1440" w:gutter="0" w:footer="0" w:header="0"/>
        </w:sectPr>
      </w:pPr>
    </w:p>
    <w:bookmarkStart w:id="354" w:name="page355"/>
    <w:bookmarkEnd w:id="354"/>
    <w:p>
      <w:pPr>
        <w:jc w:val="both"/>
        <w:spacing w:after="0" w:line="202" w:lineRule="auto"/>
        <w:rPr>
          <w:sz w:val="20"/>
          <w:szCs w:val="20"/>
          <w:color w:val="auto"/>
        </w:rPr>
      </w:pPr>
      <w:r>
        <w:rPr>
          <w:rFonts w:ascii="Calibri" w:cs="Calibri" w:eastAsia="Calibri" w:hAnsi="Calibri"/>
          <w:sz w:val="20"/>
          <w:szCs w:val="20"/>
          <w:color w:val="auto"/>
        </w:rPr>
        <w:t>as set forth in the Base Case Financial Model; or (ii) (A) the Constructon and Tool Installaton Budget for the Project has been amended or changed to refect that the Total Project Costs for the Project exceed ffeen percent (15%) (or ten percent (10%) if the Sponsor Guarantor does not hold an Investment Grade Ratng as of such Disbursement Date) of the Total Project Costs for the Project as set forth in the Base Case Financial Model; and (B) the Recipient is commited to contnue implementaton of the Project and does not have any intentons to Abandon the Project.</w:t>
      </w:r>
    </w:p>
    <w:p>
      <w:pPr>
        <w:spacing w:after="0" w:line="174" w:lineRule="exact"/>
        <w:rPr>
          <w:sz w:val="20"/>
          <w:szCs w:val="20"/>
          <w:color w:val="auto"/>
        </w:rPr>
      </w:pPr>
    </w:p>
    <w:p>
      <w:pPr>
        <w:ind w:firstLine="1952"/>
        <w:spacing w:after="0" w:line="214" w:lineRule="auto"/>
        <w:tabs>
          <w:tab w:leader="none" w:pos="2592" w:val="left"/>
        </w:tabs>
        <w:numPr>
          <w:ilvl w:val="0"/>
          <w:numId w:val="350"/>
        </w:numPr>
        <w:rPr>
          <w:rFonts w:ascii="Calibri" w:cs="Calibri" w:eastAsia="Calibri" w:hAnsi="Calibri"/>
          <w:sz w:val="20"/>
          <w:szCs w:val="20"/>
          <w:color w:val="auto"/>
        </w:rPr>
      </w:pPr>
      <w:r>
        <w:rPr>
          <w:rFonts w:ascii="Calibri" w:cs="Calibri" w:eastAsia="Calibri" w:hAnsi="Calibri"/>
          <w:sz w:val="20"/>
          <w:szCs w:val="20"/>
          <w:color w:val="auto"/>
        </w:rPr>
        <w:t>The Recipient’s good faith estmate and belief is that, for the Project, the Project Completon Date will occur no later than the Project Completon Clawback Date.</w:t>
      </w:r>
    </w:p>
    <w:p>
      <w:pPr>
        <w:spacing w:after="0" w:line="186"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6.14 </w:t>
      </w:r>
      <w:r>
        <w:rPr>
          <w:rFonts w:ascii="Calibri" w:cs="Calibri" w:eastAsia="Calibri" w:hAnsi="Calibri"/>
          <w:sz w:val="20"/>
          <w:szCs w:val="20"/>
          <w:b w:val="1"/>
          <w:bCs w:val="1"/>
          <w:color w:val="auto"/>
        </w:rPr>
        <w:t>Adequate Project Funding.</w:t>
      </w:r>
      <w:r>
        <w:rPr>
          <w:rFonts w:ascii="Calibri" w:cs="Calibri" w:eastAsia="Calibri" w:hAnsi="Calibri"/>
          <w:sz w:val="20"/>
          <w:szCs w:val="20"/>
          <w:color w:val="auto"/>
        </w:rPr>
        <w:t xml:space="preserve"> The Total Funding Available for the Project (taking into account the fnancial resources of the Sponsor Guarantor to increase its Equity Commitment thereunder) will be sufcient to pay all remaining Project Costs for the Project and to achieve the Project Completon Date for the Project by no later than the fnal Milestone Completon Longstop Date set forth in the Disbursement Milestone Schedule for the Project.</w:t>
      </w:r>
    </w:p>
    <w:p>
      <w:pPr>
        <w:spacing w:after="0" w:line="163"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6.15</w:t>
      </w:r>
      <w:r>
        <w:rPr>
          <w:sz w:val="20"/>
          <w:szCs w:val="20"/>
          <w:color w:val="auto"/>
        </w:rPr>
        <w:tab/>
      </w:r>
      <w:r>
        <w:rPr>
          <w:rFonts w:ascii="Calibri" w:cs="Calibri" w:eastAsia="Calibri" w:hAnsi="Calibri"/>
          <w:sz w:val="20"/>
          <w:szCs w:val="20"/>
          <w:b w:val="1"/>
          <w:bCs w:val="1"/>
          <w:color w:val="auto"/>
        </w:rPr>
        <w:t>Environmental Laws.</w:t>
      </w:r>
    </w:p>
    <w:p>
      <w:pPr>
        <w:spacing w:after="0" w:line="184" w:lineRule="exact"/>
        <w:rPr>
          <w:sz w:val="20"/>
          <w:szCs w:val="20"/>
          <w:color w:val="auto"/>
        </w:rPr>
      </w:pPr>
    </w:p>
    <w:p>
      <w:pPr>
        <w:jc w:val="both"/>
        <w:ind w:firstLine="1952"/>
        <w:spacing w:after="0" w:line="203" w:lineRule="auto"/>
        <w:tabs>
          <w:tab w:leader="none" w:pos="2596" w:val="left"/>
        </w:tabs>
        <w:numPr>
          <w:ilvl w:val="0"/>
          <w:numId w:val="351"/>
        </w:numPr>
        <w:rPr>
          <w:rFonts w:ascii="Calibri" w:cs="Calibri" w:eastAsia="Calibri" w:hAnsi="Calibri"/>
          <w:sz w:val="20"/>
          <w:szCs w:val="20"/>
          <w:color w:val="auto"/>
        </w:rPr>
      </w:pPr>
      <w:r>
        <w:rPr>
          <w:rFonts w:ascii="Calibri" w:cs="Calibri" w:eastAsia="Calibri" w:hAnsi="Calibri"/>
          <w:sz w:val="20"/>
          <w:szCs w:val="20"/>
          <w:color w:val="auto"/>
        </w:rPr>
        <w:t>All Required Approvals that are required to be obtained for the Project as of each date on which this representaton is given relatng to (i) air emissions; (ii) discharges to surface water or ground water; (iii) noise emissions; (iv) the use, generaton, storage, transportaton or disposal of Hazardous Substances; or (v) otherwise required under applicable Environmental Law have been obtained.</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51"/>
        </w:numPr>
        <w:rPr>
          <w:rFonts w:ascii="Calibri" w:cs="Calibri" w:eastAsia="Calibri" w:hAnsi="Calibri"/>
          <w:sz w:val="20"/>
          <w:szCs w:val="20"/>
          <w:color w:val="auto"/>
        </w:rPr>
      </w:pPr>
      <w:r>
        <w:rPr>
          <w:rFonts w:ascii="Calibri" w:cs="Calibri" w:eastAsia="Calibri" w:hAnsi="Calibri"/>
          <w:sz w:val="20"/>
          <w:szCs w:val="20"/>
          <w:color w:val="auto"/>
        </w:rPr>
        <w:t>The Recipient has not received, and is not aware of, any facts or circumstances that would reasonably be expected to result in, any complaint, order, directve, claim, citaton or notce arising under Environmental Law by any Governmental Authority that has, or would reasonably be expected to become, material.</w:t>
      </w:r>
    </w:p>
    <w:p>
      <w:pPr>
        <w:spacing w:after="0" w:line="170"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351"/>
        </w:numPr>
        <w:rPr>
          <w:rFonts w:ascii="Calibri" w:cs="Calibri" w:eastAsia="Calibri" w:hAnsi="Calibri"/>
          <w:sz w:val="20"/>
          <w:szCs w:val="20"/>
          <w:color w:val="auto"/>
        </w:rPr>
      </w:pPr>
      <w:r>
        <w:rPr>
          <w:rFonts w:ascii="Calibri" w:cs="Calibri" w:eastAsia="Calibri" w:hAnsi="Calibri"/>
          <w:sz w:val="20"/>
          <w:szCs w:val="20"/>
          <w:color w:val="auto"/>
        </w:rPr>
        <w:t>The Recipient has not received notce of, and is not aware of, any conditon, circumstance, acton, actvity or event with respect to the Project, the Recipient, or the Project Site that would reasonably form the basis of any material violaton of any Environmental Law or that would reasonably be expected to have a Material Adverse Efect.</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351"/>
        </w:numPr>
        <w:rPr>
          <w:rFonts w:ascii="Calibri" w:cs="Calibri" w:eastAsia="Calibri" w:hAnsi="Calibri"/>
          <w:sz w:val="20"/>
          <w:szCs w:val="20"/>
          <w:color w:val="auto"/>
        </w:rPr>
      </w:pPr>
      <w:r>
        <w:rPr>
          <w:rFonts w:ascii="Calibri" w:cs="Calibri" w:eastAsia="Calibri" w:hAnsi="Calibri"/>
          <w:sz w:val="20"/>
          <w:szCs w:val="20"/>
          <w:color w:val="auto"/>
        </w:rPr>
        <w:t>The Recipient is in compliance with all applicable Environmental Laws in all material respects.</w:t>
      </w:r>
    </w:p>
    <w:p>
      <w:pPr>
        <w:spacing w:after="0" w:line="184" w:lineRule="exact"/>
        <w:rPr>
          <w:rFonts w:ascii="Calibri" w:cs="Calibri" w:eastAsia="Calibri" w:hAnsi="Calibri"/>
          <w:sz w:val="20"/>
          <w:szCs w:val="20"/>
          <w:color w:val="auto"/>
        </w:rPr>
      </w:pPr>
    </w:p>
    <w:p>
      <w:pPr>
        <w:jc w:val="both"/>
        <w:ind w:firstLine="1952"/>
        <w:spacing w:after="0" w:line="202" w:lineRule="auto"/>
        <w:tabs>
          <w:tab w:leader="none" w:pos="2586" w:val="left"/>
        </w:tabs>
        <w:numPr>
          <w:ilvl w:val="0"/>
          <w:numId w:val="351"/>
        </w:numPr>
        <w:rPr>
          <w:rFonts w:ascii="Calibri" w:cs="Calibri" w:eastAsia="Calibri" w:hAnsi="Calibri"/>
          <w:sz w:val="20"/>
          <w:szCs w:val="20"/>
          <w:color w:val="auto"/>
        </w:rPr>
      </w:pPr>
      <w:r>
        <w:rPr>
          <w:rFonts w:ascii="Calibri" w:cs="Calibri" w:eastAsia="Calibri" w:hAnsi="Calibri"/>
          <w:sz w:val="20"/>
          <w:szCs w:val="20"/>
          <w:color w:val="auto"/>
        </w:rPr>
        <w:t>None of the Recipient, any Recipient Party nor, to the Recipient’s Knowledge, any other Person, has used, generated, manufactured, produced, stored, or Released, on, under or about any Facility or transported thereto or therefrom, any Hazardous Substances in a manner that would reasonably be expected to: (i) form the basis of a material Environmental Claim by a Governmental Authority; (ii) cause the Project to be in violaton of any Environmental Law in material respect; or (iii) have a Material Adverse Efect; or (iv) result in material harm to the environment, health or safety;</w:t>
      </w:r>
    </w:p>
    <w:p>
      <w:pPr>
        <w:spacing w:after="0" w:line="20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provided that, notwithstanding the foregoing, the Recipient does not make any representaton or warrantes under clauses (a)-(e) above with respect to any actual or potental violatons of Environmental Law, harm, or efect that involve only minor or technical infractons, which (A) were voluntarily disclosed to the relevant Governmental Authority within sixty (60) days of the Recipient Party becoming aware of the violaton; or (B) otherwise could not reasonably be expected to give rise to an enforcement acton that results in a fne or penalty by any Governmental Authority in excess of one million Dollars ($1,000,000).</w:t>
      </w:r>
    </w:p>
    <w:p>
      <w:pPr>
        <w:spacing w:after="0" w:line="17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6.16</w:t>
      </w:r>
      <w:r>
        <w:rPr>
          <w:sz w:val="20"/>
          <w:szCs w:val="20"/>
          <w:color w:val="auto"/>
        </w:rPr>
        <w:tab/>
      </w:r>
      <w:r>
        <w:rPr>
          <w:rFonts w:ascii="Calibri" w:cs="Calibri" w:eastAsia="Calibri" w:hAnsi="Calibri"/>
          <w:sz w:val="20"/>
          <w:szCs w:val="20"/>
          <w:b w:val="1"/>
          <w:bCs w:val="1"/>
          <w:color w:val="auto"/>
        </w:rPr>
        <w:t>Federal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240"/>
          </w:cols>
          <w:pgMar w:left="320" w:top="1384" w:right="339" w:bottom="1440" w:gutter="0" w:footer="0" w:header="0"/>
        </w:sectPr>
      </w:pPr>
    </w:p>
    <w:bookmarkStart w:id="355" w:name="page356"/>
    <w:bookmarkEnd w:id="355"/>
    <w:p>
      <w:pPr>
        <w:ind w:firstLine="1952"/>
        <w:spacing w:after="0" w:line="214" w:lineRule="auto"/>
        <w:tabs>
          <w:tab w:leader="none" w:pos="2596" w:val="left"/>
        </w:tabs>
        <w:numPr>
          <w:ilvl w:val="0"/>
          <w:numId w:val="35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Davis-Bacon Act Requirements. </w:t>
      </w:r>
      <w:r>
        <w:rPr>
          <w:rFonts w:ascii="Calibri" w:cs="Calibri" w:eastAsia="Calibri" w:hAnsi="Calibri"/>
          <w:sz w:val="20"/>
          <w:szCs w:val="20"/>
          <w:color w:val="auto"/>
        </w:rPr>
        <w:t>Each representaton and warranty set forth in Secton 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Representatons and Warrantes</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is true and correct.</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352"/>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352"/>
        </w:numPr>
        <w:rPr>
          <w:rFonts w:ascii="Calibri" w:cs="Calibri" w:eastAsia="Calibri" w:hAnsi="Calibri"/>
          <w:sz w:val="20"/>
          <w:szCs w:val="20"/>
          <w:color w:val="auto"/>
        </w:rPr>
      </w:pPr>
      <w:r>
        <w:rPr>
          <w:rFonts w:ascii="Calibri" w:cs="Calibri" w:eastAsia="Calibri" w:hAnsi="Calibri"/>
          <w:sz w:val="20"/>
          <w:szCs w:val="20"/>
          <w:color w:val="auto"/>
        </w:rPr>
        <w:t>Each Recipient Party is in compliance with all applicable Guardrail Provisions.</w:t>
      </w:r>
    </w:p>
    <w:p>
      <w:pPr>
        <w:spacing w:after="0" w:line="184"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1"/>
          <w:numId w:val="352"/>
        </w:numPr>
        <w:rPr>
          <w:rFonts w:ascii="Calibri" w:cs="Calibri" w:eastAsia="Calibri" w:hAnsi="Calibri"/>
          <w:sz w:val="20"/>
          <w:szCs w:val="20"/>
          <w:color w:val="auto"/>
        </w:rPr>
      </w:pPr>
      <w:r>
        <w:rPr>
          <w:rFonts w:ascii="Calibri" w:cs="Calibri" w:eastAsia="Calibri" w:hAnsi="Calibri"/>
          <w:sz w:val="20"/>
          <w:szCs w:val="20"/>
          <w:color w:val="auto"/>
        </w:rPr>
        <w:t>Each of the lists of existng facilites and ongoing Joint Research and Technology Licensing, each as atached as Appendix 1 to the Guardrail Provisions, is true and correct, and such appendices memorialize all informaton required to be set forth herein pursuant to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and Secton 2 (</w:t>
      </w:r>
      <w:r>
        <w:rPr>
          <w:rFonts w:ascii="Calibri" w:cs="Calibri" w:eastAsia="Calibri" w:hAnsi="Calibri"/>
          <w:sz w:val="20"/>
          <w:szCs w:val="20"/>
          <w:b w:val="1"/>
          <w:bCs w:val="1"/>
          <w:color w:val="auto"/>
        </w:rPr>
        <w:t>Prohibiton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of the Guardrail Provisions.</w:t>
      </w:r>
    </w:p>
    <w:p>
      <w:pPr>
        <w:spacing w:after="0" w:line="173" w:lineRule="exact"/>
        <w:rPr>
          <w:rFonts w:ascii="Calibri" w:cs="Calibri" w:eastAsia="Calibri" w:hAnsi="Calibri"/>
          <w:sz w:val="20"/>
          <w:szCs w:val="20"/>
          <w:color w:val="auto"/>
        </w:rPr>
      </w:pPr>
    </w:p>
    <w:p>
      <w:pPr>
        <w:jc w:val="both"/>
        <w:ind w:firstLine="2600"/>
        <w:spacing w:after="0" w:line="203" w:lineRule="auto"/>
        <w:tabs>
          <w:tab w:leader="none" w:pos="3246" w:val="left"/>
        </w:tabs>
        <w:numPr>
          <w:ilvl w:val="1"/>
          <w:numId w:val="352"/>
        </w:numPr>
        <w:rPr>
          <w:rFonts w:ascii="Calibri" w:cs="Calibri" w:eastAsia="Calibri" w:hAnsi="Calibri"/>
          <w:sz w:val="20"/>
          <w:szCs w:val="20"/>
          <w:color w:val="auto"/>
        </w:rPr>
      </w:pPr>
      <w:r>
        <w:rPr>
          <w:rFonts w:ascii="Calibri" w:cs="Calibri" w:eastAsia="Calibri" w:hAnsi="Calibri"/>
          <w:sz w:val="20"/>
          <w:szCs w:val="20"/>
          <w:color w:val="auto"/>
        </w:rPr>
        <w:t>Each Person that as of the date hereof is a member of the Recipient’s “afliated group,” as such term is defned under 26 U.S.C. § 1504(a), without regard to 26 U.S.C. § 1504(b)(3), directly, or indirectly through one or more intermediaries, Controls or is Controlled by, or is under common Control with, the Recipient as of the date hereof is set forth in Part 4 (Members of the Afliated Group) of Appendix 1 of the Guardrail Provisions.</w:t>
      </w:r>
    </w:p>
    <w:p>
      <w:pPr>
        <w:spacing w:after="0" w:line="186" w:lineRule="exact"/>
        <w:rPr>
          <w:rFonts w:ascii="Calibri" w:cs="Calibri" w:eastAsia="Calibri" w:hAnsi="Calibri"/>
          <w:sz w:val="20"/>
          <w:szCs w:val="20"/>
          <w:color w:val="auto"/>
        </w:rPr>
      </w:pPr>
    </w:p>
    <w:p>
      <w:pPr>
        <w:ind w:firstLine="2600"/>
        <w:spacing w:after="0" w:line="214" w:lineRule="auto"/>
        <w:tabs>
          <w:tab w:leader="none" w:pos="3244" w:val="left"/>
        </w:tabs>
        <w:numPr>
          <w:ilvl w:val="1"/>
          <w:numId w:val="352"/>
        </w:numPr>
        <w:rPr>
          <w:rFonts w:ascii="Calibri" w:cs="Calibri" w:eastAsia="Calibri" w:hAnsi="Calibri"/>
          <w:sz w:val="20"/>
          <w:szCs w:val="20"/>
          <w:color w:val="auto"/>
        </w:rPr>
      </w:pPr>
      <w:r>
        <w:rPr>
          <w:rFonts w:ascii="Calibri" w:cs="Calibri" w:eastAsia="Calibri" w:hAnsi="Calibri"/>
          <w:sz w:val="20"/>
          <w:szCs w:val="20"/>
          <w:color w:val="auto"/>
        </w:rPr>
        <w:t>Each Related Entty as of the date hereof is set forth in Part 5 (</w:t>
      </w:r>
      <w:r>
        <w:rPr>
          <w:rFonts w:ascii="Calibri" w:cs="Calibri" w:eastAsia="Calibri" w:hAnsi="Calibri"/>
          <w:sz w:val="20"/>
          <w:szCs w:val="20"/>
          <w:b w:val="1"/>
          <w:bCs w:val="1"/>
          <w:color w:val="auto"/>
        </w:rPr>
        <w:t>Related Enttes Subject to Secton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3 of Annex C (Guardrail Provisions)</w:t>
      </w:r>
      <w:r>
        <w:rPr>
          <w:rFonts w:ascii="Calibri" w:cs="Calibri" w:eastAsia="Calibri" w:hAnsi="Calibri"/>
          <w:sz w:val="20"/>
          <w:szCs w:val="20"/>
          <w:color w:val="auto"/>
        </w:rPr>
        <w:t>) of Appendix 1 of the Guardrail Provisions.</w:t>
      </w:r>
    </w:p>
    <w:p>
      <w:pPr>
        <w:spacing w:after="0" w:line="172" w:lineRule="exact"/>
        <w:rPr>
          <w:rFonts w:ascii="Calibri" w:cs="Calibri" w:eastAsia="Calibri" w:hAnsi="Calibri"/>
          <w:sz w:val="20"/>
          <w:szCs w:val="20"/>
          <w:color w:val="auto"/>
        </w:rPr>
      </w:pPr>
    </w:p>
    <w:p>
      <w:pPr>
        <w:ind w:firstLine="2600"/>
        <w:spacing w:after="0" w:line="214" w:lineRule="auto"/>
        <w:tabs>
          <w:tab w:leader="none" w:pos="3238" w:val="left"/>
        </w:tabs>
        <w:numPr>
          <w:ilvl w:val="1"/>
          <w:numId w:val="352"/>
        </w:numPr>
        <w:rPr>
          <w:rFonts w:ascii="Calibri" w:cs="Calibri" w:eastAsia="Calibri" w:hAnsi="Calibri"/>
          <w:sz w:val="20"/>
          <w:szCs w:val="20"/>
          <w:color w:val="auto"/>
        </w:rPr>
      </w:pPr>
      <w:r>
        <w:rPr>
          <w:rFonts w:ascii="Calibri" w:cs="Calibri" w:eastAsia="Calibri" w:hAnsi="Calibri"/>
          <w:sz w:val="20"/>
          <w:szCs w:val="20"/>
          <w:color w:val="auto"/>
        </w:rPr>
        <w:t>Each Mitgaton Agreement, if any, required pursuant to the Guardrail Provisions, is in full force and efect and no violaton thereof has occurred.</w:t>
      </w:r>
    </w:p>
    <w:p>
      <w:pPr>
        <w:spacing w:after="0" w:line="185"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35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Inverted Corporaton Requirement. </w:t>
      </w:r>
      <w:r>
        <w:rPr>
          <w:rFonts w:ascii="Calibri" w:cs="Calibri" w:eastAsia="Calibri" w:hAnsi="Calibri"/>
          <w:sz w:val="20"/>
          <w:szCs w:val="20"/>
          <w:color w:val="auto"/>
        </w:rPr>
        <w:t>The Recipient represents that it is not a foreign incorporated entty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which is treated as an inverted domestc corporaton under Secton 835(b) of the Homeland Security Act of 2002 (6 U.S.C. § 395(b)) or a Subsidiary of such an entty.</w:t>
      </w:r>
    </w:p>
    <w:p>
      <w:pPr>
        <w:spacing w:after="0" w:line="171"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6.17 </w:t>
      </w:r>
      <w:r>
        <w:rPr>
          <w:rFonts w:ascii="Calibri" w:cs="Calibri" w:eastAsia="Calibri" w:hAnsi="Calibri"/>
          <w:sz w:val="20"/>
          <w:szCs w:val="20"/>
          <w:b w:val="1"/>
          <w:bCs w:val="1"/>
          <w:color w:val="auto"/>
        </w:rPr>
        <w:t>Foreign Entty of Concern; Prohibited Persons; Sanctons; Export Controls; Ant-Corrupton; Ant-Money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Laundering Laws</w:t>
      </w:r>
      <w:r>
        <w:rPr>
          <w:rFonts w:ascii="Calibri" w:cs="Calibri" w:eastAsia="Calibri" w:hAnsi="Calibri"/>
          <w:sz w:val="20"/>
          <w:szCs w:val="20"/>
          <w:color w:val="auto"/>
        </w:rPr>
        <w:t>.</w:t>
      </w:r>
    </w:p>
    <w:p>
      <w:pPr>
        <w:spacing w:after="0" w:line="176" w:lineRule="exact"/>
        <w:rPr>
          <w:sz w:val="20"/>
          <w:szCs w:val="20"/>
          <w:color w:val="auto"/>
        </w:rPr>
      </w:pPr>
    </w:p>
    <w:p>
      <w:pPr>
        <w:ind w:left="2600" w:hanging="648"/>
        <w:spacing w:after="0"/>
        <w:tabs>
          <w:tab w:leader="none" w:pos="2600"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The Recipient is not a Foreign Entty of Concern.</w:t>
      </w:r>
    </w:p>
    <w:p>
      <w:pPr>
        <w:spacing w:after="0" w:line="170"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a Prohibited Person, and to the Recipient’s Knowledge, none of the employees, agents or representatves of any Recipient Party actng in such capacites is a Prohibited Person.</w:t>
      </w:r>
    </w:p>
    <w:p>
      <w:pPr>
        <w:spacing w:after="0" w:line="172" w:lineRule="exact"/>
        <w:rPr>
          <w:rFonts w:ascii="Calibri" w:cs="Calibri" w:eastAsia="Calibri" w:hAnsi="Calibri"/>
          <w:sz w:val="20"/>
          <w:szCs w:val="20"/>
          <w:color w:val="auto"/>
        </w:rPr>
      </w:pPr>
    </w:p>
    <w:p>
      <w:pPr>
        <w:ind w:right="20" w:firstLine="1952"/>
        <w:spacing w:after="0" w:line="214" w:lineRule="auto"/>
        <w:tabs>
          <w:tab w:leader="none" w:pos="2584"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To the Recipient’s Knowledge, no event has occurred, and no conditon exists, that is reasonably likely to result in any Recipient Party becoming a Prohibited Person.</w:t>
      </w:r>
    </w:p>
    <w:p>
      <w:pPr>
        <w:spacing w:after="0" w:line="185"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There are no Actons pending or, to the Recipient’s Knowledge, threatened, against or afectng any Recipient Party or their respectve members, directors, ofcers, employees, agents or representatves actng in such capacites regarding any actual or alleged non-compliance with any Sanctons, Export Control Laws, Ant-Money Laundering Laws, or Ant-Corrupton Laws.</w:t>
      </w:r>
    </w:p>
    <w:p>
      <w:pPr>
        <w:spacing w:after="0" w:line="184" w:lineRule="exact"/>
        <w:rPr>
          <w:rFonts w:ascii="Calibri" w:cs="Calibri" w:eastAsia="Calibri" w:hAnsi="Calibri"/>
          <w:sz w:val="20"/>
          <w:szCs w:val="20"/>
          <w:color w:val="auto"/>
        </w:rPr>
      </w:pPr>
    </w:p>
    <w:p>
      <w:pPr>
        <w:jc w:val="both"/>
        <w:ind w:firstLine="1952"/>
        <w:spacing w:after="0"/>
        <w:tabs>
          <w:tab w:leader="none" w:pos="2586"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The Recipient has adopted and implemented and maintains policies and procedures designed to promote and achieve compliance with all applicable Sanctons, Export Control Laws, Ant-Money Laundering Laws, and Ant-Corrupton Laws.</w:t>
      </w:r>
    </w:p>
    <w:p>
      <w:pPr>
        <w:spacing w:after="0" w:line="321" w:lineRule="exact"/>
        <w:rPr>
          <w:rFonts w:ascii="Calibri" w:cs="Calibri" w:eastAsia="Calibri" w:hAnsi="Calibri"/>
          <w:sz w:val="20"/>
          <w:szCs w:val="20"/>
          <w:color w:val="auto"/>
        </w:rPr>
      </w:pPr>
    </w:p>
    <w:p>
      <w:pPr>
        <w:jc w:val="both"/>
        <w:ind w:firstLine="1952"/>
        <w:spacing w:after="0" w:line="208" w:lineRule="auto"/>
        <w:tabs>
          <w:tab w:leader="none" w:pos="2590" w:val="left"/>
        </w:tabs>
        <w:numPr>
          <w:ilvl w:val="1"/>
          <w:numId w:val="353"/>
        </w:numPr>
        <w:rPr>
          <w:rFonts w:ascii="Calibri" w:cs="Calibri" w:eastAsia="Calibri" w:hAnsi="Calibri"/>
          <w:sz w:val="20"/>
          <w:szCs w:val="20"/>
          <w:color w:val="auto"/>
        </w:rPr>
      </w:pPr>
      <w:r>
        <w:rPr>
          <w:rFonts w:ascii="Calibri" w:cs="Calibri" w:eastAsia="Calibri" w:hAnsi="Calibri"/>
          <w:sz w:val="20"/>
          <w:szCs w:val="20"/>
          <w:color w:val="auto"/>
        </w:rPr>
        <w:t>Each Recipient Party and the respectve members, directors, ofcers, and, to the Recipient’s Knowledge, employees, agents and representatves thereof actng in such capacites, are, and for the last fve (5) years have been, in compliance with</w:t>
      </w:r>
    </w:p>
    <w:p>
      <w:pPr>
        <w:ind w:left="220" w:hanging="212"/>
        <w:spacing w:after="0" w:line="199" w:lineRule="auto"/>
        <w:tabs>
          <w:tab w:leader="none" w:pos="220" w:val="left"/>
        </w:tabs>
        <w:numPr>
          <w:ilvl w:val="0"/>
          <w:numId w:val="354"/>
        </w:numPr>
        <w:rPr>
          <w:rFonts w:ascii="Calibri" w:cs="Calibri" w:eastAsia="Calibri" w:hAnsi="Calibri"/>
          <w:sz w:val="20"/>
          <w:szCs w:val="20"/>
          <w:color w:val="auto"/>
        </w:rPr>
      </w:pPr>
      <w:r>
        <w:rPr>
          <w:rFonts w:ascii="Calibri" w:cs="Calibri" w:eastAsia="Calibri" w:hAnsi="Calibri"/>
          <w:sz w:val="20"/>
          <w:szCs w:val="20"/>
          <w:color w:val="auto"/>
        </w:rPr>
        <w:t>all Sanctons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ectPr>
          <w:pgSz w:w="11900" w:h="16838" w:orient="portrait"/>
          <w:cols w:equalWidth="0" w:num="1">
            <w:col w:w="11240"/>
          </w:cols>
          <w:pgMar w:left="320" w:top="1384" w:right="339" w:bottom="1440" w:gutter="0" w:footer="0" w:header="0"/>
        </w:sectPr>
      </w:pPr>
    </w:p>
    <w:bookmarkStart w:id="356" w:name="page357"/>
    <w:bookmarkEnd w:id="356"/>
    <w:p>
      <w:pPr>
        <w:spacing w:after="0" w:line="211" w:lineRule="auto"/>
        <w:rPr>
          <w:sz w:val="20"/>
          <w:szCs w:val="20"/>
          <w:color w:val="auto"/>
        </w:rPr>
      </w:pPr>
      <w:r>
        <w:rPr>
          <w:rFonts w:ascii="Calibri" w:cs="Calibri" w:eastAsia="Calibri" w:hAnsi="Calibri"/>
          <w:sz w:val="20"/>
          <w:szCs w:val="20"/>
          <w:color w:val="auto"/>
        </w:rPr>
        <w:t>applicable Ant-Money Laundering Laws; and (ii) all applicable Export Control Laws in all respects, except for any actual or potental violatons that involve only unintentonal minor, technical infractons, which either (A) were voluntarily self-disclosed to BIS within sixty</w:t>
      </w:r>
    </w:p>
    <w:p>
      <w:pPr>
        <w:jc w:val="both"/>
        <w:ind w:firstLine="8"/>
        <w:spacing w:after="0" w:line="197" w:lineRule="auto"/>
        <w:tabs>
          <w:tab w:leader="none" w:pos="387" w:val="left"/>
        </w:tabs>
        <w:numPr>
          <w:ilvl w:val="0"/>
          <w:numId w:val="355"/>
        </w:numPr>
        <w:rPr>
          <w:rFonts w:ascii="Calibri" w:cs="Calibri" w:eastAsia="Calibri" w:hAnsi="Calibri"/>
          <w:sz w:val="20"/>
          <w:szCs w:val="20"/>
          <w:color w:val="auto"/>
        </w:rPr>
      </w:pPr>
      <w:r>
        <w:rPr>
          <w:rFonts w:ascii="Calibri" w:cs="Calibri" w:eastAsia="Calibri" w:hAnsi="Calibri"/>
          <w:sz w:val="20"/>
          <w:szCs w:val="20"/>
          <w:color w:val="auto"/>
        </w:rPr>
        <w:t>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70" w:lineRule="exact"/>
        <w:rPr>
          <w:rFonts w:ascii="Calibri" w:cs="Calibri" w:eastAsia="Calibri" w:hAnsi="Calibri"/>
          <w:sz w:val="20"/>
          <w:szCs w:val="20"/>
          <w:color w:val="auto"/>
        </w:rPr>
      </w:pPr>
    </w:p>
    <w:p>
      <w:pPr>
        <w:jc w:val="both"/>
        <w:ind w:firstLine="1952"/>
        <w:spacing w:after="0" w:line="202" w:lineRule="auto"/>
        <w:tabs>
          <w:tab w:leader="none" w:pos="2595" w:val="left"/>
        </w:tabs>
        <w:numPr>
          <w:ilvl w:val="1"/>
          <w:numId w:val="355"/>
        </w:numPr>
        <w:rPr>
          <w:rFonts w:ascii="Calibri" w:cs="Calibri" w:eastAsia="Calibri" w:hAnsi="Calibri"/>
          <w:sz w:val="20"/>
          <w:szCs w:val="20"/>
          <w:color w:val="auto"/>
        </w:rPr>
      </w:pPr>
      <w:r>
        <w:rPr>
          <w:rFonts w:ascii="Calibri" w:cs="Calibri" w:eastAsia="Calibri" w:hAnsi="Calibri"/>
          <w:sz w:val="20"/>
          <w:szCs w:val="20"/>
          <w:color w:val="auto"/>
        </w:rPr>
        <w:t>Each Recipient Party and each of their respectve Principal Persons, and, to the Recipient’s Knowledge, their employees, agents, and representatves actng in such capacites have complied with all applicable Sanctons, Export Control Laws (except as provided in the excepton in Secton 6.3(h)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Ant-Money Laundering Laws and Ant-Corrupton Laws in obtaining any consents, licenses, approvals, authorizatons, rights, or privileges with respect to the Project and, otherwise, have conducted the Project in compliance with all applicable Sanctons, Export Control Laws (except as provided in the excepton in Secton 6.3(h)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Ant-Money Laundering Laws, and Ant-Corrupton Laws.</w:t>
      </w:r>
    </w:p>
    <w:p>
      <w:pPr>
        <w:spacing w:after="0" w:line="171"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1"/>
          <w:numId w:val="355"/>
        </w:numPr>
        <w:rPr>
          <w:rFonts w:ascii="Calibri" w:cs="Calibri" w:eastAsia="Calibri" w:hAnsi="Calibri"/>
          <w:sz w:val="20"/>
          <w:szCs w:val="20"/>
          <w:color w:val="auto"/>
        </w:rPr>
      </w:pPr>
      <w:r>
        <w:rPr>
          <w:rFonts w:ascii="Calibri" w:cs="Calibri" w:eastAsia="Calibri" w:hAnsi="Calibri"/>
          <w:sz w:val="20"/>
          <w:szCs w:val="20"/>
          <w:color w:val="auto"/>
        </w:rPr>
        <w:t>None of the Recipient, nor its members, directors, ofcers, nor, to the Recipient’s Knowledge, employees, agents or representatves actng in such capacites, has made, ofered or promised to make, provided or paid any unlawful contributons, entertainment or anything of value to any local or foreign ofcial (including employees of state-owned or controlled enttes), foreign politcal party or party ofcial or any candidate for foreign politcal ofce:</w:t>
      </w:r>
    </w:p>
    <w:p>
      <w:pPr>
        <w:spacing w:after="0" w:line="186" w:lineRule="exact"/>
        <w:rPr>
          <w:rFonts w:ascii="Calibri" w:cs="Calibri" w:eastAsia="Calibri" w:hAnsi="Calibri"/>
          <w:sz w:val="20"/>
          <w:szCs w:val="20"/>
          <w:color w:val="auto"/>
        </w:rPr>
      </w:pPr>
    </w:p>
    <w:p>
      <w:pPr>
        <w:ind w:firstLine="2600"/>
        <w:spacing w:after="0" w:line="214" w:lineRule="auto"/>
        <w:tabs>
          <w:tab w:leader="none" w:pos="3234" w:val="left"/>
        </w:tabs>
        <w:numPr>
          <w:ilvl w:val="2"/>
          <w:numId w:val="355"/>
        </w:numPr>
        <w:rPr>
          <w:rFonts w:ascii="Calibri" w:cs="Calibri" w:eastAsia="Calibri" w:hAnsi="Calibri"/>
          <w:sz w:val="20"/>
          <w:szCs w:val="20"/>
          <w:color w:val="auto"/>
        </w:rPr>
      </w:pPr>
      <w:r>
        <w:rPr>
          <w:rFonts w:ascii="Calibri" w:cs="Calibri" w:eastAsia="Calibri" w:hAnsi="Calibri"/>
          <w:sz w:val="20"/>
          <w:szCs w:val="20"/>
          <w:color w:val="auto"/>
        </w:rPr>
        <w:t>in order to infuence any act or decision of any foreign ofcial, foreign politcal party, party ofcial or candidate for foreign politcal ofce in his or her ofcial capacity, including a decision to fail to perform his or her ofcial functons;</w:t>
      </w:r>
    </w:p>
    <w:p>
      <w:pPr>
        <w:spacing w:after="0" w:line="162" w:lineRule="exact"/>
        <w:rPr>
          <w:rFonts w:ascii="Calibri" w:cs="Calibri" w:eastAsia="Calibri" w:hAnsi="Calibri"/>
          <w:sz w:val="20"/>
          <w:szCs w:val="20"/>
          <w:color w:val="auto"/>
        </w:rPr>
      </w:pPr>
    </w:p>
    <w:p>
      <w:pPr>
        <w:ind w:left="3240" w:hanging="640"/>
        <w:spacing w:after="0"/>
        <w:tabs>
          <w:tab w:leader="none" w:pos="3240" w:val="left"/>
        </w:tabs>
        <w:numPr>
          <w:ilvl w:val="2"/>
          <w:numId w:val="355"/>
        </w:numPr>
        <w:rPr>
          <w:rFonts w:ascii="Calibri" w:cs="Calibri" w:eastAsia="Calibri" w:hAnsi="Calibri"/>
          <w:sz w:val="20"/>
          <w:szCs w:val="20"/>
          <w:color w:val="auto"/>
        </w:rPr>
      </w:pPr>
      <w:r>
        <w:rPr>
          <w:rFonts w:ascii="Calibri" w:cs="Calibri" w:eastAsia="Calibri" w:hAnsi="Calibri"/>
          <w:sz w:val="20"/>
          <w:szCs w:val="20"/>
          <w:color w:val="auto"/>
        </w:rPr>
        <w:t>to secure an advantage; or</w:t>
      </w:r>
    </w:p>
    <w:p>
      <w:pPr>
        <w:spacing w:after="0" w:line="184" w:lineRule="exact"/>
        <w:rPr>
          <w:rFonts w:ascii="Calibri" w:cs="Calibri" w:eastAsia="Calibri" w:hAnsi="Calibri"/>
          <w:sz w:val="20"/>
          <w:szCs w:val="20"/>
          <w:color w:val="auto"/>
        </w:rPr>
      </w:pPr>
    </w:p>
    <w:p>
      <w:pPr>
        <w:ind w:right="20" w:firstLine="2600"/>
        <w:spacing w:after="0" w:line="208" w:lineRule="auto"/>
        <w:tabs>
          <w:tab w:leader="none" w:pos="3246" w:val="left"/>
        </w:tabs>
        <w:numPr>
          <w:ilvl w:val="2"/>
          <w:numId w:val="355"/>
        </w:numPr>
        <w:rPr>
          <w:rFonts w:ascii="Calibri" w:cs="Calibri" w:eastAsia="Calibri" w:hAnsi="Calibri"/>
          <w:sz w:val="20"/>
          <w:szCs w:val="20"/>
          <w:color w:val="auto"/>
        </w:rPr>
      </w:pPr>
      <w:r>
        <w:rPr>
          <w:rFonts w:ascii="Calibri" w:cs="Calibri" w:eastAsia="Calibri" w:hAnsi="Calibri"/>
          <w:sz w:val="20"/>
          <w:szCs w:val="20"/>
          <w:color w:val="auto"/>
        </w:rPr>
        <w:t>with the intent to induce the Recipient to misuse his or her ofcial positon to direct business to the Recipient or any of its Afliates or to any other Person,</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in each case, in violaton of any applicable Ant-Corrupton Laws or any other Applicable Law.</w:t>
      </w:r>
    </w:p>
    <w:p>
      <w:pPr>
        <w:spacing w:after="0" w:line="188"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6.18</w:t>
      </w:r>
      <w:r>
        <w:rPr>
          <w:sz w:val="20"/>
          <w:szCs w:val="20"/>
          <w:color w:val="auto"/>
        </w:rPr>
        <w:tab/>
      </w:r>
      <w:r>
        <w:rPr>
          <w:rFonts w:ascii="Calibri" w:cs="Calibri" w:eastAsia="Calibri" w:hAnsi="Calibri"/>
          <w:sz w:val="20"/>
          <w:szCs w:val="20"/>
          <w:b w:val="1"/>
          <w:bCs w:val="1"/>
          <w:color w:val="auto"/>
        </w:rPr>
        <w:t>Insolvency Proceedings.</w:t>
      </w:r>
    </w:p>
    <w:p>
      <w:pPr>
        <w:spacing w:after="0" w:line="171" w:lineRule="exact"/>
        <w:rPr>
          <w:sz w:val="20"/>
          <w:szCs w:val="20"/>
          <w:color w:val="auto"/>
        </w:rPr>
      </w:pPr>
    </w:p>
    <w:p>
      <w:pPr>
        <w:ind w:firstLine="1952"/>
        <w:spacing w:after="0" w:line="214" w:lineRule="auto"/>
        <w:tabs>
          <w:tab w:leader="none" w:pos="2596" w:val="left"/>
        </w:tabs>
        <w:numPr>
          <w:ilvl w:val="0"/>
          <w:numId w:val="356"/>
        </w:numPr>
        <w:rPr>
          <w:rFonts w:ascii="Calibri" w:cs="Calibri" w:eastAsia="Calibri" w:hAnsi="Calibri"/>
          <w:sz w:val="20"/>
          <w:szCs w:val="20"/>
          <w:color w:val="auto"/>
        </w:rPr>
      </w:pPr>
      <w:r>
        <w:rPr>
          <w:rFonts w:ascii="Calibri" w:cs="Calibri" w:eastAsia="Calibri" w:hAnsi="Calibri"/>
          <w:sz w:val="20"/>
          <w:szCs w:val="20"/>
          <w:color w:val="auto"/>
        </w:rPr>
        <w:t>No Recipient Party is the subject of any pending, or to the Recipient’s Knowledge, threatened (in writng), Insolvency Proceedings, in each case, to extent such Insolvency Proceedings are bona fde and non-frivolous.</w:t>
      </w:r>
    </w:p>
    <w:p>
      <w:pPr>
        <w:spacing w:after="0" w:line="185"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356"/>
        </w:numPr>
        <w:rPr>
          <w:rFonts w:ascii="Calibri" w:cs="Calibri" w:eastAsia="Calibri" w:hAnsi="Calibri"/>
          <w:sz w:val="20"/>
          <w:szCs w:val="20"/>
          <w:color w:val="auto"/>
        </w:rPr>
      </w:pPr>
      <w:r>
        <w:rPr>
          <w:rFonts w:ascii="Calibri" w:cs="Calibri" w:eastAsia="Calibri" w:hAnsi="Calibri"/>
          <w:sz w:val="20"/>
          <w:szCs w:val="20"/>
          <w:color w:val="auto"/>
        </w:rPr>
        <w:t>The Recipient is and, afer giving efect to any requested Disbursement, will be solvent. For purposes of the preceding sentence, “solvent” means (i) the fair saleable value (on a going concern basis) of the Recipient’s assets exceed its liabilites, contngent or otherwise, fairly valued; (ii) the Recipient will be able to pay its debts as they become due; and (iii) upon paying its debts as they become due, the Recipient will not be lef with unreasonably small capital as is necessary to satsfy all of its current and reasonably antcipated obligatons.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6.19</w:t>
      </w:r>
      <w:r>
        <w:rPr>
          <w:sz w:val="20"/>
          <w:szCs w:val="20"/>
          <w:color w:val="auto"/>
        </w:rPr>
        <w:tab/>
      </w:r>
      <w:r>
        <w:rPr>
          <w:rFonts w:ascii="Calibri" w:cs="Calibri" w:eastAsia="Calibri" w:hAnsi="Calibri"/>
          <w:sz w:val="20"/>
          <w:szCs w:val="20"/>
          <w:b w:val="1"/>
          <w:bCs w:val="1"/>
          <w:color w:val="auto"/>
        </w:rPr>
        <w:t xml:space="preserve">No Defaults. </w:t>
      </w:r>
      <w:r>
        <w:rPr>
          <w:rFonts w:ascii="Calibri" w:cs="Calibri" w:eastAsia="Calibri" w:hAnsi="Calibri"/>
          <w:sz w:val="20"/>
          <w:szCs w:val="20"/>
          <w:color w:val="auto"/>
        </w:rPr>
        <w:t>No Event of Default or Potental Event of Default has occurred and is contnuing.</w:t>
      </w:r>
    </w:p>
    <w:p>
      <w:pPr>
        <w:spacing w:after="0" w:line="184"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6.20 </w:t>
      </w:r>
      <w:r>
        <w:rPr>
          <w:rFonts w:ascii="Calibri" w:cs="Calibri" w:eastAsia="Calibri" w:hAnsi="Calibri"/>
          <w:sz w:val="20"/>
          <w:szCs w:val="20"/>
          <w:b w:val="1"/>
          <w:bCs w:val="1"/>
          <w:color w:val="auto"/>
        </w:rPr>
        <w:t>Material Adverse Efect.</w:t>
      </w:r>
      <w:r>
        <w:rPr>
          <w:rFonts w:ascii="Calibri" w:cs="Calibri" w:eastAsia="Calibri" w:hAnsi="Calibri"/>
          <w:sz w:val="20"/>
          <w:szCs w:val="20"/>
          <w:color w:val="auto"/>
        </w:rPr>
        <w:t xml:space="preserve"> No event or circumstance (including any legal, arbitral or other dispute review proceeding or any change in law) has occurred and is contnuing that has or would reasonably be expected to have or result in a Material Adverse Efect.</w:t>
      </w:r>
    </w:p>
    <w:p>
      <w:pPr>
        <w:spacing w:after="0" w:line="322"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6.21 </w:t>
      </w:r>
      <w:r>
        <w:rPr>
          <w:rFonts w:ascii="Calibri" w:cs="Calibri" w:eastAsia="Calibri" w:hAnsi="Calibri"/>
          <w:sz w:val="20"/>
          <w:szCs w:val="20"/>
          <w:b w:val="1"/>
          <w:bCs w:val="1"/>
          <w:color w:val="auto"/>
        </w:rPr>
        <w:t>Full Disclosure.</w:t>
      </w:r>
      <w:r>
        <w:rPr>
          <w:rFonts w:ascii="Calibri" w:cs="Calibri" w:eastAsia="Calibri" w:hAnsi="Calibri"/>
          <w:sz w:val="20"/>
          <w:szCs w:val="20"/>
          <w:color w:val="auto"/>
        </w:rPr>
        <w:t xml:space="preserve"> The statements and informaton contained in the Financing Documents, taken together with all documents, reports or other writen informaton pertaining to the Project that have been furnished by or on behalf of the Recipient or any other Recipient Party to the Department or any Consultant from tme to tme, are true and correct in all material respects and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ectPr>
          <w:pgSz w:w="11900" w:h="16838" w:orient="portrait"/>
          <w:cols w:equalWidth="0" w:num="1">
            <w:col w:w="11240"/>
          </w:cols>
          <w:pgMar w:left="320" w:top="1384" w:right="339" w:bottom="1440" w:gutter="0" w:footer="0" w:header="0"/>
        </w:sectPr>
      </w:pPr>
    </w:p>
    <w:bookmarkStart w:id="357" w:name="page358"/>
    <w:bookmarkEnd w:id="357"/>
    <w:p>
      <w:pPr>
        <w:jc w:val="both"/>
        <w:spacing w:after="0" w:line="214" w:lineRule="auto"/>
        <w:rPr>
          <w:sz w:val="20"/>
          <w:szCs w:val="20"/>
          <w:color w:val="auto"/>
        </w:rPr>
      </w:pPr>
      <w:r>
        <w:rPr>
          <w:rFonts w:ascii="Calibri" w:cs="Calibri" w:eastAsia="Calibri" w:hAnsi="Calibri"/>
          <w:sz w:val="20"/>
          <w:szCs w:val="20"/>
          <w:color w:val="auto"/>
        </w:rPr>
        <w:t>contain any material misstatement of fact or omit to state a material fact or any fact necessary to make the statements contained therein not materially misleading at the tme they were made.</w:t>
      </w:r>
    </w:p>
    <w:p>
      <w:pPr>
        <w:spacing w:after="0" w:line="172"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6.22 </w:t>
      </w:r>
      <w:r>
        <w:rPr>
          <w:rFonts w:ascii="Calibri" w:cs="Calibri" w:eastAsia="Calibri" w:hAnsi="Calibri"/>
          <w:sz w:val="20"/>
          <w:szCs w:val="20"/>
          <w:b w:val="1"/>
          <w:bCs w:val="1"/>
          <w:color w:val="auto"/>
        </w:rPr>
        <w:t>No Immunity.</w:t>
      </w:r>
      <w:r>
        <w:rPr>
          <w:rFonts w:ascii="Calibri" w:cs="Calibri" w:eastAsia="Calibri" w:hAnsi="Calibri"/>
          <w:sz w:val="20"/>
          <w:szCs w:val="20"/>
          <w:color w:val="auto"/>
        </w:rPr>
        <w:t xml:space="preserve"> The Recipient nor any of its assets is enttled to immunity in any jurisdicton in which judicial proceedings would reasonably be expected at any tme be commenced with respect to this Agreement or any other Financing Document.</w:t>
      </w:r>
    </w:p>
    <w:p>
      <w:pPr>
        <w:spacing w:after="0" w:line="322"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6.23 </w:t>
      </w:r>
      <w:r>
        <w:rPr>
          <w:rFonts w:ascii="Calibri" w:cs="Calibri" w:eastAsia="Calibri" w:hAnsi="Calibri"/>
          <w:sz w:val="20"/>
          <w:szCs w:val="20"/>
          <w:b w:val="1"/>
          <w:bCs w:val="1"/>
          <w:color w:val="auto"/>
        </w:rPr>
        <w:t>No Federal Debt Delinquency.</w:t>
      </w:r>
      <w:r>
        <w:rPr>
          <w:rFonts w:ascii="Calibri" w:cs="Calibri" w:eastAsia="Calibri" w:hAnsi="Calibri"/>
          <w:sz w:val="20"/>
          <w:szCs w:val="20"/>
          <w:color w:val="auto"/>
        </w:rPr>
        <w:t xml:space="preserve"> No Recipient Party has (a) any judgment Lien against any of its Property for a debt owed to the United States; or (b) any Indebtedness owed to the United States or any Governmental Authority thereof that is in delinquent status, as the term “delinquent status” is defned in in 31 C.F.R. 285.13(d), including any Tax liabilites (other than those Taxes that it is contestng in good faith and by appropriate proceedings, for which reserves have been established to the extent required by the Applicable Accountng Requirements except to the extent such delinquency has been resolved with the appropriate Governmental Authority in accordance with Applicable Law.</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6.24</w:t>
      </w:r>
      <w:r>
        <w:rPr>
          <w:sz w:val="20"/>
          <w:szCs w:val="20"/>
          <w:color w:val="auto"/>
        </w:rPr>
        <w:tab/>
      </w:r>
      <w:r>
        <w:rPr>
          <w:rFonts w:ascii="Calibri" w:cs="Calibri" w:eastAsia="Calibri" w:hAnsi="Calibri"/>
          <w:sz w:val="20"/>
          <w:szCs w:val="20"/>
          <w:b w:val="1"/>
          <w:bCs w:val="1"/>
          <w:color w:val="auto"/>
        </w:rPr>
        <w:t>No Debarment.</w:t>
      </w:r>
    </w:p>
    <w:p>
      <w:pPr>
        <w:spacing w:after="0" w:line="184" w:lineRule="exact"/>
        <w:rPr>
          <w:sz w:val="20"/>
          <w:szCs w:val="20"/>
          <w:color w:val="auto"/>
        </w:rPr>
      </w:pPr>
    </w:p>
    <w:p>
      <w:pPr>
        <w:jc w:val="both"/>
        <w:ind w:firstLine="1952"/>
        <w:spacing w:after="0" w:line="205" w:lineRule="auto"/>
        <w:tabs>
          <w:tab w:leader="none" w:pos="2596"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No event has occurred and no conditon exists that is likely to result in the debarment or suspension of any Recipient Party or their respectve members, directors, ofcers or employees from contractng with the U.S. government or any agency or instrumentality thereof.</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57"/>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or has been subject to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debarment or suspension.</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6.25</w:t>
      </w:r>
      <w:r>
        <w:rPr>
          <w:sz w:val="20"/>
          <w:szCs w:val="20"/>
          <w:color w:val="auto"/>
        </w:rPr>
        <w:tab/>
      </w:r>
      <w:r>
        <w:rPr>
          <w:rFonts w:ascii="Calibri" w:cs="Calibri" w:eastAsia="Calibri" w:hAnsi="Calibri"/>
          <w:sz w:val="20"/>
          <w:szCs w:val="20"/>
          <w:b w:val="1"/>
          <w:bCs w:val="1"/>
          <w:color w:val="auto"/>
        </w:rPr>
        <w:t>Informaton Technology; Cyber Security.</w:t>
      </w:r>
    </w:p>
    <w:p>
      <w:pPr>
        <w:spacing w:after="0" w:line="184" w:lineRule="exact"/>
        <w:rPr>
          <w:sz w:val="20"/>
          <w:szCs w:val="20"/>
          <w:color w:val="auto"/>
        </w:rPr>
      </w:pPr>
    </w:p>
    <w:p>
      <w:pPr>
        <w:jc w:val="both"/>
        <w:ind w:firstLine="1952"/>
        <w:spacing w:after="0" w:line="200" w:lineRule="auto"/>
        <w:tabs>
          <w:tab w:leader="none" w:pos="2596" w:val="left"/>
        </w:tabs>
        <w:numPr>
          <w:ilvl w:val="0"/>
          <w:numId w:val="358"/>
        </w:numPr>
        <w:rPr>
          <w:rFonts w:ascii="Calibri" w:cs="Calibri" w:eastAsia="Calibri" w:hAnsi="Calibri"/>
          <w:sz w:val="20"/>
          <w:szCs w:val="20"/>
          <w:color w:val="auto"/>
        </w:rPr>
      </w:pPr>
      <w:r>
        <w:rPr>
          <w:rFonts w:ascii="Calibri" w:cs="Calibri" w:eastAsia="Calibri" w:hAnsi="Calibri"/>
          <w:sz w:val="20"/>
          <w:szCs w:val="20"/>
          <w:color w:val="auto"/>
        </w:rPr>
        <w:t>The informaton technology (including data communicatons systems, equipment and devices) used in the business of the Recipient (collectvely, the “</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operates and performs in all material respects as necessary: (i) for the development, design, engineering, procurement, constructon, startng up, commissioning, ownership, operaton or maintenance of the Project; (ii) to complete the actvites designated to achieve the Project Completon Date; and (iii) to exercise the Recipient’s rights and perform its obligatons under the Financing Documents in a tmely manner.</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92" w:val="left"/>
        </w:tabs>
        <w:numPr>
          <w:ilvl w:val="0"/>
          <w:numId w:val="358"/>
        </w:numPr>
        <w:rPr>
          <w:rFonts w:ascii="Calibri" w:cs="Calibri" w:eastAsia="Calibri" w:hAnsi="Calibri"/>
          <w:sz w:val="20"/>
          <w:szCs w:val="20"/>
          <w:color w:val="auto"/>
        </w:rPr>
      </w:pPr>
      <w:r>
        <w:rPr>
          <w:rFonts w:ascii="Calibri" w:cs="Calibri" w:eastAsia="Calibri" w:hAnsi="Calibri"/>
          <w:sz w:val="20"/>
          <w:szCs w:val="20"/>
          <w:color w:val="auto"/>
        </w:rPr>
        <w:t>The Recipient has implemented and maintains, and has caused, or no later than the frst Disbursement Date, will have caused, each other Recipient Party to implement and maintain in connecton with the Project, commercially reasonable privacy, informaton security, cyber security, disaster recovery, business contnuity, data backup and incident response plans, policies and procedures consistent with Prudent Industry Practce (including administratve, technical and physical safeguards) designed to protect: (i) Sensitve Informaton from any unauthorized, accidental, or unlawful Processing or loss; (ii) each applicable IT System from any unauthorized or unlawful access, acquisiton, use, control, disrupton, destructon, or modifcaton; and (iii) the integrity, security and availability of the Sensitve Informaton and IT Systems.</w:t>
      </w:r>
    </w:p>
    <w:p>
      <w:pPr>
        <w:spacing w:after="0" w:line="190"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6.26 </w:t>
      </w:r>
      <w:r>
        <w:rPr>
          <w:rFonts w:ascii="Calibri" w:cs="Calibri" w:eastAsia="Calibri" w:hAnsi="Calibri"/>
          <w:sz w:val="20"/>
          <w:szCs w:val="20"/>
          <w:b w:val="1"/>
          <w:bCs w:val="1"/>
          <w:color w:val="auto"/>
        </w:rPr>
        <w:t>Acknowledgement Regarding Use of Data.</w:t>
      </w:r>
      <w:r>
        <w:rPr>
          <w:rFonts w:ascii="Calibri" w:cs="Calibri" w:eastAsia="Calibri" w:hAnsi="Calibri"/>
          <w:sz w:val="20"/>
          <w:szCs w:val="20"/>
          <w:color w:val="auto"/>
        </w:rPr>
        <w:t xml:space="preserve"> The Recipient has taken commercially reasonable measures to safeguard protected personally identfable informaton and other confdental or sensitve personal or business informaton created or obtained in connecton with the Award.</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7</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AFFIRMATIVE COVENANTS</w:t>
      </w:r>
    </w:p>
    <w:p>
      <w:pPr>
        <w:spacing w:after="0" w:line="184"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7.1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The Recipient covenants and agrees that, unless the Department waives compliance in writng the Recipient shall, at its own expense, furnish, or cause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ectPr>
          <w:pgSz w:w="11900" w:h="16838" w:orient="portrait"/>
          <w:cols w:equalWidth="0" w:num="1">
            <w:col w:w="11240"/>
          </w:cols>
          <w:pgMar w:left="320" w:top="1384" w:right="339" w:bottom="1440" w:gutter="0" w:footer="0" w:header="0"/>
        </w:sectPr>
      </w:pPr>
    </w:p>
    <w:bookmarkStart w:id="358" w:name="page359"/>
    <w:bookmarkEnd w:id="358"/>
    <w:p>
      <w:pPr>
        <w:spacing w:after="0"/>
        <w:rPr>
          <w:sz w:val="20"/>
          <w:szCs w:val="20"/>
          <w:color w:val="auto"/>
        </w:rPr>
      </w:pPr>
      <w:r>
        <w:rPr>
          <w:rFonts w:ascii="Calibri" w:cs="Calibri" w:eastAsia="Calibri" w:hAnsi="Calibri"/>
          <w:sz w:val="20"/>
          <w:szCs w:val="20"/>
          <w:color w:val="auto"/>
        </w:rPr>
        <w:t>furnished, to the Department, all informaton as and when required in accordance with Annex F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w:t>
      </w:r>
    </w:p>
    <w:p>
      <w:pPr>
        <w:spacing w:after="0" w:line="16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7.2</w:t>
      </w:r>
      <w:r>
        <w:rPr>
          <w:sz w:val="20"/>
          <w:szCs w:val="20"/>
          <w:color w:val="auto"/>
        </w:rPr>
        <w:tab/>
      </w:r>
      <w:r>
        <w:rPr>
          <w:rFonts w:ascii="Calibri" w:cs="Calibri" w:eastAsia="Calibri" w:hAnsi="Calibri"/>
          <w:sz w:val="20"/>
          <w:szCs w:val="20"/>
          <w:b w:val="1"/>
          <w:bCs w:val="1"/>
          <w:color w:val="auto"/>
        </w:rPr>
        <w:t>Afrmatve Covenants during the Period of Performance</w:t>
      </w:r>
      <w:r>
        <w:rPr>
          <w:rFonts w:ascii="Calibri" w:cs="Calibri" w:eastAsia="Calibri" w:hAnsi="Calibri"/>
          <w:sz w:val="20"/>
          <w:szCs w:val="20"/>
          <w:color w:val="auto"/>
        </w:rPr>
        <w:t>. The Recipient covenants and agrees that during the</w:t>
      </w:r>
    </w:p>
    <w:p>
      <w:pPr>
        <w:spacing w:after="0" w:line="193" w:lineRule="auto"/>
        <w:rPr>
          <w:sz w:val="20"/>
          <w:szCs w:val="20"/>
          <w:color w:val="auto"/>
        </w:rPr>
      </w:pPr>
      <w:r>
        <w:rPr>
          <w:rFonts w:ascii="Calibri" w:cs="Calibri" w:eastAsia="Calibri" w:hAnsi="Calibri"/>
          <w:sz w:val="20"/>
          <w:szCs w:val="20"/>
          <w:color w:val="auto"/>
        </w:rPr>
        <w:t>Period of Performance, unless the Department waives compliance in writng:</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7.2.1</w:t>
      </w:r>
      <w:r>
        <w:rPr>
          <w:sz w:val="20"/>
          <w:szCs w:val="20"/>
          <w:color w:val="auto"/>
        </w:rPr>
        <w:tab/>
      </w:r>
      <w:r>
        <w:rPr>
          <w:rFonts w:ascii="Calibri" w:cs="Calibri" w:eastAsia="Calibri" w:hAnsi="Calibri"/>
          <w:sz w:val="20"/>
          <w:szCs w:val="20"/>
          <w:b w:val="1"/>
          <w:bCs w:val="1"/>
          <w:color w:val="auto"/>
        </w:rPr>
        <w:t>Internal Controls; Monitoring and Reportng</w:t>
      </w:r>
      <w:r>
        <w:rPr>
          <w:rFonts w:ascii="Calibri" w:cs="Calibri" w:eastAsia="Calibri" w:hAnsi="Calibri"/>
          <w:sz w:val="20"/>
          <w:szCs w:val="20"/>
          <w:color w:val="auto"/>
        </w:rPr>
        <w:t>.</w:t>
      </w:r>
    </w:p>
    <w:p>
      <w:pPr>
        <w:spacing w:after="0" w:line="184" w:lineRule="exact"/>
        <w:rPr>
          <w:sz w:val="20"/>
          <w:szCs w:val="20"/>
          <w:color w:val="auto"/>
        </w:rPr>
      </w:pPr>
    </w:p>
    <w:p>
      <w:pPr>
        <w:ind w:right="20" w:firstLine="1952"/>
        <w:spacing w:after="0" w:line="208" w:lineRule="auto"/>
        <w:tabs>
          <w:tab w:leader="none" w:pos="2596" w:val="left"/>
        </w:tabs>
        <w:numPr>
          <w:ilvl w:val="0"/>
          <w:numId w:val="359"/>
        </w:numPr>
        <w:rPr>
          <w:rFonts w:ascii="Calibri" w:cs="Calibri" w:eastAsia="Calibri" w:hAnsi="Calibri"/>
          <w:sz w:val="20"/>
          <w:szCs w:val="20"/>
          <w:color w:val="auto"/>
        </w:rPr>
      </w:pPr>
      <w:r>
        <w:rPr>
          <w:rFonts w:ascii="Calibri" w:cs="Calibri" w:eastAsia="Calibri" w:hAnsi="Calibri"/>
          <w:sz w:val="20"/>
          <w:szCs w:val="20"/>
          <w:color w:val="auto"/>
        </w:rPr>
        <w:t>The Recipient acknowledges and understands that the Department is responsible for protectng taxpayer resources, including by ensuring strong compliance and accountability measures for the Recipient with respect to any Disbursement.</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59"/>
        </w:numPr>
        <w:rPr>
          <w:rFonts w:ascii="Calibri" w:cs="Calibri" w:eastAsia="Calibri" w:hAnsi="Calibri"/>
          <w:sz w:val="20"/>
          <w:szCs w:val="20"/>
          <w:color w:val="auto"/>
        </w:rPr>
      </w:pPr>
      <w:r>
        <w:rPr>
          <w:rFonts w:ascii="Calibri" w:cs="Calibri" w:eastAsia="Calibri" w:hAnsi="Calibri"/>
          <w:sz w:val="20"/>
          <w:szCs w:val="20"/>
          <w:color w:val="auto"/>
        </w:rPr>
        <w:t>The Recipient shall establish and maintain efectve internal control over the proceeds of any Disbursements to provide reasonable assurance that any costs of the Recipient or any Person paid or reimbursed with such Disbursement consttute Eligible Uses of Funds.</w:t>
      </w:r>
    </w:p>
    <w:p>
      <w:pPr>
        <w:spacing w:after="0" w:line="184"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359"/>
        </w:numPr>
        <w:rPr>
          <w:rFonts w:ascii="Calibri" w:cs="Calibri" w:eastAsia="Calibri" w:hAnsi="Calibri"/>
          <w:sz w:val="20"/>
          <w:szCs w:val="20"/>
          <w:color w:val="auto"/>
        </w:rPr>
      </w:pPr>
      <w:r>
        <w:rPr>
          <w:rFonts w:ascii="Calibri" w:cs="Calibri" w:eastAsia="Calibri" w:hAnsi="Calibri"/>
          <w:sz w:val="20"/>
          <w:szCs w:val="20"/>
          <w:color w:val="auto"/>
        </w:rPr>
        <w:t>The Recipient shall monitor actvites funded by any Disbursement to provide reasonable assurance that the proceeds of such Disbursement are used in compliance with the terms of this Agreement and performance expectatons with respect to the Project. Upon reasonable request by the Department, the Recipient shall provide any invoices, other fnancial records, and performance reportng informaton provided by any third party that has received proceeds of any Disbursement from the Recipient for the purpose of demonstratng performance in alignment with this Agreement.</w:t>
      </w:r>
    </w:p>
    <w:p>
      <w:pPr>
        <w:spacing w:after="0" w:line="174"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7.2.2 </w:t>
      </w:r>
      <w:r>
        <w:rPr>
          <w:rFonts w:ascii="Calibri" w:cs="Calibri" w:eastAsia="Calibri" w:hAnsi="Calibri"/>
          <w:sz w:val="20"/>
          <w:szCs w:val="20"/>
          <w:b w:val="1"/>
          <w:bCs w:val="1"/>
          <w:color w:val="auto"/>
        </w:rPr>
        <w:t>Operatons.</w:t>
      </w:r>
      <w:r>
        <w:rPr>
          <w:rFonts w:ascii="Calibri" w:cs="Calibri" w:eastAsia="Calibri" w:hAnsi="Calibri"/>
          <w:sz w:val="20"/>
          <w:szCs w:val="20"/>
          <w:color w:val="auto"/>
        </w:rPr>
        <w:t xml:space="preserve"> The Recipient shall own, operate and maintain (or cause to be owned, operated and maintained) the Project in all material respects in accordance with Prudent Industry Practce.</w:t>
      </w:r>
    </w:p>
    <w:p>
      <w:pPr>
        <w:spacing w:after="0" w:line="186" w:lineRule="exact"/>
        <w:rPr>
          <w:sz w:val="20"/>
          <w:szCs w:val="20"/>
          <w:color w:val="auto"/>
        </w:rPr>
      </w:pPr>
    </w:p>
    <w:p>
      <w:pPr>
        <w:ind w:firstLine="1296"/>
        <w:spacing w:after="0" w:line="208" w:lineRule="auto"/>
        <w:rPr>
          <w:sz w:val="20"/>
          <w:szCs w:val="20"/>
          <w:color w:val="auto"/>
        </w:rPr>
      </w:pPr>
      <w:r>
        <w:rPr>
          <w:rFonts w:ascii="Calibri" w:cs="Calibri" w:eastAsia="Calibri" w:hAnsi="Calibri"/>
          <w:sz w:val="20"/>
          <w:szCs w:val="20"/>
          <w:color w:val="auto"/>
        </w:rPr>
        <w:t xml:space="preserve">7.2.3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The Recipient shall comply with and conduct its business, operatons, assets, equipment, property, leaseholds, the Project and the Facility in compliance with:</w:t>
      </w:r>
    </w:p>
    <w:p>
      <w:pPr>
        <w:spacing w:after="0" w:line="175" w:lineRule="exact"/>
        <w:rPr>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 xml:space="preserve">the Program Fraud Civil Remedies Act (31 U.S.C. § 3801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the Civil False Claims Act (31 U.S.C. §§ 3729 - 3733);</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[reserved];</w:t>
      </w:r>
    </w:p>
    <w:p>
      <w:pPr>
        <w:spacing w:after="0" w:line="166" w:lineRule="exact"/>
        <w:rPr>
          <w:rFonts w:ascii="Calibri" w:cs="Calibri" w:eastAsia="Calibri" w:hAnsi="Calibri"/>
          <w:sz w:val="20"/>
          <w:szCs w:val="20"/>
          <w:color w:val="auto"/>
        </w:rPr>
      </w:pPr>
    </w:p>
    <w:p>
      <w:pPr>
        <w:ind w:left="2600" w:hanging="648"/>
        <w:spacing w:after="0"/>
        <w:tabs>
          <w:tab w:leader="none" w:pos="2600"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 xml:space="preserve">the Uniform Relocaton Assistance and Real Property Acquisiton Policies Act of 1970 (42 U.S.C. § 4601 </w:t>
      </w:r>
      <w:r>
        <w:rPr>
          <w:rFonts w:ascii="Calibri" w:cs="Calibri" w:eastAsia="Calibri" w:hAnsi="Calibri"/>
          <w:sz w:val="20"/>
          <w:szCs w:val="20"/>
          <w:i w:val="1"/>
          <w:iCs w:val="1"/>
          <w:color w:val="auto"/>
        </w:rPr>
        <w:t>et</w:t>
      </w:r>
    </w:p>
    <w:p>
      <w:pPr>
        <w:spacing w:after="0" w:line="193" w:lineRule="auto"/>
        <w:rPr>
          <w:rFonts w:ascii="Calibri" w:cs="Calibri" w:eastAsia="Calibri" w:hAnsi="Calibri"/>
          <w:sz w:val="20"/>
          <w:szCs w:val="20"/>
          <w:color w:val="auto"/>
        </w:rPr>
      </w:pPr>
      <w:r>
        <w:rPr>
          <w:rFonts w:ascii="Calibri" w:cs="Calibri" w:eastAsia="Calibri" w:hAnsi="Calibri"/>
          <w:sz w:val="20"/>
          <w:szCs w:val="20"/>
          <w:i w:val="1"/>
          <w:iCs w:val="1"/>
          <w:color w:val="auto"/>
        </w:rPr>
        <w:t>seq</w:t>
      </w:r>
      <w:r>
        <w:rPr>
          <w:rFonts w:ascii="Calibri" w:cs="Calibri" w:eastAsia="Calibri" w:hAnsi="Calibri"/>
          <w:sz w:val="20"/>
          <w:szCs w:val="20"/>
          <w:color w:val="auto"/>
        </w:rPr>
        <w:t>.) in all material respects;</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92" w:val="left"/>
        </w:tabs>
        <w:numPr>
          <w:ilvl w:val="0"/>
          <w:numId w:val="360"/>
        </w:numPr>
        <w:rPr>
          <w:rFonts w:ascii="Calibri" w:cs="Calibri" w:eastAsia="Calibri" w:hAnsi="Calibri"/>
          <w:sz w:val="20"/>
          <w:szCs w:val="20"/>
          <w:color w:val="auto"/>
        </w:rPr>
      </w:pPr>
      <w:r>
        <w:rPr>
          <w:rFonts w:ascii="Calibri" w:cs="Calibri" w:eastAsia="Calibri" w:hAnsi="Calibri"/>
          <w:sz w:val="20"/>
          <w:szCs w:val="20"/>
          <w:color w:val="auto"/>
        </w:rPr>
        <w:t>all applicable federal labor and employment laws, including Title VII of the Civil Rights Act of 1964 (42 U.S.C. § 2000e et seq.), the Fair Labor Standards Act (29 U.S.C. § 203), the Occupatonal Safety and Health Act (29 U.S.C. § 653) and the Natonal Labor Relatons Act (29 U.S.C. § 151 et seq.) in all material respects; all applicable Export Control Laws in all respects, except for any actual or potental violatons that involve only unintentonal minor, technical infractons, which either (A) were voluntarily self-disclosed to BIS within sixty (60) 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ectPr>
          <w:pgSz w:w="11900" w:h="16838" w:orient="portrait"/>
          <w:cols w:equalWidth="0" w:num="1">
            <w:col w:w="11240"/>
          </w:cols>
          <w:pgMar w:left="320" w:top="1374" w:right="339" w:bottom="1440" w:gutter="0" w:footer="0" w:header="0"/>
        </w:sectPr>
      </w:pPr>
    </w:p>
    <w:bookmarkStart w:id="359" w:name="page360"/>
    <w:bookmarkEnd w:id="359"/>
    <w:p>
      <w:pPr>
        <w:ind w:firstLine="1952"/>
        <w:spacing w:after="0" w:line="214" w:lineRule="auto"/>
        <w:tabs>
          <w:tab w:leader="none" w:pos="2586" w:val="left"/>
        </w:tabs>
        <w:numPr>
          <w:ilvl w:val="0"/>
          <w:numId w:val="361"/>
        </w:numPr>
        <w:rPr>
          <w:rFonts w:ascii="Calibri" w:cs="Calibri" w:eastAsia="Calibri" w:hAnsi="Calibri"/>
          <w:sz w:val="20"/>
          <w:szCs w:val="20"/>
          <w:color w:val="auto"/>
        </w:rPr>
      </w:pPr>
      <w:r>
        <w:rPr>
          <w:rFonts w:ascii="Calibri" w:cs="Calibri" w:eastAsia="Calibri" w:hAnsi="Calibri"/>
          <w:sz w:val="20"/>
          <w:szCs w:val="20"/>
          <w:color w:val="auto"/>
        </w:rPr>
        <w:t>without prejudice to Secton 7.2.3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Secton 7.2.9 (</w:t>
      </w:r>
      <w:r>
        <w:rPr>
          <w:rFonts w:ascii="Calibri" w:cs="Calibri" w:eastAsia="Calibri" w:hAnsi="Calibri"/>
          <w:sz w:val="20"/>
          <w:szCs w:val="20"/>
          <w:b w:val="1"/>
          <w:bCs w:val="1"/>
          <w:color w:val="auto"/>
        </w:rPr>
        <w:t>Intellectual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Property</w:t>
      </w:r>
      <w:r>
        <w:rPr>
          <w:rFonts w:ascii="Calibri" w:cs="Calibri" w:eastAsia="Calibri" w:hAnsi="Calibri"/>
          <w:sz w:val="20"/>
          <w:szCs w:val="20"/>
          <w:color w:val="auto"/>
        </w:rPr>
        <w:t>), Secton 7.2.10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Secton 7.2.13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 all other Applicable Law in all material respects.</w:t>
      </w:r>
    </w:p>
    <w:p>
      <w:pPr>
        <w:spacing w:after="0" w:line="172"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7.2.4 </w:t>
      </w:r>
      <w:r>
        <w:rPr>
          <w:rFonts w:ascii="Calibri" w:cs="Calibri" w:eastAsia="Calibri" w:hAnsi="Calibri"/>
          <w:sz w:val="20"/>
          <w:szCs w:val="20"/>
          <w:b w:val="1"/>
          <w:bCs w:val="1"/>
          <w:color w:val="auto"/>
        </w:rPr>
        <w:t>Insurance.</w:t>
      </w:r>
      <w:r>
        <w:rPr>
          <w:rFonts w:ascii="Calibri" w:cs="Calibri" w:eastAsia="Calibri" w:hAnsi="Calibri"/>
          <w:sz w:val="20"/>
          <w:szCs w:val="20"/>
          <w:color w:val="auto"/>
        </w:rPr>
        <w:t xml:space="preserve"> The Recipient shall maintain, or cause to be maintained, in efect at all tmes insurance with reputable insurance companies (or self-insurance), with respect to its present and future Propertes (including liability and business interrupton coverage), against such risks and hazards, in such amounts, and in such form, as is usually carried by companies of a similar size that are engaged in the same or a similar business (afer giving efect to any self-insurance which in the good faith judgment and management of the Recipient is reasonable and prudent in light of the size and nature of its business).</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7.2.5</w:t>
      </w:r>
      <w:r>
        <w:rPr>
          <w:sz w:val="20"/>
          <w:szCs w:val="20"/>
          <w:color w:val="auto"/>
        </w:rPr>
        <w:tab/>
      </w:r>
      <w:r>
        <w:rPr>
          <w:rFonts w:ascii="Calibri" w:cs="Calibri" w:eastAsia="Calibri" w:hAnsi="Calibri"/>
          <w:sz w:val="19"/>
          <w:szCs w:val="19"/>
          <w:b w:val="1"/>
          <w:bCs w:val="1"/>
          <w:color w:val="auto"/>
        </w:rPr>
        <w:t>Taxes.</w:t>
      </w:r>
    </w:p>
    <w:p>
      <w:pPr>
        <w:spacing w:after="0" w:line="103" w:lineRule="exact"/>
        <w:rPr>
          <w:sz w:val="20"/>
          <w:szCs w:val="20"/>
          <w:color w:val="auto"/>
        </w:rPr>
      </w:pPr>
    </w:p>
    <w:p>
      <w:pPr>
        <w:jc w:val="both"/>
        <w:ind w:firstLine="1952"/>
        <w:spacing w:after="0" w:line="199" w:lineRule="auto"/>
        <w:tabs>
          <w:tab w:leader="none" w:pos="2596" w:val="left"/>
        </w:tabs>
        <w:numPr>
          <w:ilvl w:val="0"/>
          <w:numId w:val="362"/>
        </w:numPr>
        <w:rPr>
          <w:rFonts w:ascii="Calibri" w:cs="Calibri" w:eastAsia="Calibri" w:hAnsi="Calibri"/>
          <w:sz w:val="20"/>
          <w:szCs w:val="20"/>
          <w:color w:val="auto"/>
        </w:rPr>
      </w:pPr>
      <w:r>
        <w:rPr>
          <w:rFonts w:ascii="Calibri" w:cs="Calibri" w:eastAsia="Calibri" w:hAnsi="Calibri"/>
          <w:sz w:val="20"/>
          <w:szCs w:val="20"/>
          <w:color w:val="auto"/>
        </w:rPr>
        <w:t>The Recipient shall pay or cause to be paid on or before the date payment is due all applicable Taxes (including stamp taxes), dutes, fees, Periodic Expenses, or other charges payable on or in connecton with the executon, issue, delivery, registraton, or notarizaton, or for the legality, validity, or enforceability, of the Award Documents (other than those Taxes that it is contestng in good faith and by appropriate proceedings for which reserves have been established to the extent required by the Applicable Accountng Requirements); provided that, the Recipient shall promptly pay any valid, fnal judgment rendered upon the conclusion of any relevant Acton enforcing any Tax and cause it to be satsfed of record.</w:t>
      </w:r>
    </w:p>
    <w:p>
      <w:pPr>
        <w:spacing w:after="0" w:line="189"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62"/>
        </w:numPr>
        <w:rPr>
          <w:rFonts w:ascii="Calibri" w:cs="Calibri" w:eastAsia="Calibri" w:hAnsi="Calibri"/>
          <w:sz w:val="20"/>
          <w:szCs w:val="20"/>
          <w:color w:val="auto"/>
        </w:rPr>
      </w:pPr>
      <w:r>
        <w:rPr>
          <w:rFonts w:ascii="Calibri" w:cs="Calibri" w:eastAsia="Calibri" w:hAnsi="Calibri"/>
          <w:sz w:val="20"/>
          <w:szCs w:val="20"/>
          <w:color w:val="auto"/>
        </w:rPr>
        <w:t>The Recipient shall fle all tax returns required by Applicable Laws to be fled by it and shall pay or cause to be paid on or before the date payment is due (i) all income Taxes required to be paid by it; and (ii) all other material Taxes and assessments required to be paid by it (other than those Taxes that it contests in good faith and by appropriate proceedings, for which reserves are established to the extent required by the Applicable Accountng Requirements).</w:t>
      </w:r>
    </w:p>
    <w:p>
      <w:pPr>
        <w:spacing w:after="0" w:line="173"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7.2.6 </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xml:space="preserve"> The Recipient shall apply the proceeds of each Direct Funding Disbursement for the Project exclusively to reimburse the Recipient for Eligible Uses of Funds incurred in connecton with the relevant Disbursement Milestone for which the Direct Funding Disbursement was made which Eligible Uses of Funds have not been paid with the proceeds of (i) any federal grants, assistance or loans; (ii) other funds guaranteed by the federal government; or (iii) tax credits. For the avoidance of doubt, Eligible Uses of Funds may have been incurred by the Recipient on or afer the Eligible Start Date.</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7.2.7</w:t>
      </w:r>
      <w:r>
        <w:rPr>
          <w:sz w:val="20"/>
          <w:szCs w:val="20"/>
          <w:color w:val="auto"/>
        </w:rPr>
        <w:tab/>
      </w:r>
      <w:r>
        <w:rPr>
          <w:rFonts w:ascii="Calibri" w:cs="Calibri" w:eastAsia="Calibri" w:hAnsi="Calibri"/>
          <w:sz w:val="20"/>
          <w:szCs w:val="20"/>
          <w:b w:val="1"/>
          <w:bCs w:val="1"/>
          <w:color w:val="auto"/>
        </w:rPr>
        <w:t>Diligent Executon of Project</w:t>
      </w:r>
      <w:r>
        <w:rPr>
          <w:rFonts w:ascii="Calibri" w:cs="Calibri" w:eastAsia="Calibri" w:hAnsi="Calibri"/>
          <w:sz w:val="20"/>
          <w:szCs w:val="20"/>
          <w:color w:val="auto"/>
        </w:rPr>
        <w:t>.</w:t>
      </w:r>
    </w:p>
    <w:p>
      <w:pPr>
        <w:spacing w:after="0" w:line="171" w:lineRule="exact"/>
        <w:rPr>
          <w:sz w:val="20"/>
          <w:szCs w:val="20"/>
          <w:color w:val="auto"/>
        </w:rPr>
      </w:pPr>
    </w:p>
    <w:p>
      <w:pPr>
        <w:ind w:firstLine="1952"/>
        <w:spacing w:after="0" w:line="214" w:lineRule="auto"/>
        <w:tabs>
          <w:tab w:leader="none" w:pos="2596" w:val="left"/>
        </w:tabs>
        <w:numPr>
          <w:ilvl w:val="0"/>
          <w:numId w:val="363"/>
        </w:numPr>
        <w:rPr>
          <w:rFonts w:ascii="Calibri" w:cs="Calibri" w:eastAsia="Calibri" w:hAnsi="Calibri"/>
          <w:sz w:val="20"/>
          <w:szCs w:val="20"/>
          <w:color w:val="auto"/>
        </w:rPr>
      </w:pPr>
      <w:r>
        <w:rPr>
          <w:rFonts w:ascii="Calibri" w:cs="Calibri" w:eastAsia="Calibri" w:hAnsi="Calibri"/>
          <w:sz w:val="20"/>
          <w:szCs w:val="20"/>
          <w:color w:val="auto"/>
        </w:rPr>
        <w:t>The Recipient shall use commercially reasonable eforts to achieve each Disbursement Milestone for the Project by the relevant Antcipated Completon Date.</w:t>
      </w:r>
    </w:p>
    <w:p>
      <w:pPr>
        <w:spacing w:after="0" w:line="185"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63"/>
        </w:numPr>
        <w:rPr>
          <w:rFonts w:ascii="Calibri" w:cs="Calibri" w:eastAsia="Calibri" w:hAnsi="Calibri"/>
          <w:sz w:val="20"/>
          <w:szCs w:val="20"/>
          <w:color w:val="auto"/>
        </w:rPr>
      </w:pPr>
      <w:r>
        <w:rPr>
          <w:rFonts w:ascii="Calibri" w:cs="Calibri" w:eastAsia="Calibri" w:hAnsi="Calibri"/>
          <w:sz w:val="20"/>
          <w:szCs w:val="20"/>
          <w:color w:val="auto"/>
        </w:rPr>
        <w:t>The Recipient shall construct and complete, or cause to be constructed and completed, the Project diligently in accordance with the applicable Constructon Contracts and the other applicable Project Documents, in all material respects, as each is permited to be amended, supplemented or otherwise modifed under this Agreement, and Prudent Industry Practce.</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7. 2.8 </w:t>
      </w:r>
      <w:r>
        <w:rPr>
          <w:rFonts w:ascii="Calibri" w:cs="Calibri" w:eastAsia="Calibri" w:hAnsi="Calibri"/>
          <w:sz w:val="20"/>
          <w:szCs w:val="20"/>
          <w:b w:val="1"/>
          <w:bCs w:val="1"/>
          <w:color w:val="auto"/>
        </w:rPr>
        <w:t>Equipment.</w:t>
      </w:r>
      <w:r>
        <w:rPr>
          <w:rFonts w:ascii="Calibri" w:cs="Calibri" w:eastAsia="Calibri" w:hAnsi="Calibri"/>
          <w:sz w:val="20"/>
          <w:szCs w:val="20"/>
          <w:color w:val="auto"/>
        </w:rPr>
        <w:t xml:space="preserve"> The Recipient shall own, maintain, repair and replace (or cause to be owned, maintained, repaired and replaced) all material Propertes and equipment, spare parts, and inventory necessary for the operaton and maintenance of the Project in accordance with Prudent Industry Practce.</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7.2.9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The Recipient shall at all tmes acquire and maintain ownership of, or obtain and maintain licenses or other authorizatons or rights to use, know-how sufcient to operate and maintain the Existng Facilites to manufacture the Products.</w:t>
      </w:r>
    </w:p>
    <w:p>
      <w:pPr>
        <w:spacing w:after="0" w:line="184" w:lineRule="exact"/>
        <w:rPr>
          <w:sz w:val="20"/>
          <w:szCs w:val="20"/>
          <w:color w:val="auto"/>
        </w:rPr>
      </w:pPr>
    </w:p>
    <w:p>
      <w:pPr>
        <w:jc w:val="both"/>
        <w:ind w:right="20" w:firstLine="1296"/>
        <w:spacing w:after="0" w:line="208" w:lineRule="auto"/>
        <w:rPr>
          <w:sz w:val="20"/>
          <w:szCs w:val="20"/>
          <w:color w:val="auto"/>
        </w:rPr>
      </w:pPr>
      <w:r>
        <w:rPr>
          <w:rFonts w:ascii="Calibri" w:cs="Calibri" w:eastAsia="Calibri" w:hAnsi="Calibri"/>
          <w:sz w:val="20"/>
          <w:szCs w:val="20"/>
          <w:color w:val="auto"/>
        </w:rPr>
        <w:t xml:space="preserve">7.2.10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The Recipient shall (a) procure (or renew, as applicable) each Required Approval at or prior to such tme as such Required Approval is required or necessary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240"/>
          </w:cols>
          <w:pgMar w:left="320" w:top="1384" w:right="339" w:bottom="1440" w:gutter="0" w:footer="0" w:header="0"/>
        </w:sectPr>
      </w:pPr>
    </w:p>
    <w:bookmarkStart w:id="360" w:name="page361"/>
    <w:bookmarkEnd w:id="360"/>
    <w:p>
      <w:pPr>
        <w:jc w:val="both"/>
        <w:spacing w:after="0" w:line="214" w:lineRule="auto"/>
        <w:rPr>
          <w:sz w:val="20"/>
          <w:szCs w:val="20"/>
          <w:color w:val="auto"/>
        </w:rPr>
      </w:pPr>
      <w:r>
        <w:rPr>
          <w:rFonts w:ascii="Calibri" w:cs="Calibri" w:eastAsia="Calibri" w:hAnsi="Calibri"/>
          <w:sz w:val="20"/>
          <w:szCs w:val="20"/>
          <w:color w:val="auto"/>
        </w:rPr>
        <w:t>in any event in accordance with any applicable deadline set forth in the relevant Permitng Plan; and (b) maintain each such Required Approval in full force and efect and comply with the terms thereof in all material respects.</w:t>
      </w:r>
    </w:p>
    <w:p>
      <w:pPr>
        <w:spacing w:after="0" w:line="162"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7.2.11  </w:t>
      </w:r>
      <w:r>
        <w:rPr>
          <w:rFonts w:ascii="Calibri" w:cs="Calibri" w:eastAsia="Calibri" w:hAnsi="Calibri"/>
          <w:sz w:val="20"/>
          <w:szCs w:val="20"/>
          <w:b w:val="1"/>
          <w:bCs w:val="1"/>
          <w:color w:val="auto"/>
        </w:rPr>
        <w:t>ASAP Account.</w:t>
      </w:r>
      <w:r>
        <w:rPr>
          <w:rFonts w:ascii="Calibri" w:cs="Calibri" w:eastAsia="Calibri" w:hAnsi="Calibri"/>
          <w:sz w:val="20"/>
          <w:szCs w:val="20"/>
          <w:color w:val="auto"/>
        </w:rPr>
        <w:t xml:space="preserve"> The Recipient shall maintain an account in ASAP at all tmes.</w:t>
      </w:r>
    </w:p>
    <w:p>
      <w:pPr>
        <w:spacing w:after="0" w:line="184"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7.2.12 </w:t>
      </w:r>
      <w:r>
        <w:rPr>
          <w:rFonts w:ascii="Calibri" w:cs="Calibri" w:eastAsia="Calibri" w:hAnsi="Calibri"/>
          <w:sz w:val="20"/>
          <w:szCs w:val="20"/>
          <w:b w:val="1"/>
          <w:bCs w:val="1"/>
          <w:color w:val="auto"/>
        </w:rPr>
        <w:t>Public Announcements</w:t>
      </w:r>
      <w:r>
        <w:rPr>
          <w:rFonts w:ascii="Calibri" w:cs="Calibri" w:eastAsia="Calibri" w:hAnsi="Calibri"/>
          <w:sz w:val="20"/>
          <w:szCs w:val="20"/>
          <w:color w:val="auto"/>
        </w:rPr>
        <w:t>. The Recipient shall, prior to the making thereof, provide reasonable advance notce to the Department with respect to any public announcement made by the Recipient or, to the Recipient’s Knowledge, any other Recipient Party:</w:t>
      </w:r>
    </w:p>
    <w:p>
      <w:pPr>
        <w:spacing w:after="0" w:line="322" w:lineRule="exact"/>
        <w:rPr>
          <w:sz w:val="20"/>
          <w:szCs w:val="20"/>
          <w:color w:val="auto"/>
        </w:rPr>
      </w:pPr>
    </w:p>
    <w:p>
      <w:pPr>
        <w:ind w:right="20" w:firstLine="1952"/>
        <w:spacing w:after="0" w:line="214" w:lineRule="auto"/>
        <w:tabs>
          <w:tab w:leader="none" w:pos="2596" w:val="left"/>
        </w:tabs>
        <w:numPr>
          <w:ilvl w:val="0"/>
          <w:numId w:val="364"/>
        </w:numPr>
        <w:rPr>
          <w:rFonts w:ascii="Calibri" w:cs="Calibri" w:eastAsia="Calibri" w:hAnsi="Calibri"/>
          <w:sz w:val="20"/>
          <w:szCs w:val="20"/>
          <w:color w:val="auto"/>
        </w:rPr>
      </w:pPr>
      <w:r>
        <w:rPr>
          <w:rFonts w:ascii="Calibri" w:cs="Calibri" w:eastAsia="Calibri" w:hAnsi="Calibri"/>
          <w:sz w:val="20"/>
          <w:szCs w:val="20"/>
          <w:color w:val="auto"/>
        </w:rPr>
        <w:t xml:space="preserve">in connecton with material developments in respect of the Project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the Project’s ground-breaking ceremony or going into operaton) or satsfacton of any Disbursement Milestone); and</w:t>
      </w:r>
    </w:p>
    <w:p>
      <w:pPr>
        <w:spacing w:after="0" w:line="172"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364"/>
        </w:numPr>
        <w:rPr>
          <w:rFonts w:ascii="Calibri" w:cs="Calibri" w:eastAsia="Calibri" w:hAnsi="Calibri"/>
          <w:sz w:val="20"/>
          <w:szCs w:val="20"/>
          <w:color w:val="auto"/>
        </w:rPr>
      </w:pPr>
      <w:r>
        <w:rPr>
          <w:rFonts w:ascii="Calibri" w:cs="Calibri" w:eastAsia="Calibri" w:hAnsi="Calibri"/>
          <w:sz w:val="20"/>
          <w:szCs w:val="20"/>
          <w:color w:val="auto"/>
        </w:rPr>
        <w:t>that directly refers to the Award or any Award Document (including by submitng the full text of any proposed public statement to the Department for review and refraining from making any such public statement without the Department’s prior writen approval), other than any such statements that are, as may be determined by any Recipient Party or any Afliate thereof: (i) required by or to comply with Applicable Law or stock exchange rules or regulatons applicable to such Person; or (ii) made in connecton with any Acton brought by or against any Recipient Party or any of its Afliates.</w:t>
      </w:r>
    </w:p>
    <w:p>
      <w:pPr>
        <w:spacing w:after="0" w:line="178"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7.2.13  </w:t>
      </w:r>
      <w:r>
        <w:rPr>
          <w:rFonts w:ascii="Calibri" w:cs="Calibri" w:eastAsia="Calibri" w:hAnsi="Calibri"/>
          <w:sz w:val="20"/>
          <w:szCs w:val="20"/>
          <w:b w:val="1"/>
          <w:bCs w:val="1"/>
          <w:color w:val="auto"/>
        </w:rPr>
        <w:t>Federal Requirements.</w:t>
      </w:r>
    </w:p>
    <w:p>
      <w:pPr>
        <w:spacing w:after="0" w:line="93" w:lineRule="exact"/>
        <w:rPr>
          <w:sz w:val="20"/>
          <w:szCs w:val="20"/>
          <w:color w:val="auto"/>
        </w:rPr>
      </w:pPr>
    </w:p>
    <w:p>
      <w:pPr>
        <w:ind w:left="1960"/>
        <w:spacing w:after="0"/>
        <w:tabs>
          <w:tab w:leader="none" w:pos="2580" w:val="left"/>
        </w:tabs>
        <w:rPr>
          <w:sz w:val="20"/>
          <w:szCs w:val="20"/>
          <w:color w:val="auto"/>
        </w:rPr>
      </w:pPr>
      <w:r>
        <w:rPr>
          <w:rFonts w:ascii="Calibri" w:cs="Calibri" w:eastAsia="Calibri" w:hAnsi="Calibri"/>
          <w:sz w:val="20"/>
          <w:szCs w:val="20"/>
          <w:color w:val="auto"/>
        </w:rPr>
        <w:t>(a)</w:t>
      </w:r>
      <w:r>
        <w:rPr>
          <w:sz w:val="20"/>
          <w:szCs w:val="20"/>
          <w:color w:val="auto"/>
        </w:rPr>
        <w:tab/>
      </w:r>
      <w:r>
        <w:rPr>
          <w:rFonts w:ascii="Calibri" w:cs="Calibri" w:eastAsia="Calibri" w:hAnsi="Calibri"/>
          <w:sz w:val="20"/>
          <w:szCs w:val="20"/>
          <w:b w:val="1"/>
          <w:bCs w:val="1"/>
          <w:color w:val="auto"/>
        </w:rPr>
        <w:t xml:space="preserve">Sanctons, Export Control Laws, Ant-Money Laundering Laws, and Ant-Corrupton Laws. </w:t>
      </w:r>
      <w:r>
        <w:rPr>
          <w:rFonts w:ascii="Calibri" w:cs="Calibri" w:eastAsia="Calibri" w:hAnsi="Calibri"/>
          <w:sz w:val="20"/>
          <w:szCs w:val="20"/>
          <w:color w:val="auto"/>
        </w:rPr>
        <w:t>The Recipient</w:t>
      </w:r>
    </w:p>
    <w:p>
      <w:pPr>
        <w:spacing w:after="0" w:line="199" w:lineRule="auto"/>
        <w:rPr>
          <w:sz w:val="20"/>
          <w:szCs w:val="20"/>
          <w:color w:val="auto"/>
        </w:rPr>
      </w:pPr>
      <w:r>
        <w:rPr>
          <w:rFonts w:ascii="Calibri" w:cs="Calibri" w:eastAsia="Calibri" w:hAnsi="Calibri"/>
          <w:sz w:val="20"/>
          <w:szCs w:val="20"/>
          <w:color w:val="auto"/>
        </w:rPr>
        <w:t>shall:</w:t>
      </w:r>
    </w:p>
    <w:p>
      <w:pPr>
        <w:spacing w:after="0" w:line="161" w:lineRule="exact"/>
        <w:rPr>
          <w:sz w:val="20"/>
          <w:szCs w:val="20"/>
          <w:color w:val="auto"/>
        </w:rPr>
      </w:pPr>
    </w:p>
    <w:p>
      <w:pPr>
        <w:ind w:left="3240" w:hanging="640"/>
        <w:spacing w:after="0"/>
        <w:tabs>
          <w:tab w:leader="none" w:pos="3240" w:val="left"/>
        </w:tabs>
        <w:numPr>
          <w:ilvl w:val="2"/>
          <w:numId w:val="365"/>
        </w:numPr>
        <w:rPr>
          <w:rFonts w:ascii="Calibri" w:cs="Calibri" w:eastAsia="Calibri" w:hAnsi="Calibri"/>
          <w:sz w:val="20"/>
          <w:szCs w:val="20"/>
          <w:color w:val="auto"/>
        </w:rPr>
      </w:pPr>
      <w:r>
        <w:rPr>
          <w:rFonts w:ascii="Calibri" w:cs="Calibri" w:eastAsia="Calibri" w:hAnsi="Calibri"/>
          <w:sz w:val="20"/>
          <w:szCs w:val="20"/>
          <w:color w:val="auto"/>
        </w:rPr>
        <w:t>comply with all Sanctons, Ant-Money Laundering Laws, and Ant-Corrupton Laws;</w:t>
      </w:r>
    </w:p>
    <w:p>
      <w:pPr>
        <w:spacing w:after="0" w:line="184" w:lineRule="exact"/>
        <w:rPr>
          <w:rFonts w:ascii="Calibri" w:cs="Calibri" w:eastAsia="Calibri" w:hAnsi="Calibri"/>
          <w:sz w:val="20"/>
          <w:szCs w:val="20"/>
          <w:color w:val="auto"/>
        </w:rPr>
      </w:pPr>
    </w:p>
    <w:p>
      <w:pPr>
        <w:jc w:val="both"/>
        <w:ind w:firstLine="2600"/>
        <w:spacing w:after="0" w:line="208" w:lineRule="auto"/>
        <w:tabs>
          <w:tab w:leader="none" w:pos="3240" w:val="left"/>
        </w:tabs>
        <w:numPr>
          <w:ilvl w:val="2"/>
          <w:numId w:val="365"/>
        </w:numPr>
        <w:rPr>
          <w:rFonts w:ascii="Calibri" w:cs="Calibri" w:eastAsia="Calibri" w:hAnsi="Calibri"/>
          <w:sz w:val="20"/>
          <w:szCs w:val="20"/>
          <w:color w:val="auto"/>
        </w:rPr>
      </w:pPr>
      <w:r>
        <w:rPr>
          <w:rFonts w:ascii="Calibri" w:cs="Calibri" w:eastAsia="Calibri" w:hAnsi="Calibri"/>
          <w:sz w:val="20"/>
          <w:szCs w:val="20"/>
          <w:color w:val="auto"/>
        </w:rPr>
        <w:t>comply with all applicable Export Control Laws in all respects. except for any actual or potental violatons that involve only unintentonal minor, technical infractons, which either (A) were voluntarily self-disclosed to BIS within sixty</w:t>
      </w:r>
    </w:p>
    <w:p>
      <w:pPr>
        <w:jc w:val="both"/>
        <w:ind w:firstLine="8"/>
        <w:spacing w:after="0" w:line="194" w:lineRule="auto"/>
        <w:tabs>
          <w:tab w:leader="none" w:pos="387" w:val="left"/>
        </w:tabs>
        <w:numPr>
          <w:ilvl w:val="0"/>
          <w:numId w:val="366"/>
        </w:numPr>
        <w:rPr>
          <w:rFonts w:ascii="Calibri" w:cs="Calibri" w:eastAsia="Calibri" w:hAnsi="Calibri"/>
          <w:sz w:val="20"/>
          <w:szCs w:val="20"/>
          <w:color w:val="auto"/>
        </w:rPr>
      </w:pPr>
      <w:r>
        <w:rPr>
          <w:rFonts w:ascii="Calibri" w:cs="Calibri" w:eastAsia="Calibri" w:hAnsi="Calibri"/>
          <w:sz w:val="20"/>
          <w:szCs w:val="20"/>
          <w:color w:val="auto"/>
        </w:rPr>
        <w:t>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76" w:lineRule="exact"/>
        <w:rPr>
          <w:rFonts w:ascii="Calibri" w:cs="Calibri" w:eastAsia="Calibri" w:hAnsi="Calibri"/>
          <w:sz w:val="20"/>
          <w:szCs w:val="20"/>
          <w:color w:val="auto"/>
        </w:rPr>
      </w:pPr>
    </w:p>
    <w:p>
      <w:pPr>
        <w:ind w:left="3260" w:hanging="660"/>
        <w:spacing w:after="0"/>
        <w:tabs>
          <w:tab w:leader="none" w:pos="3260" w:val="left"/>
        </w:tabs>
        <w:numPr>
          <w:ilvl w:val="2"/>
          <w:numId w:val="366"/>
        </w:numPr>
        <w:rPr>
          <w:rFonts w:ascii="Calibri" w:cs="Calibri" w:eastAsia="Calibri" w:hAnsi="Calibri"/>
          <w:sz w:val="20"/>
          <w:szCs w:val="20"/>
          <w:color w:val="auto"/>
        </w:rPr>
      </w:pPr>
      <w:r>
        <w:rPr>
          <w:rFonts w:ascii="Calibri" w:cs="Calibri" w:eastAsia="Calibri" w:hAnsi="Calibri"/>
          <w:sz w:val="20"/>
          <w:szCs w:val="20"/>
          <w:color w:val="auto"/>
        </w:rPr>
        <w:t>maintain in efect policies and procedures designed to promote and achieve compliance with all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applicable Sanctons, Export Control Laws, Ant-Money Laundering Laws, and Ant-Corrupton Laws;</w:t>
      </w:r>
    </w:p>
    <w:p>
      <w:pPr>
        <w:spacing w:after="0" w:line="170" w:lineRule="exact"/>
        <w:rPr>
          <w:rFonts w:ascii="Calibri" w:cs="Calibri" w:eastAsia="Calibri" w:hAnsi="Calibri"/>
          <w:sz w:val="20"/>
          <w:szCs w:val="20"/>
          <w:color w:val="auto"/>
        </w:rPr>
      </w:pPr>
    </w:p>
    <w:p>
      <w:pPr>
        <w:jc w:val="both"/>
        <w:ind w:firstLine="2600"/>
        <w:spacing w:after="0" w:line="209" w:lineRule="auto"/>
        <w:tabs>
          <w:tab w:leader="none" w:pos="3244" w:val="left"/>
        </w:tabs>
        <w:numPr>
          <w:ilvl w:val="2"/>
          <w:numId w:val="366"/>
        </w:numPr>
        <w:rPr>
          <w:rFonts w:ascii="Calibri" w:cs="Calibri" w:eastAsia="Calibri" w:hAnsi="Calibri"/>
          <w:sz w:val="20"/>
          <w:szCs w:val="20"/>
          <w:color w:val="auto"/>
        </w:rPr>
      </w:pPr>
      <w:r>
        <w:rPr>
          <w:rFonts w:ascii="Calibri" w:cs="Calibri" w:eastAsia="Calibri" w:hAnsi="Calibri"/>
          <w:sz w:val="20"/>
          <w:szCs w:val="20"/>
          <w:color w:val="auto"/>
        </w:rPr>
        <w:t>maintain in efect disclosure controls and procedures to provide reasonable assurance that material informaton regarding the Recipient’s compliance with Applicable Laws (including Sanctons, Export Control Laws, Ant-Money Laundering Laws, and Ant-Corrupton Laws) is made known to Principal Persons of the Recipient; and</w:t>
      </w:r>
    </w:p>
    <w:p>
      <w:pPr>
        <w:spacing w:after="0" w:line="172" w:lineRule="exact"/>
        <w:rPr>
          <w:rFonts w:ascii="Calibri" w:cs="Calibri" w:eastAsia="Calibri" w:hAnsi="Calibri"/>
          <w:sz w:val="20"/>
          <w:szCs w:val="20"/>
          <w:color w:val="auto"/>
        </w:rPr>
      </w:pPr>
    </w:p>
    <w:p>
      <w:pPr>
        <w:jc w:val="both"/>
        <w:ind w:firstLine="2600"/>
        <w:spacing w:after="0"/>
        <w:tabs>
          <w:tab w:leader="none" w:pos="3238" w:val="left"/>
        </w:tabs>
        <w:numPr>
          <w:ilvl w:val="2"/>
          <w:numId w:val="366"/>
        </w:numPr>
        <w:rPr>
          <w:rFonts w:ascii="Calibri" w:cs="Calibri" w:eastAsia="Calibri" w:hAnsi="Calibri"/>
          <w:sz w:val="20"/>
          <w:szCs w:val="20"/>
          <w:color w:val="auto"/>
        </w:rPr>
      </w:pPr>
      <w:r>
        <w:rPr>
          <w:rFonts w:ascii="Calibri" w:cs="Calibri" w:eastAsia="Calibri" w:hAnsi="Calibri"/>
          <w:sz w:val="20"/>
          <w:szCs w:val="20"/>
          <w:color w:val="auto"/>
        </w:rPr>
        <w:t>take all responsible and prudent steps to ensure that each of its directors, ofcers, employees, agents, and representatves comply with applicable Sanctons, Export Control Laws, Ant-Money Laundering Laws and Ant-Corrupton Laws.</w:t>
      </w:r>
    </w:p>
    <w:p>
      <w:pPr>
        <w:spacing w:after="0" w:line="321" w:lineRule="exact"/>
        <w:rPr>
          <w:rFonts w:ascii="Calibri" w:cs="Calibri" w:eastAsia="Calibri" w:hAnsi="Calibri"/>
          <w:sz w:val="20"/>
          <w:szCs w:val="20"/>
          <w:color w:val="auto"/>
        </w:rPr>
      </w:pPr>
    </w:p>
    <w:p>
      <w:pPr>
        <w:jc w:val="both"/>
        <w:ind w:firstLine="1952"/>
        <w:spacing w:after="0" w:line="199" w:lineRule="auto"/>
        <w:tabs>
          <w:tab w:leader="none" w:pos="2592" w:val="left"/>
        </w:tabs>
        <w:numPr>
          <w:ilvl w:val="1"/>
          <w:numId w:val="366"/>
        </w:numPr>
        <w:rPr>
          <w:rFonts w:ascii="Calibri" w:cs="Calibri" w:eastAsia="Calibri" w:hAnsi="Calibri"/>
          <w:sz w:val="20"/>
          <w:szCs w:val="20"/>
          <w:color w:val="auto"/>
        </w:rPr>
      </w:pP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 The Recipient shall provide writen notce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Department as soon as practcable from the date that the Recipient knew or should have known that any Principal Person of the Recipient has become a Prohibited Person or the Recipient has become a Foreign Entty of Concern. For the purposes of this paragraph (b), (i) the date that the Recipient “should have known” such Principal Person became a Prohibited Person shall include, if applicable, (A) the date on which such Principal Person was identfed on any Sanctons List; and (b) the date on which such Principal Person became domiciled in a Sanctoned Country; and (ii) the date that the Recipient “should have known” that the Recipient became a Foreign Entty of Concern shall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ectPr>
          <w:pgSz w:w="11900" w:h="16838" w:orient="portrait"/>
          <w:cols w:equalWidth="0" w:num="1">
            <w:col w:w="11240"/>
          </w:cols>
          <w:pgMar w:left="320" w:top="1384" w:right="339" w:bottom="1440" w:gutter="0" w:footer="0" w:header="0"/>
        </w:sectPr>
      </w:pPr>
    </w:p>
    <w:bookmarkStart w:id="361" w:name="page362"/>
    <w:bookmarkEnd w:id="361"/>
    <w:p>
      <w:pPr>
        <w:spacing w:after="0"/>
        <w:rPr>
          <w:sz w:val="20"/>
          <w:szCs w:val="20"/>
          <w:color w:val="auto"/>
        </w:rPr>
      </w:pPr>
      <w:r>
        <w:rPr>
          <w:rFonts w:ascii="Calibri" w:cs="Calibri" w:eastAsia="Calibri" w:hAnsi="Calibri"/>
          <w:sz w:val="20"/>
          <w:szCs w:val="20"/>
          <w:color w:val="auto"/>
        </w:rPr>
        <w:t>if applicable, the date on which the change in ownership or management that made the Recipient a Foreign Entty of Concern occurred.</w:t>
      </w:r>
    </w:p>
    <w:p>
      <w:pPr>
        <w:spacing w:after="0" w:line="174" w:lineRule="exact"/>
        <w:rPr>
          <w:sz w:val="20"/>
          <w:szCs w:val="20"/>
          <w:color w:val="auto"/>
        </w:rPr>
      </w:pPr>
    </w:p>
    <w:p>
      <w:pPr>
        <w:ind w:left="2600" w:hanging="648"/>
        <w:spacing w:after="0"/>
        <w:tabs>
          <w:tab w:leader="none" w:pos="2600" w:val="left"/>
        </w:tabs>
        <w:numPr>
          <w:ilvl w:val="1"/>
          <w:numId w:val="36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Lobbying Restricton. </w:t>
      </w:r>
      <w:r>
        <w:rPr>
          <w:rFonts w:ascii="Calibri" w:cs="Calibri" w:eastAsia="Calibri" w:hAnsi="Calibri"/>
          <w:sz w:val="20"/>
          <w:szCs w:val="20"/>
          <w:color w:val="auto"/>
        </w:rPr>
        <w:t>The Recipient shall:</w:t>
      </w:r>
    </w:p>
    <w:p>
      <w:pPr>
        <w:spacing w:after="0" w:line="170" w:lineRule="exact"/>
        <w:rPr>
          <w:rFonts w:ascii="Calibri" w:cs="Calibri" w:eastAsia="Calibri" w:hAnsi="Calibri"/>
          <w:sz w:val="20"/>
          <w:szCs w:val="20"/>
          <w:color w:val="auto"/>
        </w:rPr>
      </w:pPr>
    </w:p>
    <w:p>
      <w:pPr>
        <w:jc w:val="both"/>
        <w:ind w:firstLine="2600"/>
        <w:spacing w:after="0" w:line="203" w:lineRule="auto"/>
        <w:tabs>
          <w:tab w:leader="none" w:pos="3234" w:val="left"/>
        </w:tabs>
        <w:numPr>
          <w:ilvl w:val="2"/>
          <w:numId w:val="367"/>
        </w:numPr>
        <w:rPr>
          <w:rFonts w:ascii="Calibri" w:cs="Calibri" w:eastAsia="Calibri" w:hAnsi="Calibri"/>
          <w:sz w:val="20"/>
          <w:szCs w:val="20"/>
          <w:color w:val="auto"/>
        </w:rPr>
      </w:pPr>
      <w:r>
        <w:rPr>
          <w:rFonts w:ascii="Calibri" w:cs="Calibri" w:eastAsia="Calibri" w:hAnsi="Calibri"/>
          <w:sz w:val="20"/>
          <w:szCs w:val="20"/>
          <w:color w:val="auto"/>
        </w:rPr>
        <w:t>comply with all requirements of 31 U.S.C. § 1352, as amended, including the requirement that no proceeds of any Disbursement be expended by the Recipient or any of its Afliates to pay any Person for infuencing or atemptng to infuence an ofcer or employee of any federal agency, a member of the U.S. Congress, an ofcer or employee of the U.S. Congress, or an employee of a member of Congress in connecton with the making of the Award or any other acton described in 31 U.S.C. § 1352(a)</w:t>
      </w:r>
    </w:p>
    <w:p>
      <w:pPr>
        <w:spacing w:after="0" w:line="2" w:lineRule="exact"/>
        <w:rPr>
          <w:rFonts w:ascii="Calibri" w:cs="Calibri" w:eastAsia="Calibri" w:hAnsi="Calibri"/>
          <w:sz w:val="20"/>
          <w:szCs w:val="20"/>
          <w:color w:val="auto"/>
        </w:rPr>
      </w:pPr>
    </w:p>
    <w:p>
      <w:pPr>
        <w:ind w:left="280" w:hanging="272"/>
        <w:spacing w:after="0" w:line="199" w:lineRule="auto"/>
        <w:tabs>
          <w:tab w:leader="none" w:pos="280" w:val="left"/>
        </w:tabs>
        <w:numPr>
          <w:ilvl w:val="0"/>
          <w:numId w:val="368"/>
        </w:numPr>
        <w:rPr>
          <w:rFonts w:ascii="Calibri" w:cs="Calibri" w:eastAsia="Calibri" w:hAnsi="Calibri"/>
          <w:sz w:val="20"/>
          <w:szCs w:val="20"/>
          <w:color w:val="auto"/>
        </w:rPr>
      </w:pPr>
      <w:r>
        <w:rPr>
          <w:rFonts w:ascii="Calibri" w:cs="Calibri" w:eastAsia="Calibri" w:hAnsi="Calibri"/>
          <w:sz w:val="20"/>
          <w:szCs w:val="20"/>
          <w:color w:val="auto"/>
        </w:rPr>
        <w:t>and with the implementng regulatons at 15 C.F.R. Part 28; and</w:t>
      </w:r>
    </w:p>
    <w:p>
      <w:pPr>
        <w:spacing w:after="0" w:line="167" w:lineRule="exact"/>
        <w:rPr>
          <w:rFonts w:ascii="Calibri" w:cs="Calibri" w:eastAsia="Calibri" w:hAnsi="Calibri"/>
          <w:sz w:val="20"/>
          <w:szCs w:val="20"/>
          <w:color w:val="auto"/>
        </w:rPr>
      </w:pPr>
    </w:p>
    <w:p>
      <w:pPr>
        <w:ind w:left="3240" w:hanging="640"/>
        <w:spacing w:after="0"/>
        <w:tabs>
          <w:tab w:leader="none" w:pos="3240" w:val="left"/>
        </w:tabs>
        <w:numPr>
          <w:ilvl w:val="2"/>
          <w:numId w:val="368"/>
        </w:numPr>
        <w:rPr>
          <w:rFonts w:ascii="Calibri" w:cs="Calibri" w:eastAsia="Calibri" w:hAnsi="Calibri"/>
          <w:sz w:val="20"/>
          <w:szCs w:val="20"/>
          <w:color w:val="auto"/>
        </w:rPr>
      </w:pPr>
      <w:r>
        <w:rPr>
          <w:rFonts w:ascii="Calibri" w:cs="Calibri" w:eastAsia="Calibri" w:hAnsi="Calibri"/>
          <w:sz w:val="20"/>
          <w:szCs w:val="20"/>
          <w:color w:val="auto"/>
        </w:rPr>
        <w:t>disclose to the Department any registratons as required under the Lobbying Disclosure Act (2</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 xml:space="preserve">U.S.C. § 1601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or the Foreign Agents Registraton Act (22 U.S.C. § 611 </w:t>
      </w:r>
      <w:r>
        <w:rPr>
          <w:rFonts w:ascii="Calibri" w:cs="Calibri" w:eastAsia="Calibri" w:hAnsi="Calibri"/>
          <w:sz w:val="20"/>
          <w:szCs w:val="20"/>
          <w:i w:val="1"/>
          <w:iCs w:val="1"/>
          <w:color w:val="auto"/>
        </w:rPr>
        <w:t>et seq</w:t>
      </w:r>
      <w:r>
        <w:rPr>
          <w:rFonts w:ascii="Calibri" w:cs="Calibri" w:eastAsia="Calibri" w:hAnsi="Calibri"/>
          <w:sz w:val="20"/>
          <w:szCs w:val="20"/>
          <w:color w:val="auto"/>
        </w:rPr>
        <w:t>.) related to the Project.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1"/>
          <w:numId w:val="368"/>
        </w:numPr>
        <w:rPr>
          <w:rFonts w:ascii="Calibri" w:cs="Calibri" w:eastAsia="Calibri" w:hAnsi="Calibri"/>
          <w:sz w:val="20"/>
          <w:szCs w:val="20"/>
          <w:color w:val="auto"/>
        </w:rPr>
      </w:pP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The Recipient shall comply with all applicable covenants set forth in Annex D</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ind w:firstLine="1952"/>
        <w:spacing w:after="0" w:line="214" w:lineRule="auto"/>
        <w:tabs>
          <w:tab w:leader="none" w:pos="2586" w:val="left"/>
        </w:tabs>
        <w:numPr>
          <w:ilvl w:val="1"/>
          <w:numId w:val="368"/>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Davis-Bacon Act. </w:t>
      </w:r>
      <w:r>
        <w:rPr>
          <w:rFonts w:ascii="Calibri" w:cs="Calibri" w:eastAsia="Calibri" w:hAnsi="Calibri"/>
          <w:sz w:val="20"/>
          <w:szCs w:val="20"/>
          <w:color w:val="auto"/>
        </w:rPr>
        <w:t>The Recipient shall comply with the afrmatve covenants set forth in Secton 5</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Afrmatve Covenants</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w:t>
      </w:r>
    </w:p>
    <w:p>
      <w:pPr>
        <w:spacing w:after="0" w:line="175" w:lineRule="exact"/>
        <w:rPr>
          <w:rFonts w:ascii="Calibri" w:cs="Calibri" w:eastAsia="Calibri" w:hAnsi="Calibri"/>
          <w:sz w:val="20"/>
          <w:szCs w:val="20"/>
          <w:color w:val="auto"/>
        </w:rPr>
      </w:pPr>
    </w:p>
    <w:p>
      <w:pPr>
        <w:ind w:left="2600" w:hanging="648"/>
        <w:spacing w:after="0"/>
        <w:tabs>
          <w:tab w:leader="none" w:pos="2600" w:val="left"/>
        </w:tabs>
        <w:numPr>
          <w:ilvl w:val="1"/>
          <w:numId w:val="368"/>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p>
    <w:p>
      <w:pPr>
        <w:spacing w:after="0" w:line="93" w:lineRule="exact"/>
        <w:rPr>
          <w:rFonts w:ascii="Calibri" w:cs="Calibri" w:eastAsia="Calibri" w:hAnsi="Calibri"/>
          <w:sz w:val="20"/>
          <w:szCs w:val="20"/>
          <w:color w:val="auto"/>
        </w:rPr>
      </w:pPr>
    </w:p>
    <w:p>
      <w:pPr>
        <w:ind w:left="3240" w:hanging="640"/>
        <w:spacing w:after="0"/>
        <w:tabs>
          <w:tab w:leader="none" w:pos="3240" w:val="left"/>
        </w:tabs>
        <w:numPr>
          <w:ilvl w:val="2"/>
          <w:numId w:val="369"/>
        </w:numPr>
        <w:rPr>
          <w:rFonts w:ascii="Calibri" w:cs="Calibri" w:eastAsia="Calibri" w:hAnsi="Calibri"/>
          <w:sz w:val="20"/>
          <w:szCs w:val="20"/>
          <w:color w:val="auto"/>
        </w:rPr>
      </w:pPr>
      <w:r>
        <w:rPr>
          <w:rFonts w:ascii="Calibri" w:cs="Calibri" w:eastAsia="Calibri" w:hAnsi="Calibri"/>
          <w:sz w:val="20"/>
          <w:szCs w:val="20"/>
          <w:color w:val="auto"/>
        </w:rPr>
        <w:t>The Recipient shall, and shall cause each other Recipient Party to, comply with the Guardrail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Provisions.</w:t>
      </w:r>
    </w:p>
    <w:p>
      <w:pPr>
        <w:spacing w:after="0" w:line="160" w:lineRule="exact"/>
        <w:rPr>
          <w:rFonts w:ascii="Calibri" w:cs="Calibri" w:eastAsia="Calibri" w:hAnsi="Calibri"/>
          <w:sz w:val="20"/>
          <w:szCs w:val="20"/>
          <w:color w:val="auto"/>
        </w:rPr>
      </w:pPr>
    </w:p>
    <w:p>
      <w:pPr>
        <w:ind w:left="3240" w:hanging="640"/>
        <w:spacing w:after="0"/>
        <w:tabs>
          <w:tab w:leader="none" w:pos="3240" w:val="left"/>
        </w:tabs>
        <w:numPr>
          <w:ilvl w:val="2"/>
          <w:numId w:val="369"/>
        </w:numPr>
        <w:rPr>
          <w:rFonts w:ascii="Calibri" w:cs="Calibri" w:eastAsia="Calibri" w:hAnsi="Calibri"/>
          <w:sz w:val="20"/>
          <w:szCs w:val="20"/>
          <w:color w:val="auto"/>
        </w:rPr>
      </w:pPr>
      <w:r>
        <w:rPr>
          <w:rFonts w:ascii="Calibri" w:cs="Calibri" w:eastAsia="Calibri" w:hAnsi="Calibri"/>
          <w:sz w:val="20"/>
          <w:szCs w:val="20"/>
          <w:color w:val="auto"/>
        </w:rPr>
        <w:t>The Recipient shall comply with each Mitgaton Agreement, if any, required pursuant to the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Guardrail Provisions.</w:t>
      </w:r>
    </w:p>
    <w:p>
      <w:pPr>
        <w:spacing w:after="0" w:line="170" w:lineRule="exact"/>
        <w:rPr>
          <w:rFonts w:ascii="Calibri" w:cs="Calibri" w:eastAsia="Calibri" w:hAnsi="Calibri"/>
          <w:sz w:val="20"/>
          <w:szCs w:val="20"/>
          <w:color w:val="auto"/>
        </w:rPr>
      </w:pPr>
    </w:p>
    <w:p>
      <w:pPr>
        <w:ind w:firstLine="1952"/>
        <w:spacing w:after="0" w:line="214" w:lineRule="auto"/>
        <w:tabs>
          <w:tab w:leader="none" w:pos="2595" w:val="left"/>
        </w:tabs>
        <w:numPr>
          <w:ilvl w:val="1"/>
          <w:numId w:val="370"/>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Non-Discriminaton Laws. </w:t>
      </w:r>
      <w:r>
        <w:rPr>
          <w:rFonts w:ascii="Calibri" w:cs="Calibri" w:eastAsia="Calibri" w:hAnsi="Calibri"/>
          <w:sz w:val="20"/>
          <w:szCs w:val="20"/>
          <w:color w:val="auto"/>
        </w:rPr>
        <w:t>The Recipient shall comply in all material respects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following non-discriminaton statutes and authorites:</w:t>
      </w:r>
    </w:p>
    <w:p>
      <w:pPr>
        <w:spacing w:after="0" w:line="185" w:lineRule="exact"/>
        <w:rPr>
          <w:rFonts w:ascii="Calibri" w:cs="Calibri" w:eastAsia="Calibri" w:hAnsi="Calibri"/>
          <w:sz w:val="20"/>
          <w:szCs w:val="20"/>
          <w:color w:val="auto"/>
        </w:rPr>
      </w:pPr>
    </w:p>
    <w:p>
      <w:pPr>
        <w:ind w:right="20" w:firstLine="2600"/>
        <w:spacing w:after="0" w:line="208" w:lineRule="auto"/>
        <w:tabs>
          <w:tab w:leader="none" w:pos="3234"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 xml:space="preserve">Title VI of the Civil Rights Act of 1964 (42 U.S.C. § 2000d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8);</w:t>
      </w:r>
    </w:p>
    <w:p>
      <w:pPr>
        <w:spacing w:after="0" w:line="184" w:lineRule="exact"/>
        <w:rPr>
          <w:rFonts w:ascii="Calibri" w:cs="Calibri" w:eastAsia="Calibri" w:hAnsi="Calibri"/>
          <w:sz w:val="20"/>
          <w:szCs w:val="20"/>
          <w:color w:val="auto"/>
        </w:rPr>
      </w:pPr>
    </w:p>
    <w:p>
      <w:pPr>
        <w:ind w:right="20" w:firstLine="2600"/>
        <w:spacing w:after="0" w:line="214" w:lineRule="auto"/>
        <w:tabs>
          <w:tab w:leader="none" w:pos="3240"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 xml:space="preserve">Title IX of the Educaton Amendments of 1972 (20 U.S.C. § 1681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8a) prohibitng discriminaton on the basis of sex;</w:t>
      </w:r>
    </w:p>
    <w:p>
      <w:pPr>
        <w:spacing w:after="0" w:line="172" w:lineRule="exact"/>
        <w:rPr>
          <w:rFonts w:ascii="Calibri" w:cs="Calibri" w:eastAsia="Calibri" w:hAnsi="Calibri"/>
          <w:sz w:val="20"/>
          <w:szCs w:val="20"/>
          <w:color w:val="auto"/>
        </w:rPr>
      </w:pPr>
    </w:p>
    <w:p>
      <w:pPr>
        <w:ind w:firstLine="2600"/>
        <w:spacing w:after="0" w:line="214" w:lineRule="auto"/>
        <w:tabs>
          <w:tab w:leader="none" w:pos="3246"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Sectons 503 and 504 of the Rehabilitaton Act of 1973, as amended (29 U.S.C. §§ 793, 794), and the implementng regulatons (15 C.F.R. Part 8b, 41 C.F.R. § 60-741) prohibitng discriminaton on the basis of handicap;</w:t>
      </w:r>
    </w:p>
    <w:p>
      <w:pPr>
        <w:spacing w:after="0" w:line="185" w:lineRule="exact"/>
        <w:rPr>
          <w:rFonts w:ascii="Calibri" w:cs="Calibri" w:eastAsia="Calibri" w:hAnsi="Calibri"/>
          <w:sz w:val="20"/>
          <w:szCs w:val="20"/>
          <w:color w:val="auto"/>
        </w:rPr>
      </w:pPr>
    </w:p>
    <w:p>
      <w:pPr>
        <w:ind w:right="20" w:firstLine="2600"/>
        <w:spacing w:after="0" w:line="208" w:lineRule="auto"/>
        <w:tabs>
          <w:tab w:leader="none" w:pos="3244"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 xml:space="preserve">the Age Discriminaton Act of 1975, as amended (42 U.S.C. § 6101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20);</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Sectons 202(1)-(3) of Executve Order 11246;</w:t>
      </w:r>
    </w:p>
    <w:p>
      <w:pPr>
        <w:spacing w:after="0" w:line="166" w:lineRule="exact"/>
        <w:rPr>
          <w:rFonts w:ascii="Calibri" w:cs="Calibri" w:eastAsia="Calibri" w:hAnsi="Calibri"/>
          <w:sz w:val="20"/>
          <w:szCs w:val="20"/>
          <w:color w:val="auto"/>
        </w:rPr>
      </w:pPr>
    </w:p>
    <w:p>
      <w:pPr>
        <w:ind w:left="3260" w:hanging="660"/>
        <w:spacing w:after="0"/>
        <w:tabs>
          <w:tab w:leader="none" w:pos="3260"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the implementng regulatons of the Vietnam Era Veterans’ Readjustment Assistance Act (41</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C.F.R. §§ 60-300.20-21); and</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2"/>
          <w:numId w:val="370"/>
        </w:numPr>
        <w:rPr>
          <w:rFonts w:ascii="Calibri" w:cs="Calibri" w:eastAsia="Calibri" w:hAnsi="Calibri"/>
          <w:sz w:val="20"/>
          <w:szCs w:val="20"/>
          <w:color w:val="auto"/>
        </w:rPr>
      </w:pPr>
      <w:r>
        <w:rPr>
          <w:rFonts w:ascii="Calibri" w:cs="Calibri" w:eastAsia="Calibri" w:hAnsi="Calibri"/>
          <w:sz w:val="20"/>
          <w:szCs w:val="20"/>
          <w:color w:val="auto"/>
        </w:rPr>
        <w:t>any other applicable non-discriminaton laws.</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1"/>
          <w:numId w:val="370"/>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Whistleblower Protectons. </w:t>
      </w:r>
      <w:r>
        <w:rPr>
          <w:rFonts w:ascii="Calibri" w:cs="Calibri" w:eastAsia="Calibri" w:hAnsi="Calibri"/>
          <w:sz w:val="20"/>
          <w:szCs w:val="20"/>
          <w:color w:val="auto"/>
        </w:rPr>
        <w:t>The Recipient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ectPr>
          <w:pgSz w:w="11900" w:h="16838" w:orient="portrait"/>
          <w:cols w:equalWidth="0" w:num="1">
            <w:col w:w="11240"/>
          </w:cols>
          <w:pgMar w:left="320" w:top="1374" w:right="339" w:bottom="1440" w:gutter="0" w:footer="0" w:header="0"/>
        </w:sectPr>
      </w:pPr>
    </w:p>
    <w:bookmarkStart w:id="362" w:name="page363"/>
    <w:bookmarkEnd w:id="362"/>
    <w:p>
      <w:pPr>
        <w:jc w:val="both"/>
        <w:ind w:firstLine="2600"/>
        <w:spacing w:after="0" w:line="199" w:lineRule="auto"/>
        <w:tabs>
          <w:tab w:leader="none" w:pos="3234" w:val="left"/>
        </w:tabs>
        <w:numPr>
          <w:ilvl w:val="1"/>
          <w:numId w:val="371"/>
        </w:numPr>
        <w:rPr>
          <w:rFonts w:ascii="Calibri" w:cs="Calibri" w:eastAsia="Calibri" w:hAnsi="Calibri"/>
          <w:sz w:val="20"/>
          <w:szCs w:val="20"/>
          <w:color w:val="auto"/>
        </w:rPr>
      </w:pPr>
      <w:r>
        <w:rPr>
          <w:rFonts w:ascii="Calibri" w:cs="Calibri" w:eastAsia="Calibri" w:hAnsi="Calibri"/>
          <w:sz w:val="20"/>
          <w:szCs w:val="20"/>
          <w:color w:val="auto"/>
        </w:rPr>
        <w:t xml:space="preserve">promptly disclose in writng, (A) to each of the Director of the CHIPS Program Ofce, the Department’s Chief Counsel for Semiconductor Incentves and the OIG, whenever, in connecton with this Agreement or the Project, the Recipient has credible evidence that a principal, ofcer, director, employee, agent, or entty has commited a violaton of (1) federal criminal law involving fraud, confict of interest, bribery, or gratuity violatons (see Title 18 of the United States Code); or (2) the Civil False Claims Act (see 31 U.S.C. §§ 3729-3733); and (B) to the OIG (through </w:t>
      </w:r>
      <w:r>
        <w:rPr>
          <w:rFonts w:ascii="Calibri" w:cs="Calibri" w:eastAsia="Calibri" w:hAnsi="Calibri"/>
          <w:sz w:val="20"/>
          <w:szCs w:val="20"/>
          <w:u w:val="single" w:color="auto"/>
          <w:color w:val="0563C1"/>
        </w:rPr>
        <w:t>htps://www.oig.doc.gov/Pages/Hotline.aspx),</w:t>
      </w:r>
      <w:r>
        <w:rPr>
          <w:rFonts w:ascii="Calibri" w:cs="Calibri" w:eastAsia="Calibri" w:hAnsi="Calibri"/>
          <w:sz w:val="20"/>
          <w:szCs w:val="20"/>
          <w:color w:val="auto"/>
        </w:rPr>
        <w:t xml:space="preserve"> whenever, in connecton with this Agreement or the Project, the Recipient has credible evidence of fraud, waste, and abuse;</w:t>
      </w:r>
    </w:p>
    <w:p>
      <w:pPr>
        <w:spacing w:after="0" w:line="189" w:lineRule="exact"/>
        <w:rPr>
          <w:rFonts w:ascii="Calibri" w:cs="Calibri" w:eastAsia="Calibri" w:hAnsi="Calibri"/>
          <w:sz w:val="20"/>
          <w:szCs w:val="20"/>
          <w:color w:val="auto"/>
        </w:rPr>
      </w:pPr>
    </w:p>
    <w:p>
      <w:pPr>
        <w:jc w:val="both"/>
        <w:ind w:firstLine="2600"/>
        <w:spacing w:after="0" w:line="202" w:lineRule="auto"/>
        <w:tabs>
          <w:tab w:leader="none" w:pos="3240" w:val="left"/>
        </w:tabs>
        <w:numPr>
          <w:ilvl w:val="1"/>
          <w:numId w:val="371"/>
        </w:numPr>
        <w:rPr>
          <w:rFonts w:ascii="Calibri" w:cs="Calibri" w:eastAsia="Calibri" w:hAnsi="Calibri"/>
          <w:sz w:val="20"/>
          <w:szCs w:val="20"/>
          <w:color w:val="auto"/>
        </w:rPr>
      </w:pPr>
      <w:r>
        <w:rPr>
          <w:rFonts w:ascii="Calibri" w:cs="Calibri" w:eastAsia="Calibri" w:hAnsi="Calibri"/>
          <w:sz w:val="20"/>
          <w:szCs w:val="20"/>
          <w:color w:val="auto"/>
        </w:rPr>
        <w:t>comply with 41 U.S.C. § 4712 and the whistleblower protectons aforded to employees thereby to not discharge, demote, or otherwise discriminate against an employee as a reprisal for disclosing to a Body of Informaton that the employee reasonably believes is evidence of gross mismanagement of the Award, a gross waste of the Award, an abuse of authority relatng to the Award, a substantal and specifc danger to public health or safety, or a violaton of law, rule, or regulaton related to a Federal award, subaward, or contract under a Federal award or subaward; and</w:t>
      </w:r>
    </w:p>
    <w:p>
      <w:pPr>
        <w:spacing w:after="0" w:line="174"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371"/>
        </w:numPr>
        <w:rPr>
          <w:rFonts w:ascii="Calibri" w:cs="Calibri" w:eastAsia="Calibri" w:hAnsi="Calibri"/>
          <w:sz w:val="20"/>
          <w:szCs w:val="20"/>
          <w:color w:val="auto"/>
        </w:rPr>
      </w:pPr>
      <w:r>
        <w:rPr>
          <w:rFonts w:ascii="Calibri" w:cs="Calibri" w:eastAsia="Calibri" w:hAnsi="Calibri"/>
          <w:sz w:val="20"/>
          <w:szCs w:val="20"/>
          <w:color w:val="auto"/>
        </w:rPr>
        <w:t>inform the Recipient’s employees and contractors in writng, in the predominant natve language of the workforce, of the rights under this paragraph (h).</w:t>
      </w:r>
    </w:p>
    <w:p>
      <w:pPr>
        <w:spacing w:after="0" w:line="185" w:lineRule="exact"/>
        <w:rPr>
          <w:rFonts w:ascii="Calibri" w:cs="Calibri" w:eastAsia="Calibri" w:hAnsi="Calibri"/>
          <w:sz w:val="20"/>
          <w:szCs w:val="20"/>
          <w:color w:val="auto"/>
        </w:rPr>
      </w:pPr>
    </w:p>
    <w:p>
      <w:pPr>
        <w:jc w:val="both"/>
        <w:ind w:firstLine="1952"/>
        <w:spacing w:after="0" w:line="205" w:lineRule="auto"/>
        <w:tabs>
          <w:tab w:leader="none" w:pos="2586" w:val="left"/>
        </w:tabs>
        <w:numPr>
          <w:ilvl w:val="0"/>
          <w:numId w:val="37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Trafcking in Persons Laws. </w:t>
      </w:r>
      <w:r>
        <w:rPr>
          <w:rFonts w:ascii="Calibri" w:cs="Calibri" w:eastAsia="Calibri" w:hAnsi="Calibri"/>
          <w:sz w:val="20"/>
          <w:szCs w:val="20"/>
          <w:color w:val="auto"/>
        </w:rPr>
        <w:t>The Recipient and its employees shall not (a) engage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severe forms of trafcking in persons (as defned in the TVPA at 22 U.S.C. § 7102); (b) procure a commercial sex act (as defned in the TVPA at 22 U.S.C. § 7102); or (c) use forced labor in the performance of the Award.</w:t>
      </w:r>
    </w:p>
    <w:p>
      <w:pPr>
        <w:spacing w:after="0" w:line="184" w:lineRule="exact"/>
        <w:rPr>
          <w:rFonts w:ascii="Calibri" w:cs="Calibri" w:eastAsia="Calibri" w:hAnsi="Calibri"/>
          <w:sz w:val="20"/>
          <w:szCs w:val="20"/>
          <w:color w:val="auto"/>
        </w:rPr>
      </w:pPr>
    </w:p>
    <w:p>
      <w:pPr>
        <w:jc w:val="both"/>
        <w:ind w:firstLine="1952"/>
        <w:spacing w:after="0" w:line="200" w:lineRule="auto"/>
        <w:tabs>
          <w:tab w:leader="none" w:pos="2594" w:val="left"/>
        </w:tabs>
        <w:numPr>
          <w:ilvl w:val="0"/>
          <w:numId w:val="37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Fly America Act. </w:t>
      </w:r>
      <w:r>
        <w:rPr>
          <w:rFonts w:ascii="Calibri" w:cs="Calibri" w:eastAsia="Calibri" w:hAnsi="Calibri"/>
          <w:sz w:val="20"/>
          <w:szCs w:val="20"/>
          <w:color w:val="auto"/>
        </w:rPr>
        <w:t>If the Recipient requests a Direct Funding Disbursement to pay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expenses for air travel in connecton with the Project, such air travel shall be on a U.S. fag certfed air carrier in compliance with the Fly America Act (49 U.S.C. § 40118), unless (a) a bilateral or multlateral agreement with the United States provides otherwise; (b) air travel on a U.S. fag certfed air carrier between locatons outside of the United States is not reasonably available; or (c) air travel on a U.S. fag certfed air carrier between the United States and a locaton outside of the United States is not available.</w:t>
      </w:r>
    </w:p>
    <w:p>
      <w:pPr>
        <w:spacing w:after="0" w:line="175"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7.2.14  </w:t>
      </w:r>
      <w:r>
        <w:rPr>
          <w:rFonts w:ascii="Calibri" w:cs="Calibri" w:eastAsia="Calibri" w:hAnsi="Calibri"/>
          <w:sz w:val="20"/>
          <w:szCs w:val="20"/>
          <w:b w:val="1"/>
          <w:bCs w:val="1"/>
          <w:color w:val="auto"/>
        </w:rPr>
        <w:t>Code of Conduct; Confict of Interest</w:t>
      </w:r>
      <w:r>
        <w:rPr>
          <w:rFonts w:ascii="Calibri" w:cs="Calibri" w:eastAsia="Calibri" w:hAnsi="Calibri"/>
          <w:sz w:val="20"/>
          <w:szCs w:val="20"/>
          <w:color w:val="auto"/>
        </w:rPr>
        <w:t>.</w:t>
      </w:r>
    </w:p>
    <w:p>
      <w:pPr>
        <w:spacing w:after="0" w:line="171" w:lineRule="exact"/>
        <w:rPr>
          <w:sz w:val="20"/>
          <w:szCs w:val="20"/>
          <w:color w:val="auto"/>
        </w:rPr>
      </w:pPr>
    </w:p>
    <w:p>
      <w:pPr>
        <w:jc w:val="both"/>
        <w:ind w:firstLine="1952"/>
        <w:spacing w:after="0" w:line="203" w:lineRule="auto"/>
        <w:tabs>
          <w:tab w:leader="none" w:pos="2596" w:val="left"/>
        </w:tabs>
        <w:numPr>
          <w:ilvl w:val="0"/>
          <w:numId w:val="373"/>
        </w:numPr>
        <w:rPr>
          <w:rFonts w:ascii="Calibri" w:cs="Calibri" w:eastAsia="Calibri" w:hAnsi="Calibri"/>
          <w:sz w:val="20"/>
          <w:szCs w:val="20"/>
          <w:color w:val="auto"/>
        </w:rPr>
      </w:pPr>
      <w:r>
        <w:rPr>
          <w:rFonts w:ascii="Calibri" w:cs="Calibri" w:eastAsia="Calibri" w:hAnsi="Calibri"/>
          <w:sz w:val="20"/>
          <w:szCs w:val="20"/>
          <w:color w:val="auto"/>
        </w:rPr>
        <w:t>The Recipient shall establish and maintain writen standards of conduct that include (i) safeguards to prohibit any Principal Persons and the Recipient’s employees from using their positons for a purpose that consttutes or presents the appearance of personal or organizatonal Confict of Interest, or personal gain in the administraton of the Award; and (ii) the performance of the Recipient’s employees engaged in the selecton, award and administraton of contracts.</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73"/>
        </w:numPr>
        <w:rPr>
          <w:rFonts w:ascii="Calibri" w:cs="Calibri" w:eastAsia="Calibri" w:hAnsi="Calibri"/>
          <w:sz w:val="20"/>
          <w:szCs w:val="20"/>
          <w:color w:val="auto"/>
        </w:rPr>
      </w:pPr>
      <w:r>
        <w:rPr>
          <w:rFonts w:ascii="Calibri" w:cs="Calibri" w:eastAsia="Calibri" w:hAnsi="Calibri"/>
          <w:sz w:val="20"/>
          <w:szCs w:val="20"/>
          <w:color w:val="auto"/>
        </w:rPr>
        <w:t xml:space="preserve">The Recipient shall only provide any in-kind goods or services for the purposes of transportaton, travel, or any other expenses for any federal government employee to the extent it falls within a permissible excepton or </w:t>
      </w:r>
      <w:r>
        <w:rPr>
          <w:rFonts w:ascii="Calibri" w:cs="Calibri" w:eastAsia="Calibri" w:hAnsi="Calibri"/>
          <w:sz w:val="20"/>
          <w:szCs w:val="20"/>
          <w:i w:val="1"/>
          <w:iCs w:val="1"/>
          <w:color w:val="auto"/>
        </w:rPr>
        <w:t>de minimis</w:t>
      </w:r>
      <w:r>
        <w:rPr>
          <w:rFonts w:ascii="Calibri" w:cs="Calibri" w:eastAsia="Calibri" w:hAnsi="Calibri"/>
          <w:sz w:val="20"/>
          <w:szCs w:val="20"/>
          <w:color w:val="auto"/>
        </w:rPr>
        <w:t xml:space="preserve"> threshold in accordance with Applicable Law.</w:t>
      </w:r>
    </w:p>
    <w:p>
      <w:pPr>
        <w:spacing w:after="0" w:line="184"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7.2.15 </w:t>
      </w:r>
      <w:r>
        <w:rPr>
          <w:rFonts w:ascii="Calibri" w:cs="Calibri" w:eastAsia="Calibri" w:hAnsi="Calibri"/>
          <w:sz w:val="20"/>
          <w:szCs w:val="20"/>
          <w:b w:val="1"/>
          <w:bCs w:val="1"/>
          <w:color w:val="auto"/>
        </w:rPr>
        <w:t>Authorized Purpose of the Project</w:t>
      </w:r>
      <w:r>
        <w:rPr>
          <w:rFonts w:ascii="Calibri" w:cs="Calibri" w:eastAsia="Calibri" w:hAnsi="Calibri"/>
          <w:sz w:val="20"/>
          <w:szCs w:val="20"/>
          <w:color w:val="auto"/>
        </w:rPr>
        <w:t>. The Recipient shall use, construct and operate the Project in accordance with its Authorized Purpose.</w:t>
      </w:r>
    </w:p>
    <w:p>
      <w:pPr>
        <w:spacing w:after="0" w:line="172"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7.2.16 </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The Recipient Partes shall (a) implement the Advanced Packaging Resiliency Plan in accordance with its terms; and (b) achieve the Advanced Packaging Resiliency Objectves as and when required by the Advanced Packaging Resiliency Plan.</w:t>
      </w:r>
    </w:p>
    <w:p>
      <w:pPr>
        <w:spacing w:after="0" w:line="162"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7.3</w:t>
      </w:r>
      <w:r>
        <w:rPr>
          <w:sz w:val="20"/>
          <w:szCs w:val="20"/>
          <w:color w:val="auto"/>
        </w:rPr>
        <w:tab/>
      </w:r>
      <w:r>
        <w:rPr>
          <w:rFonts w:ascii="Calibri" w:cs="Calibri" w:eastAsia="Calibri" w:hAnsi="Calibri"/>
          <w:sz w:val="20"/>
          <w:szCs w:val="20"/>
          <w:b w:val="1"/>
          <w:bCs w:val="1"/>
          <w:color w:val="auto"/>
        </w:rPr>
        <w:t xml:space="preserve">Afrmatve Covenants during the Upside Sharing Term. </w:t>
      </w:r>
      <w:r>
        <w:rPr>
          <w:rFonts w:ascii="Calibri" w:cs="Calibri" w:eastAsia="Calibri" w:hAnsi="Calibri"/>
          <w:sz w:val="20"/>
          <w:szCs w:val="20"/>
          <w:color w:val="auto"/>
        </w:rPr>
        <w:t>The Recipient covenants and agrees that during the</w:t>
      </w:r>
    </w:p>
    <w:p>
      <w:pPr>
        <w:spacing w:after="0" w:line="199" w:lineRule="auto"/>
        <w:rPr>
          <w:sz w:val="20"/>
          <w:szCs w:val="20"/>
          <w:color w:val="auto"/>
        </w:rPr>
      </w:pPr>
      <w:r>
        <w:rPr>
          <w:rFonts w:ascii="Calibri" w:cs="Calibri" w:eastAsia="Calibri" w:hAnsi="Calibri"/>
          <w:sz w:val="20"/>
          <w:szCs w:val="20"/>
          <w:color w:val="auto"/>
        </w:rPr>
        <w:t>Upside Sharing Term, unless the Department waives compliance in writng:</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7.3.1</w:t>
      </w:r>
      <w:r>
        <w:rPr>
          <w:sz w:val="20"/>
          <w:szCs w:val="20"/>
          <w:color w:val="auto"/>
        </w:rPr>
        <w:tab/>
      </w:r>
      <w:r>
        <w:rPr>
          <w:rFonts w:ascii="Calibri" w:cs="Calibri" w:eastAsia="Calibri" w:hAnsi="Calibri"/>
          <w:sz w:val="20"/>
          <w:szCs w:val="20"/>
          <w:b w:val="1"/>
          <w:bCs w:val="1"/>
          <w:color w:val="auto"/>
        </w:rPr>
        <w:t>Books, Records and Inspectons; Accountng and Auditng Maters.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240"/>
          </w:cols>
          <w:pgMar w:left="320" w:top="1384" w:right="339" w:bottom="1440" w:gutter="0" w:footer="0" w:header="0"/>
        </w:sectPr>
      </w:pPr>
    </w:p>
    <w:bookmarkStart w:id="363" w:name="page364"/>
    <w:bookmarkEnd w:id="363"/>
    <w:p>
      <w:pPr>
        <w:ind w:left="2600" w:hanging="648"/>
        <w:spacing w:after="0"/>
        <w:tabs>
          <w:tab w:leader="none" w:pos="2600" w:val="left"/>
        </w:tabs>
        <w:numPr>
          <w:ilvl w:val="0"/>
          <w:numId w:val="374"/>
        </w:numPr>
        <w:rPr>
          <w:rFonts w:ascii="Calibri" w:cs="Calibri" w:eastAsia="Calibri" w:hAnsi="Calibri"/>
          <w:sz w:val="20"/>
          <w:szCs w:val="20"/>
          <w:color w:val="auto"/>
        </w:rPr>
      </w:pPr>
      <w:r>
        <w:rPr>
          <w:rFonts w:ascii="Calibri" w:cs="Calibri" w:eastAsia="Calibri" w:hAnsi="Calibri"/>
          <w:sz w:val="20"/>
          <w:szCs w:val="20"/>
          <w:color w:val="auto"/>
        </w:rPr>
        <w:t>The Recipient shall:</w:t>
      </w:r>
    </w:p>
    <w:p>
      <w:pPr>
        <w:spacing w:after="0" w:line="184" w:lineRule="exact"/>
        <w:rPr>
          <w:rFonts w:ascii="Calibri" w:cs="Calibri" w:eastAsia="Calibri" w:hAnsi="Calibri"/>
          <w:sz w:val="20"/>
          <w:szCs w:val="20"/>
          <w:color w:val="auto"/>
        </w:rPr>
      </w:pPr>
    </w:p>
    <w:p>
      <w:pPr>
        <w:jc w:val="both"/>
        <w:ind w:firstLine="2600"/>
        <w:spacing w:after="0" w:line="205" w:lineRule="auto"/>
        <w:tabs>
          <w:tab w:leader="none" w:pos="3234"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keep proper records and books of account in which full, true and correct entries in accordance with the Applicable Accountng Requirements and all Applicable Laws in all material respects are made in respect of all dealing and transactons relatng to the Project-related business and actvites of the Recipient; and</w:t>
      </w:r>
    </w:p>
    <w:p>
      <w:pPr>
        <w:spacing w:after="0" w:line="184" w:lineRule="exact"/>
        <w:rPr>
          <w:rFonts w:ascii="Calibri" w:cs="Calibri" w:eastAsia="Calibri" w:hAnsi="Calibri"/>
          <w:sz w:val="20"/>
          <w:szCs w:val="20"/>
          <w:color w:val="auto"/>
        </w:rPr>
      </w:pPr>
    </w:p>
    <w:p>
      <w:pPr>
        <w:ind w:firstLine="2600"/>
        <w:spacing w:after="0" w:line="208" w:lineRule="auto"/>
        <w:tabs>
          <w:tab w:leader="none" w:pos="3240"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maintain adequate internal controls, reportng systems and cost control systems that are designed to ensure that the Recipient satsfes its obligatons under the Financing Documents:</w:t>
      </w:r>
    </w:p>
    <w:p>
      <w:pPr>
        <w:spacing w:after="0" w:line="174" w:lineRule="exact"/>
        <w:rPr>
          <w:rFonts w:ascii="Calibri" w:cs="Calibri" w:eastAsia="Calibri" w:hAnsi="Calibri"/>
          <w:sz w:val="20"/>
          <w:szCs w:val="20"/>
          <w:color w:val="auto"/>
        </w:rPr>
      </w:pPr>
    </w:p>
    <w:p>
      <w:pPr>
        <w:ind w:left="3900" w:hanging="652"/>
        <w:spacing w:after="0"/>
        <w:tabs>
          <w:tab w:leader="none" w:pos="3900" w:val="left"/>
        </w:tabs>
        <w:numPr>
          <w:ilvl w:val="2"/>
          <w:numId w:val="374"/>
        </w:numPr>
        <w:rPr>
          <w:rFonts w:ascii="Calibri" w:cs="Calibri" w:eastAsia="Calibri" w:hAnsi="Calibri"/>
          <w:sz w:val="20"/>
          <w:szCs w:val="20"/>
          <w:color w:val="auto"/>
        </w:rPr>
      </w:pPr>
      <w:r>
        <w:rPr>
          <w:rFonts w:ascii="Calibri" w:cs="Calibri" w:eastAsia="Calibri" w:hAnsi="Calibri"/>
          <w:sz w:val="20"/>
          <w:szCs w:val="20"/>
          <w:color w:val="auto"/>
        </w:rPr>
        <w:t>for overseeing the fnancial operatons of the Recipient, including its cash management,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accountng and fnancial reportng;</w:t>
      </w:r>
    </w:p>
    <w:p>
      <w:pPr>
        <w:spacing w:after="0" w:line="160" w:lineRule="exact"/>
        <w:rPr>
          <w:rFonts w:ascii="Calibri" w:cs="Calibri" w:eastAsia="Calibri" w:hAnsi="Calibri"/>
          <w:sz w:val="20"/>
          <w:szCs w:val="20"/>
          <w:color w:val="auto"/>
        </w:rPr>
      </w:pPr>
    </w:p>
    <w:p>
      <w:pPr>
        <w:ind w:left="3900" w:hanging="652"/>
        <w:spacing w:after="0"/>
        <w:tabs>
          <w:tab w:leader="none" w:pos="3900" w:val="left"/>
        </w:tabs>
        <w:numPr>
          <w:ilvl w:val="2"/>
          <w:numId w:val="374"/>
        </w:numPr>
        <w:rPr>
          <w:rFonts w:ascii="Calibri" w:cs="Calibri" w:eastAsia="Calibri" w:hAnsi="Calibri"/>
          <w:sz w:val="20"/>
          <w:szCs w:val="20"/>
          <w:color w:val="auto"/>
        </w:rPr>
      </w:pPr>
      <w:r>
        <w:rPr>
          <w:rFonts w:ascii="Calibri" w:cs="Calibri" w:eastAsia="Calibri" w:hAnsi="Calibri"/>
          <w:sz w:val="20"/>
          <w:szCs w:val="20"/>
          <w:color w:val="auto"/>
        </w:rPr>
        <w:t>for overseeing the Recipient’s relatonship with the Department and the Recipient’s</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Accountant;</w:t>
      </w:r>
    </w:p>
    <w:p>
      <w:pPr>
        <w:spacing w:after="0" w:line="167" w:lineRule="exact"/>
        <w:rPr>
          <w:rFonts w:ascii="Calibri" w:cs="Calibri" w:eastAsia="Calibri" w:hAnsi="Calibri"/>
          <w:sz w:val="20"/>
          <w:szCs w:val="20"/>
          <w:color w:val="auto"/>
        </w:rPr>
      </w:pPr>
    </w:p>
    <w:p>
      <w:pPr>
        <w:ind w:left="3900" w:hanging="652"/>
        <w:spacing w:after="0"/>
        <w:tabs>
          <w:tab w:leader="none" w:pos="3900" w:val="left"/>
        </w:tabs>
        <w:numPr>
          <w:ilvl w:val="2"/>
          <w:numId w:val="374"/>
        </w:numPr>
        <w:rPr>
          <w:rFonts w:ascii="Calibri" w:cs="Calibri" w:eastAsia="Calibri" w:hAnsi="Calibri"/>
          <w:sz w:val="20"/>
          <w:szCs w:val="20"/>
          <w:color w:val="auto"/>
        </w:rPr>
      </w:pPr>
      <w:r>
        <w:rPr>
          <w:rFonts w:ascii="Calibri" w:cs="Calibri" w:eastAsia="Calibri" w:hAnsi="Calibri"/>
          <w:sz w:val="20"/>
          <w:szCs w:val="20"/>
          <w:color w:val="auto"/>
        </w:rPr>
        <w:t>for facilitatng the efectve and accurate audit and performance evaluaton of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Project; and</w:t>
      </w:r>
    </w:p>
    <w:p>
      <w:pPr>
        <w:spacing w:after="0" w:line="174" w:lineRule="exact"/>
        <w:rPr>
          <w:rFonts w:ascii="Calibri" w:cs="Calibri" w:eastAsia="Calibri" w:hAnsi="Calibri"/>
          <w:sz w:val="20"/>
          <w:szCs w:val="20"/>
          <w:color w:val="auto"/>
        </w:rPr>
      </w:pPr>
    </w:p>
    <w:p>
      <w:pPr>
        <w:ind w:left="3900" w:hanging="652"/>
        <w:spacing w:after="0"/>
        <w:tabs>
          <w:tab w:leader="none" w:pos="3900" w:val="left"/>
        </w:tabs>
        <w:numPr>
          <w:ilvl w:val="2"/>
          <w:numId w:val="374"/>
        </w:numPr>
        <w:rPr>
          <w:rFonts w:ascii="Calibri" w:cs="Calibri" w:eastAsia="Calibri" w:hAnsi="Calibri"/>
          <w:sz w:val="20"/>
          <w:szCs w:val="20"/>
          <w:color w:val="auto"/>
        </w:rPr>
      </w:pPr>
      <w:r>
        <w:rPr>
          <w:rFonts w:ascii="Calibri" w:cs="Calibri" w:eastAsia="Calibri" w:hAnsi="Calibri"/>
          <w:sz w:val="20"/>
          <w:szCs w:val="20"/>
          <w:color w:val="auto"/>
        </w:rPr>
        <w:t>for maintaining such records as are necessary to facilitate an efectve and accurate audit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and performance evaluaton of the Project as required by the CHIPS Act and the Guardrail Provisions.</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74"/>
        </w:numPr>
        <w:rPr>
          <w:rFonts w:ascii="Calibri" w:cs="Calibri" w:eastAsia="Calibri" w:hAnsi="Calibri"/>
          <w:sz w:val="20"/>
          <w:szCs w:val="20"/>
          <w:color w:val="auto"/>
        </w:rPr>
      </w:pPr>
      <w:r>
        <w:rPr>
          <w:rFonts w:ascii="Calibri" w:cs="Calibri" w:eastAsia="Calibri" w:hAnsi="Calibri"/>
          <w:sz w:val="20"/>
          <w:szCs w:val="20"/>
          <w:color w:val="auto"/>
        </w:rPr>
        <w:t>The Recipient shall:</w:t>
      </w:r>
    </w:p>
    <w:p>
      <w:pPr>
        <w:spacing w:after="0" w:line="184" w:lineRule="exact"/>
        <w:rPr>
          <w:rFonts w:ascii="Calibri" w:cs="Calibri" w:eastAsia="Calibri" w:hAnsi="Calibri"/>
          <w:sz w:val="20"/>
          <w:szCs w:val="20"/>
          <w:color w:val="auto"/>
        </w:rPr>
      </w:pPr>
    </w:p>
    <w:p>
      <w:pPr>
        <w:jc w:val="both"/>
        <w:ind w:firstLine="2600"/>
        <w:spacing w:after="0" w:line="205" w:lineRule="auto"/>
        <w:tabs>
          <w:tab w:leader="none" w:pos="3234"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reasonably cooperate with the Department, OIG and the Consultants regarding the Project upon the Department’s reasonable request in connecton with monitoring the constructon, operaton and performance of the Project and the compliance by the Recipient Partes with the Financing Documents;</w:t>
      </w:r>
    </w:p>
    <w:p>
      <w:pPr>
        <w:spacing w:after="0" w:line="184" w:lineRule="exact"/>
        <w:rPr>
          <w:rFonts w:ascii="Calibri" w:cs="Calibri" w:eastAsia="Calibri" w:hAnsi="Calibri"/>
          <w:sz w:val="20"/>
          <w:szCs w:val="20"/>
          <w:color w:val="auto"/>
        </w:rPr>
      </w:pPr>
    </w:p>
    <w:p>
      <w:pPr>
        <w:jc w:val="both"/>
        <w:ind w:firstLine="2600"/>
        <w:spacing w:after="0" w:line="199" w:lineRule="auto"/>
        <w:tabs>
          <w:tab w:leader="none" w:pos="3240"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upon reasonable notce and at reasonable tmes during normal business hours, and subject to reasonable access restrictons and security controls, permit ofcers and designated representatves of the Department, its employees, its agents, OIG, the Comptroller General and the Consultants to visit, audit and inspect the Project and any other facilites and Propertes of the Recipient, in connecton with (A) determining whether Disbursement Milestones have been achieved or the calculaton of the True-Up Amount; (B) monitoring the Recipient’s progress on any Disbursement Milestone or the calculaton of the True-Up Amount; or (C) performing any audit or investgaton of the Project or the Recipient; provided that such access shall not unreasonably interfere with the business and operatons of the Recipient or the Project;</w:t>
      </w:r>
    </w:p>
    <w:p>
      <w:pPr>
        <w:spacing w:after="0" w:line="176" w:lineRule="exact"/>
        <w:rPr>
          <w:rFonts w:ascii="Calibri" w:cs="Calibri" w:eastAsia="Calibri" w:hAnsi="Calibri"/>
          <w:sz w:val="20"/>
          <w:szCs w:val="20"/>
          <w:color w:val="auto"/>
        </w:rPr>
      </w:pPr>
    </w:p>
    <w:p>
      <w:pPr>
        <w:ind w:right="20" w:firstLine="2600"/>
        <w:spacing w:after="0" w:line="214" w:lineRule="auto"/>
        <w:tabs>
          <w:tab w:leader="none" w:pos="3246"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perform an audit of the Recipient in accordance with generally accepted auditng standards, if so requested by the Department, its employees, its agents, OIG, the Comptroller General or their authorized representatves;</w:t>
      </w:r>
    </w:p>
    <w:p>
      <w:pPr>
        <w:spacing w:after="0" w:line="185" w:lineRule="exact"/>
        <w:rPr>
          <w:rFonts w:ascii="Calibri" w:cs="Calibri" w:eastAsia="Calibri" w:hAnsi="Calibri"/>
          <w:sz w:val="20"/>
          <w:szCs w:val="20"/>
          <w:color w:val="auto"/>
        </w:rPr>
      </w:pPr>
    </w:p>
    <w:p>
      <w:pPr>
        <w:jc w:val="both"/>
        <w:ind w:firstLine="2600"/>
        <w:spacing w:after="0" w:line="200" w:lineRule="auto"/>
        <w:tabs>
          <w:tab w:leader="none" w:pos="3244"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cooperate with any reasonable request of the Department, its employees, its agents, OIG, the Comptroller General or their authorized representatves for informaton or documentaton deemed necessary by such party to respond to any audit, evaluaton, compliance review, or congressional inquiry, including, but not limited to, the biannual GAO audit requirement described in 15 U.S.C. § 4652(c) of the CHIPS Act and the compliance review authorized by 15 U.S.C. § 4652(a)(6)(C) of the CHIPS Act with respect to an Event of Default set forth in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and</w:t>
      </w:r>
    </w:p>
    <w:p>
      <w:pPr>
        <w:spacing w:after="0" w:line="184" w:lineRule="exact"/>
        <w:rPr>
          <w:rFonts w:ascii="Calibri" w:cs="Calibri" w:eastAsia="Calibri" w:hAnsi="Calibri"/>
          <w:sz w:val="20"/>
          <w:szCs w:val="20"/>
          <w:color w:val="auto"/>
        </w:rPr>
      </w:pPr>
    </w:p>
    <w:p>
      <w:pPr>
        <w:jc w:val="both"/>
        <w:ind w:firstLine="2600"/>
        <w:spacing w:after="0" w:line="205" w:lineRule="auto"/>
        <w:tabs>
          <w:tab w:leader="none" w:pos="3238" w:val="left"/>
        </w:tabs>
        <w:numPr>
          <w:ilvl w:val="1"/>
          <w:numId w:val="374"/>
        </w:numPr>
        <w:rPr>
          <w:rFonts w:ascii="Calibri" w:cs="Calibri" w:eastAsia="Calibri" w:hAnsi="Calibri"/>
          <w:sz w:val="20"/>
          <w:szCs w:val="20"/>
          <w:color w:val="auto"/>
        </w:rPr>
      </w:pPr>
      <w:r>
        <w:rPr>
          <w:rFonts w:ascii="Calibri" w:cs="Calibri" w:eastAsia="Calibri" w:hAnsi="Calibri"/>
          <w:sz w:val="20"/>
          <w:szCs w:val="20"/>
          <w:color w:val="auto"/>
        </w:rPr>
        <w:t>provide to ofcers and designated representatves of the Department, its employees, its agents, OIG, the Comptroller General and the Consultants access to any pertnent books, documents, papers and records of the Recipient related to the Project for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ectPr>
          <w:pgSz w:w="11900" w:h="16838" w:orient="portrait"/>
          <w:cols w:equalWidth="0" w:num="1">
            <w:col w:w="11240"/>
          </w:cols>
          <w:pgMar w:left="320" w:top="1374" w:right="339" w:bottom="1440" w:gutter="0" w:footer="0" w:header="0"/>
        </w:sectPr>
      </w:pPr>
    </w:p>
    <w:bookmarkStart w:id="364" w:name="page365"/>
    <w:bookmarkEnd w:id="364"/>
    <w:p>
      <w:pPr>
        <w:ind w:right="20"/>
        <w:spacing w:after="0" w:line="214" w:lineRule="auto"/>
        <w:rPr>
          <w:sz w:val="20"/>
          <w:szCs w:val="20"/>
          <w:color w:val="auto"/>
        </w:rPr>
      </w:pPr>
      <w:r>
        <w:rPr>
          <w:rFonts w:ascii="Calibri" w:cs="Calibri" w:eastAsia="Calibri" w:hAnsi="Calibri"/>
          <w:sz w:val="20"/>
          <w:szCs w:val="20"/>
          <w:color w:val="auto"/>
        </w:rPr>
        <w:t>of audit, examinaton, inspecton and monitoring as may be reasonably requested by the Department in connecton with the Financing Documents.</w:t>
      </w:r>
    </w:p>
    <w:p>
      <w:pPr>
        <w:spacing w:after="0" w:line="172" w:lineRule="exact"/>
        <w:rPr>
          <w:sz w:val="20"/>
          <w:szCs w:val="20"/>
          <w:color w:val="auto"/>
        </w:rPr>
      </w:pPr>
    </w:p>
    <w:p>
      <w:pPr>
        <w:ind w:right="20" w:firstLine="1952"/>
        <w:spacing w:after="0" w:line="214" w:lineRule="auto"/>
        <w:tabs>
          <w:tab w:leader="none" w:pos="2584" w:val="left"/>
        </w:tabs>
        <w:numPr>
          <w:ilvl w:val="0"/>
          <w:numId w:val="375"/>
        </w:numPr>
        <w:rPr>
          <w:rFonts w:ascii="Calibri" w:cs="Calibri" w:eastAsia="Calibri" w:hAnsi="Calibri"/>
          <w:sz w:val="20"/>
          <w:szCs w:val="20"/>
          <w:color w:val="auto"/>
        </w:rPr>
      </w:pPr>
      <w:r>
        <w:rPr>
          <w:rFonts w:ascii="Calibri" w:cs="Calibri" w:eastAsia="Calibri" w:hAnsi="Calibri"/>
          <w:sz w:val="20"/>
          <w:szCs w:val="20"/>
          <w:color w:val="auto"/>
        </w:rPr>
        <w:t>The Recipient shall retain all records relatng to Eligible Uses of Funds with respect to which Disbursements were made for three (3) years afer the Period of Performance.</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7.3.2</w:t>
      </w:r>
      <w:r>
        <w:rPr>
          <w:sz w:val="20"/>
          <w:szCs w:val="20"/>
          <w:color w:val="auto"/>
        </w:rPr>
        <w:tab/>
      </w:r>
      <w:r>
        <w:rPr>
          <w:rFonts w:ascii="Calibri" w:cs="Calibri" w:eastAsia="Calibri" w:hAnsi="Calibri"/>
          <w:sz w:val="20"/>
          <w:szCs w:val="20"/>
          <w:b w:val="1"/>
          <w:bCs w:val="1"/>
          <w:color w:val="auto"/>
        </w:rPr>
        <w:t>Maintenance of Existence, Property.</w:t>
      </w:r>
    </w:p>
    <w:p>
      <w:pPr>
        <w:spacing w:after="0" w:line="171" w:lineRule="exact"/>
        <w:rPr>
          <w:sz w:val="20"/>
          <w:szCs w:val="20"/>
          <w:color w:val="auto"/>
        </w:rPr>
      </w:pPr>
    </w:p>
    <w:p>
      <w:pPr>
        <w:ind w:firstLine="1952"/>
        <w:spacing w:after="0" w:line="214" w:lineRule="auto"/>
        <w:tabs>
          <w:tab w:leader="none" w:pos="2596" w:val="left"/>
        </w:tabs>
        <w:numPr>
          <w:ilvl w:val="0"/>
          <w:numId w:val="376"/>
        </w:numPr>
        <w:rPr>
          <w:rFonts w:ascii="Calibri" w:cs="Calibri" w:eastAsia="Calibri" w:hAnsi="Calibri"/>
          <w:sz w:val="20"/>
          <w:szCs w:val="20"/>
          <w:color w:val="auto"/>
        </w:rPr>
      </w:pPr>
      <w:r>
        <w:rPr>
          <w:rFonts w:ascii="Calibri" w:cs="Calibri" w:eastAsia="Calibri" w:hAnsi="Calibri"/>
          <w:sz w:val="20"/>
          <w:szCs w:val="20"/>
          <w:color w:val="auto"/>
        </w:rPr>
        <w:t>The Recipient shall preserve and maintain (i) its legal existence and corporate status; and (ii) all of its licenses, rights, privileges and franchises material to the conduct of its business or the Project.</w:t>
      </w:r>
    </w:p>
    <w:p>
      <w:pPr>
        <w:spacing w:after="0" w:line="185"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76"/>
        </w:numPr>
        <w:rPr>
          <w:rFonts w:ascii="Calibri" w:cs="Calibri" w:eastAsia="Calibri" w:hAnsi="Calibri"/>
          <w:sz w:val="20"/>
          <w:szCs w:val="20"/>
          <w:color w:val="auto"/>
        </w:rPr>
      </w:pPr>
      <w:r>
        <w:rPr>
          <w:rFonts w:ascii="Calibri" w:cs="Calibri" w:eastAsia="Calibri" w:hAnsi="Calibri"/>
          <w:sz w:val="20"/>
          <w:szCs w:val="20"/>
          <w:color w:val="auto"/>
        </w:rPr>
        <w:t>The Recipient shall keep (or cause to be kept) all its Propertes and IT Systems, to the extent material and related to the Project, in good working order and conditon to the extent necessary to ensure that its business can be conducted properly and in compliance with (i) the CHIPS Act and its Organizatonal Documents; and (ii) all other Applicable Laws and Required Approvals in all material respects.</w:t>
      </w:r>
    </w:p>
    <w:p>
      <w:pPr>
        <w:spacing w:after="0" w:line="173"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376"/>
        </w:numPr>
        <w:rPr>
          <w:rFonts w:ascii="Calibri" w:cs="Calibri" w:eastAsia="Calibri" w:hAnsi="Calibri"/>
          <w:sz w:val="20"/>
          <w:szCs w:val="20"/>
          <w:color w:val="auto"/>
        </w:rPr>
      </w:pPr>
      <w:r>
        <w:rPr>
          <w:rFonts w:ascii="Calibri" w:cs="Calibri" w:eastAsia="Calibri" w:hAnsi="Calibri"/>
          <w:sz w:val="20"/>
          <w:szCs w:val="20"/>
          <w:color w:val="auto"/>
        </w:rPr>
        <w:t>Except as otherwise permited hereunder, the Recipient shall preserve and maintain good and marketable ttle to or leasehold interest in or rights to the Property material to the Project and such rights to use the Project Site as are necessary to construct, operate and maintain the Project in accordance with the requirements of the Financing Documents and shall, at its own expense, take all actons to ensure that it has sufcient rights to the Project Site as is necessary for the development, constructon and operaton of the Project as contemplated by the Financing Documents.</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7.3.3</w:t>
      </w:r>
      <w:r>
        <w:rPr>
          <w:sz w:val="20"/>
          <w:szCs w:val="20"/>
          <w:color w:val="auto"/>
        </w:rPr>
        <w:tab/>
      </w:r>
      <w:r>
        <w:rPr>
          <w:rFonts w:ascii="Calibri" w:cs="Calibri" w:eastAsia="Calibri" w:hAnsi="Calibri"/>
          <w:sz w:val="20"/>
          <w:szCs w:val="20"/>
          <w:b w:val="1"/>
          <w:bCs w:val="1"/>
          <w:color w:val="auto"/>
        </w:rPr>
        <w:t xml:space="preserve">SAM Registraton. </w:t>
      </w:r>
      <w:r>
        <w:rPr>
          <w:rFonts w:ascii="Calibri" w:cs="Calibri" w:eastAsia="Calibri" w:hAnsi="Calibri"/>
          <w:sz w:val="20"/>
          <w:szCs w:val="20"/>
          <w:color w:val="auto"/>
        </w:rPr>
        <w:t>The Recipient shall maintain its SAM database registraton at all tmes.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7.3.4</w:t>
      </w:r>
      <w:r>
        <w:rPr>
          <w:sz w:val="20"/>
          <w:szCs w:val="20"/>
          <w:color w:val="auto"/>
        </w:rPr>
        <w:tab/>
      </w:r>
      <w:r>
        <w:rPr>
          <w:rFonts w:ascii="Calibri" w:cs="Calibri" w:eastAsia="Calibri" w:hAnsi="Calibri"/>
          <w:sz w:val="20"/>
          <w:szCs w:val="20"/>
          <w:b w:val="1"/>
          <w:bCs w:val="1"/>
          <w:color w:val="auto"/>
        </w:rPr>
        <w:t xml:space="preserve">Recipient’s Accountant. </w:t>
      </w:r>
      <w:r>
        <w:rPr>
          <w:rFonts w:ascii="Calibri" w:cs="Calibri" w:eastAsia="Calibri" w:hAnsi="Calibri"/>
          <w:sz w:val="20"/>
          <w:szCs w:val="20"/>
          <w:color w:val="auto"/>
        </w:rPr>
        <w:t>The Recipient shall:</w:t>
      </w:r>
    </w:p>
    <w:p>
      <w:pPr>
        <w:spacing w:after="0" w:line="174" w:lineRule="exact"/>
        <w:rPr>
          <w:sz w:val="20"/>
          <w:szCs w:val="20"/>
          <w:color w:val="auto"/>
        </w:rPr>
      </w:pPr>
    </w:p>
    <w:p>
      <w:pPr>
        <w:ind w:left="2600" w:hanging="648"/>
        <w:spacing w:after="0"/>
        <w:tabs>
          <w:tab w:leader="none" w:pos="2600" w:val="left"/>
        </w:tabs>
        <w:numPr>
          <w:ilvl w:val="0"/>
          <w:numId w:val="377"/>
        </w:numPr>
        <w:rPr>
          <w:rFonts w:ascii="Calibri" w:cs="Calibri" w:eastAsia="Calibri" w:hAnsi="Calibri"/>
          <w:sz w:val="20"/>
          <w:szCs w:val="20"/>
          <w:color w:val="auto"/>
        </w:rPr>
      </w:pPr>
      <w:r>
        <w:rPr>
          <w:rFonts w:ascii="Calibri" w:cs="Calibri" w:eastAsia="Calibri" w:hAnsi="Calibri"/>
          <w:sz w:val="20"/>
          <w:szCs w:val="20"/>
          <w:color w:val="auto"/>
        </w:rPr>
        <w:t>maintain engagement of the Recipient’s Accountant at all tmes; and</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77"/>
        </w:numPr>
        <w:rPr>
          <w:rFonts w:ascii="Calibri" w:cs="Calibri" w:eastAsia="Calibri" w:hAnsi="Calibri"/>
          <w:sz w:val="20"/>
          <w:szCs w:val="20"/>
          <w:color w:val="auto"/>
        </w:rPr>
      </w:pPr>
      <w:r>
        <w:rPr>
          <w:rFonts w:ascii="Calibri" w:cs="Calibri" w:eastAsia="Calibri" w:hAnsi="Calibri"/>
          <w:sz w:val="20"/>
          <w:szCs w:val="20"/>
          <w:color w:val="auto"/>
        </w:rPr>
        <w:t>promptly provide notce to the Department of any change of the Recipient’s Accountant.</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7.3.5 </w:t>
      </w:r>
      <w:r>
        <w:rPr>
          <w:rFonts w:ascii="Calibri" w:cs="Calibri" w:eastAsia="Calibri" w:hAnsi="Calibri"/>
          <w:sz w:val="20"/>
          <w:szCs w:val="20"/>
          <w:b w:val="1"/>
          <w:bCs w:val="1"/>
          <w:color w:val="auto"/>
        </w:rPr>
        <w:t>Close Out Procedure.</w:t>
      </w:r>
      <w:r>
        <w:rPr>
          <w:rFonts w:ascii="Calibri" w:cs="Calibri" w:eastAsia="Calibri" w:hAnsi="Calibri"/>
          <w:sz w:val="20"/>
          <w:szCs w:val="20"/>
          <w:color w:val="auto"/>
        </w:rPr>
        <w:t xml:space="preserve"> The Recipient shall cooperate with the Department to complete the Recipient’s fnal reports, reconcile all accountng maters, enable the Department to complete its fnal reports and otherwise perform reasonable tasks as requested by the Department to close out the Award at the expiraton of the Period of Performance.</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8</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NEGATIVE COVENANTS</w:t>
      </w:r>
    </w:p>
    <w:p>
      <w:pPr>
        <w:spacing w:after="0" w:line="174" w:lineRule="exact"/>
        <w:rPr>
          <w:sz w:val="20"/>
          <w:szCs w:val="20"/>
          <w:color w:val="auto"/>
        </w:rPr>
      </w:pPr>
    </w:p>
    <w:p>
      <w:pPr>
        <w:ind w:left="660"/>
        <w:spacing w:after="0"/>
        <w:tabs>
          <w:tab w:leader="none" w:pos="1980" w:val="left"/>
        </w:tabs>
        <w:rPr>
          <w:sz w:val="20"/>
          <w:szCs w:val="20"/>
          <w:color w:val="auto"/>
        </w:rPr>
      </w:pPr>
      <w:r>
        <w:rPr>
          <w:rFonts w:ascii="Calibri" w:cs="Calibri" w:eastAsia="Calibri" w:hAnsi="Calibri"/>
          <w:sz w:val="20"/>
          <w:szCs w:val="20"/>
          <w:color w:val="auto"/>
        </w:rPr>
        <w:t>Secton 8.1</w:t>
      </w:r>
      <w:r>
        <w:rPr>
          <w:sz w:val="20"/>
          <w:szCs w:val="20"/>
          <w:color w:val="auto"/>
        </w:rPr>
        <w:tab/>
      </w:r>
      <w:r>
        <w:rPr>
          <w:rFonts w:ascii="Calibri" w:cs="Calibri" w:eastAsia="Calibri" w:hAnsi="Calibri"/>
          <w:sz w:val="20"/>
          <w:szCs w:val="20"/>
          <w:b w:val="1"/>
          <w:bCs w:val="1"/>
          <w:color w:val="auto"/>
        </w:rPr>
        <w:t xml:space="preserve">Negatve Covenants during the Period of Performance. </w:t>
      </w:r>
      <w:r>
        <w:rPr>
          <w:rFonts w:ascii="Calibri" w:cs="Calibri" w:eastAsia="Calibri" w:hAnsi="Calibri"/>
          <w:sz w:val="20"/>
          <w:szCs w:val="20"/>
          <w:color w:val="auto"/>
        </w:rPr>
        <w:t>The Recipient covenants and agrees that during the</w:t>
      </w:r>
    </w:p>
    <w:p>
      <w:pPr>
        <w:spacing w:after="0" w:line="199" w:lineRule="auto"/>
        <w:rPr>
          <w:sz w:val="20"/>
          <w:szCs w:val="20"/>
          <w:color w:val="auto"/>
        </w:rPr>
      </w:pPr>
      <w:r>
        <w:rPr>
          <w:rFonts w:ascii="Calibri" w:cs="Calibri" w:eastAsia="Calibri" w:hAnsi="Calibri"/>
          <w:sz w:val="20"/>
          <w:szCs w:val="20"/>
          <w:color w:val="auto"/>
        </w:rPr>
        <w:t>Period of Performance, unless the Department waives compliance in writng:</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8.1.1</w:t>
      </w:r>
      <w:r>
        <w:rPr>
          <w:sz w:val="20"/>
          <w:szCs w:val="20"/>
          <w:color w:val="auto"/>
        </w:rPr>
        <w:tab/>
      </w:r>
      <w:r>
        <w:rPr>
          <w:rFonts w:ascii="Calibri" w:cs="Calibri" w:eastAsia="Calibri" w:hAnsi="Calibri"/>
          <w:sz w:val="20"/>
          <w:szCs w:val="20"/>
          <w:b w:val="1"/>
          <w:bCs w:val="1"/>
          <w:color w:val="auto"/>
        </w:rPr>
        <w:t>Prohibited Persons; Foreign Enttes of Concern.</w:t>
      </w:r>
    </w:p>
    <w:p>
      <w:pPr>
        <w:spacing w:after="0" w:line="174" w:lineRule="exact"/>
        <w:rPr>
          <w:sz w:val="20"/>
          <w:szCs w:val="20"/>
          <w:color w:val="auto"/>
        </w:rPr>
      </w:pPr>
    </w:p>
    <w:p>
      <w:pPr>
        <w:ind w:left="2600" w:hanging="648"/>
        <w:spacing w:after="0"/>
        <w:tabs>
          <w:tab w:leader="none" w:pos="2600" w:val="left"/>
        </w:tabs>
        <w:numPr>
          <w:ilvl w:val="0"/>
          <w:numId w:val="378"/>
        </w:numPr>
        <w:rPr>
          <w:rFonts w:ascii="Calibri" w:cs="Calibri" w:eastAsia="Calibri" w:hAnsi="Calibri"/>
          <w:sz w:val="20"/>
          <w:szCs w:val="20"/>
          <w:color w:val="auto"/>
        </w:rPr>
      </w:pPr>
      <w:r>
        <w:rPr>
          <w:rFonts w:ascii="Calibri" w:cs="Calibri" w:eastAsia="Calibri" w:hAnsi="Calibri"/>
          <w:sz w:val="20"/>
          <w:szCs w:val="20"/>
          <w:color w:val="auto"/>
        </w:rPr>
        <w:t>Each Recipient Party shall not become (whether through a transfer or otherwise) a Prohibited Person or a</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Foreign Entty of Concern.</w:t>
      </w:r>
    </w:p>
    <w:p>
      <w:pPr>
        <w:spacing w:after="0" w:line="170"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378"/>
        </w:numPr>
        <w:rPr>
          <w:rFonts w:ascii="Calibri" w:cs="Calibri" w:eastAsia="Calibri" w:hAnsi="Calibri"/>
          <w:sz w:val="20"/>
          <w:szCs w:val="20"/>
          <w:color w:val="auto"/>
        </w:rPr>
      </w:pPr>
      <w:r>
        <w:rPr>
          <w:rFonts w:ascii="Calibri" w:cs="Calibri" w:eastAsia="Calibri" w:hAnsi="Calibri"/>
          <w:sz w:val="20"/>
          <w:szCs w:val="20"/>
          <w:color w:val="auto"/>
        </w:rPr>
        <w:t>The Recipient shall not use any proceeds of any Direct Funding Disbursement, or lend, contribute, or otherwise make available such funds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ectPr>
          <w:pgSz w:w="11900" w:h="16838" w:orient="portrait"/>
          <w:cols w:equalWidth="0" w:num="1">
            <w:col w:w="11240"/>
          </w:cols>
          <w:pgMar w:left="320" w:top="1384" w:right="339" w:bottom="1440" w:gutter="0" w:footer="0" w:header="0"/>
        </w:sectPr>
      </w:pPr>
    </w:p>
    <w:bookmarkStart w:id="365" w:name="page366"/>
    <w:bookmarkEnd w:id="365"/>
    <w:p>
      <w:pPr>
        <w:ind w:left="3240" w:hanging="640"/>
        <w:spacing w:after="0"/>
        <w:tabs>
          <w:tab w:leader="none" w:pos="3240" w:val="left"/>
        </w:tabs>
        <w:numPr>
          <w:ilvl w:val="0"/>
          <w:numId w:val="379"/>
        </w:numPr>
        <w:rPr>
          <w:rFonts w:ascii="Calibri" w:cs="Calibri" w:eastAsia="Calibri" w:hAnsi="Calibri"/>
          <w:sz w:val="20"/>
          <w:szCs w:val="20"/>
          <w:color w:val="auto"/>
        </w:rPr>
      </w:pPr>
      <w:r>
        <w:rPr>
          <w:rFonts w:ascii="Calibri" w:cs="Calibri" w:eastAsia="Calibri" w:hAnsi="Calibri"/>
          <w:sz w:val="20"/>
          <w:szCs w:val="20"/>
          <w:color w:val="auto"/>
        </w:rPr>
        <w:t>to fund any actvites or business of or with any Prohibited Person, or in or with any Sanctoned</w:t>
      </w:r>
    </w:p>
    <w:p>
      <w:pPr>
        <w:spacing w:after="0" w:line="199" w:lineRule="auto"/>
        <w:rPr>
          <w:sz w:val="20"/>
          <w:szCs w:val="20"/>
          <w:color w:val="auto"/>
        </w:rPr>
      </w:pPr>
      <w:r>
        <w:rPr>
          <w:rFonts w:ascii="Calibri" w:cs="Calibri" w:eastAsia="Calibri" w:hAnsi="Calibri"/>
          <w:sz w:val="20"/>
          <w:szCs w:val="20"/>
          <w:color w:val="auto"/>
        </w:rPr>
        <w:t>Country; or</w:t>
      </w:r>
    </w:p>
    <w:p>
      <w:pPr>
        <w:spacing w:after="0" w:line="171" w:lineRule="exact"/>
        <w:rPr>
          <w:sz w:val="20"/>
          <w:szCs w:val="20"/>
          <w:color w:val="auto"/>
        </w:rPr>
      </w:pPr>
    </w:p>
    <w:p>
      <w:pPr>
        <w:ind w:firstLine="2600"/>
        <w:spacing w:after="0" w:line="214" w:lineRule="auto"/>
        <w:tabs>
          <w:tab w:leader="none" w:pos="3240" w:val="left"/>
        </w:tabs>
        <w:numPr>
          <w:ilvl w:val="0"/>
          <w:numId w:val="380"/>
        </w:numPr>
        <w:rPr>
          <w:rFonts w:ascii="Calibri" w:cs="Calibri" w:eastAsia="Calibri" w:hAnsi="Calibri"/>
          <w:sz w:val="20"/>
          <w:szCs w:val="20"/>
          <w:color w:val="auto"/>
        </w:rPr>
      </w:pPr>
      <w:r>
        <w:rPr>
          <w:rFonts w:ascii="Calibri" w:cs="Calibri" w:eastAsia="Calibri" w:hAnsi="Calibri"/>
          <w:sz w:val="20"/>
          <w:szCs w:val="20"/>
          <w:color w:val="auto"/>
        </w:rPr>
        <w:t>in any other manner that would result in a violaton of Sanctons, Export Control Laws, Ant-Money Laundering Laws, or Ant-Corrupton Laws by any Person.</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8.1.2</w:t>
      </w:r>
      <w:r>
        <w:rPr>
          <w:sz w:val="20"/>
          <w:szCs w:val="20"/>
          <w:color w:val="auto"/>
        </w:rPr>
        <w:tab/>
      </w:r>
      <w:r>
        <w:rPr>
          <w:rFonts w:ascii="Calibri" w:cs="Calibri" w:eastAsia="Calibri" w:hAnsi="Calibri"/>
          <w:sz w:val="20"/>
          <w:szCs w:val="20"/>
          <w:b w:val="1"/>
          <w:bCs w:val="1"/>
          <w:color w:val="auto"/>
        </w:rPr>
        <w:t>Debarment Regulatons.</w:t>
      </w:r>
    </w:p>
    <w:p>
      <w:pPr>
        <w:spacing w:after="0" w:line="171" w:lineRule="exact"/>
        <w:rPr>
          <w:sz w:val="20"/>
          <w:szCs w:val="20"/>
          <w:color w:val="auto"/>
        </w:rPr>
      </w:pPr>
    </w:p>
    <w:p>
      <w:pPr>
        <w:jc w:val="both"/>
        <w:ind w:firstLine="1952"/>
        <w:spacing w:after="0" w:line="203" w:lineRule="auto"/>
        <w:tabs>
          <w:tab w:leader="none" w:pos="2596" w:val="left"/>
        </w:tabs>
        <w:numPr>
          <w:ilvl w:val="0"/>
          <w:numId w:val="381"/>
        </w:numPr>
        <w:rPr>
          <w:rFonts w:ascii="Calibri" w:cs="Calibri" w:eastAsia="Calibri" w:hAnsi="Calibri"/>
          <w:sz w:val="20"/>
          <w:szCs w:val="20"/>
          <w:color w:val="auto"/>
        </w:rPr>
      </w:pPr>
      <w:r>
        <w:rPr>
          <w:rFonts w:ascii="Calibri" w:cs="Calibri" w:eastAsia="Calibri" w:hAnsi="Calibri"/>
          <w:sz w:val="20"/>
          <w:szCs w:val="20"/>
          <w:color w:val="auto"/>
        </w:rPr>
        <w:t>Unless authorized by the Department in writng, the Recipient shall not enter into any transactons in connecton with the constructon, operaton or maintenance of the Project with any Person who is debarred, suspended, declared ineligible or voluntarily excluded from partcipaton in procurement or non-procurement transactons with any United States federal government department or agency pursuant to any of the Debarment Regulatons.</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81"/>
        </w:numPr>
        <w:rPr>
          <w:rFonts w:ascii="Calibri" w:cs="Calibri" w:eastAsia="Calibri" w:hAnsi="Calibri"/>
          <w:sz w:val="20"/>
          <w:szCs w:val="20"/>
          <w:color w:val="auto"/>
        </w:rPr>
      </w:pPr>
      <w:r>
        <w:rPr>
          <w:rFonts w:ascii="Calibri" w:cs="Calibri" w:eastAsia="Calibri" w:hAnsi="Calibri"/>
          <w:sz w:val="20"/>
          <w:szCs w:val="20"/>
          <w:color w:val="auto"/>
        </w:rPr>
        <w:t>The Recipient shall not fail to comply with any or all Debarment Regulatons in a manner which results in the Recipient being debarred, suspended, declared ineligible or voluntarily excluded from partcipaton in procurement or non-procurement transactons with any United States federal government department or agency pursuant to any Debarment Regulatons.</w:t>
      </w:r>
    </w:p>
    <w:p>
      <w:pPr>
        <w:spacing w:after="0" w:line="184"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8.1.3 </w:t>
      </w:r>
      <w:r>
        <w:rPr>
          <w:rFonts w:ascii="Calibri" w:cs="Calibri" w:eastAsia="Calibri" w:hAnsi="Calibri"/>
          <w:sz w:val="20"/>
          <w:szCs w:val="20"/>
          <w:b w:val="1"/>
          <w:bCs w:val="1"/>
          <w:color w:val="auto"/>
        </w:rPr>
        <w:t>No Afliate Transactons</w:t>
      </w:r>
      <w:r>
        <w:rPr>
          <w:rFonts w:ascii="Calibri" w:cs="Calibri" w:eastAsia="Calibri" w:hAnsi="Calibri"/>
          <w:sz w:val="20"/>
          <w:szCs w:val="20"/>
          <w:color w:val="auto"/>
        </w:rPr>
        <w:t>. The Recipient shall not, directly or indirectly: (a) enter into any transacton or series of related transactons related to the Project with any Person (including any Afliate) other than in the ordinary course of business and on an arm’s-length basis; (b) except as permited pursuant to clause (a) above, enter into any transacton or series of related transactons related to the Project with any Afliate, other than any transacton contemplated in a contract or agreement set forth on Schedule E (</w:t>
      </w:r>
      <w:r>
        <w:rPr>
          <w:rFonts w:ascii="Calibri" w:cs="Calibri" w:eastAsia="Calibri" w:hAnsi="Calibri"/>
          <w:sz w:val="20"/>
          <w:szCs w:val="20"/>
          <w:b w:val="1"/>
          <w:bCs w:val="1"/>
          <w:color w:val="auto"/>
        </w:rPr>
        <w:t>Afliate Transactons</w:t>
      </w:r>
      <w:r>
        <w:rPr>
          <w:rFonts w:ascii="Calibri" w:cs="Calibri" w:eastAsia="Calibri" w:hAnsi="Calibri"/>
          <w:sz w:val="20"/>
          <w:szCs w:val="20"/>
          <w:color w:val="auto"/>
        </w:rPr>
        <w:t>) or entered into in substantally the form of Exhibit E (</w:t>
      </w:r>
      <w:r>
        <w:rPr>
          <w:rFonts w:ascii="Calibri" w:cs="Calibri" w:eastAsia="Calibri" w:hAnsi="Calibri"/>
          <w:sz w:val="20"/>
          <w:szCs w:val="20"/>
          <w:b w:val="1"/>
          <w:bCs w:val="1"/>
          <w:color w:val="auto"/>
        </w:rPr>
        <w:t>Form of Intercompany Agreement</w:t>
      </w:r>
      <w:r>
        <w:rPr>
          <w:rFonts w:ascii="Calibri" w:cs="Calibri" w:eastAsia="Calibri" w:hAnsi="Calibri"/>
          <w:sz w:val="20"/>
          <w:szCs w:val="20"/>
          <w:color w:val="auto"/>
        </w:rPr>
        <w:t>); or (c) establish any sole and exclusive purchasing or sales agency, or enter into any transacton, whereby the Recipient might pay more than the fair market value for products or services of others with respect to the Project.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8.1.4</w:t>
      </w:r>
      <w:r>
        <w:rPr>
          <w:sz w:val="20"/>
          <w:szCs w:val="20"/>
          <w:color w:val="auto"/>
        </w:rPr>
        <w:tab/>
      </w:r>
      <w:r>
        <w:rPr>
          <w:rFonts w:ascii="Calibri" w:cs="Calibri" w:eastAsia="Calibri" w:hAnsi="Calibri"/>
          <w:sz w:val="20"/>
          <w:szCs w:val="20"/>
          <w:b w:val="1"/>
          <w:bCs w:val="1"/>
          <w:color w:val="auto"/>
        </w:rPr>
        <w:t xml:space="preserve">Subsidiaries; Partnerships. </w:t>
      </w:r>
      <w:r>
        <w:rPr>
          <w:rFonts w:ascii="Calibri" w:cs="Calibri" w:eastAsia="Calibri" w:hAnsi="Calibri"/>
          <w:sz w:val="20"/>
          <w:szCs w:val="20"/>
          <w:color w:val="auto"/>
        </w:rPr>
        <w:t>The Recipient shall not:</w:t>
      </w:r>
    </w:p>
    <w:p>
      <w:pPr>
        <w:spacing w:after="0" w:line="174" w:lineRule="exact"/>
        <w:rPr>
          <w:sz w:val="20"/>
          <w:szCs w:val="20"/>
          <w:color w:val="auto"/>
        </w:rPr>
      </w:pPr>
    </w:p>
    <w:p>
      <w:pPr>
        <w:ind w:left="2600" w:hanging="648"/>
        <w:spacing w:after="0"/>
        <w:tabs>
          <w:tab w:leader="none" w:pos="2600" w:val="left"/>
        </w:tabs>
        <w:numPr>
          <w:ilvl w:val="0"/>
          <w:numId w:val="382"/>
        </w:numPr>
        <w:rPr>
          <w:rFonts w:ascii="Calibri" w:cs="Calibri" w:eastAsia="Calibri" w:hAnsi="Calibri"/>
          <w:sz w:val="20"/>
          <w:szCs w:val="20"/>
          <w:color w:val="auto"/>
        </w:rPr>
      </w:pPr>
      <w:r>
        <w:rPr>
          <w:rFonts w:ascii="Calibri" w:cs="Calibri" w:eastAsia="Calibri" w:hAnsi="Calibri"/>
          <w:sz w:val="20"/>
          <w:szCs w:val="20"/>
          <w:color w:val="auto"/>
        </w:rPr>
        <w:t>form or have any Subsidiaries;</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82"/>
        </w:numPr>
        <w:rPr>
          <w:rFonts w:ascii="Calibri" w:cs="Calibri" w:eastAsia="Calibri" w:hAnsi="Calibri"/>
          <w:sz w:val="20"/>
          <w:szCs w:val="20"/>
          <w:color w:val="auto"/>
        </w:rPr>
      </w:pPr>
      <w:r>
        <w:rPr>
          <w:rFonts w:ascii="Calibri" w:cs="Calibri" w:eastAsia="Calibri" w:hAnsi="Calibri"/>
          <w:sz w:val="20"/>
          <w:szCs w:val="20"/>
          <w:color w:val="auto"/>
        </w:rPr>
        <w:t>enter into any partnership or a joint venture;</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82"/>
        </w:numPr>
        <w:rPr>
          <w:rFonts w:ascii="Calibri" w:cs="Calibri" w:eastAsia="Calibri" w:hAnsi="Calibri"/>
          <w:sz w:val="20"/>
          <w:szCs w:val="20"/>
          <w:color w:val="auto"/>
        </w:rPr>
      </w:pPr>
      <w:r>
        <w:rPr>
          <w:rFonts w:ascii="Calibri" w:cs="Calibri" w:eastAsia="Calibri" w:hAnsi="Calibri"/>
          <w:sz w:val="20"/>
          <w:szCs w:val="20"/>
          <w:color w:val="auto"/>
        </w:rPr>
        <w:t>acquire any Equity Interests in or make any capital contributon to any other Person;</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82"/>
        </w:numPr>
        <w:rPr>
          <w:rFonts w:ascii="Calibri" w:cs="Calibri" w:eastAsia="Calibri" w:hAnsi="Calibri"/>
          <w:sz w:val="20"/>
          <w:szCs w:val="20"/>
          <w:color w:val="auto"/>
        </w:rPr>
      </w:pPr>
      <w:r>
        <w:rPr>
          <w:rFonts w:ascii="Calibri" w:cs="Calibri" w:eastAsia="Calibri" w:hAnsi="Calibri"/>
          <w:sz w:val="20"/>
          <w:szCs w:val="20"/>
          <w:color w:val="auto"/>
        </w:rPr>
        <w:t>enter into any partnership, proft-sharing or royalty agreement or other similar arrangement whereby the Recipient’s income or profts are, or might be, shared with any other Person other than the Sponsor Guarantor (or another entty wholly owned directly or indirectly by the Sponsor Guarantor); or</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86" w:val="left"/>
        </w:tabs>
        <w:numPr>
          <w:ilvl w:val="0"/>
          <w:numId w:val="382"/>
        </w:numPr>
        <w:rPr>
          <w:rFonts w:ascii="Calibri" w:cs="Calibri" w:eastAsia="Calibri" w:hAnsi="Calibri"/>
          <w:sz w:val="20"/>
          <w:szCs w:val="20"/>
          <w:color w:val="auto"/>
        </w:rPr>
      </w:pPr>
      <w:r>
        <w:rPr>
          <w:rFonts w:ascii="Calibri" w:cs="Calibri" w:eastAsia="Calibri" w:hAnsi="Calibri"/>
          <w:sz w:val="20"/>
          <w:szCs w:val="20"/>
          <w:color w:val="auto"/>
        </w:rPr>
        <w:t>enter into any management contract or similar arrangement whereby its business or operatons are managed by any other Person other than the Sponsor Guarantor (or another entty wholly owned directly or indirectly by the Sponsor Guarantor).</w:t>
      </w:r>
    </w:p>
    <w:p>
      <w:pPr>
        <w:spacing w:after="0" w:line="175" w:lineRule="exact"/>
        <w:rPr>
          <w:sz w:val="20"/>
          <w:szCs w:val="20"/>
          <w:color w:val="auto"/>
        </w:rPr>
      </w:pPr>
    </w:p>
    <w:p>
      <w:pPr>
        <w:jc w:val="center"/>
        <w:ind w:right="120"/>
        <w:spacing w:after="0"/>
        <w:tabs>
          <w:tab w:leader="none" w:pos="220" w:val="left"/>
        </w:tabs>
        <w:rPr>
          <w:sz w:val="20"/>
          <w:szCs w:val="20"/>
          <w:color w:val="auto"/>
        </w:rPr>
      </w:pPr>
      <w:r>
        <w:rPr>
          <w:rFonts w:ascii="Calibri" w:cs="Calibri" w:eastAsia="Calibri" w:hAnsi="Calibri"/>
          <w:sz w:val="20"/>
          <w:szCs w:val="20"/>
          <w:color w:val="auto"/>
        </w:rPr>
        <w:t>8.1.5</w:t>
      </w:r>
      <w:r>
        <w:rPr>
          <w:sz w:val="20"/>
          <w:szCs w:val="20"/>
          <w:color w:val="auto"/>
        </w:rPr>
        <w:tab/>
      </w:r>
      <w:r>
        <w:rPr>
          <w:rFonts w:ascii="Calibri" w:cs="Calibri" w:eastAsia="Calibri" w:hAnsi="Calibri"/>
          <w:sz w:val="20"/>
          <w:szCs w:val="20"/>
          <w:b w:val="1"/>
          <w:bCs w:val="1"/>
          <w:color w:val="auto"/>
        </w:rPr>
        <w:t xml:space="preserve">Merger; Dispositon; Sharing of Assets; Transfer. </w:t>
      </w:r>
      <w:r>
        <w:rPr>
          <w:rFonts w:ascii="Calibri" w:cs="Calibri" w:eastAsia="Calibri" w:hAnsi="Calibri"/>
          <w:sz w:val="20"/>
          <w:szCs w:val="20"/>
          <w:color w:val="auto"/>
        </w:rPr>
        <w:t>The Recipient shall not, and shall not agree to:</w:t>
      </w:r>
    </w:p>
    <w:p>
      <w:pPr>
        <w:spacing w:after="0" w:line="174" w:lineRule="exact"/>
        <w:rPr>
          <w:sz w:val="20"/>
          <w:szCs w:val="20"/>
          <w:color w:val="auto"/>
        </w:rPr>
      </w:pPr>
    </w:p>
    <w:p>
      <w:pPr>
        <w:ind w:left="2600" w:hanging="648"/>
        <w:spacing w:after="0"/>
        <w:tabs>
          <w:tab w:leader="none" w:pos="2600" w:val="left"/>
        </w:tabs>
        <w:numPr>
          <w:ilvl w:val="0"/>
          <w:numId w:val="383"/>
        </w:numPr>
        <w:rPr>
          <w:rFonts w:ascii="Calibri" w:cs="Calibri" w:eastAsia="Calibri" w:hAnsi="Calibri"/>
          <w:sz w:val="20"/>
          <w:szCs w:val="20"/>
          <w:color w:val="auto"/>
        </w:rPr>
      </w:pPr>
      <w:r>
        <w:rPr>
          <w:rFonts w:ascii="Calibri" w:cs="Calibri" w:eastAsia="Calibri" w:hAnsi="Calibri"/>
          <w:sz w:val="20"/>
          <w:szCs w:val="20"/>
          <w:color w:val="auto"/>
        </w:rPr>
        <w:t>enter into any transacton of merger or consolidaton;</w:t>
      </w:r>
    </w:p>
    <w:p>
      <w:pPr>
        <w:spacing w:after="0" w:line="170"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83"/>
        </w:numPr>
        <w:rPr>
          <w:rFonts w:ascii="Calibri" w:cs="Calibri" w:eastAsia="Calibri" w:hAnsi="Calibri"/>
          <w:sz w:val="20"/>
          <w:szCs w:val="20"/>
          <w:color w:val="auto"/>
        </w:rPr>
      </w:pPr>
      <w:r>
        <w:rPr>
          <w:rFonts w:ascii="Calibri" w:cs="Calibri" w:eastAsia="Calibri" w:hAnsi="Calibri"/>
          <w:sz w:val="20"/>
          <w:szCs w:val="20"/>
          <w:color w:val="auto"/>
        </w:rPr>
        <w:t>carry out a Dispositon of all or any part of its ownership interests in the Project or any other part of its business or Propertes (other than Property that is acquired or improved with the Direct Funding Award, which shall be governed by clause (c) below), of any kind whatsoever, whether real, personal or mixed and whether tangible or intangible, whether now or hereafer acquired, except for than Permited Dispositons;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1">
            <w:col w:w="11240"/>
          </w:cols>
          <w:pgMar w:left="320" w:top="1374" w:right="339" w:bottom="1440" w:gutter="0" w:footer="0" w:header="0"/>
        </w:sectPr>
      </w:pPr>
    </w:p>
    <w:bookmarkStart w:id="366" w:name="page367"/>
    <w:bookmarkEnd w:id="366"/>
    <w:p>
      <w:pPr>
        <w:jc w:val="both"/>
        <w:ind w:firstLine="1952"/>
        <w:spacing w:after="0" w:line="199" w:lineRule="auto"/>
        <w:tabs>
          <w:tab w:leader="none" w:pos="2584" w:val="left"/>
        </w:tabs>
        <w:numPr>
          <w:ilvl w:val="0"/>
          <w:numId w:val="384"/>
        </w:numPr>
        <w:rPr>
          <w:rFonts w:ascii="Calibri" w:cs="Calibri" w:eastAsia="Calibri" w:hAnsi="Calibri"/>
          <w:sz w:val="20"/>
          <w:szCs w:val="20"/>
          <w:color w:val="auto"/>
        </w:rPr>
      </w:pPr>
      <w:r>
        <w:rPr>
          <w:rFonts w:ascii="Calibri" w:cs="Calibri" w:eastAsia="Calibri" w:hAnsi="Calibri"/>
          <w:sz w:val="20"/>
          <w:szCs w:val="20"/>
          <w:color w:val="auto"/>
        </w:rPr>
        <w:t>carry out a Dispositon of Property acquired or improved with the Direct Funding Award unless (i) the proceeds of such Dispositon are applied by the Recipient to the acquisiton of replacement assets for use in connecton with the Project within one hundred eighty (180) days of such Dispositon; or (ii) to the extent such net proceeds are not applied to the acquisiton of such replacement assets within one hundred eighty (180) days of such Dispositon, the Recipient has paid the Department an amount equal to the product of (A) the net proceeds from the Dispositon of the relevant Disposed property; and (B) the percentage of the Department’s partcipaton in the original cost of acquiring or improving such property for the Project; or</w:t>
      </w:r>
    </w:p>
    <w:p>
      <w:pPr>
        <w:spacing w:after="0" w:line="189"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384"/>
        </w:numPr>
        <w:rPr>
          <w:rFonts w:ascii="Calibri" w:cs="Calibri" w:eastAsia="Calibri" w:hAnsi="Calibri"/>
          <w:sz w:val="20"/>
          <w:szCs w:val="20"/>
          <w:color w:val="auto"/>
        </w:rPr>
      </w:pPr>
      <w:r>
        <w:rPr>
          <w:rFonts w:ascii="Calibri" w:cs="Calibri" w:eastAsia="Calibri" w:hAnsi="Calibri"/>
          <w:sz w:val="20"/>
          <w:szCs w:val="20"/>
          <w:color w:val="auto"/>
        </w:rPr>
        <w:t>enter into any shared facilites agreement or other similar arrangement whereby the Project, the Project Site or any of the Recipient’s Propertes are, or might be, shared with any other Person.</w:t>
      </w:r>
    </w:p>
    <w:p>
      <w:pPr>
        <w:spacing w:after="0" w:line="172"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8.1.6 </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xml:space="preserve"> The Recipient shall not undertake any acton or Release any Hazardous Substances in violaton of any Environmental Law or construct, operate or otherwise carry out the Project in any manner in violaton of Environmental Law that would pose a hazard to public health or safety or to the environment or violate any Environmental Law in all material respects, except for, in each case, any actual or potental violatons that involve only minor or technical infractons, which (i) were voluntarily disclosed to a Governmental Authority within sixty (60) days of the Recipient Party becoming aware of the violaton, or (ii) otherwise could not reasonably be expected to give rise to an enforcement acton that results in impositon of a fne or penalty by any Governmental Authority in excess of one million Dollars ($1,000,000).</w:t>
      </w:r>
    </w:p>
    <w:p>
      <w:pPr>
        <w:spacing w:after="0" w:line="190"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8.1.7 </w:t>
      </w:r>
      <w:r>
        <w:rPr>
          <w:rFonts w:ascii="Calibri" w:cs="Calibri" w:eastAsia="Calibri" w:hAnsi="Calibri"/>
          <w:sz w:val="20"/>
          <w:szCs w:val="20"/>
          <w:b w:val="1"/>
          <w:bCs w:val="1"/>
          <w:color w:val="auto"/>
        </w:rPr>
        <w:t>Telecommunicaton and Video Surveillance.</w:t>
      </w:r>
      <w:r>
        <w:rPr>
          <w:rFonts w:ascii="Calibri" w:cs="Calibri" w:eastAsia="Calibri" w:hAnsi="Calibri"/>
          <w:sz w:val="20"/>
          <w:szCs w:val="20"/>
          <w:color w:val="auto"/>
        </w:rPr>
        <w:t xml:space="preserve"> The Recipient shall not, and shall cause any contractors or subrecipients of proceeds of the Award not to, obligate or expend any proceeds of the Award to procure or obtain, or extend or renew a contract to procure or obtain, covered telecommunicaton and video surveillance services or equipment as described in Secton 889 of the Natonal Defense Authorizaton Act of 2019 (Pub. L. No. 115- 232).</w:t>
      </w:r>
    </w:p>
    <w:p>
      <w:pPr>
        <w:spacing w:after="0" w:line="173"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8.1.8 </w:t>
      </w:r>
      <w:r>
        <w:rPr>
          <w:rFonts w:ascii="Calibri" w:cs="Calibri" w:eastAsia="Calibri" w:hAnsi="Calibri"/>
          <w:sz w:val="20"/>
          <w:szCs w:val="20"/>
          <w:b w:val="1"/>
          <w:bCs w:val="1"/>
          <w:color w:val="auto"/>
        </w:rPr>
        <w:t>No Subawards.</w:t>
      </w:r>
      <w:r>
        <w:rPr>
          <w:rFonts w:ascii="Calibri" w:cs="Calibri" w:eastAsia="Calibri" w:hAnsi="Calibri"/>
          <w:sz w:val="20"/>
          <w:szCs w:val="20"/>
          <w:color w:val="auto"/>
        </w:rPr>
        <w:t xml:space="preserve"> The Recipient shall not enter into any constructon Subawards for any part of the Direct Funding Award to any agency or employee of the Department or to any other federal employee, department, agency, or instrumentality, without the Department’s prior writen consent.</w:t>
      </w:r>
    </w:p>
    <w:p>
      <w:pPr>
        <w:spacing w:after="0" w:line="162" w:lineRule="exact"/>
        <w:rPr>
          <w:sz w:val="20"/>
          <w:szCs w:val="20"/>
          <w:color w:val="auto"/>
        </w:rPr>
      </w:pPr>
    </w:p>
    <w:p>
      <w:pPr>
        <w:ind w:left="660"/>
        <w:spacing w:after="0"/>
        <w:tabs>
          <w:tab w:leader="none" w:pos="1980" w:val="left"/>
        </w:tabs>
        <w:rPr>
          <w:sz w:val="20"/>
          <w:szCs w:val="20"/>
          <w:color w:val="auto"/>
        </w:rPr>
      </w:pPr>
      <w:r>
        <w:rPr>
          <w:rFonts w:ascii="Calibri" w:cs="Calibri" w:eastAsia="Calibri" w:hAnsi="Calibri"/>
          <w:sz w:val="20"/>
          <w:szCs w:val="20"/>
          <w:color w:val="auto"/>
        </w:rPr>
        <w:t>Secton 8.2</w:t>
      </w:r>
      <w:r>
        <w:rPr>
          <w:sz w:val="20"/>
          <w:szCs w:val="20"/>
          <w:color w:val="auto"/>
        </w:rPr>
        <w:tab/>
      </w:r>
      <w:r>
        <w:rPr>
          <w:rFonts w:ascii="Calibri" w:cs="Calibri" w:eastAsia="Calibri" w:hAnsi="Calibri"/>
          <w:sz w:val="20"/>
          <w:szCs w:val="20"/>
          <w:b w:val="1"/>
          <w:bCs w:val="1"/>
          <w:color w:val="auto"/>
        </w:rPr>
        <w:t xml:space="preserve">Negatve Covenants during the Upside Sharing Term. </w:t>
      </w:r>
      <w:r>
        <w:rPr>
          <w:rFonts w:ascii="Calibri" w:cs="Calibri" w:eastAsia="Calibri" w:hAnsi="Calibri"/>
          <w:sz w:val="20"/>
          <w:szCs w:val="20"/>
          <w:color w:val="auto"/>
        </w:rPr>
        <w:t>The Recipient covenants and agrees that during the</w:t>
      </w:r>
    </w:p>
    <w:p>
      <w:pPr>
        <w:spacing w:after="0" w:line="199" w:lineRule="auto"/>
        <w:rPr>
          <w:sz w:val="20"/>
          <w:szCs w:val="20"/>
          <w:color w:val="auto"/>
        </w:rPr>
      </w:pPr>
      <w:r>
        <w:rPr>
          <w:rFonts w:ascii="Calibri" w:cs="Calibri" w:eastAsia="Calibri" w:hAnsi="Calibri"/>
          <w:sz w:val="20"/>
          <w:szCs w:val="20"/>
          <w:color w:val="auto"/>
        </w:rPr>
        <w:t>Upside Sharing Term, unless the Department waives compliance in writng:</w:t>
      </w:r>
    </w:p>
    <w:p>
      <w:pPr>
        <w:spacing w:after="0" w:line="184"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8.2.1 </w:t>
      </w:r>
      <w:r>
        <w:rPr>
          <w:rFonts w:ascii="Calibri" w:cs="Calibri" w:eastAsia="Calibri" w:hAnsi="Calibri"/>
          <w:sz w:val="20"/>
          <w:szCs w:val="20"/>
          <w:b w:val="1"/>
          <w:bCs w:val="1"/>
          <w:color w:val="auto"/>
        </w:rPr>
        <w:t>Accountng Policies; Corporate Form.</w:t>
      </w:r>
      <w:r>
        <w:rPr>
          <w:rFonts w:ascii="Calibri" w:cs="Calibri" w:eastAsia="Calibri" w:hAnsi="Calibri"/>
          <w:sz w:val="20"/>
          <w:szCs w:val="20"/>
          <w:color w:val="auto"/>
        </w:rPr>
        <w:t xml:space="preserve"> Unless otherwise required by GAAP, the Recipient shall not amend or modify its accountng policies, reportng practces, or corporate form if such change would reasonably be expected to have a Material Adverse Efect on the Department’s rights to receive the Upside Sharing Amount or any porton thereof.</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9</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EVENTS OF DEFAULT; REMEDIES</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 xml:space="preserve"> The occurrence of any of the following events described in this 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 shall consttute an Event of Default. For the avoidance of doubt, each clause of this 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 shall operate independently, and the occurrence of any such event shall consttute an Event of Default.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9.1.1</w:t>
      </w:r>
      <w:r>
        <w:rPr>
          <w:sz w:val="20"/>
          <w:szCs w:val="20"/>
          <w:color w:val="auto"/>
        </w:rPr>
        <w:tab/>
      </w:r>
      <w:r>
        <w:rPr>
          <w:rFonts w:ascii="Calibri" w:cs="Calibri" w:eastAsia="Calibri" w:hAnsi="Calibri"/>
          <w:sz w:val="20"/>
          <w:szCs w:val="20"/>
          <w:b w:val="1"/>
          <w:bCs w:val="1"/>
          <w:color w:val="auto"/>
        </w:rPr>
        <w:t>Clawback Events.</w:t>
      </w:r>
    </w:p>
    <w:p>
      <w:pPr>
        <w:spacing w:after="0" w:line="161" w:lineRule="exact"/>
        <w:rPr>
          <w:sz w:val="20"/>
          <w:szCs w:val="20"/>
          <w:color w:val="auto"/>
        </w:rPr>
      </w:pPr>
    </w:p>
    <w:p>
      <w:pPr>
        <w:ind w:left="2600" w:hanging="648"/>
        <w:spacing w:after="0"/>
        <w:tabs>
          <w:tab w:leader="none" w:pos="2600" w:val="left"/>
        </w:tabs>
        <w:numPr>
          <w:ilvl w:val="0"/>
          <w:numId w:val="385"/>
        </w:numPr>
        <w:rPr>
          <w:rFonts w:ascii="Calibri" w:cs="Calibri" w:eastAsia="Calibri" w:hAnsi="Calibri"/>
          <w:sz w:val="20"/>
          <w:szCs w:val="20"/>
          <w:color w:val="auto"/>
        </w:rPr>
      </w:pPr>
      <w:r>
        <w:rPr>
          <w:rFonts w:ascii="Calibri" w:cs="Calibri" w:eastAsia="Calibri" w:hAnsi="Calibri"/>
          <w:sz w:val="20"/>
          <w:szCs w:val="20"/>
          <w:b w:val="1"/>
          <w:bCs w:val="1"/>
          <w:color w:val="auto"/>
        </w:rPr>
        <w:t>Project Completon Clawback Event</w:t>
      </w:r>
      <w:r>
        <w:rPr>
          <w:rFonts w:ascii="Calibri" w:cs="Calibri" w:eastAsia="Calibri" w:hAnsi="Calibri"/>
          <w:sz w:val="20"/>
          <w:szCs w:val="20"/>
          <w:color w:val="auto"/>
        </w:rPr>
        <w:t>. The Project Completon Date shall not have occurred by the Project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Completon Clawback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1240"/>
          </w:cols>
          <w:pgMar w:left="320" w:top="1384" w:right="339" w:bottom="1440" w:gutter="0" w:footer="0" w:header="0"/>
        </w:sectPr>
      </w:pPr>
    </w:p>
    <w:bookmarkStart w:id="367" w:name="page368"/>
    <w:bookmarkEnd w:id="367"/>
    <w:p>
      <w:pPr>
        <w:jc w:val="both"/>
        <w:ind w:right="20" w:firstLine="1952"/>
        <w:spacing w:after="0" w:line="214" w:lineRule="auto"/>
        <w:tabs>
          <w:tab w:leader="none" w:pos="2592"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Technology Clawback Event</w:t>
      </w:r>
      <w:r>
        <w:rPr>
          <w:rFonts w:ascii="Calibri" w:cs="Calibri" w:eastAsia="Calibri" w:hAnsi="Calibri"/>
          <w:sz w:val="20"/>
          <w:szCs w:val="20"/>
          <w:color w:val="auto"/>
        </w:rPr>
        <w:t>. During the Technology Clawback Term, the Recipient or any Related Entty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engages in any Joint Research or Technology Licensing actvity with any Foreign Entty of Concern in violaton of the Guardrail Provisions.</w:t>
      </w:r>
    </w:p>
    <w:p>
      <w:pPr>
        <w:spacing w:after="0" w:line="172"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During the Expansion Clawback Term, the Recipient or any Member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Afliated Group engages in any Signifcant Transacton involving the Material Expansion of Semiconductor Manufacturing Capacity in any Foreign Country of Concern in violaton of the Guardrail Provisions.</w:t>
      </w:r>
    </w:p>
    <w:p>
      <w:pPr>
        <w:spacing w:after="0" w:line="172"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Authorized Purpose Clawback Event</w:t>
      </w:r>
      <w:r>
        <w:rPr>
          <w:rFonts w:ascii="Calibri" w:cs="Calibri" w:eastAsia="Calibri" w:hAnsi="Calibri"/>
          <w:sz w:val="20"/>
          <w:szCs w:val="20"/>
          <w:color w:val="auto"/>
        </w:rPr>
        <w:t>. The occurrence of an Event of Default under Secton 9.1.3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Breaches Under Financing Documents) with respect to Secton 7.2.15 (Authorized Purpose of the Project).</w:t>
      </w:r>
    </w:p>
    <w:p>
      <w:pPr>
        <w:spacing w:after="0" w:line="168" w:lineRule="exact"/>
        <w:rPr>
          <w:rFonts w:ascii="Calibri" w:cs="Calibri" w:eastAsia="Calibri" w:hAnsi="Calibri"/>
          <w:sz w:val="20"/>
          <w:szCs w:val="20"/>
          <w:color w:val="auto"/>
        </w:rPr>
      </w:pPr>
    </w:p>
    <w:p>
      <w:pPr>
        <w:ind w:left="2600" w:hanging="648"/>
        <w:spacing w:after="0"/>
        <w:tabs>
          <w:tab w:leader="none" w:pos="2600"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Property Dispositon Clawback Event</w:t>
      </w:r>
      <w:r>
        <w:rPr>
          <w:rFonts w:ascii="Calibri" w:cs="Calibri" w:eastAsia="Calibri" w:hAnsi="Calibri"/>
          <w:sz w:val="20"/>
          <w:szCs w:val="20"/>
          <w:color w:val="auto"/>
        </w:rPr>
        <w:t>. Any Dispositon in breach of Secton 8.1.5(c) (Merger; Dispositon;</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Sharing of Assets; Transfer).</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NY Fab 1 Project Clawback Event</w:t>
      </w:r>
      <w:r>
        <w:rPr>
          <w:rFonts w:ascii="Calibri" w:cs="Calibri" w:eastAsia="Calibri" w:hAnsi="Calibri"/>
          <w:sz w:val="20"/>
          <w:szCs w:val="20"/>
          <w:color w:val="auto"/>
        </w:rPr>
        <w:t>. The failure of the NY Recipient to achieve [***].</w:t>
      </w:r>
    </w:p>
    <w:p>
      <w:pPr>
        <w:spacing w:after="0" w:line="166" w:lineRule="exact"/>
        <w:rPr>
          <w:rFonts w:ascii="Calibri" w:cs="Calibri" w:eastAsia="Calibri" w:hAnsi="Calibri"/>
          <w:sz w:val="20"/>
          <w:szCs w:val="20"/>
          <w:color w:val="auto"/>
        </w:rPr>
      </w:pPr>
    </w:p>
    <w:p>
      <w:pPr>
        <w:ind w:left="2600" w:hanging="648"/>
        <w:spacing w:after="0"/>
        <w:tabs>
          <w:tab w:leader="none" w:pos="2600"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NY Fab 2 Project Clawback Event</w:t>
      </w:r>
      <w:r>
        <w:rPr>
          <w:rFonts w:ascii="Calibri" w:cs="Calibri" w:eastAsia="Calibri" w:hAnsi="Calibri"/>
          <w:sz w:val="20"/>
          <w:szCs w:val="20"/>
          <w:color w:val="auto"/>
        </w:rPr>
        <w:t>. The failure of the [NY] Recipient to achieve [***] for the NY Fab 2</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Project.</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86"/>
        </w:numPr>
        <w:rPr>
          <w:rFonts w:ascii="Calibri" w:cs="Calibri" w:eastAsia="Calibri" w:hAnsi="Calibri"/>
          <w:sz w:val="20"/>
          <w:szCs w:val="20"/>
          <w:color w:val="auto"/>
        </w:rPr>
      </w:pPr>
      <w:r>
        <w:rPr>
          <w:rFonts w:ascii="Calibri" w:cs="Calibri" w:eastAsia="Calibri" w:hAnsi="Calibri"/>
          <w:sz w:val="20"/>
          <w:szCs w:val="20"/>
          <w:b w:val="1"/>
          <w:bCs w:val="1"/>
          <w:color w:val="auto"/>
        </w:rPr>
        <w:t>Advanced Packaging Resiliency Plan Clawback Event</w:t>
      </w:r>
      <w:r>
        <w:rPr>
          <w:rFonts w:ascii="Calibri" w:cs="Calibri" w:eastAsia="Calibri" w:hAnsi="Calibri"/>
          <w:sz w:val="20"/>
          <w:szCs w:val="20"/>
          <w:color w:val="auto"/>
        </w:rPr>
        <w:t>. Commencing with [***] the failure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Recipient Partes to meet each of the Advanced Packaging Resiliency Objectves if such failure shall have contnued for a period of more than thirty (30) days.</w:t>
      </w:r>
    </w:p>
    <w:p>
      <w:pPr>
        <w:spacing w:after="0" w:line="184" w:lineRule="exact"/>
        <w:rPr>
          <w:sz w:val="20"/>
          <w:szCs w:val="20"/>
          <w:color w:val="auto"/>
        </w:rPr>
      </w:pPr>
    </w:p>
    <w:p>
      <w:pPr>
        <w:jc w:val="both"/>
        <w:ind w:firstLine="1296"/>
        <w:spacing w:after="0" w:line="200" w:lineRule="auto"/>
        <w:rPr>
          <w:sz w:val="20"/>
          <w:szCs w:val="20"/>
          <w:color w:val="auto"/>
        </w:rPr>
      </w:pPr>
      <w:r>
        <w:rPr>
          <w:rFonts w:ascii="Calibri" w:cs="Calibri" w:eastAsia="Calibri" w:hAnsi="Calibri"/>
          <w:sz w:val="20"/>
          <w:szCs w:val="20"/>
          <w:color w:val="auto"/>
        </w:rPr>
        <w:t xml:space="preserve">9.1.2 </w:t>
      </w:r>
      <w:r>
        <w:rPr>
          <w:rFonts w:ascii="Calibri" w:cs="Calibri" w:eastAsia="Calibri" w:hAnsi="Calibri"/>
          <w:sz w:val="20"/>
          <w:szCs w:val="20"/>
          <w:b w:val="1"/>
          <w:bCs w:val="1"/>
          <w:color w:val="auto"/>
        </w:rPr>
        <w:t>Payment Defaults.</w:t>
      </w:r>
      <w:r>
        <w:rPr>
          <w:rFonts w:ascii="Calibri" w:cs="Calibri" w:eastAsia="Calibri" w:hAnsi="Calibri"/>
          <w:sz w:val="20"/>
          <w:szCs w:val="20"/>
          <w:color w:val="auto"/>
        </w:rPr>
        <w:t xml:space="preserve"> Any Recipient Party fails to pay, in accordance with the terms of any Financing Document, any fee, charge or any other amount due under any Financing Document on or before the date such amount is due and such failure to pay shall contnue unremedied for a period of (a) in the case of any payment of the Upside Sharing Amount, forty-fve (45) days afer the date on which such Upside Sharing Amount was due; and (b) in the case of any other payment, thirty (30) days afer the date on which such amount was due.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9.1.3</w:t>
      </w:r>
      <w:r>
        <w:rPr>
          <w:sz w:val="20"/>
          <w:szCs w:val="20"/>
          <w:color w:val="auto"/>
        </w:rPr>
        <w:tab/>
      </w:r>
      <w:r>
        <w:rPr>
          <w:rFonts w:ascii="Calibri" w:cs="Calibri" w:eastAsia="Calibri" w:hAnsi="Calibri"/>
          <w:sz w:val="20"/>
          <w:szCs w:val="20"/>
          <w:b w:val="1"/>
          <w:bCs w:val="1"/>
          <w:color w:val="auto"/>
        </w:rPr>
        <w:t>Other Breaches Under Financing Documents.</w:t>
      </w:r>
    </w:p>
    <w:p>
      <w:pPr>
        <w:spacing w:after="0" w:line="184" w:lineRule="exact"/>
        <w:rPr>
          <w:sz w:val="20"/>
          <w:szCs w:val="20"/>
          <w:color w:val="auto"/>
        </w:rPr>
      </w:pPr>
    </w:p>
    <w:p>
      <w:pPr>
        <w:jc w:val="both"/>
        <w:ind w:right="20" w:firstLine="1952"/>
        <w:spacing w:after="0" w:line="205" w:lineRule="auto"/>
        <w:tabs>
          <w:tab w:leader="none" w:pos="2596" w:val="left"/>
        </w:tabs>
        <w:numPr>
          <w:ilvl w:val="0"/>
          <w:numId w:val="387"/>
        </w:numPr>
        <w:rPr>
          <w:rFonts w:ascii="Calibri" w:cs="Calibri" w:eastAsia="Calibri" w:hAnsi="Calibri"/>
          <w:sz w:val="20"/>
          <w:szCs w:val="20"/>
          <w:color w:val="auto"/>
        </w:rPr>
      </w:pPr>
      <w:r>
        <w:rPr>
          <w:rFonts w:ascii="Calibri" w:cs="Calibri" w:eastAsia="Calibri" w:hAnsi="Calibri"/>
          <w:sz w:val="20"/>
          <w:szCs w:val="20"/>
          <w:color w:val="auto"/>
        </w:rPr>
        <w:t>The Recipient fails to perform or observe any covenant, term or obligaton described in any provision of Secton 7.2.9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Secton 7.2.13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 Artcle 8 (</w:t>
      </w:r>
      <w:r>
        <w:rPr>
          <w:rFonts w:ascii="Calibri" w:cs="Calibri" w:eastAsia="Calibri" w:hAnsi="Calibri"/>
          <w:sz w:val="20"/>
          <w:szCs w:val="20"/>
          <w:b w:val="1"/>
          <w:bCs w:val="1"/>
          <w:color w:val="auto"/>
        </w:rPr>
        <w:t>Negatve Covenants</w:t>
      </w:r>
      <w:r>
        <w:rPr>
          <w:rFonts w:ascii="Calibri" w:cs="Calibri" w:eastAsia="Calibri" w:hAnsi="Calibri"/>
          <w:sz w:val="20"/>
          <w:szCs w:val="20"/>
          <w:color w:val="auto"/>
        </w:rPr>
        <w:t>), or Secton 2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ind w:firstLine="1952"/>
        <w:spacing w:after="0" w:line="208" w:lineRule="auto"/>
        <w:tabs>
          <w:tab w:leader="none" w:pos="2592" w:val="left"/>
        </w:tabs>
        <w:numPr>
          <w:ilvl w:val="0"/>
          <w:numId w:val="387"/>
        </w:numPr>
        <w:rPr>
          <w:rFonts w:ascii="Calibri" w:cs="Calibri" w:eastAsia="Calibri" w:hAnsi="Calibri"/>
          <w:sz w:val="20"/>
          <w:szCs w:val="20"/>
          <w:color w:val="auto"/>
        </w:rPr>
      </w:pPr>
      <w:r>
        <w:rPr>
          <w:rFonts w:ascii="Calibri" w:cs="Calibri" w:eastAsia="Calibri" w:hAnsi="Calibri"/>
          <w:sz w:val="20"/>
          <w:szCs w:val="20"/>
          <w:color w:val="auto"/>
        </w:rPr>
        <w:t>The Recipient fails to perform or observe any covenant, term or obligaton described in any provision of Secton 3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subject to the cure period set forth in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387"/>
        </w:numPr>
        <w:rPr>
          <w:rFonts w:ascii="Calibri" w:cs="Calibri" w:eastAsia="Calibri" w:hAnsi="Calibri"/>
          <w:sz w:val="20"/>
          <w:szCs w:val="20"/>
          <w:color w:val="auto"/>
        </w:rPr>
      </w:pPr>
      <w:r>
        <w:rPr>
          <w:rFonts w:ascii="Calibri" w:cs="Calibri" w:eastAsia="Calibri" w:hAnsi="Calibri"/>
          <w:sz w:val="20"/>
          <w:szCs w:val="20"/>
          <w:color w:val="auto"/>
        </w:rPr>
        <w:t>Any Recipient Party fails to perform or observe any covenant, term or obligaton under this Agreement or any other Financing Document to which it is a party (other than any covenant, term or obligaton expressly referred to in another provision of this Secton 9.1.3 (</w:t>
      </w:r>
      <w:r>
        <w:rPr>
          <w:rFonts w:ascii="Calibri" w:cs="Calibri" w:eastAsia="Calibri" w:hAnsi="Calibri"/>
          <w:sz w:val="20"/>
          <w:szCs w:val="20"/>
          <w:b w:val="1"/>
          <w:bCs w:val="1"/>
          <w:color w:val="auto"/>
        </w:rPr>
        <w:t>Other Breaches Under Financing Documents</w:t>
      </w:r>
      <w:r>
        <w:rPr>
          <w:rFonts w:ascii="Calibri" w:cs="Calibri" w:eastAsia="Calibri" w:hAnsi="Calibri"/>
          <w:sz w:val="20"/>
          <w:szCs w:val="20"/>
          <w:color w:val="auto"/>
        </w:rPr>
        <w:t>)), unless, such failure (A) would not reasonably be expected to have a Material Adverse Efect; and (B) if capable of being remedied, has been remedied (as determined by the Department based on evidence in form and substance satsfactory to it) within (x) the relevant cure period, if any, specifed for such term, covenant or agreement (as applicable) in such Financing Document; or (y) if no cure period is specifed therein, thirty (30) days following such failure.</w:t>
      </w:r>
    </w:p>
    <w:p>
      <w:pPr>
        <w:spacing w:after="0" w:line="189"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9.1.4 </w:t>
      </w:r>
      <w:r>
        <w:rPr>
          <w:rFonts w:ascii="Calibri" w:cs="Calibri" w:eastAsia="Calibri" w:hAnsi="Calibri"/>
          <w:sz w:val="20"/>
          <w:szCs w:val="20"/>
          <w:b w:val="1"/>
          <w:bCs w:val="1"/>
          <w:color w:val="auto"/>
        </w:rPr>
        <w:t>Cross Default.</w:t>
      </w:r>
      <w:r>
        <w:rPr>
          <w:rFonts w:ascii="Calibri" w:cs="Calibri" w:eastAsia="Calibri" w:hAnsi="Calibri"/>
          <w:sz w:val="20"/>
          <w:szCs w:val="20"/>
          <w:color w:val="auto"/>
        </w:rPr>
        <w:t xml:space="preserve"> At any tme during the Period of Performance, any Recipient Party shall default in the payment of any principal, interest or other amount due under any agreement or instrument evidencing, or under which such Recipient Party has outstanding at any tme, any Indebtedness for Borrowed Money in an aggregate amount in excess of one hundred million Dollars ($100,000,000) (in respect of each of the Sponsor Guarantor and the Recipient), in each case,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ectPr>
          <w:pgSz w:w="11900" w:h="16838" w:orient="portrait"/>
          <w:cols w:equalWidth="0" w:num="1">
            <w:col w:w="11240"/>
          </w:cols>
          <w:pgMar w:left="320" w:top="1384" w:right="339" w:bottom="1440" w:gutter="0" w:footer="0" w:header="0"/>
        </w:sectPr>
      </w:pPr>
    </w:p>
    <w:bookmarkStart w:id="368" w:name="page369"/>
    <w:bookmarkEnd w:id="368"/>
    <w:p>
      <w:pPr>
        <w:jc w:val="both"/>
        <w:spacing w:after="0" w:line="205" w:lineRule="auto"/>
        <w:rPr>
          <w:sz w:val="20"/>
          <w:szCs w:val="20"/>
          <w:color w:val="auto"/>
        </w:rPr>
      </w:pPr>
      <w:r>
        <w:rPr>
          <w:rFonts w:ascii="Calibri" w:cs="Calibri" w:eastAsia="Calibri" w:hAnsi="Calibri"/>
          <w:sz w:val="20"/>
          <w:szCs w:val="20"/>
          <w:color w:val="auto"/>
        </w:rPr>
        <w:t>period beyond any applicable grace period, or any other default occurs under any such agreement or instrument, if the efect of such default is to accelerate, or to permit the acceleraton of, such Indebtedness for Borrowed Money in an aggregate amount in excess of one hundred million Dollars ($100,000,000) (in respect of each of the Sponsor Guarantor and the Recipient).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9.1.5</w:t>
      </w:r>
      <w:r>
        <w:rPr>
          <w:sz w:val="20"/>
          <w:szCs w:val="20"/>
          <w:color w:val="auto"/>
        </w:rPr>
        <w:tab/>
      </w:r>
      <w:r>
        <w:rPr>
          <w:rFonts w:ascii="Calibri" w:cs="Calibri" w:eastAsia="Calibri" w:hAnsi="Calibri"/>
          <w:sz w:val="20"/>
          <w:szCs w:val="20"/>
          <w:b w:val="1"/>
          <w:bCs w:val="1"/>
          <w:color w:val="auto"/>
        </w:rPr>
        <w:t xml:space="preserve">Unenforceability, Terminaton, Repudiaton or Transfer of Any Financing Document. </w:t>
      </w:r>
      <w:r>
        <w:rPr>
          <w:rFonts w:ascii="Calibri" w:cs="Calibri" w:eastAsia="Calibri" w:hAnsi="Calibri"/>
          <w:sz w:val="20"/>
          <w:szCs w:val="20"/>
          <w:color w:val="auto"/>
        </w:rPr>
        <w:t>Prior to the date which is</w:t>
      </w:r>
    </w:p>
    <w:p>
      <w:pPr>
        <w:jc w:val="both"/>
        <w:spacing w:after="0" w:line="195" w:lineRule="auto"/>
        <w:rPr>
          <w:sz w:val="20"/>
          <w:szCs w:val="20"/>
          <w:color w:val="auto"/>
        </w:rPr>
      </w:pPr>
      <w:r>
        <w:rPr>
          <w:rFonts w:ascii="Calibri" w:cs="Calibri" w:eastAsia="Calibri" w:hAnsi="Calibri"/>
          <w:sz w:val="20"/>
          <w:szCs w:val="20"/>
          <w:color w:val="auto"/>
        </w:rPr>
        <w:t>the tenth (10th) anniversary from the Award Date, any Financing Document at any tme and for any reason: (a) is or becomes invalid, illegal, void or unenforceable or any Recipient Party thereto has repudiated or disavowed or taken any acton to challenge the validity or enforceability of such agreement; (b) except as otherwise expressly permited hereunder, ceases to be in full force and efect except at the stated terminaton date thereof, or shall be assigned or otherwise transferred terminated by any Recipient Party thereto during the Upside Sharing Term (other than with the prior writen consent of the Department); or (c) is suspended, revoked or terminated (other than upon expiraton in accordance with its terms when fully performed), or any Recipient Party thereto has given irrevocable notce of its intenton to terminate.</w:t>
      </w:r>
    </w:p>
    <w:p>
      <w:pPr>
        <w:spacing w:after="0" w:line="173" w:lineRule="exact"/>
        <w:rPr>
          <w:sz w:val="20"/>
          <w:szCs w:val="20"/>
          <w:color w:val="auto"/>
        </w:rPr>
      </w:pPr>
    </w:p>
    <w:p>
      <w:pPr>
        <w:jc w:val="both"/>
        <w:ind w:firstLine="1296"/>
        <w:spacing w:after="0" w:line="198" w:lineRule="auto"/>
        <w:rPr>
          <w:sz w:val="20"/>
          <w:szCs w:val="20"/>
          <w:color w:val="auto"/>
        </w:rPr>
      </w:pPr>
      <w:r>
        <w:rPr>
          <w:rFonts w:ascii="Calibri" w:cs="Calibri" w:eastAsia="Calibri" w:hAnsi="Calibri"/>
          <w:sz w:val="20"/>
          <w:szCs w:val="20"/>
          <w:color w:val="auto"/>
        </w:rPr>
        <w:t xml:space="preserve">9.1.6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xml:space="preserve"> At any tme during the Period of Performance (a) the Recipient or any other Recipient Party fails to obtain, renew, maintain or comply in all material respects with any Required Approval; (b) any such Required Approval is rescinded, terminated (other than in accordance with its terms), suspended, withdrawn or withheld, is determined to be invalid or ceases to be in full force and efect (other than as a result of the terminaton of such Required Approval in accordance with its terms); (c) any such Required Approval is modifed in a manner that materially adversely impacts the Recipient or the Project; or (d) any notce shall be issued or any proceedings shall be commenced by or before any Governmental Authority for the purpose of rescinding, terminatng, suspending, modifying, withdrawing or withholding any such Required Approval and such proceedings have not been stayed, withdrawn or suspended within thirty (30) days, unless, in the case of clauses (a)-(c), such failure has been remedied (as determined by the Department based on evidence in form and substance satsfactory to it) thirty (30) days following such failure.</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9.1.7</w:t>
      </w:r>
      <w:r>
        <w:rPr>
          <w:sz w:val="20"/>
          <w:szCs w:val="20"/>
          <w:color w:val="auto"/>
        </w:rPr>
        <w:tab/>
      </w:r>
      <w:r>
        <w:rPr>
          <w:rFonts w:ascii="Calibri" w:cs="Calibri" w:eastAsia="Calibri" w:hAnsi="Calibri"/>
          <w:sz w:val="20"/>
          <w:szCs w:val="20"/>
          <w:b w:val="1"/>
          <w:bCs w:val="1"/>
          <w:color w:val="auto"/>
        </w:rPr>
        <w:t>Bankruptcy; Insolvency; Dissoluton</w:t>
      </w:r>
      <w:r>
        <w:rPr>
          <w:rFonts w:ascii="Calibri" w:cs="Calibri" w:eastAsia="Calibri" w:hAnsi="Calibri"/>
          <w:sz w:val="20"/>
          <w:szCs w:val="20"/>
          <w:color w:val="auto"/>
        </w:rPr>
        <w:t>. Prior to the date which is the tenth (10th) anniversary from the Award</w:t>
      </w:r>
    </w:p>
    <w:p>
      <w:pPr>
        <w:spacing w:after="0" w:line="199" w:lineRule="auto"/>
        <w:rPr>
          <w:sz w:val="20"/>
          <w:szCs w:val="20"/>
          <w:color w:val="auto"/>
        </w:rPr>
      </w:pPr>
      <w:r>
        <w:rPr>
          <w:rFonts w:ascii="Calibri" w:cs="Calibri" w:eastAsia="Calibri" w:hAnsi="Calibri"/>
          <w:sz w:val="20"/>
          <w:szCs w:val="20"/>
          <w:color w:val="auto"/>
        </w:rPr>
        <w:t>Date:</w:t>
      </w:r>
    </w:p>
    <w:p>
      <w:pPr>
        <w:spacing w:after="0" w:line="171" w:lineRule="exact"/>
        <w:rPr>
          <w:sz w:val="20"/>
          <w:szCs w:val="20"/>
          <w:color w:val="auto"/>
        </w:rPr>
      </w:pPr>
    </w:p>
    <w:p>
      <w:pPr>
        <w:ind w:right="20" w:firstLine="1952"/>
        <w:spacing w:after="0" w:line="214" w:lineRule="auto"/>
        <w:tabs>
          <w:tab w:leader="none" w:pos="2596" w:val="left"/>
        </w:tabs>
        <w:numPr>
          <w:ilvl w:val="0"/>
          <w:numId w:val="388"/>
        </w:numPr>
        <w:rPr>
          <w:rFonts w:ascii="Calibri" w:cs="Calibri" w:eastAsia="Calibri" w:hAnsi="Calibri"/>
          <w:sz w:val="20"/>
          <w:szCs w:val="20"/>
          <w:color w:val="auto"/>
        </w:rPr>
      </w:pPr>
      <w:r>
        <w:rPr>
          <w:rFonts w:ascii="Calibri" w:cs="Calibri" w:eastAsia="Calibri" w:hAnsi="Calibri"/>
          <w:sz w:val="20"/>
          <w:szCs w:val="20"/>
          <w:color w:val="auto"/>
        </w:rPr>
        <w:t>the commencement of any Insolvency Proceeding against any Recipient Party, and such proceeding remains unstayed and in efect for a period of at least sixty (60) days;</w:t>
      </w:r>
    </w:p>
    <w:p>
      <w:pPr>
        <w:spacing w:after="0" w:line="185"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88"/>
        </w:numPr>
        <w:rPr>
          <w:rFonts w:ascii="Calibri" w:cs="Calibri" w:eastAsia="Calibri" w:hAnsi="Calibri"/>
          <w:sz w:val="20"/>
          <w:szCs w:val="20"/>
          <w:color w:val="auto"/>
        </w:rPr>
      </w:pPr>
      <w:r>
        <w:rPr>
          <w:rFonts w:ascii="Calibri" w:cs="Calibri" w:eastAsia="Calibri" w:hAnsi="Calibri"/>
          <w:sz w:val="20"/>
          <w:szCs w:val="20"/>
          <w:color w:val="auto"/>
        </w:rPr>
        <w:t>the insttuton by any Recipient Party of any Insolvency Proceeding, or the admission by it in writng of its inability to pay its Indebtedness generally as it becomes due or its general failure to pay its Indebtedness as it becomes due, or any other event has occurred that under any Applicable Law would have an efect analogous to any of those events listed above, or any acton is taken by any such Recipient Party for the purpose of efectng any of the foregoing; or</w:t>
      </w:r>
    </w:p>
    <w:p>
      <w:pPr>
        <w:spacing w:after="0" w:line="163" w:lineRule="exact"/>
        <w:rPr>
          <w:rFonts w:ascii="Calibri" w:cs="Calibri" w:eastAsia="Calibri" w:hAnsi="Calibri"/>
          <w:sz w:val="20"/>
          <w:szCs w:val="20"/>
          <w:color w:val="auto"/>
        </w:rPr>
      </w:pPr>
    </w:p>
    <w:p>
      <w:pPr>
        <w:ind w:left="2600" w:hanging="648"/>
        <w:spacing w:after="0"/>
        <w:tabs>
          <w:tab w:leader="none" w:pos="2600" w:val="left"/>
        </w:tabs>
        <w:numPr>
          <w:ilvl w:val="0"/>
          <w:numId w:val="388"/>
        </w:numPr>
        <w:rPr>
          <w:rFonts w:ascii="Calibri" w:cs="Calibri" w:eastAsia="Calibri" w:hAnsi="Calibri"/>
          <w:sz w:val="20"/>
          <w:szCs w:val="20"/>
          <w:color w:val="auto"/>
        </w:rPr>
      </w:pPr>
      <w:r>
        <w:rPr>
          <w:rFonts w:ascii="Calibri" w:cs="Calibri" w:eastAsia="Calibri" w:hAnsi="Calibri"/>
          <w:sz w:val="20"/>
          <w:szCs w:val="20"/>
          <w:color w:val="auto"/>
        </w:rPr>
        <w:t>the dissoluton of any Recipient Party</w:t>
      </w:r>
      <w:r>
        <w:rPr>
          <w:rFonts w:ascii="Calibri" w:cs="Calibri" w:eastAsia="Calibri" w:hAnsi="Calibri"/>
          <w:sz w:val="20"/>
          <w:szCs w:val="20"/>
          <w:b w:val="1"/>
          <w:bCs w:val="1"/>
          <w:color w:val="auto"/>
        </w:rPr>
        <w:t>.</w:t>
      </w:r>
    </w:p>
    <w:p>
      <w:pPr>
        <w:spacing w:after="0" w:line="184"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9.1.8 </w:t>
      </w:r>
      <w:r>
        <w:rPr>
          <w:rFonts w:ascii="Calibri" w:cs="Calibri" w:eastAsia="Calibri" w:hAnsi="Calibri"/>
          <w:sz w:val="20"/>
          <w:szCs w:val="20"/>
          <w:b w:val="1"/>
          <w:bCs w:val="1"/>
          <w:color w:val="auto"/>
        </w:rPr>
        <w:t>Atachment.</w:t>
      </w:r>
      <w:r>
        <w:rPr>
          <w:rFonts w:ascii="Calibri" w:cs="Calibri" w:eastAsia="Calibri" w:hAnsi="Calibri"/>
          <w:sz w:val="20"/>
          <w:szCs w:val="20"/>
          <w:color w:val="auto"/>
        </w:rPr>
        <w:t xml:space="preserve"> At any tme during the Period of Performance, an atachment or analogous process is levied or enforced upon or issued against any of the assets of the Project in excess of one hundred million Dollars ($100,000,000) or against any of the assets of the Sponsor Guarantor in excess of one hundred million Dollars ($100,000,000), or which, in any case, would reasonably be expected to have a Material Adverse Efect</w:t>
      </w:r>
      <w:r>
        <w:rPr>
          <w:rFonts w:ascii="Calibri" w:cs="Calibri" w:eastAsia="Calibri" w:hAnsi="Calibri"/>
          <w:sz w:val="20"/>
          <w:szCs w:val="20"/>
          <w:b w:val="1"/>
          <w:bCs w:val="1"/>
          <w:color w:val="auto"/>
        </w:rPr>
        <w:t>.</w:t>
      </w:r>
    </w:p>
    <w:p>
      <w:pPr>
        <w:spacing w:after="0" w:line="187"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9.1.9 </w:t>
      </w:r>
      <w:r>
        <w:rPr>
          <w:rFonts w:ascii="Calibri" w:cs="Calibri" w:eastAsia="Calibri" w:hAnsi="Calibri"/>
          <w:sz w:val="20"/>
          <w:szCs w:val="20"/>
          <w:b w:val="1"/>
          <w:bCs w:val="1"/>
          <w:color w:val="auto"/>
        </w:rPr>
        <w:t>Judgments.</w:t>
      </w:r>
      <w:r>
        <w:rPr>
          <w:rFonts w:ascii="Calibri" w:cs="Calibri" w:eastAsia="Calibri" w:hAnsi="Calibri"/>
          <w:sz w:val="20"/>
          <w:szCs w:val="20"/>
          <w:color w:val="auto"/>
        </w:rPr>
        <w:t xml:space="preserve"> At any tme during the Period of Performance, one or more Governmental Judgments shall be entered (a) against the Recipient and such Governmental Judgments have not been vacated, discharged or stayed or bonded pending appeal for any period of thirty (30) days, and the aggregate amount of all such Governmental Judgments outstanding at any tme (except to the extent any applicable insurer(s) have acknowledged liability therefor) exceeds one hundred million Dollars ($100,000,000), or such Governmental Judgment would reasonably be expected to have a Material Adverse Efect; (b) against the Sponsor Guarantor and such Governmental Judgments have not been vacated, discharged or stayed or bonded pending appeal for any period of thirty (30) consecutve days and would reasonably be expected to have a Material Adverse Efect; or (c)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ectPr>
          <w:pgSz w:w="11900" w:h="16838" w:orient="portrait"/>
          <w:cols w:equalWidth="0" w:num="1">
            <w:col w:w="11240"/>
          </w:cols>
          <w:pgMar w:left="320" w:top="1384" w:right="339" w:bottom="1440" w:gutter="0" w:footer="0" w:header="0"/>
        </w:sectPr>
      </w:pPr>
    </w:p>
    <w:bookmarkStart w:id="369" w:name="page370"/>
    <w:bookmarkEnd w:id="369"/>
    <w:p>
      <w:pPr>
        <w:jc w:val="both"/>
        <w:spacing w:after="0" w:line="214" w:lineRule="auto"/>
        <w:rPr>
          <w:sz w:val="20"/>
          <w:szCs w:val="20"/>
          <w:color w:val="auto"/>
        </w:rPr>
      </w:pPr>
      <w:r>
        <w:rPr>
          <w:rFonts w:ascii="Calibri" w:cs="Calibri" w:eastAsia="Calibri" w:hAnsi="Calibri"/>
          <w:sz w:val="20"/>
          <w:szCs w:val="20"/>
          <w:color w:val="auto"/>
        </w:rPr>
        <w:t>Judgment is in the form of an injuncton or similar form of relief that is not satsfed or discharged requiring suspension or Abandonment of operaton of the Project.</w:t>
      </w:r>
    </w:p>
    <w:p>
      <w:pPr>
        <w:spacing w:after="0" w:line="172"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9.1.10 </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 xml:space="preserve"> At any tme during the Period of Performance, the Recipient (a) Abandons the Project; (b) otherwise permanently ceases to pursue the constructon or operaton of the Project; or (c) relinquishes all possession and control of the Project.</w:t>
      </w:r>
    </w:p>
    <w:p>
      <w:pPr>
        <w:spacing w:after="0" w:line="322" w:lineRule="exact"/>
        <w:rPr>
          <w:sz w:val="20"/>
          <w:szCs w:val="20"/>
          <w:color w:val="auto"/>
        </w:rPr>
      </w:pPr>
    </w:p>
    <w:p>
      <w:pPr>
        <w:jc w:val="both"/>
        <w:ind w:firstLine="1296"/>
        <w:spacing w:after="0" w:line="228" w:lineRule="auto"/>
        <w:rPr>
          <w:sz w:val="20"/>
          <w:szCs w:val="20"/>
          <w:color w:val="auto"/>
        </w:rPr>
      </w:pPr>
      <w:r>
        <w:rPr>
          <w:rFonts w:ascii="Calibri" w:cs="Calibri" w:eastAsia="Calibri" w:hAnsi="Calibri"/>
          <w:sz w:val="20"/>
          <w:szCs w:val="20"/>
          <w:color w:val="auto"/>
        </w:rPr>
        <w:t xml:space="preserve">9.1.11 </w:t>
      </w:r>
      <w:r>
        <w:rPr>
          <w:rFonts w:ascii="Calibri" w:cs="Calibri" w:eastAsia="Calibri" w:hAnsi="Calibri"/>
          <w:sz w:val="20"/>
          <w:szCs w:val="20"/>
          <w:b w:val="1"/>
          <w:bCs w:val="1"/>
          <w:color w:val="auto"/>
        </w:rPr>
        <w:t>Environmental Maters.</w:t>
      </w:r>
      <w:r>
        <w:rPr>
          <w:rFonts w:ascii="Calibri" w:cs="Calibri" w:eastAsia="Calibri" w:hAnsi="Calibri"/>
          <w:sz w:val="20"/>
          <w:szCs w:val="20"/>
          <w:color w:val="auto"/>
        </w:rPr>
        <w:t xml:space="preserve"> At any tme during the Period of Performance (a) any material Acton (i) under, or relatng to, any Environmental Law or any Required Approval; or (ii) that asserts any Environmental Claim, in each case, has been insttuted and a Governmental Authority is a party to such Acton; or (b) any Governmental Judgment is issued against the Recipient or otherwise in connecton with the Project in respect of clause (a), and, in each case of clauses (a) and (b), such Acton or Governmental Judgment involves actual or potental monetary remedies, unless the Recipient reasonably believes that such Acton or Governmental Judgment will result in no monetary remedies, or in monetary remedies, exclusive of interest and costs, of less than one million Dollars ($1,000,000) and the Recipient has taken, or caused to be taken, commercially reasonable steps to resolve or satsfy such Acton or Governmental Judgment.</w:t>
      </w:r>
    </w:p>
    <w:p>
      <w:pPr>
        <w:spacing w:after="0" w:line="186" w:lineRule="exact"/>
        <w:rPr>
          <w:sz w:val="20"/>
          <w:szCs w:val="20"/>
          <w:color w:val="auto"/>
        </w:rPr>
      </w:pPr>
    </w:p>
    <w:p>
      <w:pPr>
        <w:jc w:val="both"/>
        <w:ind w:firstLine="1296"/>
        <w:spacing w:after="0" w:line="200" w:lineRule="auto"/>
        <w:rPr>
          <w:sz w:val="20"/>
          <w:szCs w:val="20"/>
          <w:color w:val="auto"/>
        </w:rPr>
      </w:pPr>
      <w:r>
        <w:rPr>
          <w:rFonts w:ascii="Calibri" w:cs="Calibri" w:eastAsia="Calibri" w:hAnsi="Calibri"/>
          <w:sz w:val="20"/>
          <w:szCs w:val="20"/>
          <w:color w:val="auto"/>
        </w:rPr>
        <w:t xml:space="preserve">9.1.12 </w:t>
      </w:r>
      <w:r>
        <w:rPr>
          <w:rFonts w:ascii="Calibri" w:cs="Calibri" w:eastAsia="Calibri" w:hAnsi="Calibri"/>
          <w:sz w:val="20"/>
          <w:szCs w:val="20"/>
          <w:b w:val="1"/>
          <w:bCs w:val="1"/>
          <w:color w:val="auto"/>
        </w:rPr>
        <w:t>Misstatements; Omissions.</w:t>
      </w:r>
      <w:r>
        <w:rPr>
          <w:rFonts w:ascii="Calibri" w:cs="Calibri" w:eastAsia="Calibri" w:hAnsi="Calibri"/>
          <w:sz w:val="20"/>
          <w:szCs w:val="20"/>
          <w:color w:val="auto"/>
        </w:rPr>
        <w:t xml:space="preserve"> At any tme during the Period of Performance, any representaton or warranty confrmed or made in any Financing Document by or on behalf of the Recipient or any other Recipient Party or in any certfcate, Financial Statement or other document provided by or on behalf of any such Recipient Party to the Department or any Consultant in connecton with the transactons contemplated by the Financing Documents shall be found to have been incorrect, false or misleading in any material respect when made or deemed to have been made.</w:t>
      </w:r>
    </w:p>
    <w:p>
      <w:pPr>
        <w:spacing w:after="0" w:line="175"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xml:space="preserve"> At any tme during the Period of Performance, a Change of Control occurs.</w:t>
      </w:r>
    </w:p>
    <w:p>
      <w:pPr>
        <w:spacing w:after="0" w:line="161"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9.1.14  </w:t>
      </w:r>
      <w:r>
        <w:rPr>
          <w:rFonts w:ascii="Calibri" w:cs="Calibri" w:eastAsia="Calibri" w:hAnsi="Calibri"/>
          <w:sz w:val="20"/>
          <w:szCs w:val="20"/>
          <w:b w:val="1"/>
          <w:bCs w:val="1"/>
          <w:color w:val="auto"/>
        </w:rPr>
        <w:t>Certain Governmental Actons.</w:t>
      </w:r>
      <w:r>
        <w:rPr>
          <w:rFonts w:ascii="Calibri" w:cs="Calibri" w:eastAsia="Calibri" w:hAnsi="Calibri"/>
          <w:sz w:val="20"/>
          <w:szCs w:val="20"/>
          <w:color w:val="auto"/>
        </w:rPr>
        <w:t xml:space="preserve"> At any tme during the Period of Performance, any Governmental Authority:</w:t>
      </w:r>
    </w:p>
    <w:p>
      <w:pPr>
        <w:ind w:left="300" w:hanging="292"/>
        <w:spacing w:after="0" w:line="199" w:lineRule="auto"/>
        <w:tabs>
          <w:tab w:leader="none" w:pos="300" w:val="left"/>
        </w:tabs>
        <w:numPr>
          <w:ilvl w:val="0"/>
          <w:numId w:val="389"/>
        </w:numPr>
        <w:rPr>
          <w:rFonts w:ascii="Calibri" w:cs="Calibri" w:eastAsia="Calibri" w:hAnsi="Calibri"/>
          <w:sz w:val="20"/>
          <w:szCs w:val="20"/>
          <w:color w:val="auto"/>
        </w:rPr>
      </w:pPr>
      <w:r>
        <w:rPr>
          <w:rFonts w:ascii="Calibri" w:cs="Calibri" w:eastAsia="Calibri" w:hAnsi="Calibri"/>
          <w:sz w:val="20"/>
          <w:szCs w:val="20"/>
          <w:color w:val="auto"/>
        </w:rPr>
        <w:t>lawfully condemns or assumes custody of all of the property or assets (or a substantal part thereof) of any Recipient Party; or</w:t>
      </w:r>
    </w:p>
    <w:p>
      <w:pPr>
        <w:ind w:left="280" w:hanging="272"/>
        <w:spacing w:after="0" w:line="199" w:lineRule="auto"/>
        <w:tabs>
          <w:tab w:leader="none" w:pos="280" w:val="left"/>
        </w:tabs>
        <w:numPr>
          <w:ilvl w:val="0"/>
          <w:numId w:val="389"/>
        </w:numPr>
        <w:rPr>
          <w:rFonts w:ascii="Calibri" w:cs="Calibri" w:eastAsia="Calibri" w:hAnsi="Calibri"/>
          <w:sz w:val="20"/>
          <w:szCs w:val="20"/>
          <w:color w:val="auto"/>
        </w:rPr>
      </w:pPr>
      <w:r>
        <w:rPr>
          <w:rFonts w:ascii="Calibri" w:cs="Calibri" w:eastAsia="Calibri" w:hAnsi="Calibri"/>
          <w:sz w:val="20"/>
          <w:szCs w:val="20"/>
          <w:color w:val="auto"/>
        </w:rPr>
        <w:t>takes lawful acton to displace the management of any Recipient Party.</w:t>
      </w:r>
    </w:p>
    <w:p>
      <w:pPr>
        <w:spacing w:after="0" w:line="171"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9.1.15 </w:t>
      </w:r>
      <w:r>
        <w:rPr>
          <w:rFonts w:ascii="Calibri" w:cs="Calibri" w:eastAsia="Calibri" w:hAnsi="Calibri"/>
          <w:sz w:val="20"/>
          <w:szCs w:val="20"/>
          <w:b w:val="1"/>
          <w:bCs w:val="1"/>
          <w:color w:val="auto"/>
        </w:rPr>
        <w:t>Compliance with Sanctons, Export Control Laws, Ant-Money Laundering Laws, and Ant-Corrupton Laws.</w:t>
      </w:r>
      <w:r>
        <w:rPr>
          <w:rFonts w:ascii="Calibri" w:cs="Calibri" w:eastAsia="Calibri" w:hAnsi="Calibri"/>
          <w:sz w:val="20"/>
          <w:szCs w:val="20"/>
          <w:color w:val="auto"/>
        </w:rPr>
        <w:t xml:space="preserve"> At any tme prior to the date which is the tenth (10th) anniversary from the Award Date:</w:t>
      </w:r>
    </w:p>
    <w:p>
      <w:pPr>
        <w:spacing w:after="0" w:line="186" w:lineRule="exact"/>
        <w:rPr>
          <w:sz w:val="20"/>
          <w:szCs w:val="20"/>
          <w:color w:val="auto"/>
        </w:rPr>
      </w:pPr>
    </w:p>
    <w:p>
      <w:pPr>
        <w:ind w:firstLine="1952"/>
        <w:spacing w:after="0" w:line="208" w:lineRule="auto"/>
        <w:tabs>
          <w:tab w:leader="none" w:pos="2596" w:val="left"/>
        </w:tabs>
        <w:numPr>
          <w:ilvl w:val="0"/>
          <w:numId w:val="390"/>
        </w:numPr>
        <w:rPr>
          <w:rFonts w:ascii="Calibri" w:cs="Calibri" w:eastAsia="Calibri" w:hAnsi="Calibri"/>
          <w:sz w:val="20"/>
          <w:szCs w:val="20"/>
          <w:color w:val="auto"/>
        </w:rPr>
      </w:pPr>
      <w:r>
        <w:rPr>
          <w:rFonts w:ascii="Calibri" w:cs="Calibri" w:eastAsia="Calibri" w:hAnsi="Calibri"/>
          <w:sz w:val="20"/>
          <w:szCs w:val="20"/>
          <w:color w:val="auto"/>
        </w:rPr>
        <w:t>any making or use of any Direct Funding Disbursement or any use of any proceeds of the Award violates, or causes any Person to violate, any Sanctons, Export Control Laws, Ant-Money Laundering Laws, or Ant-Corrupton Laws;</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90"/>
        </w:numPr>
        <w:rPr>
          <w:rFonts w:ascii="Calibri" w:cs="Calibri" w:eastAsia="Calibri" w:hAnsi="Calibri"/>
          <w:sz w:val="20"/>
          <w:szCs w:val="20"/>
          <w:color w:val="auto"/>
        </w:rPr>
      </w:pPr>
      <w:r>
        <w:rPr>
          <w:rFonts w:ascii="Calibri" w:cs="Calibri" w:eastAsia="Calibri" w:hAnsi="Calibri"/>
          <w:sz w:val="20"/>
          <w:szCs w:val="20"/>
          <w:color w:val="auto"/>
        </w:rPr>
        <w:t>any violaton by any Recipient Party of any Sanctons, Export Control Laws (except as provided in the excepton in Secton 7.2.13(a)(ii) (</w:t>
      </w:r>
      <w:r>
        <w:rPr>
          <w:rFonts w:ascii="Calibri" w:cs="Calibri" w:eastAsia="Calibri" w:hAnsi="Calibri"/>
          <w:sz w:val="20"/>
          <w:szCs w:val="20"/>
          <w:b w:val="1"/>
          <w:bCs w:val="1"/>
          <w:color w:val="auto"/>
        </w:rPr>
        <w:t>Sanctons, Export Control Laws, Ant-Money Laundering Laws, and Ant-Corrupton Laws</w:t>
      </w:r>
      <w:r>
        <w:rPr>
          <w:rFonts w:ascii="Calibri" w:cs="Calibri" w:eastAsia="Calibri" w:hAnsi="Calibri"/>
          <w:sz w:val="20"/>
          <w:szCs w:val="20"/>
          <w:color w:val="auto"/>
        </w:rPr>
        <w:t>)), Ant-Money Laundering Laws, or Ant-Corrupton Laws;</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0"/>
        </w:numPr>
        <w:rPr>
          <w:rFonts w:ascii="Calibri" w:cs="Calibri" w:eastAsia="Calibri" w:hAnsi="Calibri"/>
          <w:sz w:val="20"/>
          <w:szCs w:val="20"/>
          <w:color w:val="auto"/>
        </w:rPr>
      </w:pPr>
      <w:r>
        <w:rPr>
          <w:rFonts w:ascii="Calibri" w:cs="Calibri" w:eastAsia="Calibri" w:hAnsi="Calibri"/>
          <w:sz w:val="20"/>
          <w:szCs w:val="20"/>
          <w:color w:val="auto"/>
        </w:rPr>
        <w:t>the Recipient or the Sponsor Guarantor becomes a Prohibited Person; or</w:t>
      </w:r>
    </w:p>
    <w:p>
      <w:pPr>
        <w:spacing w:after="0" w:line="184"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390"/>
        </w:numPr>
        <w:rPr>
          <w:rFonts w:ascii="Calibri" w:cs="Calibri" w:eastAsia="Calibri" w:hAnsi="Calibri"/>
          <w:sz w:val="20"/>
          <w:szCs w:val="20"/>
          <w:color w:val="auto"/>
        </w:rPr>
      </w:pPr>
      <w:r>
        <w:rPr>
          <w:rFonts w:ascii="Calibri" w:cs="Calibri" w:eastAsia="Calibri" w:hAnsi="Calibri"/>
          <w:sz w:val="20"/>
          <w:szCs w:val="20"/>
          <w:color w:val="auto"/>
        </w:rPr>
        <w:t>any Principal Person of the Recipient or the Sponsor Guarantor becomes a Prohibited Person, unless the Recipient removes or replaces such Principal Person within thirty (30) days from the Recipient’s Knowledge of such occurrence.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9.2 </w:t>
      </w:r>
      <w:r>
        <w:rPr>
          <w:rFonts w:ascii="Calibri" w:cs="Calibri" w:eastAsia="Calibri" w:hAnsi="Calibri"/>
          <w:sz w:val="20"/>
          <w:szCs w:val="20"/>
          <w:b w:val="1"/>
          <w:bCs w:val="1"/>
          <w:color w:val="auto"/>
        </w:rPr>
        <w:t>Remedies for Events of Default.</w:t>
      </w:r>
      <w:r>
        <w:rPr>
          <w:rFonts w:ascii="Calibri" w:cs="Calibri" w:eastAsia="Calibri" w:hAnsi="Calibri"/>
          <w:sz w:val="20"/>
          <w:szCs w:val="20"/>
          <w:color w:val="auto"/>
        </w:rPr>
        <w:t xml:space="preserve"> Subject to Secton 9.3 (</w:t>
      </w:r>
      <w:r>
        <w:rPr>
          <w:rFonts w:ascii="Calibri" w:cs="Calibri" w:eastAsia="Calibri" w:hAnsi="Calibri"/>
          <w:sz w:val="20"/>
          <w:szCs w:val="20"/>
          <w:b w:val="1"/>
          <w:bCs w:val="1"/>
          <w:color w:val="auto"/>
        </w:rPr>
        <w:t>Automatc Acceleraton</w:t>
      </w:r>
      <w:r>
        <w:rPr>
          <w:rFonts w:ascii="Calibri" w:cs="Calibri" w:eastAsia="Calibri" w:hAnsi="Calibri"/>
          <w:sz w:val="20"/>
          <w:szCs w:val="20"/>
          <w:color w:val="auto"/>
        </w:rPr>
        <w:t>) below, upon the occurrence and during the contnuance of an Event of Default, the Department may, subject to the Federal Claims Collecton Act of 1966, as amended, without further notce of default, presentment or demand for payment, protest or notce of non-payment or dishonor,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ectPr>
          <w:pgSz w:w="11900" w:h="16838" w:orient="portrait"/>
          <w:cols w:equalWidth="0" w:num="1">
            <w:col w:w="11240"/>
          </w:cols>
          <w:pgMar w:left="320" w:top="1384" w:right="339" w:bottom="1440" w:gutter="0" w:footer="0" w:header="0"/>
        </w:sectPr>
      </w:pPr>
    </w:p>
    <w:bookmarkStart w:id="370" w:name="page371"/>
    <w:bookmarkEnd w:id="370"/>
    <w:p>
      <w:pPr>
        <w:ind w:right="20"/>
        <w:spacing w:after="0" w:line="214" w:lineRule="auto"/>
        <w:rPr>
          <w:sz w:val="20"/>
          <w:szCs w:val="20"/>
          <w:color w:val="auto"/>
        </w:rPr>
      </w:pPr>
      <w:r>
        <w:rPr>
          <w:rFonts w:ascii="Calibri" w:cs="Calibri" w:eastAsia="Calibri" w:hAnsi="Calibri"/>
          <w:sz w:val="20"/>
          <w:szCs w:val="20"/>
          <w:color w:val="auto"/>
        </w:rPr>
        <w:t>or other notces or demands of any kind, all such notces and demands being waived (to the extent permited by Applicable Laws), exercise one or more of the rights and remedies set forth below (in any combinaton or order that the Department may elect):</w:t>
      </w:r>
    </w:p>
    <w:p>
      <w:pPr>
        <w:spacing w:after="0" w:line="172" w:lineRule="exact"/>
        <w:rPr>
          <w:sz w:val="20"/>
          <w:szCs w:val="20"/>
          <w:color w:val="auto"/>
        </w:rPr>
      </w:pPr>
    </w:p>
    <w:p>
      <w:pPr>
        <w:jc w:val="both"/>
        <w:ind w:firstLine="1952"/>
        <w:spacing w:after="0" w:line="209" w:lineRule="auto"/>
        <w:tabs>
          <w:tab w:leader="none" w:pos="2596"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provide the Recipient with writen notce specifying the nature and extent of the Event of Default and requiring the Recipient to remedy the same in accordance with a correctve acton plan in form and substance satsfactory to the Department;</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impose additonal conditons pending implementaton of any correctve actons required by the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Department;</w:t>
      </w:r>
    </w:p>
    <w:p>
      <w:pPr>
        <w:spacing w:after="0" w:line="167" w:lineRule="exact"/>
        <w:rPr>
          <w:rFonts w:ascii="Calibri" w:cs="Calibri" w:eastAsia="Calibri" w:hAnsi="Calibri"/>
          <w:sz w:val="20"/>
          <w:szCs w:val="20"/>
          <w:color w:val="auto"/>
        </w:rPr>
      </w:pPr>
    </w:p>
    <w:p>
      <w:pPr>
        <w:ind w:left="2600" w:hanging="648"/>
        <w:spacing w:after="0"/>
        <w:tabs>
          <w:tab w:leader="none" w:pos="2600"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suspend or, with respect to any Fundamental Event of Default, terminate all or any porton of,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Maximum Award Amount;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temporarily withhold or suspend a Disbursement;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with respect to any Fundamental Event of Default, terminate this Agreement and the Award;</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refuse, and the Department shall not be obligated, to review any Disbursement Request;</w:t>
      </w:r>
    </w:p>
    <w:p>
      <w:pPr>
        <w:spacing w:after="0" w:line="184" w:lineRule="exact"/>
        <w:rPr>
          <w:rFonts w:ascii="Calibri" w:cs="Calibri" w:eastAsia="Calibri" w:hAnsi="Calibri"/>
          <w:sz w:val="20"/>
          <w:szCs w:val="20"/>
          <w:color w:val="auto"/>
        </w:rPr>
      </w:pPr>
    </w:p>
    <w:p>
      <w:pPr>
        <w:ind w:right="20" w:firstLine="1952"/>
        <w:spacing w:after="0" w:line="214" w:lineRule="auto"/>
        <w:tabs>
          <w:tab w:leader="none" w:pos="2595"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with respect to a breach of Secton 7.2.13(i) (</w:t>
      </w:r>
      <w:r>
        <w:rPr>
          <w:rFonts w:ascii="Calibri" w:cs="Calibri" w:eastAsia="Calibri" w:hAnsi="Calibri"/>
          <w:sz w:val="20"/>
          <w:szCs w:val="20"/>
          <w:b w:val="1"/>
          <w:bCs w:val="1"/>
          <w:color w:val="auto"/>
        </w:rPr>
        <w:t>Compliance with Trafcking in Persons Laws</w:t>
      </w:r>
      <w:r>
        <w:rPr>
          <w:rFonts w:ascii="Calibri" w:cs="Calibri" w:eastAsia="Calibri" w:hAnsi="Calibri"/>
          <w:sz w:val="20"/>
          <w:szCs w:val="20"/>
          <w:color w:val="auto"/>
        </w:rPr>
        <w:t>), take such acton available to the Department pursuant to 22 U.S.C. § 7104(c);</w:t>
      </w:r>
    </w:p>
    <w:p>
      <w:pPr>
        <w:spacing w:after="0" w:line="172"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91"/>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9.1.1(a) (</w:t>
      </w:r>
      <w:r>
        <w:rPr>
          <w:rFonts w:ascii="Calibri" w:cs="Calibri" w:eastAsia="Calibri" w:hAnsi="Calibri"/>
          <w:sz w:val="20"/>
          <w:szCs w:val="20"/>
          <w:b w:val="1"/>
          <w:bCs w:val="1"/>
          <w:color w:val="auto"/>
        </w:rPr>
        <w:t>Project Completon Clawback Event</w:t>
      </w:r>
      <w:r>
        <w:rPr>
          <w:rFonts w:ascii="Calibri" w:cs="Calibri" w:eastAsia="Calibri" w:hAnsi="Calibri"/>
          <w:sz w:val="20"/>
          <w:szCs w:val="20"/>
          <w:color w:val="auto"/>
        </w:rPr>
        <w:t>), demand recovery on a progressive basis up to the full amount of the proceeds paid to the Recipient for the applicable Project in a manner to be determined and notfed by the Department to the Recipient in connecton with such demand; provided that, in establishing a progressive recovery schedule, the Department may consider the following factors, as determined by the Department:</w:t>
      </w:r>
    </w:p>
    <w:p>
      <w:pPr>
        <w:spacing w:after="0" w:line="186" w:lineRule="exact"/>
        <w:rPr>
          <w:rFonts w:ascii="Calibri" w:cs="Calibri" w:eastAsia="Calibri" w:hAnsi="Calibri"/>
          <w:sz w:val="20"/>
          <w:szCs w:val="20"/>
          <w:color w:val="auto"/>
        </w:rPr>
      </w:pPr>
    </w:p>
    <w:p>
      <w:pPr>
        <w:ind w:firstLine="2600"/>
        <w:spacing w:after="0" w:line="208" w:lineRule="auto"/>
        <w:tabs>
          <w:tab w:leader="none" w:pos="3234" w:val="left"/>
        </w:tabs>
        <w:numPr>
          <w:ilvl w:val="1"/>
          <w:numId w:val="391"/>
        </w:numPr>
        <w:rPr>
          <w:rFonts w:ascii="Calibri" w:cs="Calibri" w:eastAsia="Calibri" w:hAnsi="Calibri"/>
          <w:sz w:val="20"/>
          <w:szCs w:val="20"/>
          <w:color w:val="auto"/>
        </w:rPr>
      </w:pPr>
      <w:r>
        <w:rPr>
          <w:rFonts w:ascii="Calibri" w:cs="Calibri" w:eastAsia="Calibri" w:hAnsi="Calibri"/>
          <w:sz w:val="20"/>
          <w:szCs w:val="20"/>
          <w:color w:val="auto"/>
        </w:rPr>
        <w:t>the tme the Department estmates will be required beyond the Project Completon Clawback Date for the Recipient to achieve the Project Completon Date;</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391"/>
        </w:numPr>
        <w:rPr>
          <w:rFonts w:ascii="Calibri" w:cs="Calibri" w:eastAsia="Calibri" w:hAnsi="Calibri"/>
          <w:sz w:val="20"/>
          <w:szCs w:val="20"/>
          <w:color w:val="auto"/>
        </w:rPr>
      </w:pPr>
      <w:r>
        <w:rPr>
          <w:rFonts w:ascii="Calibri" w:cs="Calibri" w:eastAsia="Calibri" w:hAnsi="Calibri"/>
          <w:sz w:val="20"/>
          <w:szCs w:val="20"/>
          <w:color w:val="auto"/>
        </w:rPr>
        <w:t>the likelihood, in the Department’s belief, that the Recipient can achieve the Project Completon</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Date;</w:t>
      </w:r>
    </w:p>
    <w:p>
      <w:pPr>
        <w:spacing w:after="0" w:line="160" w:lineRule="exact"/>
        <w:rPr>
          <w:rFonts w:ascii="Calibri" w:cs="Calibri" w:eastAsia="Calibri" w:hAnsi="Calibri"/>
          <w:sz w:val="20"/>
          <w:szCs w:val="20"/>
          <w:color w:val="auto"/>
        </w:rPr>
      </w:pPr>
    </w:p>
    <w:p>
      <w:pPr>
        <w:ind w:left="3260" w:hanging="660"/>
        <w:spacing w:after="0"/>
        <w:tabs>
          <w:tab w:leader="none" w:pos="3260" w:val="left"/>
        </w:tabs>
        <w:numPr>
          <w:ilvl w:val="1"/>
          <w:numId w:val="391"/>
        </w:numPr>
        <w:rPr>
          <w:rFonts w:ascii="Calibri" w:cs="Calibri" w:eastAsia="Calibri" w:hAnsi="Calibri"/>
          <w:sz w:val="20"/>
          <w:szCs w:val="20"/>
          <w:color w:val="auto"/>
        </w:rPr>
      </w:pPr>
      <w:r>
        <w:rPr>
          <w:rFonts w:ascii="Calibri" w:cs="Calibri" w:eastAsia="Calibri" w:hAnsi="Calibri"/>
          <w:sz w:val="20"/>
          <w:szCs w:val="20"/>
          <w:color w:val="auto"/>
        </w:rPr>
        <w:t>the then-current producton of the Project relatve to expected capacity;</w:t>
      </w:r>
    </w:p>
    <w:p>
      <w:pPr>
        <w:spacing w:after="0" w:line="174" w:lineRule="exact"/>
        <w:rPr>
          <w:rFonts w:ascii="Calibri" w:cs="Calibri" w:eastAsia="Calibri" w:hAnsi="Calibri"/>
          <w:sz w:val="20"/>
          <w:szCs w:val="20"/>
          <w:color w:val="auto"/>
        </w:rPr>
      </w:pPr>
    </w:p>
    <w:p>
      <w:pPr>
        <w:ind w:left="3260" w:hanging="660"/>
        <w:spacing w:after="0"/>
        <w:tabs>
          <w:tab w:leader="none" w:pos="3260" w:val="left"/>
        </w:tabs>
        <w:numPr>
          <w:ilvl w:val="1"/>
          <w:numId w:val="391"/>
        </w:numPr>
        <w:rPr>
          <w:rFonts w:ascii="Calibri" w:cs="Calibri" w:eastAsia="Calibri" w:hAnsi="Calibri"/>
          <w:sz w:val="20"/>
          <w:szCs w:val="20"/>
          <w:color w:val="auto"/>
        </w:rPr>
      </w:pPr>
      <w:r>
        <w:rPr>
          <w:rFonts w:ascii="Calibri" w:cs="Calibri" w:eastAsia="Calibri" w:hAnsi="Calibri"/>
          <w:sz w:val="20"/>
          <w:szCs w:val="20"/>
          <w:color w:val="auto"/>
        </w:rPr>
        <w:t>the reasons for the delay in achieving the Project Completon Date, including economic</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cyclicality; and</w:t>
      </w:r>
    </w:p>
    <w:p>
      <w:pPr>
        <w:spacing w:after="0" w:line="160" w:lineRule="exact"/>
        <w:rPr>
          <w:rFonts w:ascii="Calibri" w:cs="Calibri" w:eastAsia="Calibri" w:hAnsi="Calibri"/>
          <w:sz w:val="20"/>
          <w:szCs w:val="20"/>
          <w:color w:val="auto"/>
        </w:rPr>
      </w:pPr>
    </w:p>
    <w:p>
      <w:pPr>
        <w:ind w:left="3240" w:hanging="640"/>
        <w:spacing w:after="0"/>
        <w:tabs>
          <w:tab w:leader="none" w:pos="3240" w:val="left"/>
        </w:tabs>
        <w:numPr>
          <w:ilvl w:val="1"/>
          <w:numId w:val="391"/>
        </w:numPr>
        <w:rPr>
          <w:rFonts w:ascii="Calibri" w:cs="Calibri" w:eastAsia="Calibri" w:hAnsi="Calibri"/>
          <w:sz w:val="20"/>
          <w:szCs w:val="20"/>
          <w:color w:val="auto"/>
        </w:rPr>
      </w:pPr>
      <w:r>
        <w:rPr>
          <w:rFonts w:ascii="Calibri" w:cs="Calibri" w:eastAsia="Calibri" w:hAnsi="Calibri"/>
          <w:sz w:val="20"/>
          <w:szCs w:val="20"/>
          <w:color w:val="auto"/>
        </w:rPr>
        <w:t>any other relevant factors determined by the Department;</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provided, however, that notwithstanding the forgoing, in the event that the Recipient does not achieve the Project Completon Date by the Project Completon Clawback Date, in no instance shall the Department recover more than twenty percent (20%) of the Direct Funding Disbursements paid to the Recipient if the Recipient is expected to achieve the Project Completon Date within one (1) year afer the Project Completon Clawback Date;</w:t>
      </w:r>
    </w:p>
    <w:p>
      <w:pPr>
        <w:spacing w:after="0" w:line="186" w:lineRule="exact"/>
        <w:rPr>
          <w:sz w:val="20"/>
          <w:szCs w:val="20"/>
          <w:color w:val="auto"/>
        </w:rPr>
      </w:pPr>
    </w:p>
    <w:p>
      <w:pPr>
        <w:jc w:val="both"/>
        <w:ind w:right="20" w:firstLine="1952"/>
        <w:spacing w:after="0" w:line="209" w:lineRule="auto"/>
        <w:tabs>
          <w:tab w:leader="none" w:pos="2586" w:val="left"/>
        </w:tabs>
        <w:numPr>
          <w:ilvl w:val="0"/>
          <w:numId w:val="392"/>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9.1.1(b) (</w:t>
      </w:r>
      <w:r>
        <w:rPr>
          <w:rFonts w:ascii="Calibri" w:cs="Calibri" w:eastAsia="Calibri" w:hAnsi="Calibri"/>
          <w:sz w:val="20"/>
          <w:szCs w:val="20"/>
          <w:b w:val="1"/>
          <w:bCs w:val="1"/>
          <w:color w:val="auto"/>
        </w:rPr>
        <w:t>Technology Clawback Event</w:t>
      </w:r>
      <w:r>
        <w:rPr>
          <w:rFonts w:ascii="Calibri" w:cs="Calibri" w:eastAsia="Calibri" w:hAnsi="Calibri"/>
          <w:sz w:val="20"/>
          <w:szCs w:val="20"/>
          <w:color w:val="auto"/>
        </w:rPr>
        <w:t>) or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exercise the remedies, mitgaton, and clawbacks available under Secton 7 (</w:t>
      </w:r>
      <w:r>
        <w:rPr>
          <w:rFonts w:ascii="Calibri" w:cs="Calibri" w:eastAsia="Calibri" w:hAnsi="Calibri"/>
          <w:sz w:val="20"/>
          <w:szCs w:val="20"/>
          <w:b w:val="1"/>
          <w:bCs w:val="1"/>
          <w:color w:val="auto"/>
        </w:rPr>
        <w:t>Remedies, Mitgaton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and Clawbacks</w:t>
      </w:r>
      <w:r>
        <w:rPr>
          <w:rFonts w:ascii="Calibri" w:cs="Calibri" w:eastAsia="Calibri" w:hAnsi="Calibri"/>
          <w:sz w:val="20"/>
          <w:szCs w:val="20"/>
          <w:color w:val="auto"/>
        </w:rPr>
        <w:t>) of the Guardrail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ectPr>
          <w:pgSz w:w="11900" w:h="16838" w:orient="portrait"/>
          <w:cols w:equalWidth="0" w:num="1">
            <w:col w:w="11240"/>
          </w:cols>
          <w:pgMar w:left="320" w:top="1384" w:right="339" w:bottom="1440" w:gutter="0" w:footer="0" w:header="0"/>
        </w:sectPr>
      </w:pPr>
    </w:p>
    <w:bookmarkStart w:id="371" w:name="page372"/>
    <w:bookmarkEnd w:id="371"/>
    <w:p>
      <w:pPr>
        <w:jc w:val="both"/>
        <w:ind w:firstLine="1952"/>
        <w:spacing w:after="0" w:line="205" w:lineRule="auto"/>
        <w:tabs>
          <w:tab w:leader="none" w:pos="2594"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9.1.1(e) (</w:t>
      </w:r>
      <w:r>
        <w:rPr>
          <w:rFonts w:ascii="Calibri" w:cs="Calibri" w:eastAsia="Calibri" w:hAnsi="Calibri"/>
          <w:sz w:val="20"/>
          <w:szCs w:val="20"/>
          <w:b w:val="1"/>
          <w:bCs w:val="1"/>
          <w:color w:val="auto"/>
        </w:rPr>
        <w:t>Property Dispositon Clawback Event</w:t>
      </w:r>
      <w:r>
        <w:rPr>
          <w:rFonts w:ascii="Calibri" w:cs="Calibri" w:eastAsia="Calibri" w:hAnsi="Calibri"/>
          <w:sz w:val="20"/>
          <w:szCs w:val="20"/>
          <w:color w:val="auto"/>
        </w:rPr>
        <w:t>), demand recovery of an amount equal to the net proceeds from the relevant Dispositon as a debt payable to the Department in a manner to be determined and notfed by the Department to the Recipient in connecton with such demand;</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1"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9.1.1(d) (</w:t>
      </w:r>
      <w:r>
        <w:rPr>
          <w:rFonts w:ascii="Calibri" w:cs="Calibri" w:eastAsia="Calibri" w:hAnsi="Calibri"/>
          <w:sz w:val="20"/>
          <w:szCs w:val="20"/>
          <w:b w:val="1"/>
          <w:bCs w:val="1"/>
          <w:color w:val="auto"/>
        </w:rPr>
        <w:t>Authorized Purpose Clawback Event</w:t>
      </w:r>
      <w:r>
        <w:rPr>
          <w:rFonts w:ascii="Calibri" w:cs="Calibri" w:eastAsia="Calibri" w:hAnsi="Calibri"/>
          <w:sz w:val="20"/>
          <w:szCs w:val="20"/>
          <w:color w:val="auto"/>
        </w:rPr>
        <w:t>), demand recovery of an amount up to the full amount of such proceeds for the Project in a manner to be determined and notfed by the Department to the Recipient in connecton with such demand;</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86"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9.1.1(f) (</w:t>
      </w:r>
      <w:r>
        <w:rPr>
          <w:rFonts w:ascii="Calibri" w:cs="Calibri" w:eastAsia="Calibri" w:hAnsi="Calibri"/>
          <w:sz w:val="20"/>
          <w:szCs w:val="20"/>
          <w:b w:val="1"/>
          <w:bCs w:val="1"/>
          <w:color w:val="auto"/>
        </w:rPr>
        <w:t>NY Fab 1 Project Clawback Event</w:t>
      </w:r>
      <w:r>
        <w:rPr>
          <w:rFonts w:ascii="Calibri" w:cs="Calibri" w:eastAsia="Calibri" w:hAnsi="Calibri"/>
          <w:sz w:val="20"/>
          <w:szCs w:val="20"/>
          <w:color w:val="auto"/>
        </w:rPr>
        <w:t xml:space="preserve">), demand recovery of an amount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Direct Funding Disbursements made from the Maximum Direct Funding Award Amount; provided, that such amount shall not exceed an amount equal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less the sum of any portons of any Scheduled Disbursement Amounts in respect of any Disbursement Milestones that are not disbursed to Recipient or its Afliate pursuant to Sectons 5.1.4(b) or 5.1.4(c) (</w:t>
      </w:r>
      <w:r>
        <w:rPr>
          <w:rFonts w:ascii="Calibri" w:cs="Calibri" w:eastAsia="Calibri" w:hAnsi="Calibri"/>
          <w:sz w:val="20"/>
          <w:szCs w:val="20"/>
          <w:b w:val="1"/>
          <w:bCs w:val="1"/>
          <w:color w:val="auto"/>
        </w:rPr>
        <w:t>Completon of Disbursement Milestone</w:t>
      </w:r>
      <w:r>
        <w:rPr>
          <w:rFonts w:ascii="Calibri" w:cs="Calibri" w:eastAsia="Calibri" w:hAnsi="Calibri"/>
          <w:sz w:val="20"/>
          <w:szCs w:val="20"/>
          <w:color w:val="auto"/>
        </w:rPr>
        <w:t xml:space="preserve">) on account of the failure of the Recipient to provide evidence of completon of the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or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89" w:lineRule="exact"/>
        <w:rPr>
          <w:rFonts w:ascii="Calibri" w:cs="Calibri" w:eastAsia="Calibri" w:hAnsi="Calibri"/>
          <w:sz w:val="20"/>
          <w:szCs w:val="20"/>
          <w:color w:val="auto"/>
        </w:rPr>
      </w:pPr>
    </w:p>
    <w:p>
      <w:pPr>
        <w:jc w:val="both"/>
        <w:ind w:firstLine="1952"/>
        <w:spacing w:after="0" w:line="199" w:lineRule="auto"/>
        <w:tabs>
          <w:tab w:leader="none" w:pos="2593"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9.1.1(g) (</w:t>
      </w:r>
      <w:r>
        <w:rPr>
          <w:rFonts w:ascii="Calibri" w:cs="Calibri" w:eastAsia="Calibri" w:hAnsi="Calibri"/>
          <w:sz w:val="20"/>
          <w:szCs w:val="20"/>
          <w:b w:val="1"/>
          <w:bCs w:val="1"/>
          <w:color w:val="auto"/>
        </w:rPr>
        <w:t>NY Fab 2 Project Clawback Event</w:t>
      </w:r>
      <w:r>
        <w:rPr>
          <w:rFonts w:ascii="Calibri" w:cs="Calibri" w:eastAsia="Calibri" w:hAnsi="Calibri"/>
          <w:sz w:val="20"/>
          <w:szCs w:val="20"/>
          <w:color w:val="auto"/>
        </w:rPr>
        <w:t xml:space="preserve">), demand recovery of an amount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Direct Funding Disbursements made from the Maximum Direct Funding Award Amount provided, that if the recovery of amounts under Secton 9.2(l) was not already limited pursuant to the proviso in such Secton 9.2(l), such amount shall not exceed an amount equal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less the sum of any portons of any Scheduled Disbursement Amounts in respect of any Disbursement Milestones that are not disbursed to Recipient or its Afliate pursuant to Secton 5.1.4(a) or 5.1.4(c) on account of the failure of the Recipient to provide evidence of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or the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89" w:lineRule="exact"/>
        <w:rPr>
          <w:rFonts w:ascii="Calibri" w:cs="Calibri" w:eastAsia="Calibri" w:hAnsi="Calibri"/>
          <w:sz w:val="20"/>
          <w:szCs w:val="20"/>
          <w:color w:val="auto"/>
        </w:rPr>
      </w:pPr>
    </w:p>
    <w:p>
      <w:pPr>
        <w:jc w:val="both"/>
        <w:ind w:firstLine="1952"/>
        <w:spacing w:after="0"/>
        <w:tabs>
          <w:tab w:leader="none" w:pos="2592"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9.1.1(h) (</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Clawback Event</w:t>
      </w:r>
      <w:r>
        <w:rPr>
          <w:rFonts w:ascii="Calibri" w:cs="Calibri" w:eastAsia="Calibri" w:hAnsi="Calibri"/>
          <w:sz w:val="20"/>
          <w:szCs w:val="20"/>
          <w:color w:val="auto"/>
        </w:rPr>
        <w:t>), demand recovery of up to</w:t>
      </w:r>
      <w:r>
        <w:rPr>
          <w:rFonts w:ascii="Calibri" w:cs="Calibri" w:eastAsia="Calibri" w:hAnsi="Calibri"/>
          <w:sz w:val="20"/>
          <w:szCs w:val="20"/>
          <w:b w:val="1"/>
          <w:bCs w:val="1"/>
          <w:color w:val="auto"/>
        </w:rPr>
        <w:t xml:space="preserve"> [***] </w:t>
      </w:r>
      <w:r>
        <w:rPr>
          <w:rFonts w:ascii="Calibri" w:cs="Calibri" w:eastAsia="Calibri" w:hAnsi="Calibri"/>
          <w:sz w:val="20"/>
          <w:szCs w:val="20"/>
          <w:color w:val="auto"/>
        </w:rPr>
        <w:t>of Direct Funding Disbursements made from the Maximum Direct Funding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Amount;</w:t>
      </w:r>
    </w:p>
    <w:p>
      <w:pPr>
        <w:spacing w:after="0" w:line="321"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any Fundamental Event of Default, demand recovery of all or part of the Disbursements paid to the Recipient as a debt payable to the Department in accordance with the terms of such demand;</w:t>
      </w:r>
    </w:p>
    <w:p>
      <w:pPr>
        <w:spacing w:after="0" w:line="184" w:lineRule="exact"/>
        <w:rPr>
          <w:rFonts w:ascii="Calibri" w:cs="Calibri" w:eastAsia="Calibri" w:hAnsi="Calibri"/>
          <w:sz w:val="20"/>
          <w:szCs w:val="20"/>
          <w:color w:val="auto"/>
        </w:rPr>
      </w:pPr>
    </w:p>
    <w:p>
      <w:pPr>
        <w:jc w:val="both"/>
        <w:ind w:right="20" w:firstLine="1952"/>
        <w:spacing w:after="0" w:line="205" w:lineRule="auto"/>
        <w:tabs>
          <w:tab w:leader="none" w:pos="2592"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with respect to a breach of Secton 7.2.6 (</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demand recovery of an amount equal to the proceeds of the relevant Direct Funding Disbursement used for Ineligible Uses of Funds in a manner to be determined and notfed by the Department to the Recipient in connecton with such demand;</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take such acton available to the Department pursuant to the Civil False Claims Act (31 U.S.C. §§ 3729 –</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3733);</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reject any current or future applicaton for any CHIPS Incentves submited by the Recipient or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Afliate;</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initate suspension or debarment proceedings in accordance with Applicable Law; and</w:t>
      </w:r>
    </w:p>
    <w:p>
      <w:pPr>
        <w:spacing w:after="0" w:line="170" w:lineRule="exact"/>
        <w:rPr>
          <w:rFonts w:ascii="Calibri" w:cs="Calibri" w:eastAsia="Calibri" w:hAnsi="Calibri"/>
          <w:sz w:val="20"/>
          <w:szCs w:val="20"/>
          <w:color w:val="auto"/>
        </w:rPr>
      </w:pPr>
    </w:p>
    <w:p>
      <w:pPr>
        <w:jc w:val="both"/>
        <w:ind w:firstLine="1952"/>
        <w:spacing w:after="0" w:line="202" w:lineRule="auto"/>
        <w:tabs>
          <w:tab w:leader="none" w:pos="2593" w:val="left"/>
        </w:tabs>
        <w:numPr>
          <w:ilvl w:val="0"/>
          <w:numId w:val="393"/>
        </w:numPr>
        <w:rPr>
          <w:rFonts w:ascii="Calibri" w:cs="Calibri" w:eastAsia="Calibri" w:hAnsi="Calibri"/>
          <w:sz w:val="20"/>
          <w:szCs w:val="20"/>
          <w:color w:val="auto"/>
        </w:rPr>
      </w:pPr>
      <w:r>
        <w:rPr>
          <w:rFonts w:ascii="Calibri" w:cs="Calibri" w:eastAsia="Calibri" w:hAnsi="Calibri"/>
          <w:sz w:val="20"/>
          <w:szCs w:val="20"/>
          <w:color w:val="auto"/>
        </w:rPr>
        <w:t>exercise any other rights and remedies available under the Financing Documents or otherwise available under Applicable Law by appropriate proceedings, including to enforce the payment of any amount due and payable under the Financing Documents, to charge interest, penaltes and administratve costs on overdue debts in accordance with the Debt Collecton Act, for damages, or for the specifc performance of any provision of this Agreement or any other Financing Document, as further set out in Secton 9.4 (</w:t>
      </w:r>
      <w:r>
        <w:rPr>
          <w:rFonts w:ascii="Calibri" w:cs="Calibri" w:eastAsia="Calibri" w:hAnsi="Calibri"/>
          <w:sz w:val="20"/>
          <w:szCs w:val="20"/>
          <w:b w:val="1"/>
          <w:bCs w:val="1"/>
          <w:color w:val="auto"/>
        </w:rPr>
        <w:t>Specifc Performance</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ectPr>
          <w:pgSz w:w="11900" w:h="16838" w:orient="portrait"/>
          <w:cols w:equalWidth="0" w:num="1">
            <w:col w:w="11240"/>
          </w:cols>
          <w:pgMar w:left="320" w:top="1384" w:right="339" w:bottom="1440" w:gutter="0" w:footer="0" w:header="0"/>
        </w:sectPr>
      </w:pPr>
    </w:p>
    <w:bookmarkStart w:id="372" w:name="page373"/>
    <w:bookmarkEnd w:id="372"/>
    <w:p>
      <w:pPr>
        <w:jc w:val="both"/>
        <w:ind w:firstLine="648"/>
        <w:spacing w:after="0"/>
        <w:rPr>
          <w:sz w:val="20"/>
          <w:szCs w:val="20"/>
          <w:color w:val="auto"/>
        </w:rPr>
      </w:pPr>
      <w:r>
        <w:rPr>
          <w:rFonts w:ascii="Calibri" w:cs="Calibri" w:eastAsia="Calibri" w:hAnsi="Calibri"/>
          <w:sz w:val="20"/>
          <w:szCs w:val="20"/>
          <w:color w:val="auto"/>
        </w:rPr>
        <w:t>provided, however, that (a) for the occurrence of an Event of Default under 9.1.1(e) (</w:t>
      </w:r>
      <w:r>
        <w:rPr>
          <w:rFonts w:ascii="Calibri" w:cs="Calibri" w:eastAsia="Calibri" w:hAnsi="Calibri"/>
          <w:sz w:val="20"/>
          <w:szCs w:val="20"/>
          <w:b w:val="1"/>
          <w:bCs w:val="1"/>
          <w:color w:val="auto"/>
        </w:rPr>
        <w:t>Property Dispositon Clawback Event</w:t>
      </w:r>
      <w:r>
        <w:rPr>
          <w:rFonts w:ascii="Calibri" w:cs="Calibri" w:eastAsia="Calibri" w:hAnsi="Calibri"/>
          <w:sz w:val="20"/>
          <w:szCs w:val="20"/>
          <w:color w:val="auto"/>
        </w:rPr>
        <w:t>), the Department shall be limited to the remedy set forth in Secton 9.2(j) above; and (b) the Partes agree that, where the Department is enttled to recover all or part of the Disbursements described in this Secton 9.2 (</w:t>
      </w:r>
      <w:r>
        <w:rPr>
          <w:rFonts w:ascii="Calibri" w:cs="Calibri" w:eastAsia="Calibri" w:hAnsi="Calibri"/>
          <w:sz w:val="20"/>
          <w:szCs w:val="20"/>
          <w:b w:val="1"/>
          <w:bCs w:val="1"/>
          <w:color w:val="auto"/>
        </w:rPr>
        <w:t>Remedies for Events of Default</w:t>
      </w:r>
      <w:r>
        <w:rPr>
          <w:rFonts w:ascii="Calibri" w:cs="Calibri" w:eastAsia="Calibri" w:hAnsi="Calibri"/>
          <w:sz w:val="20"/>
          <w:szCs w:val="20"/>
          <w:color w:val="auto"/>
        </w:rPr>
        <w:t>), the Recipient shall be required to repay such amounts no later than one hundred twenty (120) days from the date on which the Department demands such payment.</w:t>
      </w:r>
    </w:p>
    <w:p>
      <w:pPr>
        <w:spacing w:after="0" w:line="400"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9.3 </w:t>
      </w:r>
      <w:r>
        <w:rPr>
          <w:rFonts w:ascii="Calibri" w:cs="Calibri" w:eastAsia="Calibri" w:hAnsi="Calibri"/>
          <w:sz w:val="20"/>
          <w:szCs w:val="20"/>
          <w:b w:val="1"/>
          <w:bCs w:val="1"/>
          <w:color w:val="auto"/>
        </w:rPr>
        <w:t>Automatc Acceleraton.</w:t>
      </w:r>
      <w:r>
        <w:rPr>
          <w:rFonts w:ascii="Calibri" w:cs="Calibri" w:eastAsia="Calibri" w:hAnsi="Calibri"/>
          <w:sz w:val="20"/>
          <w:szCs w:val="20"/>
          <w:color w:val="auto"/>
        </w:rPr>
        <w:t xml:space="preserve"> Upon the occurrence of any Event of Default referred to in any provision of Secton 9.1.7 ( </w:t>
      </w:r>
      <w:r>
        <w:rPr>
          <w:rFonts w:ascii="Calibri" w:cs="Calibri" w:eastAsia="Calibri" w:hAnsi="Calibri"/>
          <w:sz w:val="20"/>
          <w:szCs w:val="20"/>
          <w:b w:val="1"/>
          <w:bCs w:val="1"/>
          <w:color w:val="auto"/>
        </w:rPr>
        <w:t>Bankruptcy; Insolvency; Dissoluton</w:t>
      </w:r>
      <w:r>
        <w:rPr>
          <w:rFonts w:ascii="Calibri" w:cs="Calibri" w:eastAsia="Calibri" w:hAnsi="Calibri"/>
          <w:sz w:val="20"/>
          <w:szCs w:val="20"/>
          <w:color w:val="auto"/>
        </w:rPr>
        <w:t>) (a) the Maximum Award Amount shall automatcally be terminated; and (b) the full amount of the Disbursements theretofore disbursed in respect of the Project for which the Project Completon Requirements have not been achieved and all other liabilites of the Recipient accrued hereunder shall automatcally become due and payable as a debt to the Department, without any other presentment, demand, diligence, protest, notce of acceleraton, or other notce of any kind, all of which the Recipient hereby expressly waives.</w:t>
      </w:r>
    </w:p>
    <w:p>
      <w:pPr>
        <w:spacing w:after="0" w:line="18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9.4 </w:t>
      </w:r>
      <w:r>
        <w:rPr>
          <w:rFonts w:ascii="Calibri" w:cs="Calibri" w:eastAsia="Calibri" w:hAnsi="Calibri"/>
          <w:sz w:val="20"/>
          <w:szCs w:val="20"/>
          <w:b w:val="1"/>
          <w:bCs w:val="1"/>
          <w:color w:val="auto"/>
        </w:rPr>
        <w:t>Specifc Performance.</w:t>
      </w:r>
      <w:r>
        <w:rPr>
          <w:rFonts w:ascii="Calibri" w:cs="Calibri" w:eastAsia="Calibri" w:hAnsi="Calibri"/>
          <w:sz w:val="20"/>
          <w:szCs w:val="20"/>
          <w:color w:val="auto"/>
        </w:rPr>
        <w:t xml:space="preserve"> The Partes acknowledge and agree that irreparable damage, for which monetary damages (even if available) would not be an adequate remedy, would occur in the event that any Recipient Party does not perform the provisions of this Agreement or any other Financing Document to which it is a party in accordance with its specifed terms or otherwise breach such provisions. Accordingly, the Partes acknowledge and agree that the Department shall be enttled to an injuncton, specifc</w:t>
      </w:r>
    </w:p>
    <w:p>
      <w:pPr>
        <w:spacing w:after="0" w:line="2" w:lineRule="exact"/>
        <w:rPr>
          <w:sz w:val="20"/>
          <w:szCs w:val="20"/>
          <w:color w:val="auto"/>
        </w:rPr>
      </w:pPr>
    </w:p>
    <w:p>
      <w:pPr>
        <w:jc w:val="both"/>
        <w:spacing w:after="0" w:line="193" w:lineRule="auto"/>
        <w:rPr>
          <w:sz w:val="20"/>
          <w:szCs w:val="20"/>
          <w:color w:val="auto"/>
        </w:rPr>
      </w:pPr>
      <w:r>
        <w:rPr>
          <w:rFonts w:ascii="Calibri" w:cs="Calibri" w:eastAsia="Calibri" w:hAnsi="Calibri"/>
          <w:sz w:val="20"/>
          <w:szCs w:val="20"/>
          <w:color w:val="auto"/>
        </w:rPr>
        <w:t>performance and/or other equitable relief of the following obligatons under the Financing Documents, Secton 7.1 (</w:t>
      </w:r>
      <w:r>
        <w:rPr>
          <w:rFonts w:ascii="Calibri" w:cs="Calibri" w:eastAsia="Calibri" w:hAnsi="Calibri"/>
          <w:sz w:val="20"/>
          <w:szCs w:val="20"/>
          <w:b w:val="1"/>
          <w:bCs w:val="1"/>
          <w:color w:val="auto"/>
        </w:rPr>
        <w:t>Reportng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Covenants</w:t>
      </w:r>
      <w:r>
        <w:rPr>
          <w:rFonts w:ascii="Calibri" w:cs="Calibri" w:eastAsia="Calibri" w:hAnsi="Calibri"/>
          <w:sz w:val="20"/>
          <w:szCs w:val="20"/>
          <w:color w:val="auto"/>
        </w:rPr>
        <w:t>), Secton 7.2.1 (</w:t>
      </w:r>
      <w:r>
        <w:rPr>
          <w:rFonts w:ascii="Calibri" w:cs="Calibri" w:eastAsia="Calibri" w:hAnsi="Calibri"/>
          <w:sz w:val="20"/>
          <w:szCs w:val="20"/>
          <w:b w:val="1"/>
          <w:bCs w:val="1"/>
          <w:color w:val="auto"/>
        </w:rPr>
        <w:t>Internal Controls; Monitoring and Reportng</w:t>
      </w:r>
      <w:r>
        <w:rPr>
          <w:rFonts w:ascii="Calibri" w:cs="Calibri" w:eastAsia="Calibri" w:hAnsi="Calibri"/>
          <w:sz w:val="20"/>
          <w:szCs w:val="20"/>
          <w:color w:val="auto"/>
        </w:rPr>
        <w:t>), Secton 7.2.8 (</w:t>
      </w:r>
      <w:r>
        <w:rPr>
          <w:rFonts w:ascii="Calibri" w:cs="Calibri" w:eastAsia="Calibri" w:hAnsi="Calibri"/>
          <w:sz w:val="20"/>
          <w:szCs w:val="20"/>
          <w:b w:val="1"/>
          <w:bCs w:val="1"/>
          <w:color w:val="auto"/>
        </w:rPr>
        <w:t>Equipment</w:t>
      </w:r>
      <w:r>
        <w:rPr>
          <w:rFonts w:ascii="Calibri" w:cs="Calibri" w:eastAsia="Calibri" w:hAnsi="Calibri"/>
          <w:sz w:val="20"/>
          <w:szCs w:val="20"/>
          <w:color w:val="auto"/>
        </w:rPr>
        <w:t>), Secton 7.2.13(d)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Secton 7.2.13(e) (</w:t>
      </w:r>
      <w:r>
        <w:rPr>
          <w:rFonts w:ascii="Calibri" w:cs="Calibri" w:eastAsia="Calibri" w:hAnsi="Calibri"/>
          <w:sz w:val="20"/>
          <w:szCs w:val="20"/>
          <w:b w:val="1"/>
          <w:bCs w:val="1"/>
          <w:color w:val="auto"/>
        </w:rPr>
        <w:t>Davis-Bacon Act</w:t>
      </w:r>
      <w:r>
        <w:rPr>
          <w:rFonts w:ascii="Calibri" w:cs="Calibri" w:eastAsia="Calibri" w:hAnsi="Calibri"/>
          <w:sz w:val="20"/>
          <w:szCs w:val="20"/>
          <w:color w:val="auto"/>
        </w:rPr>
        <w:t>), Secton 7.2.13(f)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Secton 7.2.13(h) (</w:t>
      </w:r>
      <w:r>
        <w:rPr>
          <w:rFonts w:ascii="Calibri" w:cs="Calibri" w:eastAsia="Calibri" w:hAnsi="Calibri"/>
          <w:sz w:val="20"/>
          <w:szCs w:val="20"/>
          <w:b w:val="1"/>
          <w:bCs w:val="1"/>
          <w:color w:val="auto"/>
        </w:rPr>
        <w:t>Compliance with Whistleblower Protectons</w:t>
      </w:r>
      <w:r>
        <w:rPr>
          <w:rFonts w:ascii="Calibri" w:cs="Calibri" w:eastAsia="Calibri" w:hAnsi="Calibri"/>
          <w:sz w:val="20"/>
          <w:szCs w:val="20"/>
          <w:color w:val="auto"/>
        </w:rPr>
        <w:t>), Secton 7.2.14 (</w:t>
      </w:r>
      <w:r>
        <w:rPr>
          <w:rFonts w:ascii="Calibri" w:cs="Calibri" w:eastAsia="Calibri" w:hAnsi="Calibri"/>
          <w:sz w:val="20"/>
          <w:szCs w:val="20"/>
          <w:b w:val="1"/>
          <w:bCs w:val="1"/>
          <w:color w:val="auto"/>
        </w:rPr>
        <w:t>Code of Conduct; Confict of Interest</w:t>
      </w:r>
      <w:r>
        <w:rPr>
          <w:rFonts w:ascii="Calibri" w:cs="Calibri" w:eastAsia="Calibri" w:hAnsi="Calibri"/>
          <w:sz w:val="20"/>
          <w:szCs w:val="20"/>
          <w:color w:val="auto"/>
        </w:rPr>
        <w:t>), Secton 7.3.1 (</w:t>
      </w:r>
      <w:r>
        <w:rPr>
          <w:rFonts w:ascii="Calibri" w:cs="Calibri" w:eastAsia="Calibri" w:hAnsi="Calibri"/>
          <w:sz w:val="20"/>
          <w:szCs w:val="20"/>
          <w:b w:val="1"/>
          <w:bCs w:val="1"/>
          <w:color w:val="auto"/>
        </w:rPr>
        <w:t>Books, Records and Inspectons; Accountng and Auditng Maters</w:t>
      </w:r>
      <w:r>
        <w:rPr>
          <w:rFonts w:ascii="Calibri" w:cs="Calibri" w:eastAsia="Calibri" w:hAnsi="Calibri"/>
          <w:sz w:val="20"/>
          <w:szCs w:val="20"/>
          <w:color w:val="auto"/>
        </w:rPr>
        <w:t>), Secton 7.3.3 (</w:t>
      </w:r>
      <w:r>
        <w:rPr>
          <w:rFonts w:ascii="Calibri" w:cs="Calibri" w:eastAsia="Calibri" w:hAnsi="Calibri"/>
          <w:sz w:val="20"/>
          <w:szCs w:val="20"/>
          <w:b w:val="1"/>
          <w:bCs w:val="1"/>
          <w:color w:val="auto"/>
        </w:rPr>
        <w:t>SAM Registraton</w:t>
      </w:r>
      <w:r>
        <w:rPr>
          <w:rFonts w:ascii="Calibri" w:cs="Calibri" w:eastAsia="Calibri" w:hAnsi="Calibri"/>
          <w:sz w:val="20"/>
          <w:szCs w:val="20"/>
          <w:color w:val="auto"/>
        </w:rPr>
        <w:t>), Secton 7.3.4 (</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Secton 7.3.5 (</w:t>
      </w:r>
      <w:r>
        <w:rPr>
          <w:rFonts w:ascii="Calibri" w:cs="Calibri" w:eastAsia="Calibri" w:hAnsi="Calibri"/>
          <w:sz w:val="20"/>
          <w:szCs w:val="20"/>
          <w:b w:val="1"/>
          <w:bCs w:val="1"/>
          <w:color w:val="auto"/>
        </w:rPr>
        <w:t>Close Out Procedure</w:t>
      </w:r>
      <w:r>
        <w:rPr>
          <w:rFonts w:ascii="Calibri" w:cs="Calibri" w:eastAsia="Calibri" w:hAnsi="Calibri"/>
          <w:sz w:val="20"/>
          <w:szCs w:val="20"/>
          <w:color w:val="auto"/>
        </w:rPr>
        <w:t>), Secton 8.1.2 (</w:t>
      </w:r>
      <w:r>
        <w:rPr>
          <w:rFonts w:ascii="Calibri" w:cs="Calibri" w:eastAsia="Calibri" w:hAnsi="Calibri"/>
          <w:sz w:val="20"/>
          <w:szCs w:val="20"/>
          <w:b w:val="1"/>
          <w:bCs w:val="1"/>
          <w:color w:val="auto"/>
        </w:rPr>
        <w:t>Debarment Regulatons</w:t>
      </w:r>
      <w:r>
        <w:rPr>
          <w:rFonts w:ascii="Calibri" w:cs="Calibri" w:eastAsia="Calibri" w:hAnsi="Calibri"/>
          <w:sz w:val="20"/>
          <w:szCs w:val="20"/>
          <w:color w:val="auto"/>
        </w:rPr>
        <w:t>), Secton 8.1.3 (</w:t>
      </w:r>
      <w:r>
        <w:rPr>
          <w:rFonts w:ascii="Calibri" w:cs="Calibri" w:eastAsia="Calibri" w:hAnsi="Calibri"/>
          <w:sz w:val="20"/>
          <w:szCs w:val="20"/>
          <w:b w:val="1"/>
          <w:bCs w:val="1"/>
          <w:color w:val="auto"/>
        </w:rPr>
        <w:t>No Afliate Transactons</w:t>
      </w:r>
      <w:r>
        <w:rPr>
          <w:rFonts w:ascii="Calibri" w:cs="Calibri" w:eastAsia="Calibri" w:hAnsi="Calibri"/>
          <w:sz w:val="20"/>
          <w:szCs w:val="20"/>
          <w:color w:val="auto"/>
        </w:rPr>
        <w:t>), Secton 8.1.4 (</w:t>
      </w:r>
      <w:r>
        <w:rPr>
          <w:rFonts w:ascii="Calibri" w:cs="Calibri" w:eastAsia="Calibri" w:hAnsi="Calibri"/>
          <w:sz w:val="20"/>
          <w:szCs w:val="20"/>
          <w:b w:val="1"/>
          <w:bCs w:val="1"/>
          <w:color w:val="auto"/>
        </w:rPr>
        <w:t>Subsidiaries; Partnerships</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8.1.5 (</w:t>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 Secton 8.1.7 (</w:t>
      </w:r>
      <w:r>
        <w:rPr>
          <w:rFonts w:ascii="Calibri" w:cs="Calibri" w:eastAsia="Calibri" w:hAnsi="Calibri"/>
          <w:sz w:val="20"/>
          <w:szCs w:val="20"/>
          <w:b w:val="1"/>
          <w:bCs w:val="1"/>
          <w:color w:val="auto"/>
        </w:rPr>
        <w:t>Telecommunicaton and Video Surveillance</w:t>
      </w:r>
      <w:r>
        <w:rPr>
          <w:rFonts w:ascii="Calibri" w:cs="Calibri" w:eastAsia="Calibri" w:hAnsi="Calibri"/>
          <w:sz w:val="20"/>
          <w:szCs w:val="20"/>
          <w:color w:val="auto"/>
        </w:rPr>
        <w:t>), Secton</w:t>
      </w:r>
    </w:p>
    <w:p>
      <w:pPr>
        <w:spacing w:after="0" w:line="3" w:lineRule="exact"/>
        <w:rPr>
          <w:sz w:val="20"/>
          <w:szCs w:val="20"/>
          <w:color w:val="auto"/>
        </w:rPr>
      </w:pPr>
    </w:p>
    <w:p>
      <w:pPr>
        <w:jc w:val="both"/>
        <w:spacing w:after="0" w:line="195" w:lineRule="auto"/>
        <w:rPr>
          <w:sz w:val="20"/>
          <w:szCs w:val="20"/>
          <w:color w:val="auto"/>
        </w:rPr>
      </w:pPr>
      <w:r>
        <w:rPr>
          <w:rFonts w:ascii="Calibri" w:cs="Calibri" w:eastAsia="Calibri" w:hAnsi="Calibri"/>
          <w:sz w:val="20"/>
          <w:szCs w:val="20"/>
          <w:color w:val="auto"/>
        </w:rPr>
        <w:t>8.1.8 (</w:t>
      </w:r>
      <w:r>
        <w:rPr>
          <w:rFonts w:ascii="Calibri" w:cs="Calibri" w:eastAsia="Calibri" w:hAnsi="Calibri"/>
          <w:sz w:val="20"/>
          <w:szCs w:val="20"/>
          <w:b w:val="1"/>
          <w:bCs w:val="1"/>
          <w:color w:val="auto"/>
        </w:rPr>
        <w:t>No Subawards</w:t>
      </w:r>
      <w:r>
        <w:rPr>
          <w:rFonts w:ascii="Calibri" w:cs="Calibri" w:eastAsia="Calibri" w:hAnsi="Calibri"/>
          <w:sz w:val="20"/>
          <w:szCs w:val="20"/>
          <w:color w:val="auto"/>
        </w:rPr>
        <w:t>), Secton 8.2.1 (</w:t>
      </w:r>
      <w:r>
        <w:rPr>
          <w:rFonts w:ascii="Calibri" w:cs="Calibri" w:eastAsia="Calibri" w:hAnsi="Calibri"/>
          <w:sz w:val="20"/>
          <w:szCs w:val="20"/>
          <w:b w:val="1"/>
          <w:bCs w:val="1"/>
          <w:color w:val="auto"/>
        </w:rPr>
        <w:t>Accountng Policies; Corporate Form</w:t>
      </w:r>
      <w:r>
        <w:rPr>
          <w:rFonts w:ascii="Calibri" w:cs="Calibri" w:eastAsia="Calibri" w:hAnsi="Calibri"/>
          <w:sz w:val="20"/>
          <w:szCs w:val="20"/>
          <w:color w:val="auto"/>
        </w:rPr>
        <w:t>) and Sectons 2.2 (Workforce) and 3.5.4 (Community Investments)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in additon to any other remedy to which the Department may be enttled (other than the Department’s remedy set out under Secton 9.2(h) (</w:t>
      </w:r>
      <w:r>
        <w:rPr>
          <w:rFonts w:ascii="Calibri" w:cs="Calibri" w:eastAsia="Calibri" w:hAnsi="Calibri"/>
          <w:sz w:val="20"/>
          <w:szCs w:val="20"/>
          <w:b w:val="1"/>
          <w:bCs w:val="1"/>
          <w:color w:val="auto"/>
        </w:rPr>
        <w:t>Remedies for Events of Default</w:t>
      </w:r>
      <w:r>
        <w:rPr>
          <w:rFonts w:ascii="Calibri" w:cs="Calibri" w:eastAsia="Calibri" w:hAnsi="Calibri"/>
          <w:sz w:val="20"/>
          <w:szCs w:val="20"/>
          <w:color w:val="auto"/>
        </w:rPr>
        <w:t>)) at law or in equity and the Recipient agrees that it shall not oppose the grantng of an injuncton, specifc performance and/or other equitable relief on the basis that the Department has an adequate remedy at law or that any award of an injuncton, specifc performance and/or other equitable relief is not an appropriate remedy for any reason at law or in equity; provided, however that, for the avoidance of doubt, the Department shall be not enttled to any injuncton, specifc performance and/or other equitable relief with respect to (a) Secton 7.2.7 (</w:t>
      </w:r>
      <w:r>
        <w:rPr>
          <w:rFonts w:ascii="Calibri" w:cs="Calibri" w:eastAsia="Calibri" w:hAnsi="Calibri"/>
          <w:sz w:val="20"/>
          <w:szCs w:val="20"/>
          <w:b w:val="1"/>
          <w:bCs w:val="1"/>
          <w:color w:val="auto"/>
        </w:rPr>
        <w:t>Diligent Executon of</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Project</w:t>
      </w:r>
      <w:r>
        <w:rPr>
          <w:rFonts w:ascii="Calibri" w:cs="Calibri" w:eastAsia="Calibri" w:hAnsi="Calibri"/>
          <w:sz w:val="20"/>
          <w:szCs w:val="20"/>
          <w:color w:val="auto"/>
        </w:rPr>
        <w:t>) or Secton 7.2.2 (</w:t>
      </w:r>
      <w:r>
        <w:rPr>
          <w:rFonts w:ascii="Calibri" w:cs="Calibri" w:eastAsia="Calibri" w:hAnsi="Calibri"/>
          <w:sz w:val="20"/>
          <w:szCs w:val="20"/>
          <w:b w:val="1"/>
          <w:bCs w:val="1"/>
          <w:color w:val="auto"/>
        </w:rPr>
        <w:t>Operatons</w:t>
      </w:r>
      <w:r>
        <w:rPr>
          <w:rFonts w:ascii="Calibri" w:cs="Calibri" w:eastAsia="Calibri" w:hAnsi="Calibri"/>
          <w:sz w:val="20"/>
          <w:szCs w:val="20"/>
          <w:color w:val="auto"/>
        </w:rPr>
        <w:t>) or any implied contractual obligaton to achieve the Project Completon Date for the Project, (b)</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3.1.2 (</w:t>
      </w:r>
      <w:r>
        <w:rPr>
          <w:rFonts w:ascii="Calibri" w:cs="Calibri" w:eastAsia="Calibri" w:hAnsi="Calibri"/>
          <w:sz w:val="20"/>
          <w:szCs w:val="20"/>
          <w:b w:val="1"/>
          <w:bCs w:val="1"/>
          <w:color w:val="auto"/>
        </w:rPr>
        <w:t>Producton</w:t>
      </w:r>
      <w:r>
        <w:rPr>
          <w:rFonts w:ascii="Calibri" w:cs="Calibri" w:eastAsia="Calibri" w:hAnsi="Calibri"/>
          <w:sz w:val="20"/>
          <w:szCs w:val="20"/>
          <w:color w:val="auto"/>
        </w:rPr>
        <w:t>) and Secton 3.5.4 (</w:t>
      </w:r>
      <w:r>
        <w:rPr>
          <w:rFonts w:ascii="Calibri" w:cs="Calibri" w:eastAsia="Calibri" w:hAnsi="Calibri"/>
          <w:sz w:val="20"/>
          <w:szCs w:val="20"/>
          <w:b w:val="1"/>
          <w:bCs w:val="1"/>
          <w:color w:val="auto"/>
        </w:rPr>
        <w:t>Community Investments</w:t>
      </w:r>
      <w:r>
        <w:rPr>
          <w:rFonts w:ascii="Calibri" w:cs="Calibri" w:eastAsia="Calibri" w:hAnsi="Calibri"/>
          <w:sz w:val="20"/>
          <w:szCs w:val="20"/>
          <w:color w:val="auto"/>
        </w:rPr>
        <w:t>) of Annex D (Program Requirements), (c) if the Project Commencement Date in respect of the Project has not occurred, or if the Project has been Abandoned, (d) if the Project Completon Date for the Project has not occurred, or (e) the Department Obligatons have been paid in full. In seeking (a) an injuncton or injunctons to prevent breaches of this Agreement or any other Financing Document; (b) to enforce specifcally the terms and provisions of this Agreement or any other Financing Document; and/or (c) other equitable relief, the Department shall not be required to show proof of actual damages or to provide any bond or other security in connecton with any such remedy.</w:t>
      </w:r>
    </w:p>
    <w:p>
      <w:pPr>
        <w:sectPr>
          <w:pgSz w:w="11900" w:h="16838" w:orient="portrait"/>
          <w:cols w:equalWidth="0" w:num="1">
            <w:col w:w="11240"/>
          </w:cols>
          <w:pgMar w:left="320" w:top="1411" w:right="339" w:bottom="1440" w:gutter="0" w:footer="0" w:header="0"/>
        </w:sectPr>
      </w:pPr>
    </w:p>
    <w:p>
      <w:pPr>
        <w:spacing w:after="0" w:line="16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Secton 9.5</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[Reserved]</w:t>
      </w:r>
    </w:p>
    <w:p>
      <w:pPr>
        <w:spacing w:after="0" w:line="174" w:lineRule="exact"/>
        <w:rPr>
          <w:sz w:val="20"/>
          <w:szCs w:val="20"/>
          <w:color w:val="auto"/>
        </w:rPr>
      </w:pPr>
    </w:p>
    <w:p>
      <w:pPr>
        <w:sectPr>
          <w:pgSz w:w="11900" w:h="16838" w:orient="portrait"/>
          <w:cols w:equalWidth="0" w:num="2">
            <w:col w:w="1560" w:space="400"/>
            <w:col w:w="9280"/>
          </w:cols>
          <w:pgMar w:left="320" w:top="1411"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Secton 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b w:val="1"/>
          <w:bCs w:val="1"/>
          <w:color w:val="auto"/>
        </w:rPr>
        <w:t>Department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The Partes agree that each determinaton by the Department of any amount or fees</w:t>
      </w:r>
    </w:p>
    <w:p>
      <w:pPr>
        <w:spacing w:after="0" w:line="1" w:lineRule="exact"/>
        <w:rPr>
          <w:sz w:val="20"/>
          <w:szCs w:val="20"/>
          <w:color w:val="auto"/>
        </w:rPr>
      </w:pPr>
    </w:p>
    <w:p>
      <w:pPr>
        <w:sectPr>
          <w:pgSz w:w="11900" w:h="16838" w:orient="portrait"/>
          <w:cols w:equalWidth="0" w:num="3">
            <w:col w:w="1600" w:space="400"/>
            <w:col w:w="1680" w:space="100"/>
            <w:col w:w="7460"/>
          </w:cols>
          <w:pgMar w:left="320" w:top="1411" w:right="339" w:bottom="1440" w:gutter="0" w:footer="0" w:header="0"/>
          <w:type w:val="continuous"/>
        </w:sectPr>
      </w:pPr>
    </w:p>
    <w:p>
      <w:pPr>
        <w:spacing w:after="0" w:line="199" w:lineRule="auto"/>
        <w:rPr>
          <w:sz w:val="20"/>
          <w:szCs w:val="20"/>
          <w:color w:val="auto"/>
        </w:rPr>
      </w:pPr>
      <w:r>
        <w:rPr>
          <w:rFonts w:ascii="Calibri" w:cs="Calibri" w:eastAsia="Calibri" w:hAnsi="Calibri"/>
          <w:sz w:val="20"/>
          <w:szCs w:val="20"/>
          <w:color w:val="auto"/>
        </w:rPr>
        <w:t>payable hereunder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ectPr>
          <w:pgSz w:w="11900" w:h="16838" w:orient="portrait"/>
          <w:cols w:equalWidth="0" w:num="1">
            <w:col w:w="11240"/>
          </w:cols>
          <w:pgMar w:left="320" w:top="1411" w:right="339" w:bottom="1440" w:gutter="0" w:footer="0" w:header="0"/>
          <w:type w:val="continuous"/>
        </w:sectPr>
      </w:pPr>
    </w:p>
    <w:bookmarkStart w:id="373" w:name="page374"/>
    <w:bookmarkEnd w:id="373"/>
    <w:p>
      <w:pPr>
        <w:ind w:left="4980"/>
        <w:spacing w:after="0"/>
        <w:rPr>
          <w:sz w:val="20"/>
          <w:szCs w:val="20"/>
          <w:color w:val="auto"/>
        </w:rPr>
      </w:pPr>
      <w:r>
        <w:rPr>
          <w:rFonts w:ascii="Calibri" w:cs="Calibri" w:eastAsia="Calibri" w:hAnsi="Calibri"/>
          <w:sz w:val="20"/>
          <w:szCs w:val="20"/>
          <w:b w:val="1"/>
          <w:bCs w:val="1"/>
          <w:color w:val="auto"/>
        </w:rPr>
        <w:t>Artcle 10</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84"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0"/>
          <w:szCs w:val="20"/>
          <w:color w:val="auto"/>
        </w:rPr>
        <w:t xml:space="preserve">Secton 10.1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xml:space="preserve"> Except as otherwise set forth in Secton 10.2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 any communicatons, including any notces, between or among the partes to the Financing Documents shall be provided using the addresses listed in Schedule G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xml:space="preserve">). All notces or other communicatons required or permited to be given under the Financing Documents shall be in writng and shall be considered as properly given: (a) if delivered in person; (b) if sent by overnight delivery service for domestc delivery or internatonal courier for internatonal delivery; (c) in the event that overnight delivery service or internatonal courier service is not readily available, if mailed by frst class mail (or airmail for internatonal delivery), postage prepaid, registered or certfed with return receipt requested; (d) if sent by facsimile or telecopy with transmission verifed; or (e) if transmited by electronic mail, to the electronic mail address set forth in Schedule G (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Notce so given shall be efectve upon delivery to the addressee, except that communicaton or notce so transmited by facsimile or telecopy or other direct writen electronic means shall be deemed to have been validly and efectvely given on the day (if a Business Day and, if not, on the following Business Day) on which it is validly transmited if transmited before 5:00 p.m., Recipient’s tme, and if transmited afer that tme, on the next following Business Day. Any Party has the right to change its address for notce under any of the Financing Documents to any other locaton by giving prior writen notce to each of the other Partes in the manner set forth hereinabove.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10.2</w:t>
      </w:r>
      <w:r>
        <w:rPr>
          <w:sz w:val="20"/>
          <w:szCs w:val="20"/>
          <w:color w:val="auto"/>
        </w:rPr>
        <w:tab/>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71" w:lineRule="exact"/>
        <w:rPr>
          <w:sz w:val="20"/>
          <w:szCs w:val="20"/>
          <w:color w:val="auto"/>
        </w:rPr>
      </w:pPr>
    </w:p>
    <w:p>
      <w:pPr>
        <w:jc w:val="both"/>
        <w:ind w:firstLine="1952"/>
        <w:spacing w:after="0" w:line="215" w:lineRule="auto"/>
        <w:tabs>
          <w:tab w:leader="none" w:pos="2596" w:val="left"/>
        </w:tabs>
        <w:numPr>
          <w:ilvl w:val="0"/>
          <w:numId w:val="394"/>
        </w:numPr>
        <w:rPr>
          <w:rFonts w:ascii="Calibri" w:cs="Calibri" w:eastAsia="Calibri" w:hAnsi="Calibri"/>
          <w:sz w:val="20"/>
          <w:szCs w:val="20"/>
          <w:color w:val="auto"/>
        </w:rPr>
      </w:pPr>
      <w:r>
        <w:rPr>
          <w:rFonts w:ascii="Calibri" w:cs="Calibri" w:eastAsia="Calibri" w:hAnsi="Calibri"/>
          <w:sz w:val="20"/>
          <w:szCs w:val="20"/>
          <w:color w:val="auto"/>
        </w:rPr>
        <w:t>The Recipient hereby agrees that it shall provide to the Department all informaton, documents and other materials that it is obligated to furnish to the Department pursuant to the Financing Documents, including, inter alia, all notces, requests, fnancial statements, fnancial and other reports, certfcates and other informaton materials, but excluding (i) any such communicaton that relates to service of process; (ii) any notce, certfcate or other document required under the terms of the relevant Financing Document to be sent in a specifc format or via a specifc method; or (iii) any notfcatons, certfcatons or additonal informaton submited pursuant to the Guardrail Provisions (all such non-excluded communicatons being referred to herein collectvely as “Communicatons”), by postng the Communicatons, in an electronic/sof medium in a format acceptable to the Department and using procedures acceptable to the Department, on Salesforce or a substantally similar electronic transmission system used by the Department and which is notfed in writng to the Recipient (the “Platorm”). In additon, the Recipient agrees to contnue to provide the Communicatons to the Department in any other manner specifed in the Financing Documents, but only to the extent requested by the Department. If, at any point, the Platorm is not available, the Recipient shall provide Communicatons to the Department pursuant to Secton 10.1 (Addresses).</w:t>
      </w:r>
    </w:p>
    <w:p>
      <w:pPr>
        <w:spacing w:after="0" w:line="186"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94"/>
        </w:numPr>
        <w:rPr>
          <w:rFonts w:ascii="Calibri" w:cs="Calibri" w:eastAsia="Calibri" w:hAnsi="Calibri"/>
          <w:sz w:val="20"/>
          <w:szCs w:val="20"/>
          <w:color w:val="auto"/>
        </w:rPr>
      </w:pPr>
      <w:r>
        <w:rPr>
          <w:rFonts w:ascii="Calibri" w:cs="Calibri" w:eastAsia="Calibri" w:hAnsi="Calibri"/>
          <w:sz w:val="20"/>
          <w:szCs w:val="20"/>
          <w:color w:val="auto"/>
        </w:rPr>
        <w:t>The Department may, but is not obligated to, furnish all notces, requests, demands, informaton or other communicaton (other than service of process) to the Recipient under the Financing Documents by postng them on the Platorm. Nothing herein shall prejudice the right of the Department to give any notce, request, demand, informaton or other communicaton pursuant to any Award Document in any other manner specifed in such Award Document.</w:t>
      </w:r>
    </w:p>
    <w:p>
      <w:pPr>
        <w:spacing w:after="0" w:line="186" w:lineRule="exact"/>
        <w:rPr>
          <w:rFonts w:ascii="Calibri" w:cs="Calibri" w:eastAsia="Calibri" w:hAnsi="Calibri"/>
          <w:sz w:val="20"/>
          <w:szCs w:val="20"/>
          <w:color w:val="auto"/>
        </w:rPr>
      </w:pPr>
    </w:p>
    <w:p>
      <w:pPr>
        <w:ind w:right="20" w:firstLine="1952"/>
        <w:spacing w:after="0" w:line="208" w:lineRule="auto"/>
        <w:tabs>
          <w:tab w:leader="none" w:pos="2584" w:val="left"/>
        </w:tabs>
        <w:numPr>
          <w:ilvl w:val="0"/>
          <w:numId w:val="394"/>
        </w:numPr>
        <w:rPr>
          <w:rFonts w:ascii="Calibri" w:cs="Calibri" w:eastAsia="Calibri" w:hAnsi="Calibri"/>
          <w:sz w:val="20"/>
          <w:szCs w:val="20"/>
          <w:color w:val="auto"/>
        </w:rPr>
      </w:pPr>
      <w:r>
        <w:rPr>
          <w:rFonts w:ascii="Calibri" w:cs="Calibri" w:eastAsia="Calibri" w:hAnsi="Calibri"/>
          <w:sz w:val="20"/>
          <w:szCs w:val="20"/>
          <w:color w:val="auto"/>
        </w:rPr>
        <w:t>Any communicaton or document as specifed in paragraph (a) or (b) above made or delivered by one Party to another shall be efectve only when actually made available in readable form on the Platorm.</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394"/>
        </w:numPr>
        <w:rPr>
          <w:rFonts w:ascii="Calibri" w:cs="Calibri" w:eastAsia="Calibri" w:hAnsi="Calibri"/>
          <w:sz w:val="20"/>
          <w:szCs w:val="20"/>
          <w:color w:val="auto"/>
        </w:rPr>
      </w:pPr>
      <w:r>
        <w:rPr>
          <w:rFonts w:ascii="Calibri" w:cs="Calibri" w:eastAsia="Calibri" w:hAnsi="Calibri"/>
          <w:sz w:val="20"/>
          <w:szCs w:val="20"/>
          <w:color w:val="auto"/>
        </w:rPr>
        <w:t>Any communicaton or document which becomes efectve, in accordance with paragraph (c) above, afer</w:t>
      </w:r>
    </w:p>
    <w:p>
      <w:pPr>
        <w:spacing w:after="0" w:line="192" w:lineRule="auto"/>
        <w:rPr>
          <w:rFonts w:ascii="Calibri" w:cs="Calibri" w:eastAsia="Calibri" w:hAnsi="Calibri"/>
          <w:sz w:val="20"/>
          <w:szCs w:val="20"/>
          <w:color w:val="auto"/>
        </w:rPr>
      </w:pPr>
      <w:r>
        <w:rPr>
          <w:rFonts w:ascii="Calibri" w:cs="Calibri" w:eastAsia="Calibri" w:hAnsi="Calibri"/>
          <w:sz w:val="20"/>
          <w:szCs w:val="20"/>
          <w:color w:val="auto"/>
        </w:rPr>
        <w:t>5:00 p.m. in the place in which the party to whom the relevant communicaton or document is made available has its address for the purpose of this Agreement shall be deemed only to become efectve on the following day.</w:t>
      </w:r>
    </w:p>
    <w:p>
      <w:pPr>
        <w:spacing w:after="0" w:line="185"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10.3 </w:t>
      </w:r>
      <w:r>
        <w:rPr>
          <w:rFonts w:ascii="Calibri" w:cs="Calibri" w:eastAsia="Calibri" w:hAnsi="Calibri"/>
          <w:sz w:val="20"/>
          <w:szCs w:val="20"/>
          <w:b w:val="1"/>
          <w:bCs w:val="1"/>
          <w:color w:val="auto"/>
        </w:rPr>
        <w:t>Further Assurances.</w:t>
      </w:r>
      <w:r>
        <w:rPr>
          <w:rFonts w:ascii="Calibri" w:cs="Calibri" w:eastAsia="Calibri" w:hAnsi="Calibri"/>
          <w:sz w:val="20"/>
          <w:szCs w:val="20"/>
          <w:color w:val="auto"/>
        </w:rPr>
        <w:t xml:space="preserve"> The Recipient shall execute and deliver to the Department such additonal documents and take such additonal actons as the Department may require to carry out the purposes of the Financing Documents or that the Department may reasonably request in writng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34</w:t>
      </w:r>
    </w:p>
    <w:p>
      <w:pPr>
        <w:sectPr>
          <w:pgSz w:w="11900" w:h="16838" w:orient="portrait"/>
          <w:cols w:equalWidth="0" w:num="1">
            <w:col w:w="11240"/>
          </w:cols>
          <w:pgMar w:left="320" w:top="1374" w:right="339" w:bottom="1440" w:gutter="0" w:footer="0" w:header="0"/>
        </w:sectPr>
      </w:pPr>
    </w:p>
    <w:bookmarkStart w:id="374" w:name="page375"/>
    <w:bookmarkEnd w:id="374"/>
    <w:p>
      <w:pPr>
        <w:jc w:val="both"/>
        <w:ind w:firstLine="8"/>
        <w:spacing w:after="0" w:line="205" w:lineRule="auto"/>
        <w:tabs>
          <w:tab w:leader="none" w:pos="287" w:val="left"/>
        </w:tabs>
        <w:numPr>
          <w:ilvl w:val="0"/>
          <w:numId w:val="395"/>
        </w:numPr>
        <w:rPr>
          <w:rFonts w:ascii="Calibri" w:cs="Calibri" w:eastAsia="Calibri" w:hAnsi="Calibri"/>
          <w:sz w:val="20"/>
          <w:szCs w:val="20"/>
          <w:color w:val="auto"/>
        </w:rPr>
      </w:pPr>
      <w:r>
        <w:rPr>
          <w:rFonts w:ascii="Calibri" w:cs="Calibri" w:eastAsia="Calibri" w:hAnsi="Calibri"/>
          <w:sz w:val="20"/>
          <w:szCs w:val="20"/>
          <w:color w:val="auto"/>
        </w:rPr>
        <w:t>cause the Financing Documents to be properly executed, binding and enforceable in all relevant jurisdictons; and (b) enable the Department to preserve, protect, exercise and enforce all other rights, remedies, or interests granted or purported to be granted under the Financing Documents.</w:t>
      </w:r>
    </w:p>
    <w:p>
      <w:pPr>
        <w:spacing w:after="0" w:line="184"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10.4 </w:t>
      </w:r>
      <w:r>
        <w:rPr>
          <w:rFonts w:ascii="Calibri" w:cs="Calibri" w:eastAsia="Calibri" w:hAnsi="Calibri"/>
          <w:sz w:val="20"/>
          <w:szCs w:val="20"/>
          <w:b w:val="1"/>
          <w:bCs w:val="1"/>
          <w:color w:val="auto"/>
        </w:rPr>
        <w:t>Non-Discriminaton.</w:t>
      </w:r>
      <w:r>
        <w:rPr>
          <w:rFonts w:ascii="Calibri" w:cs="Calibri" w:eastAsia="Calibri" w:hAnsi="Calibri"/>
          <w:sz w:val="20"/>
          <w:szCs w:val="20"/>
          <w:color w:val="auto"/>
        </w:rPr>
        <w:t xml:space="preserve"> No person in the United States may, on the ground of race, color, natonal origin, handicap, age, religion, or sex, be excluded from partcipaton in, be denied the benefts of, or be subject to discriminaton under, this Agreement.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10.5</w:t>
      </w:r>
      <w:r>
        <w:rPr>
          <w:sz w:val="20"/>
          <w:szCs w:val="20"/>
          <w:color w:val="auto"/>
        </w:rPr>
        <w:tab/>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w:t>
      </w:r>
    </w:p>
    <w:p>
      <w:pPr>
        <w:spacing w:after="0" w:line="184" w:lineRule="exact"/>
        <w:rPr>
          <w:sz w:val="20"/>
          <w:szCs w:val="20"/>
          <w:color w:val="auto"/>
        </w:rPr>
      </w:pPr>
    </w:p>
    <w:p>
      <w:pPr>
        <w:jc w:val="both"/>
        <w:ind w:firstLine="1952"/>
        <w:spacing w:after="0" w:line="205" w:lineRule="auto"/>
        <w:tabs>
          <w:tab w:leader="none" w:pos="2596" w:val="left"/>
        </w:tabs>
        <w:numPr>
          <w:ilvl w:val="0"/>
          <w:numId w:val="396"/>
        </w:numPr>
        <w:rPr>
          <w:rFonts w:ascii="Calibri" w:cs="Calibri" w:eastAsia="Calibri" w:hAnsi="Calibri"/>
          <w:sz w:val="20"/>
          <w:szCs w:val="20"/>
          <w:color w:val="auto"/>
        </w:rPr>
      </w:pPr>
      <w:r>
        <w:rPr>
          <w:rFonts w:ascii="Calibri" w:cs="Calibri" w:eastAsia="Calibri" w:hAnsi="Calibri"/>
          <w:sz w:val="20"/>
          <w:szCs w:val="20"/>
          <w:color w:val="auto"/>
        </w:rPr>
        <w:t>No failure or delay by the Department in exercising any right, power or remedy shall operate as a waiver thereof or otherwise impair any rights, powers, or remedies of the Department. No single or partal exercise of any such right, power, or remedy shall preclude any other or further exercise thereof or the exercise of any other legal right, power, or remedy.</w:t>
      </w:r>
    </w:p>
    <w:p>
      <w:pPr>
        <w:spacing w:after="0" w:line="184"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396"/>
        </w:numPr>
        <w:rPr>
          <w:rFonts w:ascii="Calibri" w:cs="Calibri" w:eastAsia="Calibri" w:hAnsi="Calibri"/>
          <w:sz w:val="20"/>
          <w:szCs w:val="20"/>
          <w:color w:val="auto"/>
        </w:rPr>
      </w:pPr>
      <w:r>
        <w:rPr>
          <w:rFonts w:ascii="Calibri" w:cs="Calibri" w:eastAsia="Calibri" w:hAnsi="Calibri"/>
          <w:sz w:val="20"/>
          <w:szCs w:val="20"/>
          <w:color w:val="auto"/>
        </w:rPr>
        <w:t>The rights, powers or remedies provided for herein are, to the extent permited by Applicable Law, cumulatve and are not exclusive of any other rights, powers or remedies provided by law or in any other Financing Document. The asserton or employment of any right, power or remedy hereunder, or otherwise, shall not prevent the concurrent asserton of any other right, power or remedy.</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396"/>
        </w:numPr>
        <w:rPr>
          <w:rFonts w:ascii="Calibri" w:cs="Calibri" w:eastAsia="Calibri" w:hAnsi="Calibri"/>
          <w:sz w:val="20"/>
          <w:szCs w:val="20"/>
          <w:color w:val="auto"/>
        </w:rPr>
      </w:pPr>
      <w:r>
        <w:rPr>
          <w:rFonts w:ascii="Calibri" w:cs="Calibri" w:eastAsia="Calibri" w:hAnsi="Calibri"/>
          <w:sz w:val="20"/>
          <w:szCs w:val="20"/>
          <w:color w:val="auto"/>
        </w:rPr>
        <w:t>Except as otherwise expressly provided herein, neither this Agreement nor any provision hereof may be amended, waived, discharged, or terminated unless such amendment, waiver, discharge, or terminaton is in writng and executed by the Recipient and the Department.</w:t>
      </w:r>
    </w:p>
    <w:p>
      <w:pPr>
        <w:spacing w:after="0" w:line="184"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396"/>
        </w:numPr>
        <w:rPr>
          <w:rFonts w:ascii="Calibri" w:cs="Calibri" w:eastAsia="Calibri" w:hAnsi="Calibri"/>
          <w:sz w:val="20"/>
          <w:szCs w:val="20"/>
          <w:color w:val="auto"/>
        </w:rPr>
      </w:pPr>
      <w:r>
        <w:rPr>
          <w:rFonts w:ascii="Calibri" w:cs="Calibri" w:eastAsia="Calibri" w:hAnsi="Calibri"/>
          <w:sz w:val="20"/>
          <w:szCs w:val="20"/>
          <w:color w:val="auto"/>
        </w:rPr>
        <w:t>Any waiver or amendment of the Project Completon Clawback Date shall be subject to the waiver and congressional notfcaton provisions set forth in 15 U.S.C. § 4652(a)(5)(D).</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10.6 </w:t>
      </w:r>
      <w:r>
        <w:rPr>
          <w:rFonts w:ascii="Calibri" w:cs="Calibri" w:eastAsia="Calibri" w:hAnsi="Calibri"/>
          <w:sz w:val="20"/>
          <w:szCs w:val="20"/>
          <w:b w:val="1"/>
          <w:bCs w:val="1"/>
          <w:color w:val="auto"/>
        </w:rPr>
        <w:t>Entre Agreement.</w:t>
      </w:r>
      <w:r>
        <w:rPr>
          <w:rFonts w:ascii="Calibri" w:cs="Calibri" w:eastAsia="Calibri" w:hAnsi="Calibri"/>
          <w:sz w:val="20"/>
          <w:szCs w:val="20"/>
          <w:color w:val="auto"/>
        </w:rPr>
        <w:t xml:space="preserve"> This Agreement, including any agreement, document, or instrument atached to this Agreement or referred to herein, integrates all the terms and conditons mentoned herein or incidental to this Agreement and supersedes all prior drafs, discussions, term sheets, commitments, negotatons, agreements, and understandings, oral or writen, of the Partes in respect to the subject mater of this Agreement.</w:t>
      </w:r>
    </w:p>
    <w:p>
      <w:pPr>
        <w:spacing w:after="0" w:line="173"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10.7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xml:space="preserve"> This Agreement and the rights and obligatons of the Partes hereunder shall be governed by, and construed and interpreted in accordance with, the federal law of the United States. To the extent that federal law does not specify the appropriate rule of decision for a partcular mater at issue, it is the intenton and agreement of the Partes that the law of the State of New York (without giving efect to its confict of laws principles (except Secton 5-1401 of the New York General Obligatons Law)) shall be adopted as the governing federal rule of decision.</w:t>
      </w:r>
    </w:p>
    <w:p>
      <w:pPr>
        <w:spacing w:after="0" w:line="188"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 xml:space="preserve">Secton 10.8 </w:t>
      </w:r>
      <w:r>
        <w:rPr>
          <w:rFonts w:ascii="Calibri" w:cs="Calibri" w:eastAsia="Calibri" w:hAnsi="Calibri"/>
          <w:sz w:val="20"/>
          <w:szCs w:val="20"/>
          <w:b w:val="1"/>
          <w:bCs w:val="1"/>
          <w:color w:val="auto"/>
        </w:rPr>
        <w:t>Severability.</w:t>
      </w:r>
      <w:r>
        <w:rPr>
          <w:rFonts w:ascii="Calibri" w:cs="Calibri" w:eastAsia="Calibri" w:hAnsi="Calibri"/>
          <w:sz w:val="20"/>
          <w:szCs w:val="20"/>
          <w:color w:val="auto"/>
        </w:rPr>
        <w:t xml:space="preserve"> In case any one or more of the provisions contained in any Financing Document should be illegal, invalid, or unenforceable in any respect, the validity, legality and enforceability of the remaining provisions shall not in any way be afected or impaired thereby, and the Partes hereto shall engage the partes to the Financing Documents to enter into good faith negotatons to replace the illegal, invalid, or unenforceable provision with a provision as similar in its terms and purpose to such illegal, invalid, or unenforceable provision as may be possible and be legal, valid and enforceable.</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10.9 </w:t>
      </w:r>
      <w:r>
        <w:rPr>
          <w:rFonts w:ascii="Calibri" w:cs="Calibri" w:eastAsia="Calibri" w:hAnsi="Calibri"/>
          <w:sz w:val="20"/>
          <w:szCs w:val="20"/>
          <w:b w:val="1"/>
          <w:bCs w:val="1"/>
          <w:color w:val="auto"/>
        </w:rPr>
        <w:t>Limitaton on Liability.</w:t>
      </w:r>
      <w:r>
        <w:rPr>
          <w:rFonts w:ascii="Calibri" w:cs="Calibri" w:eastAsia="Calibri" w:hAnsi="Calibri"/>
          <w:sz w:val="20"/>
          <w:szCs w:val="20"/>
          <w:color w:val="auto"/>
        </w:rPr>
        <w:t xml:space="preserve"> No claim shall be made by any Recipient Party against the Department or any of its Afliates, directors, employees, atorneys, or agents, including the Consultants, for any special, indirect, consequental, or punitve damages (whether or not the claim therefor is based on contract, tort or duty imposed by law), in connecton with, arising out of or in any way related to the transactons contemplated by this Agreement or the other Financing Documents or any act or omission or event occurring in connecton therewith; and the Recipient hereby waives, releases, and agrees not to sue upon any such claim for any such damages, whether or not accrued, and whether or not known or suspected to exist in its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ectPr>
          <w:pgSz w:w="11900" w:h="16838" w:orient="portrait"/>
          <w:cols w:equalWidth="0" w:num="1">
            <w:col w:w="11240"/>
          </w:cols>
          <w:pgMar w:left="320" w:top="1384" w:right="339" w:bottom="1440" w:gutter="0" w:footer="0" w:header="0"/>
        </w:sectPr>
      </w:pPr>
    </w:p>
    <w:bookmarkStart w:id="375" w:name="page376"/>
    <w:bookmarkEnd w:id="375"/>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10.10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xml:space="preserve"> EACH OF THE PARTIES TO THIS AGREEMENT HEREBY KNOWINGLY, VOLUNTARILY, INTENTIONALLY, AND IRREVOCABLY WAIVES ANY RIGHTS IT MAY HAVE TO A TRIAL BY JURY IN RESPECT OF ANY DISPUTE BASED HEREON, OR ARISING OUT OF, UNDER, OR IN CONNECTION WITH, THIS AGREEMENT, OR ANY COURSE OF CONDUCT, COURSE OF DEALING, STATEMENTS (WHETHER VERBAL OR WRITTEN), OR ACTIONS OF THE RECIPIENT. THIS PROVISION IS A MATERIAL INDUCEMENT FOR EACH PARTY TO ENTER INTO THIS AGREEMENT AND THE OTHER FINANCING DOCUMENTS. EACH OF THE PARTIES REPRESENTS THAT IT HAS DISCUSSED THIS WAIVER OF RIGHT TO JURY WITH ITS COUNSEL, UNDERSTANDS THE RAMIFICATIONS OF SUCH WAIVER, AND KNOWINGLY AND VOLUNTARILY AGREES TO THIS WAIVER.</w:t>
      </w:r>
    </w:p>
    <w:p>
      <w:pPr>
        <w:spacing w:after="0" w:line="190" w:lineRule="exact"/>
        <w:rPr>
          <w:sz w:val="20"/>
          <w:szCs w:val="20"/>
          <w:color w:val="auto"/>
        </w:rPr>
      </w:pPr>
    </w:p>
    <w:p>
      <w:pPr>
        <w:jc w:val="both"/>
        <w:ind w:right="20" w:firstLine="648"/>
        <w:spacing w:after="0"/>
        <w:rPr>
          <w:sz w:val="20"/>
          <w:szCs w:val="20"/>
          <w:color w:val="auto"/>
        </w:rPr>
      </w:pPr>
      <w:r>
        <w:rPr>
          <w:rFonts w:ascii="Calibri" w:cs="Calibri" w:eastAsia="Calibri" w:hAnsi="Calibri"/>
          <w:sz w:val="20"/>
          <w:szCs w:val="20"/>
          <w:color w:val="auto"/>
        </w:rPr>
        <w:t xml:space="preserve">Secton 10.11 </w:t>
      </w:r>
      <w:r>
        <w:rPr>
          <w:rFonts w:ascii="Calibri" w:cs="Calibri" w:eastAsia="Calibri" w:hAnsi="Calibri"/>
          <w:sz w:val="20"/>
          <w:szCs w:val="20"/>
          <w:b w:val="1"/>
          <w:bCs w:val="1"/>
          <w:color w:val="auto"/>
        </w:rPr>
        <w:t>Consent to Jurisdicton.</w:t>
      </w:r>
      <w:r>
        <w:rPr>
          <w:rFonts w:ascii="Calibri" w:cs="Calibri" w:eastAsia="Calibri" w:hAnsi="Calibri"/>
          <w:sz w:val="20"/>
          <w:szCs w:val="20"/>
          <w:color w:val="auto"/>
        </w:rPr>
        <w:t xml:space="preserve"> By executon and delivery of this Agreement, the Recipient irrevocably and unconditonally:</w:t>
      </w:r>
    </w:p>
    <w:p>
      <w:pPr>
        <w:spacing w:after="0" w:line="363" w:lineRule="exact"/>
        <w:rPr>
          <w:sz w:val="20"/>
          <w:szCs w:val="20"/>
          <w:color w:val="auto"/>
        </w:rPr>
      </w:pPr>
    </w:p>
    <w:p>
      <w:pPr>
        <w:jc w:val="both"/>
        <w:ind w:firstLine="1952"/>
        <w:spacing w:after="0" w:line="202" w:lineRule="auto"/>
        <w:tabs>
          <w:tab w:leader="none" w:pos="2596" w:val="left"/>
        </w:tabs>
        <w:numPr>
          <w:ilvl w:val="0"/>
          <w:numId w:val="397"/>
        </w:numPr>
        <w:rPr>
          <w:rFonts w:ascii="Calibri" w:cs="Calibri" w:eastAsia="Calibri" w:hAnsi="Calibri"/>
          <w:sz w:val="20"/>
          <w:szCs w:val="20"/>
          <w:color w:val="auto"/>
        </w:rPr>
      </w:pPr>
      <w:r>
        <w:rPr>
          <w:rFonts w:ascii="Calibri" w:cs="Calibri" w:eastAsia="Calibri" w:hAnsi="Calibri"/>
          <w:sz w:val="20"/>
          <w:szCs w:val="20"/>
          <w:color w:val="auto"/>
        </w:rPr>
        <w:t>submits for itself and its Property in any legal acton or proceeding against it arising out of or in connecton with this Agreement, or any other Financing Document, or for recogniton and enforcement of any judgment in respect thereof, to the non-exclusive general jurisdicton of (i) the courts of the United States in or for the District of Columbia; (ii) the courts of the United States in and for the Southern District of New York; (iii) any other federal court of competent jurisdicton in any other jurisdicton where it or any of its Property may be found; and (iv) appellate courts from any of the foregoing;</w:t>
      </w:r>
    </w:p>
    <w:p>
      <w:pPr>
        <w:spacing w:after="0" w:line="174" w:lineRule="exact"/>
        <w:rPr>
          <w:rFonts w:ascii="Calibri" w:cs="Calibri" w:eastAsia="Calibri" w:hAnsi="Calibri"/>
          <w:sz w:val="20"/>
          <w:szCs w:val="20"/>
          <w:color w:val="auto"/>
        </w:rPr>
      </w:pPr>
    </w:p>
    <w:p>
      <w:pPr>
        <w:jc w:val="both"/>
        <w:ind w:right="20" w:firstLine="1952"/>
        <w:spacing w:after="0" w:line="203" w:lineRule="auto"/>
        <w:tabs>
          <w:tab w:leader="none" w:pos="2592" w:val="left"/>
        </w:tabs>
        <w:numPr>
          <w:ilvl w:val="0"/>
          <w:numId w:val="397"/>
        </w:numPr>
        <w:rPr>
          <w:rFonts w:ascii="Calibri" w:cs="Calibri" w:eastAsia="Calibri" w:hAnsi="Calibri"/>
          <w:sz w:val="20"/>
          <w:szCs w:val="20"/>
          <w:color w:val="auto"/>
        </w:rPr>
      </w:pPr>
      <w:r>
        <w:rPr>
          <w:rFonts w:ascii="Calibri" w:cs="Calibri" w:eastAsia="Calibri" w:hAnsi="Calibri"/>
          <w:sz w:val="20"/>
          <w:szCs w:val="20"/>
          <w:color w:val="auto"/>
        </w:rPr>
        <w:t>consents that any such acton or proceeding may be brought in or removed to such courts, and waives any objecton, or right to stay or dismiss any acton or proceeding, that it may now or hereafer have to the venue of any such acton or proceeding in any such court or that such acton or proceeding was brought in an inconvenient court and agrees not to plead or claim the same;</w:t>
      </w:r>
    </w:p>
    <w:p>
      <w:pPr>
        <w:spacing w:after="0" w:line="186" w:lineRule="exact"/>
        <w:rPr>
          <w:rFonts w:ascii="Calibri" w:cs="Calibri" w:eastAsia="Calibri" w:hAnsi="Calibri"/>
          <w:sz w:val="20"/>
          <w:szCs w:val="20"/>
          <w:color w:val="auto"/>
        </w:rPr>
      </w:pPr>
    </w:p>
    <w:p>
      <w:pPr>
        <w:jc w:val="both"/>
        <w:ind w:firstLine="1952"/>
        <w:spacing w:after="0" w:line="200" w:lineRule="auto"/>
        <w:tabs>
          <w:tab w:leader="none" w:pos="2584" w:val="left"/>
        </w:tabs>
        <w:numPr>
          <w:ilvl w:val="0"/>
          <w:numId w:val="397"/>
        </w:numPr>
        <w:rPr>
          <w:rFonts w:ascii="Calibri" w:cs="Calibri" w:eastAsia="Calibri" w:hAnsi="Calibri"/>
          <w:sz w:val="20"/>
          <w:szCs w:val="20"/>
          <w:color w:val="auto"/>
        </w:rPr>
      </w:pPr>
      <w:r>
        <w:rPr>
          <w:rFonts w:ascii="Calibri" w:cs="Calibri" w:eastAsia="Calibri" w:hAnsi="Calibri"/>
          <w:sz w:val="20"/>
          <w:szCs w:val="20"/>
          <w:color w:val="auto"/>
        </w:rPr>
        <w:t>agrees that nothing herein shall (i) afect the right of the Department to efect service of process in any other manner permited by law; or (ii) limit the right of the Department to commence proceedings against or otherwise sue the Recipient or any other Person in any other court of competent jurisdicton nor shall the commencement of proceedings in any one or more jurisdictons preclude the commencement of proceedings in any other jurisdicton (whether concurrently or not) if, and to the extent, permited by the Applicable Laws; and</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397"/>
        </w:numPr>
        <w:rPr>
          <w:rFonts w:ascii="Calibri" w:cs="Calibri" w:eastAsia="Calibri" w:hAnsi="Calibri"/>
          <w:sz w:val="20"/>
          <w:szCs w:val="20"/>
          <w:color w:val="auto"/>
        </w:rPr>
      </w:pPr>
      <w:r>
        <w:rPr>
          <w:rFonts w:ascii="Calibri" w:cs="Calibri" w:eastAsia="Calibri" w:hAnsi="Calibri"/>
          <w:sz w:val="20"/>
          <w:szCs w:val="20"/>
          <w:color w:val="auto"/>
        </w:rPr>
        <w:t>agrees that judgment against it in any such acton or proceeding shall be conclusive and may be enforced in any other jurisdicton within or outside the U.S. by suit on the judgment or otherwise as provided by law, a certfed or exemplifed copy of which judgment shall be conclusive evidence of the fact and amount of the Recipient’s obligaton.</w:t>
      </w:r>
    </w:p>
    <w:p>
      <w:pPr>
        <w:spacing w:after="0" w:line="175"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10.12</w:t>
      </w:r>
      <w:r>
        <w:rPr>
          <w:sz w:val="20"/>
          <w:szCs w:val="20"/>
          <w:color w:val="auto"/>
        </w:rPr>
        <w:tab/>
      </w:r>
      <w:r>
        <w:rPr>
          <w:rFonts w:ascii="Calibri" w:cs="Calibri" w:eastAsia="Calibri" w:hAnsi="Calibri"/>
          <w:sz w:val="20"/>
          <w:szCs w:val="20"/>
          <w:b w:val="1"/>
          <w:bCs w:val="1"/>
          <w:color w:val="auto"/>
        </w:rPr>
        <w:t>Dispute Resoluton.</w:t>
      </w:r>
    </w:p>
    <w:p>
      <w:pPr>
        <w:spacing w:after="0" w:line="184" w:lineRule="exact"/>
        <w:rPr>
          <w:sz w:val="20"/>
          <w:szCs w:val="20"/>
          <w:color w:val="auto"/>
        </w:rPr>
      </w:pPr>
    </w:p>
    <w:p>
      <w:pPr>
        <w:jc w:val="both"/>
        <w:ind w:firstLine="1296"/>
        <w:spacing w:after="0" w:line="198" w:lineRule="auto"/>
        <w:rPr>
          <w:sz w:val="20"/>
          <w:szCs w:val="20"/>
          <w:color w:val="auto"/>
        </w:rPr>
      </w:pPr>
      <w:r>
        <w:rPr>
          <w:rFonts w:ascii="Calibri" w:cs="Calibri" w:eastAsia="Calibri" w:hAnsi="Calibri"/>
          <w:sz w:val="20"/>
          <w:szCs w:val="20"/>
          <w:color w:val="auto"/>
        </w:rPr>
        <w:t xml:space="preserve">10.12.1 </w:t>
      </w:r>
      <w:r>
        <w:rPr>
          <w:rFonts w:ascii="Calibri" w:cs="Calibri" w:eastAsia="Calibri" w:hAnsi="Calibri"/>
          <w:sz w:val="20"/>
          <w:szCs w:val="20"/>
          <w:b w:val="1"/>
          <w:bCs w:val="1"/>
          <w:color w:val="auto"/>
        </w:rPr>
        <w:t>Scope and Severability</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Any disagreement, claim, misunderstanding, request for waiver or modifcaton, or dispute (collectvely, a “</w:t>
      </w:r>
      <w:r>
        <w:rPr>
          <w:rFonts w:ascii="Calibri" w:cs="Calibri" w:eastAsia="Calibri" w:hAnsi="Calibri"/>
          <w:sz w:val="20"/>
          <w:szCs w:val="20"/>
          <w:b w:val="1"/>
          <w:bCs w:val="1"/>
          <w:color w:val="auto"/>
        </w:rPr>
        <w:t>Dispute</w:t>
      </w:r>
      <w:r>
        <w:rPr>
          <w:rFonts w:ascii="Calibri" w:cs="Calibri" w:eastAsia="Calibri" w:hAnsi="Calibri"/>
          <w:sz w:val="20"/>
          <w:szCs w:val="20"/>
          <w:color w:val="auto"/>
        </w:rPr>
        <w:t>”) between the Partes concerning any queston of fact or law arising from, or in connecton with, this Agreement, irrespectve of whether such Dispute concerns an alleged breach of this Agreement or interpretaton of this Agreement, may be raised by either Party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except that (a) any Dispute relatng to any provision of this Agreement set forth in Secton 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shall not be subject to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(b)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shall be subject to and superseded by the rights and requirements of the Secretary under 15 CFR § 231.304 – 231.307, as applicable; and (c) no Party shall have the right to raise any mater as a Dispute arbitrarily or capriciously, or concerning a queston of fact or law that has previously been raised (or in relaton to which a substantally similar mater has already been raised)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w:t>
      </w:r>
    </w:p>
    <w:p>
      <w:pPr>
        <w:spacing w:after="0" w:line="185"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10.12.2 </w:t>
      </w:r>
      <w:r>
        <w:rPr>
          <w:rFonts w:ascii="Calibri" w:cs="Calibri" w:eastAsia="Calibri" w:hAnsi="Calibri"/>
          <w:sz w:val="20"/>
          <w:szCs w:val="20"/>
          <w:b w:val="1"/>
          <w:bCs w:val="1"/>
          <w:color w:val="auto"/>
        </w:rPr>
        <w:t>General Principles</w:t>
      </w:r>
      <w:r>
        <w:rPr>
          <w:rFonts w:ascii="Calibri" w:cs="Calibri" w:eastAsia="Calibri" w:hAnsi="Calibri"/>
          <w:sz w:val="20"/>
          <w:szCs w:val="20"/>
          <w:color w:val="auto"/>
        </w:rPr>
        <w:t>. If a Dispute arises, the Partes shall atempt to resolve the Dispute by discussion and mutual agreement as soon as practcable. In no event shall a Dispute that arose more than sixty (60) days prior to the notfcaton made under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consttute the basis for relief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unless the Department,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ectPr>
          <w:pgSz w:w="11900" w:h="16838" w:orient="portrait"/>
          <w:cols w:equalWidth="0" w:num="1">
            <w:col w:w="11240"/>
          </w:cols>
          <w:pgMar w:left="320" w:top="1384" w:right="339" w:bottom="1440" w:gutter="0" w:footer="0" w:header="0"/>
        </w:sectPr>
      </w:pPr>
    </w:p>
    <w:bookmarkStart w:id="376" w:name="page377"/>
    <w:bookmarkEnd w:id="376"/>
    <w:p>
      <w:pPr>
        <w:jc w:val="both"/>
        <w:ind w:right="20"/>
        <w:spacing w:after="0" w:line="214" w:lineRule="auto"/>
        <w:rPr>
          <w:sz w:val="20"/>
          <w:szCs w:val="20"/>
          <w:color w:val="auto"/>
        </w:rPr>
      </w:pPr>
      <w:r>
        <w:rPr>
          <w:rFonts w:ascii="Calibri" w:cs="Calibri" w:eastAsia="Calibri" w:hAnsi="Calibri"/>
          <w:sz w:val="20"/>
          <w:szCs w:val="20"/>
          <w:color w:val="auto"/>
        </w:rPr>
        <w:t>sole discreton, waives this requirement. For the avoidance of doubt, failure of a Party to raise a Dispute within the sixty (60) day period prior to the notfcaton made under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shall not prejudice any judicial remedies available to such Party.</w:t>
      </w:r>
    </w:p>
    <w:p>
      <w:pPr>
        <w:spacing w:after="0" w:line="172"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10.12.3 </w:t>
      </w:r>
      <w:r>
        <w:rPr>
          <w:rFonts w:ascii="Calibri" w:cs="Calibri" w:eastAsia="Calibri" w:hAnsi="Calibri"/>
          <w:sz w:val="20"/>
          <w:szCs w:val="20"/>
          <w:b w:val="1"/>
          <w:bCs w:val="1"/>
          <w:color w:val="auto"/>
        </w:rPr>
        <w:t>Dispute Notce</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Upon failure to resolve a Dispute by mutual agreement of the Partes as described under Secton 10.12.2 (</w:t>
      </w:r>
      <w:r>
        <w:rPr>
          <w:rFonts w:ascii="Calibri" w:cs="Calibri" w:eastAsia="Calibri" w:hAnsi="Calibri"/>
          <w:sz w:val="20"/>
          <w:szCs w:val="20"/>
          <w:b w:val="1"/>
          <w:bCs w:val="1"/>
          <w:color w:val="auto"/>
        </w:rPr>
        <w:t>General Principles</w:t>
      </w:r>
      <w:r>
        <w:rPr>
          <w:rFonts w:ascii="Calibri" w:cs="Calibri" w:eastAsia="Calibri" w:hAnsi="Calibri"/>
          <w:sz w:val="20"/>
          <w:szCs w:val="20"/>
          <w:color w:val="auto"/>
        </w:rPr>
        <w:t>), the aggrieved Party may document the Dispute by notfying the other Party (the “</w:t>
      </w:r>
      <w:r>
        <w:rPr>
          <w:rFonts w:ascii="Calibri" w:cs="Calibri" w:eastAsia="Calibri" w:hAnsi="Calibri"/>
          <w:sz w:val="20"/>
          <w:szCs w:val="20"/>
          <w:b w:val="1"/>
          <w:bCs w:val="1"/>
          <w:color w:val="auto"/>
        </w:rPr>
        <w:t>Responding Party</w:t>
      </w:r>
      <w:r>
        <w:rPr>
          <w:rFonts w:ascii="Calibri" w:cs="Calibri" w:eastAsia="Calibri" w:hAnsi="Calibri"/>
          <w:sz w:val="20"/>
          <w:szCs w:val="20"/>
          <w:color w:val="auto"/>
        </w:rPr>
        <w:t>”) in writng (such notce, a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documentng the relevant facts, identfying unresolved issues, specifying the clarifcaton or remedy sought, documentng the ratonale as to why the clarifcaton/remedy is appropriate, and identfying the type of event related to such Dispute in the column headed “Relevant Event” contained in the table set forth in Schedule G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(any such event, a “</w:t>
      </w:r>
      <w:r>
        <w:rPr>
          <w:rFonts w:ascii="Calibri" w:cs="Calibri" w:eastAsia="Calibri" w:hAnsi="Calibri"/>
          <w:sz w:val="20"/>
          <w:szCs w:val="20"/>
          <w:b w:val="1"/>
          <w:bCs w:val="1"/>
          <w:color w:val="auto"/>
        </w:rPr>
        <w:t>Relevant Event</w:t>
      </w:r>
      <w:r>
        <w:rPr>
          <w:rFonts w:ascii="Calibri" w:cs="Calibri" w:eastAsia="Calibri" w:hAnsi="Calibri"/>
          <w:sz w:val="20"/>
          <w:szCs w:val="20"/>
          <w:color w:val="auto"/>
        </w:rPr>
        <w:t>”).</w:t>
      </w:r>
    </w:p>
    <w:p>
      <w:pPr>
        <w:spacing w:after="0" w:line="171"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 The aggrieved Party shall deliver the Dispute Notce (the “</w:t>
      </w:r>
      <w:r>
        <w:rPr>
          <w:rFonts w:ascii="Calibri" w:cs="Calibri" w:eastAsia="Calibri" w:hAnsi="Calibri"/>
          <w:sz w:val="20"/>
          <w:szCs w:val="20"/>
          <w:b w:val="1"/>
          <w:bCs w:val="1"/>
          <w:color w:val="auto"/>
        </w:rPr>
        <w:t>Referral</w:t>
      </w:r>
      <w:r>
        <w:rPr>
          <w:rFonts w:ascii="Calibri" w:cs="Calibri" w:eastAsia="Calibri" w:hAnsi="Calibri"/>
          <w:sz w:val="20"/>
          <w:szCs w:val="20"/>
          <w:color w:val="auto"/>
        </w:rPr>
        <w:t>”) to (a) the “Department Inital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 (b) the “Recipient Inital Decision-Maker” identfed in the table in Schedule H (</w:t>
      </w:r>
      <w:r>
        <w:rPr>
          <w:rFonts w:ascii="Calibri" w:cs="Calibri" w:eastAsia="Calibri" w:hAnsi="Calibri"/>
          <w:sz w:val="20"/>
          <w:szCs w:val="20"/>
          <w:b w:val="1"/>
          <w:bCs w:val="1"/>
          <w:color w:val="auto"/>
        </w:rPr>
        <w:t>Dispute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Resoluton</w:t>
      </w:r>
      <w:r>
        <w:rPr>
          <w:rFonts w:ascii="Calibri" w:cs="Calibri" w:eastAsia="Calibri" w:hAnsi="Calibri"/>
          <w:sz w:val="20"/>
          <w:szCs w:val="20"/>
          <w:color w:val="auto"/>
        </w:rPr>
        <w:t>) corresponding to the applicable Relevant Event if the Department is the aggrieved Party.</w:t>
      </w:r>
    </w:p>
    <w:p>
      <w:pPr>
        <w:spacing w:after="0" w:line="187" w:lineRule="exact"/>
        <w:rPr>
          <w:sz w:val="20"/>
          <w:szCs w:val="20"/>
          <w:color w:val="auto"/>
        </w:rPr>
      </w:pPr>
    </w:p>
    <w:p>
      <w:pPr>
        <w:jc w:val="both"/>
        <w:ind w:firstLine="1296"/>
        <w:spacing w:after="0" w:line="198" w:lineRule="auto"/>
        <w:rPr>
          <w:sz w:val="20"/>
          <w:szCs w:val="20"/>
          <w:color w:val="auto"/>
        </w:rPr>
      </w:pPr>
      <w:r>
        <w:rPr>
          <w:rFonts w:ascii="Calibri" w:cs="Calibri" w:eastAsia="Calibri" w:hAnsi="Calibri"/>
          <w:sz w:val="20"/>
          <w:szCs w:val="20"/>
          <w:color w:val="auto"/>
        </w:rPr>
        <w:t xml:space="preserve">10.12.5 </w:t>
      </w:r>
      <w:r>
        <w:rPr>
          <w:rFonts w:ascii="Calibri" w:cs="Calibri" w:eastAsia="Calibri" w:hAnsi="Calibri"/>
          <w:sz w:val="20"/>
          <w:szCs w:val="20"/>
          <w:b w:val="1"/>
          <w:bCs w:val="1"/>
          <w:color w:val="auto"/>
        </w:rPr>
        <w:t>Decision by Inital Decision-Maker</w:t>
      </w:r>
      <w:r>
        <w:rPr>
          <w:rFonts w:ascii="Calibri" w:cs="Calibri" w:eastAsia="Calibri" w:hAnsi="Calibri"/>
          <w:sz w:val="20"/>
          <w:szCs w:val="20"/>
          <w:color w:val="auto"/>
        </w:rPr>
        <w:t>. During the ten (10) days afer providing a Dispute Notce to the Responding Party in accordance with Secton 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 the aggrieved Party may provide any other new relevant facts in writng to the Inital Decision-Maker of the Responding Party. Such Inital Decision-Maker shall conduct a review of the Dispute and render a decision in writng with respect to the Dispute within thirty (30) days of receipt of the Dispute Notce. The Inital Decision-Maker may make any reasonable inquiries to aid in the preparaton of its decision with respect to the mater and seek extension of any applicable tme limits, by mutual agreement of the Partes. Any decision issued by the Inital Decision-Maker shall be the fnal and binding decision of the Responding Party, unless the aggrieved Party shall, within ten (10) days from the receipt of the writen decision of the Inital Decision-Maker, request escalaton as provided by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A failure by the Inital Decision-Maker to issue a writen decision within thirty (30) days of the receipt of a Dispute Notce or a mutually agreed extension of tme will consttute a fnal and binding decision denying the Dispute.</w:t>
      </w:r>
    </w:p>
    <w:p>
      <w:pPr>
        <w:spacing w:after="0" w:line="163"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84" w:lineRule="exact"/>
        <w:rPr>
          <w:sz w:val="20"/>
          <w:szCs w:val="20"/>
          <w:color w:val="auto"/>
        </w:rPr>
      </w:pPr>
    </w:p>
    <w:p>
      <w:pPr>
        <w:jc w:val="both"/>
        <w:ind w:firstLine="1952"/>
        <w:spacing w:after="0" w:line="199" w:lineRule="auto"/>
        <w:tabs>
          <w:tab w:leader="none" w:pos="2596" w:val="left"/>
        </w:tabs>
        <w:numPr>
          <w:ilvl w:val="1"/>
          <w:numId w:val="398"/>
        </w:numPr>
        <w:rPr>
          <w:rFonts w:ascii="Calibri" w:cs="Calibri" w:eastAsia="Calibri" w:hAnsi="Calibri"/>
          <w:sz w:val="20"/>
          <w:szCs w:val="20"/>
          <w:color w:val="auto"/>
        </w:rPr>
      </w:pPr>
      <w:r>
        <w:rPr>
          <w:rFonts w:ascii="Calibri" w:cs="Calibri" w:eastAsia="Calibri" w:hAnsi="Calibri"/>
          <w:sz w:val="20"/>
          <w:szCs w:val="20"/>
          <w:color w:val="auto"/>
        </w:rPr>
        <w:t>Within ten (10) days of receipt of the writen decision of the Inital Decision-Maker pursuant to Secton 10.12.5 (</w:t>
      </w:r>
      <w:r>
        <w:rPr>
          <w:rFonts w:ascii="Calibri" w:cs="Calibri" w:eastAsia="Calibri" w:hAnsi="Calibri"/>
          <w:sz w:val="20"/>
          <w:szCs w:val="20"/>
          <w:b w:val="1"/>
          <w:bCs w:val="1"/>
          <w:color w:val="auto"/>
        </w:rPr>
        <w:t>Decision by Inital Decision-Maker</w:t>
      </w:r>
      <w:r>
        <w:rPr>
          <w:rFonts w:ascii="Calibri" w:cs="Calibri" w:eastAsia="Calibri" w:hAnsi="Calibri"/>
          <w:sz w:val="20"/>
          <w:szCs w:val="20"/>
          <w:color w:val="auto"/>
        </w:rPr>
        <w:t>) above, the aggrieved Party may submit a notce to the Responding Party (the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Notce</w:t>
      </w:r>
      <w:r>
        <w:rPr>
          <w:rFonts w:ascii="Calibri" w:cs="Calibri" w:eastAsia="Calibri" w:hAnsi="Calibri"/>
          <w:sz w:val="20"/>
          <w:szCs w:val="20"/>
          <w:color w:val="auto"/>
        </w:rPr>
        <w:t>”) requestng a formal consultaton with (a) the “Department Escalaton Decision-Maker” identfed in the table in Schedule 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 (b) the “Recipient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Department is the aggrieved Party.</w:t>
      </w:r>
    </w:p>
    <w:p>
      <w:pPr>
        <w:spacing w:after="0" w:line="189" w:lineRule="exact"/>
        <w:rPr>
          <w:rFonts w:ascii="Calibri" w:cs="Calibri" w:eastAsia="Calibri" w:hAnsi="Calibri"/>
          <w:sz w:val="20"/>
          <w:szCs w:val="20"/>
          <w:color w:val="auto"/>
        </w:rPr>
      </w:pPr>
    </w:p>
    <w:p>
      <w:pPr>
        <w:jc w:val="both"/>
        <w:ind w:firstLine="1952"/>
        <w:spacing w:after="0" w:line="211" w:lineRule="auto"/>
        <w:tabs>
          <w:tab w:leader="none" w:pos="2592" w:val="left"/>
        </w:tabs>
        <w:numPr>
          <w:ilvl w:val="1"/>
          <w:numId w:val="398"/>
        </w:numPr>
        <w:rPr>
          <w:rFonts w:ascii="Calibri" w:cs="Calibri" w:eastAsia="Calibri" w:hAnsi="Calibri"/>
          <w:sz w:val="20"/>
          <w:szCs w:val="20"/>
          <w:color w:val="auto"/>
        </w:rPr>
      </w:pPr>
      <w:r>
        <w:rPr>
          <w:rFonts w:ascii="Calibri" w:cs="Calibri" w:eastAsia="Calibri" w:hAnsi="Calibri"/>
          <w:sz w:val="20"/>
          <w:szCs w:val="20"/>
          <w:color w:val="auto"/>
        </w:rPr>
        <w:t>The Escalaton Notce shall be submited by (i) the “Recipient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w:t>
      </w:r>
    </w:p>
    <w:p>
      <w:pPr>
        <w:ind w:left="320" w:hanging="312"/>
        <w:spacing w:after="0" w:line="193" w:lineRule="auto"/>
        <w:tabs>
          <w:tab w:leader="none" w:pos="320" w:val="left"/>
        </w:tabs>
        <w:numPr>
          <w:ilvl w:val="0"/>
          <w:numId w:val="399"/>
        </w:numPr>
        <w:rPr>
          <w:rFonts w:ascii="Calibri" w:cs="Calibri" w:eastAsia="Calibri" w:hAnsi="Calibri"/>
          <w:sz w:val="20"/>
          <w:szCs w:val="20"/>
          <w:color w:val="auto"/>
        </w:rPr>
      </w:pPr>
      <w:r>
        <w:rPr>
          <w:rFonts w:ascii="Calibri" w:cs="Calibri" w:eastAsia="Calibri" w:hAnsi="Calibri"/>
          <w:sz w:val="20"/>
          <w:szCs w:val="20"/>
          <w:color w:val="auto"/>
        </w:rPr>
        <w:t>the “Department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w:t>
      </w:r>
    </w:p>
    <w:p>
      <w:pPr>
        <w:spacing w:after="0" w:line="199" w:lineRule="auto"/>
        <w:rPr>
          <w:sz w:val="20"/>
          <w:szCs w:val="20"/>
          <w:color w:val="auto"/>
        </w:rPr>
      </w:pPr>
      <w:r>
        <w:rPr>
          <w:rFonts w:ascii="Calibri" w:cs="Calibri" w:eastAsia="Calibri" w:hAnsi="Calibri"/>
          <w:sz w:val="20"/>
          <w:szCs w:val="20"/>
          <w:color w:val="auto"/>
        </w:rPr>
        <w:t>applicable Relevant Event if the Department is the aggrieved Party.</w:t>
      </w:r>
    </w:p>
    <w:p>
      <w:pPr>
        <w:spacing w:after="0" w:line="184" w:lineRule="exact"/>
        <w:rPr>
          <w:sz w:val="20"/>
          <w:szCs w:val="20"/>
          <w:color w:val="auto"/>
        </w:rPr>
      </w:pPr>
    </w:p>
    <w:p>
      <w:pPr>
        <w:jc w:val="both"/>
        <w:ind w:firstLine="1952"/>
        <w:spacing w:after="0" w:line="205" w:lineRule="auto"/>
        <w:tabs>
          <w:tab w:leader="none" w:pos="2584" w:val="left"/>
        </w:tabs>
        <w:numPr>
          <w:ilvl w:val="0"/>
          <w:numId w:val="400"/>
        </w:numPr>
        <w:rPr>
          <w:rFonts w:ascii="Calibri" w:cs="Calibri" w:eastAsia="Calibri" w:hAnsi="Calibri"/>
          <w:sz w:val="20"/>
          <w:szCs w:val="20"/>
          <w:color w:val="auto"/>
        </w:rPr>
      </w:pPr>
      <w:r>
        <w:rPr>
          <w:rFonts w:ascii="Calibri" w:cs="Calibri" w:eastAsia="Calibri" w:hAnsi="Calibri"/>
          <w:sz w:val="20"/>
          <w:szCs w:val="20"/>
          <w:color w:val="auto"/>
        </w:rPr>
        <w:t>Unless mutually agreed otherwise by the Partes, each Party’s Escalaton Decision-Maker (or authorized designee thereof with full and fnal decision-making authority) shall meet in-person or electronically by video within thirty (30) days of receipt of the Escalaton Notce, at a mutually convenient tme and place (the “</w:t>
      </w:r>
      <w:r>
        <w:rPr>
          <w:rFonts w:ascii="Calibri" w:cs="Calibri" w:eastAsia="Calibri" w:hAnsi="Calibri"/>
          <w:sz w:val="20"/>
          <w:szCs w:val="20"/>
          <w:b w:val="1"/>
          <w:bCs w:val="1"/>
          <w:color w:val="auto"/>
        </w:rPr>
        <w:t>Escalaton Decision-Maker Meetng</w:t>
      </w:r>
      <w:r>
        <w:rPr>
          <w:rFonts w:ascii="Calibri" w:cs="Calibri" w:eastAsia="Calibri" w:hAnsi="Calibri"/>
          <w:sz w:val="20"/>
          <w:szCs w:val="20"/>
          <w:color w:val="auto"/>
        </w:rPr>
        <w:t>”).</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400"/>
        </w:numPr>
        <w:rPr>
          <w:rFonts w:ascii="Calibri" w:cs="Calibri" w:eastAsia="Calibri" w:hAnsi="Calibri"/>
          <w:sz w:val="20"/>
          <w:szCs w:val="20"/>
          <w:color w:val="auto"/>
        </w:rPr>
      </w:pPr>
      <w:r>
        <w:rPr>
          <w:rFonts w:ascii="Calibri" w:cs="Calibri" w:eastAsia="Calibri" w:hAnsi="Calibri"/>
          <w:sz w:val="20"/>
          <w:szCs w:val="20"/>
          <w:color w:val="auto"/>
        </w:rPr>
        <w:t>The Responding Party’s Escalaton Decision-Maker (or authorized designee thereof) shall submit a writen decision with respect to the Dispute as soon as possible afer the Escalaton Decision-Maker Meetng, and in any event within one hundred eighty (180) days of the date of the Referral.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ectPr>
          <w:pgSz w:w="11900" w:h="16838" w:orient="portrait"/>
          <w:cols w:equalWidth="0" w:num="1">
            <w:col w:w="11240"/>
          </w:cols>
          <w:pgMar w:left="320" w:top="1384" w:right="339" w:bottom="1440" w:gutter="0" w:footer="0" w:header="0"/>
        </w:sectPr>
      </w:pPr>
    </w:p>
    <w:bookmarkStart w:id="377" w:name="page378"/>
    <w:bookmarkEnd w:id="377"/>
    <w:p>
      <w:pPr>
        <w:jc w:val="both"/>
        <w:ind w:firstLine="1952"/>
        <w:spacing w:after="0" w:line="205" w:lineRule="auto"/>
        <w:tabs>
          <w:tab w:leader="none" w:pos="2586" w:val="left"/>
        </w:tabs>
        <w:numPr>
          <w:ilvl w:val="0"/>
          <w:numId w:val="401"/>
        </w:numPr>
        <w:rPr>
          <w:rFonts w:ascii="Calibri" w:cs="Calibri" w:eastAsia="Calibri" w:hAnsi="Calibri"/>
          <w:sz w:val="20"/>
          <w:szCs w:val="20"/>
          <w:color w:val="auto"/>
        </w:rPr>
      </w:pPr>
      <w:r>
        <w:rPr>
          <w:rFonts w:ascii="Calibri" w:cs="Calibri" w:eastAsia="Calibri" w:hAnsi="Calibri"/>
          <w:sz w:val="20"/>
          <w:szCs w:val="20"/>
          <w:color w:val="auto"/>
        </w:rPr>
        <w:t>The decision issued by the Responding Party’s Escalaton Decision-Maker shall be the fnal and binding decision of the Responding Party. The failure by the Responding Party’s Escalaton Decision-Maker to issue a writen decision within 180 days of the date of the Referral, will consttute a fnal and binding decision denying the Dispute.</w:t>
      </w:r>
    </w:p>
    <w:p>
      <w:pPr>
        <w:spacing w:after="0" w:line="184"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10.12.7 </w:t>
      </w:r>
      <w:r>
        <w:rPr>
          <w:rFonts w:ascii="Calibri" w:cs="Calibri" w:eastAsia="Calibri" w:hAnsi="Calibri"/>
          <w:sz w:val="20"/>
          <w:szCs w:val="20"/>
          <w:b w:val="1"/>
          <w:bCs w:val="1"/>
          <w:color w:val="auto"/>
        </w:rPr>
        <w:t>Unresolved Dispute</w:t>
      </w:r>
      <w:r>
        <w:rPr>
          <w:rFonts w:ascii="Calibri" w:cs="Calibri" w:eastAsia="Calibri" w:hAnsi="Calibri"/>
          <w:sz w:val="20"/>
          <w:szCs w:val="20"/>
          <w:color w:val="auto"/>
        </w:rPr>
        <w:t>. In the event an aggrieved Party disagrees with the decision of the Responding Party’s Escalaton Decision-Maker described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or in the absence of any writen decision by the Responding Party’s Escalaton Decision-Maker (or authorized designee thereof) within one hundred eighty (180) days of the date of the Referral, either Party may pursue any right or remedy under the Financing Documents or provided by Applicable Law, provided that neither Party may pursue any such right or remedy prior to the date that is one hundred eighty (180) days afer the date of the Referral (or such earlier date as may be mutually agreed by the Partes).</w:t>
      </w:r>
    </w:p>
    <w:p>
      <w:pPr>
        <w:spacing w:after="0" w:line="189"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10.12.8 </w:t>
      </w:r>
      <w:r>
        <w:rPr>
          <w:rFonts w:ascii="Calibri" w:cs="Calibri" w:eastAsia="Calibri" w:hAnsi="Calibri"/>
          <w:sz w:val="20"/>
          <w:szCs w:val="20"/>
          <w:b w:val="1"/>
          <w:bCs w:val="1"/>
          <w:color w:val="auto"/>
        </w:rPr>
        <w:t>Stay of Remedies</w:t>
      </w:r>
      <w:r>
        <w:rPr>
          <w:rFonts w:ascii="Calibri" w:cs="Calibri" w:eastAsia="Calibri" w:hAnsi="Calibri"/>
          <w:sz w:val="20"/>
          <w:szCs w:val="20"/>
          <w:color w:val="auto"/>
        </w:rPr>
        <w:t>. During the pendency of any Dispute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each of the Department's remedies (other than those remedies relatng to a Dispute regarding an Event of Default in connecton with the provisions under Secton 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shall be stayed.</w:t>
      </w:r>
    </w:p>
    <w:p>
      <w:pPr>
        <w:spacing w:after="0" w:line="175"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xml:space="preserve"> The following provisions of this Agreement shall not be subject to this Secton 10.12 (</w:t>
      </w:r>
      <w:r>
        <w:rPr>
          <w:rFonts w:ascii="Calibri" w:cs="Calibri" w:eastAsia="Calibri" w:hAnsi="Calibri"/>
          <w:sz w:val="20"/>
          <w:szCs w:val="20"/>
          <w:b w:val="1"/>
          <w:bCs w:val="1"/>
          <w:color w:val="auto"/>
        </w:rPr>
        <w:t>Dispute</w:t>
      </w:r>
    </w:p>
    <w:p>
      <w:pPr>
        <w:spacing w:after="0" w:line="199" w:lineRule="auto"/>
        <w:rPr>
          <w:sz w:val="20"/>
          <w:szCs w:val="20"/>
          <w:color w:val="auto"/>
        </w:rPr>
      </w:pPr>
      <w:r>
        <w:rPr>
          <w:rFonts w:ascii="Calibri" w:cs="Calibri" w:eastAsia="Calibri" w:hAnsi="Calibri"/>
          <w:sz w:val="20"/>
          <w:szCs w:val="20"/>
          <w:b w:val="1"/>
          <w:bCs w:val="1"/>
          <w:color w:val="auto"/>
        </w:rPr>
        <w:t>Resoluton</w:t>
      </w:r>
      <w:r>
        <w:rPr>
          <w:rFonts w:ascii="Calibri" w:cs="Calibri" w:eastAsia="Calibri" w:hAnsi="Calibri"/>
          <w:sz w:val="20"/>
          <w:szCs w:val="20"/>
          <w:color w:val="auto"/>
        </w:rPr>
        <w:t>):</w:t>
      </w:r>
    </w:p>
    <w:p>
      <w:pPr>
        <w:spacing w:after="0" w:line="161" w:lineRule="exact"/>
        <w:rPr>
          <w:sz w:val="20"/>
          <w:szCs w:val="20"/>
          <w:color w:val="auto"/>
        </w:rPr>
      </w:pPr>
    </w:p>
    <w:p>
      <w:pPr>
        <w:ind w:left="1960"/>
        <w:spacing w:after="0"/>
        <w:tabs>
          <w:tab w:leader="none" w:pos="2580" w:val="left"/>
        </w:tabs>
        <w:rPr>
          <w:sz w:val="20"/>
          <w:szCs w:val="20"/>
          <w:color w:val="auto"/>
        </w:rPr>
      </w:pPr>
      <w:r>
        <w:rPr>
          <w:rFonts w:ascii="Calibri" w:cs="Calibri" w:eastAsia="Calibri" w:hAnsi="Calibri"/>
          <w:sz w:val="20"/>
          <w:szCs w:val="20"/>
          <w:color w:val="auto"/>
        </w:rPr>
        <w:t>(a)</w:t>
      </w:r>
      <w:r>
        <w:rPr>
          <w:sz w:val="20"/>
          <w:szCs w:val="20"/>
          <w:color w:val="auto"/>
        </w:rPr>
        <w:tab/>
      </w:r>
      <w:r>
        <w:rPr>
          <w:rFonts w:ascii="Calibri" w:cs="Calibri" w:eastAsia="Calibri" w:hAnsi="Calibri"/>
          <w:sz w:val="20"/>
          <w:szCs w:val="20"/>
          <w:color w:val="auto"/>
        </w:rPr>
        <w:t>Secton 6.17(a) (</w:t>
      </w:r>
      <w:r>
        <w:rPr>
          <w:rFonts w:ascii="Calibri" w:cs="Calibri" w:eastAsia="Calibri" w:hAnsi="Calibri"/>
          <w:sz w:val="20"/>
          <w:szCs w:val="20"/>
          <w:b w:val="1"/>
          <w:bCs w:val="1"/>
          <w:color w:val="auto"/>
        </w:rPr>
        <w:t>Foreign Entty of Concern; Prohibited Persons; Sanctons; Export Controls; Ant-</w:t>
      </w:r>
    </w:p>
    <w:p>
      <w:pPr>
        <w:spacing w:after="0" w:line="199" w:lineRule="auto"/>
        <w:rPr>
          <w:sz w:val="20"/>
          <w:szCs w:val="20"/>
          <w:color w:val="auto"/>
        </w:rPr>
      </w:pPr>
      <w:r>
        <w:rPr>
          <w:rFonts w:ascii="Calibri" w:cs="Calibri" w:eastAsia="Calibri" w:hAnsi="Calibri"/>
          <w:sz w:val="20"/>
          <w:szCs w:val="20"/>
          <w:b w:val="1"/>
          <w:bCs w:val="1"/>
          <w:color w:val="auto"/>
        </w:rPr>
        <w:t>Corrupton</w:t>
      </w:r>
      <w:r>
        <w:rPr>
          <w:rFonts w:ascii="Calibri" w:cs="Calibri" w:eastAsia="Calibri" w:hAnsi="Calibri"/>
          <w:sz w:val="20"/>
          <w:szCs w:val="20"/>
          <w:color w:val="auto"/>
        </w:rPr>
        <w:t>);</w:t>
      </w:r>
    </w:p>
    <w:p>
      <w:pPr>
        <w:spacing w:after="0" w:line="174" w:lineRule="exact"/>
        <w:rPr>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7.2.13(b) (</w:t>
      </w: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8.1.1(a) (</w:t>
      </w: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9.1.4 (</w:t>
      </w:r>
      <w:r>
        <w:rPr>
          <w:rFonts w:ascii="Calibri" w:cs="Calibri" w:eastAsia="Calibri" w:hAnsi="Calibri"/>
          <w:sz w:val="20"/>
          <w:szCs w:val="20"/>
          <w:b w:val="1"/>
          <w:bCs w:val="1"/>
          <w:color w:val="auto"/>
        </w:rPr>
        <w:t>Cross Default</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9.1.7 (</w:t>
      </w:r>
      <w:r>
        <w:rPr>
          <w:rFonts w:ascii="Calibri" w:cs="Calibri" w:eastAsia="Calibri" w:hAnsi="Calibri"/>
          <w:sz w:val="20"/>
          <w:szCs w:val="20"/>
          <w:b w:val="1"/>
          <w:bCs w:val="1"/>
          <w:color w:val="auto"/>
        </w:rPr>
        <w:t>Bankruptcy; Insolvency; Dissoluton</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w:t>
      </w:r>
    </w:p>
    <w:p>
      <w:pPr>
        <w:spacing w:after="0" w:line="166"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Secton 9.1.15 (</w:t>
      </w:r>
      <w:r>
        <w:rPr>
          <w:rFonts w:ascii="Calibri" w:cs="Calibri" w:eastAsia="Calibri" w:hAnsi="Calibri"/>
          <w:sz w:val="20"/>
          <w:szCs w:val="20"/>
          <w:b w:val="1"/>
          <w:bCs w:val="1"/>
          <w:color w:val="auto"/>
        </w:rPr>
        <w:t>Compliance with Sanctons, Export Control Laws, Ant-Money Laundering Laws, and</w:t>
      </w:r>
    </w:p>
    <w:p>
      <w:pPr>
        <w:spacing w:after="0" w:line="193" w:lineRule="auto"/>
        <w:rPr>
          <w:rFonts w:ascii="Calibri" w:cs="Calibri" w:eastAsia="Calibri" w:hAnsi="Calibri"/>
          <w:sz w:val="20"/>
          <w:szCs w:val="20"/>
          <w:color w:val="auto"/>
        </w:rPr>
      </w:pPr>
      <w:r>
        <w:rPr>
          <w:rFonts w:ascii="Calibri" w:cs="Calibri" w:eastAsia="Calibri" w:hAnsi="Calibri"/>
          <w:sz w:val="20"/>
          <w:szCs w:val="20"/>
          <w:b w:val="1"/>
          <w:bCs w:val="1"/>
          <w:color w:val="auto"/>
        </w:rPr>
        <w:t>Ant-Corrupton Laws</w:t>
      </w:r>
      <w:r>
        <w:rPr>
          <w:rFonts w:ascii="Calibri" w:cs="Calibri" w:eastAsia="Calibri" w:hAnsi="Calibri"/>
          <w:sz w:val="20"/>
          <w:szCs w:val="20"/>
          <w:color w:val="auto"/>
        </w:rPr>
        <w:t>); and</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402"/>
        </w:numPr>
        <w:rPr>
          <w:rFonts w:ascii="Calibri" w:cs="Calibri" w:eastAsia="Calibri" w:hAnsi="Calibri"/>
          <w:sz w:val="20"/>
          <w:szCs w:val="20"/>
          <w:color w:val="auto"/>
        </w:rPr>
      </w:pPr>
      <w:r>
        <w:rPr>
          <w:rFonts w:ascii="Calibri" w:cs="Calibri" w:eastAsia="Calibri" w:hAnsi="Calibri"/>
          <w:sz w:val="20"/>
          <w:szCs w:val="20"/>
          <w:color w:val="auto"/>
        </w:rPr>
        <w:t>the Guardrail Provisions.</w:t>
      </w:r>
    </w:p>
    <w:p>
      <w:pPr>
        <w:spacing w:after="0" w:line="174"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10.13</w:t>
      </w:r>
      <w:r>
        <w:rPr>
          <w:sz w:val="20"/>
          <w:szCs w:val="20"/>
          <w:color w:val="auto"/>
        </w:rPr>
        <w:tab/>
      </w:r>
      <w:r>
        <w:rPr>
          <w:rFonts w:ascii="Calibri" w:cs="Calibri" w:eastAsia="Calibri" w:hAnsi="Calibri"/>
          <w:sz w:val="20"/>
          <w:szCs w:val="20"/>
          <w:b w:val="1"/>
          <w:bCs w:val="1"/>
          <w:color w:val="auto"/>
        </w:rPr>
        <w:t>Successors and Assigns.</w:t>
      </w:r>
    </w:p>
    <w:p>
      <w:pPr>
        <w:spacing w:after="0" w:line="171" w:lineRule="exact"/>
        <w:rPr>
          <w:sz w:val="20"/>
          <w:szCs w:val="20"/>
          <w:color w:val="auto"/>
        </w:rPr>
      </w:pPr>
    </w:p>
    <w:p>
      <w:pPr>
        <w:ind w:firstLine="1952"/>
        <w:spacing w:after="0" w:line="214" w:lineRule="auto"/>
        <w:tabs>
          <w:tab w:leader="none" w:pos="2596" w:val="left"/>
        </w:tabs>
        <w:numPr>
          <w:ilvl w:val="0"/>
          <w:numId w:val="403"/>
        </w:numPr>
        <w:rPr>
          <w:rFonts w:ascii="Calibri" w:cs="Calibri" w:eastAsia="Calibri" w:hAnsi="Calibri"/>
          <w:sz w:val="20"/>
          <w:szCs w:val="20"/>
          <w:color w:val="auto"/>
        </w:rPr>
      </w:pPr>
      <w:r>
        <w:rPr>
          <w:rFonts w:ascii="Calibri" w:cs="Calibri" w:eastAsia="Calibri" w:hAnsi="Calibri"/>
          <w:sz w:val="20"/>
          <w:szCs w:val="20"/>
          <w:color w:val="auto"/>
        </w:rPr>
        <w:t>The provisions of this Agreement shall be binding upon and inure to the beneft of the Partes and their respectve successors and permited assigns.</w:t>
      </w:r>
    </w:p>
    <w:p>
      <w:pPr>
        <w:spacing w:after="0" w:line="185"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403"/>
        </w:numPr>
        <w:rPr>
          <w:rFonts w:ascii="Calibri" w:cs="Calibri" w:eastAsia="Calibri" w:hAnsi="Calibri"/>
          <w:sz w:val="20"/>
          <w:szCs w:val="20"/>
          <w:color w:val="auto"/>
        </w:rPr>
      </w:pPr>
      <w:r>
        <w:rPr>
          <w:rFonts w:ascii="Calibri" w:cs="Calibri" w:eastAsia="Calibri" w:hAnsi="Calibri"/>
          <w:sz w:val="20"/>
          <w:szCs w:val="20"/>
          <w:color w:val="auto"/>
        </w:rPr>
        <w:t>The Recipient shall not assign or otherwise transfer any of its rights or obligatons under this Agreement or under any Award Document without the prior writen consent of the Department.</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10.14 </w:t>
      </w:r>
      <w:r>
        <w:rPr>
          <w:rFonts w:ascii="Calibri" w:cs="Calibri" w:eastAsia="Calibri" w:hAnsi="Calibri"/>
          <w:sz w:val="20"/>
          <w:szCs w:val="20"/>
          <w:b w:val="1"/>
          <w:bCs w:val="1"/>
          <w:color w:val="auto"/>
        </w:rPr>
        <w:t>Reinstatement.</w:t>
      </w:r>
      <w:r>
        <w:rPr>
          <w:rFonts w:ascii="Calibri" w:cs="Calibri" w:eastAsia="Calibri" w:hAnsi="Calibri"/>
          <w:sz w:val="20"/>
          <w:szCs w:val="20"/>
          <w:color w:val="auto"/>
        </w:rPr>
        <w:t xml:space="preserve"> This Agreement and each other relevant Financing Document shall contnue to be efectve or be reinstated, as the case may be, if at any tme payment or performance of the Recipient’s obligatons hereunder, or any part thereof, is, pursuant to Applicable Laws or Governmental Judgment, rescinded or reduced in amount or must otherwise be restored or returned by the Department. In the event that any payment or any part thereof is so rescinded, reduced, restored, or returned, such obligatons shall be reinstated and deemed reduced only by such amount paid and not so rescinded, reduced, restored, or returned, and this Agreement,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ectPr>
          <w:pgSz w:w="11900" w:h="16838" w:orient="portrait"/>
          <w:cols w:equalWidth="0" w:num="1">
            <w:col w:w="11240"/>
          </w:cols>
          <w:pgMar w:left="320" w:top="1384" w:right="339" w:bottom="1440" w:gutter="0" w:footer="0" w:header="0"/>
        </w:sectPr>
      </w:pPr>
    </w:p>
    <w:bookmarkStart w:id="378" w:name="page379"/>
    <w:bookmarkEnd w:id="378"/>
    <w:p>
      <w:pPr>
        <w:spacing w:after="0"/>
        <w:rPr>
          <w:sz w:val="20"/>
          <w:szCs w:val="20"/>
          <w:color w:val="auto"/>
        </w:rPr>
      </w:pPr>
      <w:r>
        <w:rPr>
          <w:rFonts w:ascii="Calibri" w:cs="Calibri" w:eastAsia="Calibri" w:hAnsi="Calibri"/>
          <w:sz w:val="20"/>
          <w:szCs w:val="20"/>
          <w:color w:val="auto"/>
        </w:rPr>
        <w:t>relevant Financing Document shall remain in full force and efect untl the indefeasible payment and discharge in full of such obligatons.</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10.15 </w:t>
      </w:r>
      <w:r>
        <w:rPr>
          <w:rFonts w:ascii="Calibri" w:cs="Calibri" w:eastAsia="Calibri" w:hAnsi="Calibri"/>
          <w:sz w:val="20"/>
          <w:szCs w:val="20"/>
          <w:b w:val="1"/>
          <w:bCs w:val="1"/>
          <w:color w:val="auto"/>
        </w:rPr>
        <w:t>No Partnership; Etc.</w:t>
      </w:r>
      <w:r>
        <w:rPr>
          <w:rFonts w:ascii="Calibri" w:cs="Calibri" w:eastAsia="Calibri" w:hAnsi="Calibri"/>
          <w:sz w:val="20"/>
          <w:szCs w:val="20"/>
          <w:color w:val="auto"/>
        </w:rPr>
        <w:t>Nothing contained in this Agreement or in any other Financing Document shall be deemed or construed to create a partnership, tenancy-in-common, joint tenancy, joint venture, or co-ownership by, between, or among the Department and the Recipient or any other Person. The Department shall not be in any way responsible or liable for the indebtedness, losses, obligatons, or dutes of the Recipient or any other Person with respect to the Project or otherwise. All obligatons to pay Real Property or other taxes, assessments, insurance premiums, and all other fees and expenses in connecton with or arising from the ownership, operaton, or occupancy of the Project or any other assets and to perform all obligatons under the agreements and contracts relatng to the Project or any other assets shall be the sole responsibility of the Recipient.</w:t>
      </w:r>
    </w:p>
    <w:p>
      <w:pPr>
        <w:spacing w:after="0" w:line="176"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10.16 </w:t>
      </w:r>
      <w:r>
        <w:rPr>
          <w:rFonts w:ascii="Calibri" w:cs="Calibri" w:eastAsia="Calibri" w:hAnsi="Calibri"/>
          <w:sz w:val="20"/>
          <w:szCs w:val="20"/>
          <w:b w:val="1"/>
          <w:bCs w:val="1"/>
          <w:color w:val="auto"/>
        </w:rPr>
        <w:t>Marshaling.</w:t>
      </w:r>
      <w:r>
        <w:rPr>
          <w:rFonts w:ascii="Calibri" w:cs="Calibri" w:eastAsia="Calibri" w:hAnsi="Calibri"/>
          <w:sz w:val="20"/>
          <w:szCs w:val="20"/>
          <w:color w:val="auto"/>
        </w:rPr>
        <w:t xml:space="preserve"> The Department shall not be under any obligaton to marshal any assets in favor of the Recipient or any other Person or against or in payment of any or all of the Department Obligatons.</w:t>
      </w:r>
    </w:p>
    <w:p>
      <w:pPr>
        <w:spacing w:after="0" w:line="176"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10.17</w:t>
      </w:r>
      <w:r>
        <w:rPr>
          <w:sz w:val="20"/>
          <w:szCs w:val="20"/>
          <w:color w:val="auto"/>
        </w:rPr>
        <w:tab/>
      </w:r>
      <w:r>
        <w:rPr>
          <w:rFonts w:ascii="Calibri" w:cs="Calibri" w:eastAsia="Calibri" w:hAnsi="Calibri"/>
          <w:sz w:val="20"/>
          <w:szCs w:val="20"/>
          <w:b w:val="1"/>
          <w:bCs w:val="1"/>
          <w:color w:val="auto"/>
        </w:rPr>
        <w:t>Indemnifcaton.</w:t>
      </w:r>
    </w:p>
    <w:p>
      <w:pPr>
        <w:spacing w:after="0" w:line="171" w:lineRule="exact"/>
        <w:rPr>
          <w:sz w:val="20"/>
          <w:szCs w:val="20"/>
          <w:color w:val="auto"/>
        </w:rPr>
      </w:pPr>
    </w:p>
    <w:p>
      <w:pPr>
        <w:jc w:val="both"/>
        <w:ind w:firstLine="1952"/>
        <w:spacing w:after="0" w:line="199" w:lineRule="auto"/>
        <w:tabs>
          <w:tab w:leader="none" w:pos="2596" w:val="left"/>
        </w:tabs>
        <w:numPr>
          <w:ilvl w:val="0"/>
          <w:numId w:val="404"/>
        </w:numPr>
        <w:rPr>
          <w:rFonts w:ascii="Calibri" w:cs="Calibri" w:eastAsia="Calibri" w:hAnsi="Calibri"/>
          <w:sz w:val="20"/>
          <w:szCs w:val="20"/>
          <w:color w:val="auto"/>
        </w:rPr>
      </w:pPr>
      <w:r>
        <w:rPr>
          <w:rFonts w:ascii="Calibri" w:cs="Calibri" w:eastAsia="Calibri" w:hAnsi="Calibri"/>
          <w:sz w:val="20"/>
          <w:szCs w:val="20"/>
          <w:color w:val="auto"/>
        </w:rPr>
        <w:t>The Recipient shall indemnify the Department and each of its ofcers, employees, atorneys and agents (each, an “Indemnifed Party”) from and against any liabilites, obligatons, losses, damages, penaltes, claims, judgments, lawsuits, costs and expenses (other than atorneys’ costs and fees) (each, an “Indemnifed Liability”) for which an Indemnifed Party may become responsible because of a claim asserted by a third party related to the Award, the use of Disbursements, this Agreement, any Financing Document, or the Project; provided, that the Recipient shall not have an any indemnifcaton obligaton hereunder if the third Party’s claim is based solely on the conduct of the Department (and no other Party) or arises from the bad faith, gross negligence or willful misconduct of any Indemnifed Party (as determined pursuant to a fnal, non-appealable judgment by a court of competent jurisdicton).</w:t>
      </w:r>
    </w:p>
    <w:p>
      <w:pPr>
        <w:spacing w:after="0" w:line="189"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404"/>
        </w:numPr>
        <w:rPr>
          <w:rFonts w:ascii="Calibri" w:cs="Calibri" w:eastAsia="Calibri" w:hAnsi="Calibri"/>
          <w:sz w:val="20"/>
          <w:szCs w:val="20"/>
          <w:color w:val="auto"/>
        </w:rPr>
      </w:pPr>
      <w:r>
        <w:rPr>
          <w:rFonts w:ascii="Calibri" w:cs="Calibri" w:eastAsia="Calibri" w:hAnsi="Calibri"/>
          <w:sz w:val="20"/>
          <w:szCs w:val="20"/>
          <w:color w:val="auto"/>
        </w:rPr>
        <w:t>An Indemnifed Party shall give tmely notce to the Recipient of any acton for which indemnifcaton hereunder may be sought; provided that any failure to give such notce shall not release the Recipient from any of its indemnifcaton obligatons hereunder.</w:t>
      </w:r>
    </w:p>
    <w:p>
      <w:pPr>
        <w:spacing w:after="0" w:line="184" w:lineRule="exact"/>
        <w:rPr>
          <w:rFonts w:ascii="Calibri" w:cs="Calibri" w:eastAsia="Calibri" w:hAnsi="Calibri"/>
          <w:sz w:val="20"/>
          <w:szCs w:val="20"/>
          <w:color w:val="auto"/>
        </w:rPr>
      </w:pPr>
    </w:p>
    <w:p>
      <w:pPr>
        <w:jc w:val="both"/>
        <w:ind w:firstLine="1952"/>
        <w:spacing w:after="0" w:line="198" w:lineRule="auto"/>
        <w:tabs>
          <w:tab w:leader="none" w:pos="2584" w:val="left"/>
        </w:tabs>
        <w:numPr>
          <w:ilvl w:val="0"/>
          <w:numId w:val="404"/>
        </w:numPr>
        <w:rPr>
          <w:rFonts w:ascii="Calibri" w:cs="Calibri" w:eastAsia="Calibri" w:hAnsi="Calibri"/>
          <w:sz w:val="20"/>
          <w:szCs w:val="20"/>
          <w:color w:val="auto"/>
        </w:rPr>
      </w:pPr>
      <w:r>
        <w:rPr>
          <w:rFonts w:ascii="Calibri" w:cs="Calibri" w:eastAsia="Calibri" w:hAnsi="Calibri"/>
          <w:sz w:val="20"/>
          <w:szCs w:val="20"/>
          <w:color w:val="auto"/>
        </w:rPr>
        <w:t>The Recipient agrees that the Department has sole authority regarding the conduct of any litgaton brought against any Indemnifed Party and the Recipient agrees that the decisions of the Department regarding any such litgaton, trial or setlement shall not relieve the Recipient of its indemnifcaton obligatons hereunder. The Department agrees that it will advise the Recipient regarding the conduct of any such litgaton and that Recipient shall be given the opportunity at its own cost and expense to advise the Department of its views regarding such litgaton, including any setlement related thereto. The Department agrees that it will not compromise or setle any Indemnifed Liability, untl it has advised the Recipient, as provided above, and has been authorized by the government ofcial with authority to approve setlements pursuant to applicable rules. No provision herein shall restrict, modify or otherwise afect the authority of the United States to setle or compromise any claim according to Applicable Law.</w:t>
      </w:r>
    </w:p>
    <w:p>
      <w:pPr>
        <w:spacing w:after="0" w:line="184"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404"/>
        </w:numPr>
        <w:rPr>
          <w:rFonts w:ascii="Calibri" w:cs="Calibri" w:eastAsia="Calibri" w:hAnsi="Calibri"/>
          <w:sz w:val="20"/>
          <w:szCs w:val="20"/>
          <w:color w:val="auto"/>
        </w:rPr>
      </w:pPr>
      <w:r>
        <w:rPr>
          <w:rFonts w:ascii="Calibri" w:cs="Calibri" w:eastAsia="Calibri" w:hAnsi="Calibri"/>
          <w:sz w:val="20"/>
          <w:szCs w:val="20"/>
          <w:color w:val="auto"/>
        </w:rPr>
        <w:t>All sums paid and costs incurred by any Indemnifed Party with respect to any mater indemnifed hereunder shall be immediately due and payable by the Recipient.</w:t>
      </w:r>
    </w:p>
    <w:p>
      <w:pPr>
        <w:spacing w:after="0" w:line="172"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10.18 </w:t>
      </w:r>
      <w:r>
        <w:rPr>
          <w:rFonts w:ascii="Calibri" w:cs="Calibri" w:eastAsia="Calibri" w:hAnsi="Calibri"/>
          <w:sz w:val="20"/>
          <w:szCs w:val="20"/>
          <w:b w:val="1"/>
          <w:bCs w:val="1"/>
          <w:color w:val="auto"/>
        </w:rPr>
        <w:t>Counterparts; Electronic Signatures.</w:t>
      </w:r>
      <w:r>
        <w:rPr>
          <w:rFonts w:ascii="Calibri" w:cs="Calibri" w:eastAsia="Calibri" w:hAnsi="Calibri"/>
          <w:sz w:val="20"/>
          <w:szCs w:val="20"/>
          <w:color w:val="auto"/>
        </w:rPr>
        <w:t xml:space="preserve"> This Agreement may be executed in one or more duplicate counterparts and when executed by all of the Partes shall consttute a single binding agreement. The delivery of an executed counterpart of this Agreement by electronic means, including by facsimile or by portable document format (PDF) atachment to email, shall be as efectve as delivery of an original executed counterpart of this Agreement. Except to the extent Applicable Law would prohibit the same, make the same unenforceable, or afrmatvely requires a manually executed counterpart signature: (a) the delivery of an executed counterpart of a signature page of this Agreement by fax, emailed .pdf, or any other electronic means approved by the Department in writng (which may be via email) that reproduces an image of the actual executed signature page shall be as efectve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ectPr>
          <w:pgSz w:w="11900" w:h="16838" w:orient="portrait"/>
          <w:cols w:equalWidth="0" w:num="1">
            <w:col w:w="11240"/>
          </w:cols>
          <w:pgMar w:left="320" w:top="1374" w:right="339" w:bottom="1440" w:gutter="0" w:footer="0" w:header="0"/>
        </w:sectPr>
      </w:pPr>
    </w:p>
    <w:bookmarkStart w:id="379" w:name="page380"/>
    <w:bookmarkEnd w:id="379"/>
    <w:p>
      <w:pPr>
        <w:jc w:val="both"/>
        <w:spacing w:after="0" w:line="210" w:lineRule="auto"/>
        <w:rPr>
          <w:sz w:val="20"/>
          <w:szCs w:val="20"/>
          <w:color w:val="auto"/>
        </w:rPr>
      </w:pPr>
      <w:r>
        <w:rPr>
          <w:rFonts w:ascii="Calibri" w:cs="Calibri" w:eastAsia="Calibri" w:hAnsi="Calibri"/>
          <w:sz w:val="20"/>
          <w:szCs w:val="20"/>
          <w:color w:val="auto"/>
        </w:rPr>
        <w:t>delivery of a manually executed counterpart of this Agreement; (b) the delivery of an executed counterpart of a signature page of this Agreement by fax, emailed .pdf, or any other electronic delivery means approved by the Department in writng (which may be via email) that contains a DocuSign signature or, in the case of the Department’s signature, a digital signature associated with a Personal Identty Verifcaton card, or any other electronic signature means approved by the Department in writng (which may be via email) shall be as efectve as the delivery of a manually executed counterpart of this Agreement; and (c) if agreed by the Department in writng (which may be via email) with respect to this Agreement, the delivery of an executed counterpart of a signature page of this Agreement by electronic means that types in the signatory to a document as a “conformed signature” from an email address approved by the Department in writng (which may be via email) shall be as efectve as the delivery of a manually executed counterpart of this Agreement. In furtherance of the foregoing, the words “executon,” “signed,” “signature,” “delivery,” and words of like import in or relatng to any document to be signed in connecton with this Agreement and the transactons contemplated hereby or thereby shall be deemed to include Electronic Signatures, deliveries or the keeping of records in electronic form, each of which shall be of the same legal efect, validity or enforceability as a manually executed signature, physical delivery thereof, or the use of a paper-based recordkeeping system, as the case may be, to the extent and as provided for in any Applicable Law, including the Federal Electronic Signatures in Global and Natonal Commerce Act, the New York State Electronic Signatures and Records Act, or any other similar state laws based on the Uniform Electronic Transactons Act.</w:t>
      </w:r>
    </w:p>
    <w:p>
      <w:pPr>
        <w:spacing w:after="0" w:line="195"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10.19 </w:t>
      </w:r>
      <w:r>
        <w:rPr>
          <w:rFonts w:ascii="Calibri" w:cs="Calibri" w:eastAsia="Calibri" w:hAnsi="Calibri"/>
          <w:sz w:val="20"/>
          <w:szCs w:val="20"/>
          <w:b w:val="1"/>
          <w:bCs w:val="1"/>
          <w:color w:val="auto"/>
        </w:rPr>
        <w:t>Benefts of Agreement.</w:t>
      </w:r>
      <w:r>
        <w:rPr>
          <w:rFonts w:ascii="Calibri" w:cs="Calibri" w:eastAsia="Calibri" w:hAnsi="Calibri"/>
          <w:sz w:val="20"/>
          <w:szCs w:val="20"/>
          <w:color w:val="auto"/>
        </w:rPr>
        <w:t xml:space="preserve"> Nothing in this Agreement, any other Financing Document, express or implied, shall give to any Person, other than the partes hereto and thereto and their successors and permited assigns hereunder or thereunder, any beneft or any legal or equitable right or remedy under this Agreement, any other Financing Document.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10.20</w:t>
      </w:r>
      <w:r>
        <w:rPr>
          <w:sz w:val="20"/>
          <w:szCs w:val="20"/>
          <w:color w:val="auto"/>
        </w:rPr>
        <w:tab/>
      </w:r>
      <w:r>
        <w:rPr>
          <w:rFonts w:ascii="Calibri" w:cs="Calibri" w:eastAsia="Calibri" w:hAnsi="Calibri"/>
          <w:sz w:val="20"/>
          <w:szCs w:val="20"/>
          <w:b w:val="1"/>
          <w:bCs w:val="1"/>
          <w:color w:val="auto"/>
        </w:rPr>
        <w:t>Terminaton; Survival.</w:t>
      </w:r>
    </w:p>
    <w:p>
      <w:pPr>
        <w:spacing w:after="0" w:line="171" w:lineRule="exact"/>
        <w:rPr>
          <w:sz w:val="20"/>
          <w:szCs w:val="20"/>
          <w:color w:val="auto"/>
        </w:rPr>
      </w:pPr>
    </w:p>
    <w:p>
      <w:pPr>
        <w:jc w:val="both"/>
        <w:ind w:firstLine="1952"/>
        <w:spacing w:after="0" w:line="202" w:lineRule="auto"/>
        <w:tabs>
          <w:tab w:leader="none" w:pos="2596" w:val="left"/>
        </w:tabs>
        <w:numPr>
          <w:ilvl w:val="0"/>
          <w:numId w:val="405"/>
        </w:numPr>
        <w:rPr>
          <w:rFonts w:ascii="Calibri" w:cs="Calibri" w:eastAsia="Calibri" w:hAnsi="Calibri"/>
          <w:sz w:val="20"/>
          <w:szCs w:val="20"/>
          <w:color w:val="auto"/>
        </w:rPr>
      </w:pPr>
      <w:r>
        <w:rPr>
          <w:rFonts w:ascii="Calibri" w:cs="Calibri" w:eastAsia="Calibri" w:hAnsi="Calibri"/>
          <w:sz w:val="20"/>
          <w:szCs w:val="20"/>
          <w:color w:val="auto"/>
        </w:rPr>
        <w:t>The terms and conditons of this Agreement and the Award, and all rights and obligatons of the Partes thereunder, shall terminate on the Terminaton Date, unless otherwise extended by mutual writen agreement of the Partes; provided however the terminaton of this Agreement and the Award on the Terminaton Date shall not afect any rights or remedies of any Party that have accrued prior to or on the Terminaton Date, or any obligatons or liabilites of the Recipient that expressly survive the Terminaton Date as set forth in clauses (b) and (c) below or by Applicable Law.</w:t>
      </w:r>
    </w:p>
    <w:p>
      <w:pPr>
        <w:spacing w:after="0" w:line="187"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405"/>
        </w:numPr>
        <w:rPr>
          <w:rFonts w:ascii="Calibri" w:cs="Calibri" w:eastAsia="Calibri" w:hAnsi="Calibri"/>
          <w:sz w:val="20"/>
          <w:szCs w:val="20"/>
          <w:color w:val="auto"/>
        </w:rPr>
      </w:pPr>
      <w:r>
        <w:rPr>
          <w:rFonts w:ascii="Calibri" w:cs="Calibri" w:eastAsia="Calibri" w:hAnsi="Calibri"/>
          <w:sz w:val="20"/>
          <w:szCs w:val="20"/>
          <w:color w:val="auto"/>
        </w:rPr>
        <w:t>All representatons and warrantes made by the Recipient in any Award Document or other documents delivered in connecton therewith shall be considered to have been relied upon the Department and shall survive the Terminaton Date.</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405"/>
        </w:numPr>
        <w:rPr>
          <w:rFonts w:ascii="Calibri" w:cs="Calibri" w:eastAsia="Calibri" w:hAnsi="Calibri"/>
          <w:sz w:val="20"/>
          <w:szCs w:val="20"/>
          <w:color w:val="auto"/>
        </w:rPr>
      </w:pPr>
      <w:r>
        <w:rPr>
          <w:rFonts w:ascii="Calibri" w:cs="Calibri" w:eastAsia="Calibri" w:hAnsi="Calibri"/>
          <w:sz w:val="20"/>
          <w:szCs w:val="20"/>
          <w:color w:val="auto"/>
        </w:rPr>
        <w:t>The provisions of (a) Secton 3.4 (</w:t>
      </w:r>
      <w:r>
        <w:rPr>
          <w:rFonts w:ascii="Calibri" w:cs="Calibri" w:eastAsia="Calibri" w:hAnsi="Calibri"/>
          <w:sz w:val="20"/>
          <w:szCs w:val="20"/>
          <w:b w:val="1"/>
          <w:bCs w:val="1"/>
          <w:color w:val="auto"/>
        </w:rPr>
        <w:t>Net of Tax</w:t>
      </w:r>
      <w:r>
        <w:rPr>
          <w:rFonts w:ascii="Calibri" w:cs="Calibri" w:eastAsia="Calibri" w:hAnsi="Calibri"/>
          <w:sz w:val="20"/>
          <w:szCs w:val="20"/>
          <w:color w:val="auto"/>
        </w:rPr>
        <w:t>), Secton 3.3 (</w:t>
      </w:r>
      <w:r>
        <w:rPr>
          <w:rFonts w:ascii="Calibri" w:cs="Calibri" w:eastAsia="Calibri" w:hAnsi="Calibri"/>
          <w:sz w:val="20"/>
          <w:szCs w:val="20"/>
          <w:b w:val="1"/>
          <w:bCs w:val="1"/>
          <w:color w:val="auto"/>
        </w:rPr>
        <w:t>Payment of Costs and Expenses</w:t>
      </w:r>
      <w:r>
        <w:rPr>
          <w:rFonts w:ascii="Calibri" w:cs="Calibri" w:eastAsia="Calibri" w:hAnsi="Calibri"/>
          <w:sz w:val="20"/>
          <w:szCs w:val="20"/>
          <w:color w:val="auto"/>
        </w:rPr>
        <w:t>),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Secton 10.7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Secton 10.10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Secton 10.11 (</w:t>
      </w:r>
      <w:r>
        <w:rPr>
          <w:rFonts w:ascii="Calibri" w:cs="Calibri" w:eastAsia="Calibri" w:hAnsi="Calibri"/>
          <w:sz w:val="20"/>
          <w:szCs w:val="20"/>
          <w:b w:val="1"/>
          <w:bCs w:val="1"/>
          <w:color w:val="auto"/>
        </w:rPr>
        <w:t>Consent to</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Jurisdicton</w:t>
      </w:r>
      <w:r>
        <w:rPr>
          <w:rFonts w:ascii="Calibri" w:cs="Calibri" w:eastAsia="Calibri" w:hAnsi="Calibri"/>
          <w:sz w:val="20"/>
          <w:szCs w:val="20"/>
          <w:color w:val="auto"/>
        </w:rPr>
        <w:t>),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Secton 10.14 (</w:t>
      </w:r>
      <w:r>
        <w:rPr>
          <w:rFonts w:ascii="Calibri" w:cs="Calibri" w:eastAsia="Calibri" w:hAnsi="Calibri"/>
          <w:sz w:val="20"/>
          <w:szCs w:val="20"/>
          <w:b w:val="1"/>
          <w:bCs w:val="1"/>
          <w:color w:val="auto"/>
        </w:rPr>
        <w:t>Reinstatement</w:t>
      </w:r>
      <w:r>
        <w:rPr>
          <w:rFonts w:ascii="Calibri" w:cs="Calibri" w:eastAsia="Calibri" w:hAnsi="Calibri"/>
          <w:sz w:val="20"/>
          <w:szCs w:val="20"/>
          <w:color w:val="auto"/>
        </w:rPr>
        <w:t>), and Secton 10.17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 and (b)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Guardrail Provisions (excluding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and Secton 7(d) (</w:t>
      </w:r>
      <w:r>
        <w:rPr>
          <w:rFonts w:ascii="Calibri" w:cs="Calibri" w:eastAsia="Calibri" w:hAnsi="Calibri"/>
          <w:sz w:val="20"/>
          <w:szCs w:val="20"/>
          <w:b w:val="1"/>
          <w:bCs w:val="1"/>
          <w:color w:val="auto"/>
        </w:rPr>
        <w:t>Remedies,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Mitgaton and Clawbacks</w:t>
      </w:r>
      <w:r>
        <w:rPr>
          <w:rFonts w:ascii="Calibri" w:cs="Calibri" w:eastAsia="Calibri" w:hAnsi="Calibri"/>
          <w:sz w:val="20"/>
          <w:szCs w:val="20"/>
          <w:color w:val="auto"/>
        </w:rPr>
        <w:t>) thereof) and all other provisions and defnitons set forth in this Agreement required to give efect thereto,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Secton 10.5 (</w:t>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 shall survive and remain in full force and efect regardless of the consummaton of the transactons contemplated hereby, the payment in full of the Department Obligatons, the expiraton or terminaton of the Award, or the terminaton of this Agreement or any provision hereof on the Terminaton Date.</w:t>
      </w:r>
    </w:p>
    <w:p>
      <w:pPr>
        <w:spacing w:after="0" w:line="19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ectPr>
          <w:pgSz w:w="11900" w:h="16838" w:orient="portrait"/>
          <w:cols w:equalWidth="0" w:num="1">
            <w:col w:w="11240"/>
          </w:cols>
          <w:pgMar w:left="320" w:top="1384" w:right="339" w:bottom="1440" w:gutter="0" w:footer="0" w:header="0"/>
        </w:sectPr>
      </w:pPr>
    </w:p>
    <w:bookmarkStart w:id="380" w:name="page381"/>
    <w:bookmarkEnd w:id="380"/>
    <w:p>
      <w:pPr>
        <w:ind w:firstLine="648"/>
        <w:spacing w:after="0" w:line="234" w:lineRule="auto"/>
        <w:rPr>
          <w:sz w:val="20"/>
          <w:szCs w:val="20"/>
          <w:color w:val="auto"/>
        </w:rPr>
      </w:pPr>
      <w:r>
        <w:rPr>
          <w:rFonts w:ascii="Calibri" w:cs="Calibri" w:eastAsia="Calibri" w:hAnsi="Calibri"/>
          <w:sz w:val="20"/>
          <w:szCs w:val="20"/>
          <w:color w:val="auto"/>
        </w:rPr>
        <w:t>IN WITNESS WHEREOF, the Partes to this Agreement have caused this Agreement to be executed and delivered by their respectve ofcers or representatves hereunto duly authorized as of the date frst writen above.</w:t>
      </w:r>
    </w:p>
    <w:p>
      <w:pPr>
        <w:spacing w:after="0" w:line="203" w:lineRule="exact"/>
        <w:rPr>
          <w:sz w:val="20"/>
          <w:szCs w:val="20"/>
          <w:color w:val="auto"/>
        </w:rPr>
      </w:pPr>
    </w:p>
    <w:p>
      <w:pPr>
        <w:ind w:left="3420"/>
        <w:spacing w:after="0"/>
        <w:rPr>
          <w:sz w:val="20"/>
          <w:szCs w:val="20"/>
          <w:color w:val="auto"/>
        </w:rPr>
      </w:pPr>
      <w:r>
        <w:rPr>
          <w:rFonts w:ascii="Calibri" w:cs="Calibri" w:eastAsia="Calibri" w:hAnsi="Calibri"/>
          <w:sz w:val="20"/>
          <w:szCs w:val="20"/>
          <w:color w:val="auto"/>
        </w:rPr>
        <w:t>MICRON IDAHO SEMICONDUCTOR MANUFACTURING (TRITON) LLC</w:t>
      </w:r>
    </w:p>
    <w:p>
      <w:pPr>
        <w:ind w:left="3420"/>
        <w:spacing w:after="0" w:line="238" w:lineRule="auto"/>
        <w:rPr>
          <w:sz w:val="20"/>
          <w:szCs w:val="20"/>
          <w:color w:val="auto"/>
        </w:rPr>
      </w:pPr>
      <w:r>
        <w:rPr>
          <w:rFonts w:ascii="Calibri" w:cs="Calibri" w:eastAsia="Calibri" w:hAnsi="Calibri"/>
          <w:sz w:val="20"/>
          <w:szCs w:val="20"/>
          <w:color w:val="auto"/>
        </w:rPr>
        <w:t>as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20"/>
        <w:spacing w:after="0"/>
        <w:rPr>
          <w:sz w:val="20"/>
          <w:szCs w:val="20"/>
          <w:color w:val="auto"/>
        </w:rPr>
      </w:pPr>
      <w:r>
        <w:rPr>
          <w:rFonts w:ascii="Calibri" w:cs="Calibri" w:eastAsia="Calibri" w:hAnsi="Calibri"/>
          <w:sz w:val="20"/>
          <w:szCs w:val="20"/>
          <w:color w:val="auto"/>
        </w:rPr>
        <w:t>/s/ Scot Gatzemeier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-21590</wp:posOffset>
            </wp:positionV>
            <wp:extent cx="11849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195" w:lineRule="exact"/>
        <w:rPr>
          <w:sz w:val="20"/>
          <w:szCs w:val="20"/>
          <w:color w:val="auto"/>
        </w:rPr>
      </w:pPr>
    </w:p>
    <w:p>
      <w:pPr>
        <w:ind w:left="3420"/>
        <w:spacing w:after="0"/>
        <w:rPr>
          <w:sz w:val="20"/>
          <w:szCs w:val="20"/>
          <w:color w:val="auto"/>
        </w:rPr>
      </w:pPr>
      <w:r>
        <w:rPr>
          <w:rFonts w:ascii="Calibri" w:cs="Calibri" w:eastAsia="Calibri" w:hAnsi="Calibri"/>
          <w:sz w:val="20"/>
          <w:szCs w:val="20"/>
          <w:color w:val="auto"/>
        </w:rPr>
        <w:t>Name: Scot Gatzemeier</w:t>
      </w:r>
    </w:p>
    <w:p>
      <w:pPr>
        <w:ind w:left="3420"/>
        <w:spacing w:after="0" w:line="238" w:lineRule="auto"/>
        <w:rPr>
          <w:sz w:val="20"/>
          <w:szCs w:val="20"/>
          <w:color w:val="auto"/>
        </w:rPr>
      </w:pPr>
      <w:r>
        <w:rPr>
          <w:rFonts w:ascii="Calibri" w:cs="Calibri" w:eastAsia="Calibri" w:hAnsi="Calibri"/>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ectPr>
          <w:pgSz w:w="11900" w:h="16838" w:orient="portrait"/>
          <w:cols w:equalWidth="0" w:num="1">
            <w:col w:w="11240"/>
          </w:cols>
          <w:pgMar w:left="320" w:top="1411" w:right="339" w:bottom="1440" w:gutter="0" w:footer="0" w:header="0"/>
        </w:sectPr>
      </w:pPr>
    </w:p>
    <w:bookmarkStart w:id="381" w:name="page382"/>
    <w:bookmarkEnd w:id="381"/>
    <w:p>
      <w:pPr>
        <w:ind w:left="2620"/>
        <w:spacing w:after="0" w:line="234" w:lineRule="auto"/>
        <w:rPr>
          <w:sz w:val="20"/>
          <w:szCs w:val="20"/>
          <w:color w:val="auto"/>
        </w:rPr>
      </w:pPr>
      <w:r>
        <w:rPr>
          <w:rFonts w:ascii="Calibri" w:cs="Calibri" w:eastAsia="Calibri" w:hAnsi="Calibri"/>
          <w:sz w:val="20"/>
          <w:szCs w:val="20"/>
          <w:color w:val="auto"/>
        </w:rPr>
        <w:t>UNITED STATES DEPARTMENT OF COMMERCE, an agency of the Federal Government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20"/>
        <w:spacing w:after="0"/>
        <w:rPr>
          <w:sz w:val="20"/>
          <w:szCs w:val="20"/>
          <w:color w:val="auto"/>
        </w:rPr>
      </w:pPr>
      <w:r>
        <w:rPr>
          <w:rFonts w:ascii="Calibri" w:cs="Calibri" w:eastAsia="Calibri" w:hAnsi="Calibri"/>
          <w:sz w:val="20"/>
          <w:szCs w:val="20"/>
          <w:color w:val="auto"/>
        </w:rPr>
        <w:t>/s/Michael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-21590</wp:posOffset>
            </wp:positionV>
            <wp:extent cx="11328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line="195" w:lineRule="exact"/>
        <w:rPr>
          <w:sz w:val="20"/>
          <w:szCs w:val="20"/>
          <w:color w:val="auto"/>
        </w:rPr>
      </w:pPr>
    </w:p>
    <w:p>
      <w:pPr>
        <w:ind w:left="2620"/>
        <w:spacing w:after="0"/>
        <w:rPr>
          <w:sz w:val="20"/>
          <w:szCs w:val="20"/>
          <w:color w:val="auto"/>
        </w:rPr>
      </w:pPr>
      <w:r>
        <w:rPr>
          <w:rFonts w:ascii="Calibri" w:cs="Calibri" w:eastAsia="Calibri" w:hAnsi="Calibri"/>
          <w:sz w:val="20"/>
          <w:szCs w:val="20"/>
          <w:color w:val="auto"/>
        </w:rPr>
        <w:t>Name: Michael Schmidt</w:t>
      </w:r>
    </w:p>
    <w:p>
      <w:pPr>
        <w:ind w:left="2620"/>
        <w:spacing w:after="0" w:line="225" w:lineRule="auto"/>
        <w:rPr>
          <w:sz w:val="20"/>
          <w:szCs w:val="20"/>
          <w:color w:val="auto"/>
        </w:rPr>
      </w:pPr>
      <w:r>
        <w:rPr>
          <w:rFonts w:ascii="Calibri" w:cs="Calibri" w:eastAsia="Calibri" w:hAnsi="Calibri"/>
          <w:sz w:val="20"/>
          <w:szCs w:val="20"/>
          <w:color w:val="auto"/>
        </w:rPr>
        <w:t>Title: CHIPS Program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Calibri" w:cs="Calibri" w:eastAsia="Calibri" w:hAnsi="Calibri"/>
          <w:sz w:val="18"/>
          <w:szCs w:val="18"/>
          <w:color w:val="auto"/>
        </w:rPr>
        <w:t>42</w:t>
      </w:r>
    </w:p>
    <w:p>
      <w:pPr>
        <w:sectPr>
          <w:pgSz w:w="11900" w:h="16838" w:orient="portrait"/>
          <w:cols w:equalWidth="0" w:num="1">
            <w:col w:w="10120"/>
          </w:cols>
          <w:pgMar w:left="1440" w:top="1411" w:right="339" w:bottom="1440" w:gutter="0" w:footer="0" w:header="0"/>
        </w:sectPr>
      </w:pPr>
    </w:p>
    <w:bookmarkStart w:id="382" w:name="page383"/>
    <w:bookmarkEnd w:id="382"/>
    <w:p>
      <w:pPr>
        <w:ind w:left="4980"/>
        <w:spacing w:after="0"/>
        <w:rPr>
          <w:sz w:val="20"/>
          <w:szCs w:val="20"/>
          <w:color w:val="auto"/>
        </w:rPr>
      </w:pPr>
      <w:r>
        <w:rPr>
          <w:rFonts w:ascii="Calibri" w:cs="Calibri" w:eastAsia="Calibri" w:hAnsi="Calibri"/>
          <w:sz w:val="20"/>
          <w:szCs w:val="20"/>
          <w:b w:val="1"/>
          <w:bCs w:val="1"/>
          <w:color w:val="auto"/>
        </w:rPr>
        <w:t>Annex A</w:t>
      </w:r>
    </w:p>
    <w:p>
      <w:pPr>
        <w:ind w:left="5080"/>
        <w:spacing w:after="0" w:line="199" w:lineRule="auto"/>
        <w:rPr>
          <w:sz w:val="20"/>
          <w:szCs w:val="20"/>
          <w:color w:val="auto"/>
        </w:rPr>
      </w:pPr>
      <w:r>
        <w:rPr>
          <w:rFonts w:ascii="Calibri" w:cs="Calibri" w:eastAsia="Calibri" w:hAnsi="Calibri"/>
          <w:sz w:val="20"/>
          <w:szCs w:val="20"/>
          <w:b w:val="1"/>
          <w:bCs w:val="1"/>
          <w:color w:val="auto"/>
        </w:rPr>
        <w:t>DEFINITIONS</w:t>
      </w:r>
    </w:p>
    <w:p>
      <w:pPr>
        <w:spacing w:after="0" w:line="171"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 xml:space="preserve">” means the relinquishment of possession and control of the Project by the Recipient or the complete cessaton of work or actvity for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consecutve days (or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non-consecutve days in any Fiscal Year) at the Project, except as a result of the occurrence of an Event of Force Majeure, and the term “Abandon” shall have a correlatve meaning.</w:t>
      </w:r>
    </w:p>
    <w:p>
      <w:pPr>
        <w:spacing w:after="0" w:line="172"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Acton</w:t>
      </w:r>
      <w:r>
        <w:rPr>
          <w:rFonts w:ascii="Calibri" w:cs="Calibri" w:eastAsia="Calibri" w:hAnsi="Calibri"/>
          <w:sz w:val="20"/>
          <w:szCs w:val="20"/>
          <w:color w:val="auto"/>
        </w:rPr>
        <w:t>” means any acton, suit, proceeding (whether administratve, judicial or otherwise), governmental investgaton or arbitraton at law or in equity, or before or by any Governmental Authority, domestc or foreign or other regulatory body or any arbitrator.</w:t>
      </w:r>
    </w:p>
    <w:p>
      <w:pPr>
        <w:spacing w:after="0" w:line="32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Capex Amount</w:t>
      </w:r>
      <w:r>
        <w:rPr>
          <w:rFonts w:ascii="Calibri" w:cs="Calibri" w:eastAsia="Calibri" w:hAnsi="Calibri"/>
          <w:sz w:val="20"/>
          <w:szCs w:val="20"/>
          <w:color w:val="auto"/>
        </w:rPr>
        <w:t>” means, as of the Actual Milestone Completon Date for any Disbursement Milestone, the amount of Capital Expenditures certfed in writng by the Recipient and Sponsor Guarantor to the Department that have been incurred and paid by the Recipient in respect of such Disbursement Milestone.</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Capex Amount</w:t>
      </w:r>
      <w:r>
        <w:rPr>
          <w:rFonts w:ascii="Calibri" w:cs="Calibri" w:eastAsia="Calibri" w:hAnsi="Calibri"/>
          <w:sz w:val="20"/>
          <w:szCs w:val="20"/>
          <w:color w:val="auto"/>
        </w:rPr>
        <w:t>” means, as of any date of determinaton, the aggregate Actual Capex Amount for all Disbursement Milestones for the Project for which an Actual Milestone Completon Date has occurred, including the then-current Disbursement Milestone (whether before or afer the Award Date).</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Disbursement Amount</w:t>
      </w:r>
      <w:r>
        <w:rPr>
          <w:rFonts w:ascii="Calibri" w:cs="Calibri" w:eastAsia="Calibri" w:hAnsi="Calibri"/>
          <w:sz w:val="20"/>
          <w:szCs w:val="20"/>
          <w:color w:val="auto"/>
        </w:rPr>
        <w:t>” means, as of any date of determinaton, the aggregate amount of Direct Funding Disbursements made to the Recipient for the Project as of such date.</w:t>
      </w:r>
    </w:p>
    <w:p>
      <w:pPr>
        <w:spacing w:after="0" w:line="186"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b w:val="1"/>
          <w:bCs w:val="1"/>
          <w:color w:val="auto"/>
        </w:rPr>
        <w:t xml:space="preserve">“Actual Cumulatve Unlevered Free Cash Flow” </w:t>
      </w:r>
      <w:r>
        <w:rPr>
          <w:rFonts w:ascii="Calibri" w:cs="Calibri" w:eastAsia="Calibri" w:hAnsi="Calibri"/>
          <w:sz w:val="20"/>
          <w:szCs w:val="20"/>
          <w:color w:val="auto"/>
        </w:rPr>
        <w:t>means, with respect to the Project and for any Relevant Period, the cumulatve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total of all Actual Unlevered Free Cash Flow for the Project from the Project Initaton Date for the Project through the end of such Relevant Period.</w:t>
      </w:r>
    </w:p>
    <w:p>
      <w:pPr>
        <w:spacing w:after="0" w:line="17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Unlevered Free Cash Flow</w:t>
      </w:r>
      <w:r>
        <w:rPr>
          <w:rFonts w:ascii="Calibri" w:cs="Calibri" w:eastAsia="Calibri" w:hAnsi="Calibri"/>
          <w:sz w:val="20"/>
          <w:szCs w:val="20"/>
          <w:color w:val="auto"/>
        </w:rPr>
        <w:t>” means, with respect to the Project and for any Fiscal Year and as calculated in accordance with the Applicable Accountng Requirements, the amount calculated as the total (which may be positve or negatve) of</w:t>
      </w:r>
    </w:p>
    <w:p>
      <w:pPr>
        <w:spacing w:after="0" w:line="186" w:lineRule="exact"/>
        <w:rPr>
          <w:sz w:val="20"/>
          <w:szCs w:val="20"/>
          <w:color w:val="auto"/>
        </w:rPr>
      </w:pPr>
    </w:p>
    <w:p>
      <w:pPr>
        <w:ind w:left="660" w:right="9160" w:hanging="4"/>
        <w:spacing w:after="0" w:line="388" w:lineRule="auto"/>
        <w:tabs>
          <w:tab w:leader="none" w:pos="931" w:val="left"/>
        </w:tabs>
        <w:numPr>
          <w:ilvl w:val="0"/>
          <w:numId w:val="406"/>
        </w:numPr>
        <w:rPr>
          <w:rFonts w:ascii="Calibri" w:cs="Calibri" w:eastAsia="Calibri" w:hAnsi="Calibri"/>
          <w:sz w:val="20"/>
          <w:szCs w:val="20"/>
          <w:color w:val="auto"/>
        </w:rPr>
      </w:pPr>
      <w:r>
        <w:rPr>
          <w:rFonts w:ascii="Calibri" w:cs="Calibri" w:eastAsia="Calibri" w:hAnsi="Calibri"/>
          <w:sz w:val="20"/>
          <w:szCs w:val="20"/>
          <w:color w:val="auto"/>
        </w:rPr>
        <w:t xml:space="preserve">Total Revenue </w:t>
      </w:r>
      <w:r>
        <w:rPr>
          <w:rFonts w:ascii="Calibri" w:cs="Calibri" w:eastAsia="Calibri" w:hAnsi="Calibri"/>
          <w:sz w:val="20"/>
          <w:szCs w:val="20"/>
          <w:u w:val="single" w:color="auto"/>
          <w:color w:val="auto"/>
        </w:rPr>
        <w:t>minus</w:t>
      </w:r>
    </w:p>
    <w:p>
      <w:pPr>
        <w:spacing w:after="0" w:line="34" w:lineRule="exact"/>
        <w:rPr>
          <w:rFonts w:ascii="Calibri" w:cs="Calibri" w:eastAsia="Calibri" w:hAnsi="Calibri"/>
          <w:sz w:val="20"/>
          <w:szCs w:val="20"/>
          <w:color w:val="auto"/>
        </w:rPr>
      </w:pPr>
    </w:p>
    <w:p>
      <w:pPr>
        <w:ind w:left="660" w:right="8780" w:hanging="4"/>
        <w:spacing w:after="0" w:line="401" w:lineRule="auto"/>
        <w:tabs>
          <w:tab w:leader="none" w:pos="931" w:val="left"/>
        </w:tabs>
        <w:numPr>
          <w:ilvl w:val="0"/>
          <w:numId w:val="406"/>
        </w:numPr>
        <w:rPr>
          <w:rFonts w:ascii="Calibri" w:cs="Calibri" w:eastAsia="Calibri" w:hAnsi="Calibri"/>
          <w:sz w:val="20"/>
          <w:szCs w:val="20"/>
          <w:color w:val="auto"/>
        </w:rPr>
      </w:pPr>
      <w:r>
        <w:rPr>
          <w:rFonts w:ascii="Calibri" w:cs="Calibri" w:eastAsia="Calibri" w:hAnsi="Calibri"/>
          <w:sz w:val="20"/>
          <w:szCs w:val="20"/>
          <w:color w:val="auto"/>
        </w:rPr>
        <w:t xml:space="preserve">Cost of Goods Sold </w:t>
      </w:r>
      <w:r>
        <w:rPr>
          <w:rFonts w:ascii="Calibri" w:cs="Calibri" w:eastAsia="Calibri" w:hAnsi="Calibri"/>
          <w:sz w:val="20"/>
          <w:szCs w:val="20"/>
          <w:u w:val="single" w:color="auto"/>
          <w:color w:val="auto"/>
        </w:rPr>
        <w:t>minus</w:t>
      </w:r>
    </w:p>
    <w:p>
      <w:pPr>
        <w:spacing w:after="0" w:line="7" w:lineRule="exact"/>
        <w:rPr>
          <w:rFonts w:ascii="Calibri" w:cs="Calibri" w:eastAsia="Calibri" w:hAnsi="Calibri"/>
          <w:sz w:val="20"/>
          <w:szCs w:val="20"/>
          <w:color w:val="auto"/>
        </w:rPr>
      </w:pPr>
    </w:p>
    <w:p>
      <w:pPr>
        <w:ind w:left="660" w:right="8640" w:hanging="4"/>
        <w:spacing w:after="0" w:line="401" w:lineRule="auto"/>
        <w:tabs>
          <w:tab w:leader="none" w:pos="931" w:val="left"/>
        </w:tabs>
        <w:numPr>
          <w:ilvl w:val="0"/>
          <w:numId w:val="406"/>
        </w:numPr>
        <w:rPr>
          <w:rFonts w:ascii="Calibri" w:cs="Calibri" w:eastAsia="Calibri" w:hAnsi="Calibri"/>
          <w:sz w:val="20"/>
          <w:szCs w:val="20"/>
          <w:color w:val="auto"/>
        </w:rPr>
      </w:pPr>
      <w:r>
        <w:rPr>
          <w:rFonts w:ascii="Calibri" w:cs="Calibri" w:eastAsia="Calibri" w:hAnsi="Calibri"/>
          <w:sz w:val="20"/>
          <w:szCs w:val="20"/>
          <w:color w:val="auto"/>
        </w:rPr>
        <w:t xml:space="preserve">Operatng Expenses, </w:t>
      </w:r>
      <w:r>
        <w:rPr>
          <w:rFonts w:ascii="Calibri" w:cs="Calibri" w:eastAsia="Calibri" w:hAnsi="Calibri"/>
          <w:sz w:val="20"/>
          <w:szCs w:val="20"/>
          <w:u w:val="single" w:color="auto"/>
          <w:color w:val="auto"/>
        </w:rPr>
        <w:t>minus</w:t>
      </w:r>
    </w:p>
    <w:p>
      <w:pPr>
        <w:spacing w:after="0" w:line="11" w:lineRule="exact"/>
        <w:rPr>
          <w:rFonts w:ascii="Calibri" w:cs="Calibri" w:eastAsia="Calibri" w:hAnsi="Calibri"/>
          <w:sz w:val="20"/>
          <w:szCs w:val="20"/>
          <w:color w:val="auto"/>
        </w:rPr>
      </w:pPr>
    </w:p>
    <w:p>
      <w:pPr>
        <w:ind w:left="920" w:hanging="264"/>
        <w:spacing w:after="0"/>
        <w:tabs>
          <w:tab w:leader="none" w:pos="920" w:val="left"/>
        </w:tabs>
        <w:numPr>
          <w:ilvl w:val="0"/>
          <w:numId w:val="406"/>
        </w:numPr>
        <w:rPr>
          <w:rFonts w:ascii="Calibri" w:cs="Calibri" w:eastAsia="Calibri" w:hAnsi="Calibri"/>
          <w:sz w:val="20"/>
          <w:szCs w:val="20"/>
          <w:color w:val="auto"/>
        </w:rPr>
      </w:pPr>
      <w:r>
        <w:rPr>
          <w:rFonts w:ascii="Calibri" w:cs="Calibri" w:eastAsia="Calibri" w:hAnsi="Calibri"/>
          <w:sz w:val="20"/>
          <w:szCs w:val="20"/>
          <w:color w:val="auto"/>
        </w:rPr>
        <w:t>Cash Taxes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u w:val="single" w:color="auto"/>
          <w:color w:val="auto"/>
        </w:rPr>
        <w:t>minus</w:t>
      </w:r>
    </w:p>
    <w:p>
      <w:pPr>
        <w:spacing w:after="0" w:line="184" w:lineRule="exact"/>
        <w:rPr>
          <w:sz w:val="20"/>
          <w:szCs w:val="20"/>
          <w:color w:val="auto"/>
        </w:rPr>
      </w:pPr>
    </w:p>
    <w:p>
      <w:pPr>
        <w:ind w:left="660" w:right="8280" w:hanging="4"/>
        <w:spacing w:after="0" w:line="401" w:lineRule="auto"/>
        <w:tabs>
          <w:tab w:leader="none" w:pos="931" w:val="left"/>
        </w:tabs>
        <w:numPr>
          <w:ilvl w:val="0"/>
          <w:numId w:val="407"/>
        </w:numPr>
        <w:rPr>
          <w:rFonts w:ascii="Calibri" w:cs="Calibri" w:eastAsia="Calibri" w:hAnsi="Calibri"/>
          <w:sz w:val="20"/>
          <w:szCs w:val="20"/>
          <w:color w:val="auto"/>
        </w:rPr>
      </w:pPr>
      <w:r>
        <w:rPr>
          <w:rFonts w:ascii="Calibri" w:cs="Calibri" w:eastAsia="Calibri" w:hAnsi="Calibri"/>
          <w:sz w:val="20"/>
          <w:szCs w:val="20"/>
          <w:color w:val="auto"/>
        </w:rPr>
        <w:t xml:space="preserve">Net Capital Expenditures </w:t>
      </w:r>
      <w:r>
        <w:rPr>
          <w:rFonts w:ascii="Calibri" w:cs="Calibri" w:eastAsia="Calibri" w:hAnsi="Calibri"/>
          <w:sz w:val="20"/>
          <w:szCs w:val="20"/>
          <w:u w:val="single" w:color="auto"/>
          <w:color w:val="auto"/>
        </w:rPr>
        <w:t>plus</w:t>
      </w:r>
    </w:p>
    <w:p>
      <w:pPr>
        <w:ind w:left="920" w:hanging="264"/>
        <w:spacing w:after="0"/>
        <w:tabs>
          <w:tab w:leader="none" w:pos="920" w:val="left"/>
        </w:tabs>
        <w:numPr>
          <w:ilvl w:val="0"/>
          <w:numId w:val="407"/>
        </w:numPr>
        <w:rPr>
          <w:rFonts w:ascii="Calibri" w:cs="Calibri" w:eastAsia="Calibri" w:hAnsi="Calibri"/>
          <w:sz w:val="20"/>
          <w:szCs w:val="20"/>
          <w:color w:val="auto"/>
        </w:rPr>
      </w:pPr>
      <w:r>
        <w:rPr>
          <w:rFonts w:ascii="Calibri" w:cs="Calibri" w:eastAsia="Calibri" w:hAnsi="Calibri"/>
          <w:sz w:val="20"/>
          <w:szCs w:val="20"/>
          <w:color w:val="auto"/>
        </w:rPr>
        <w:t>Depreciaton and Amortzaton (previously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374" w:right="339" w:bottom="1440" w:gutter="0" w:footer="0" w:header="0"/>
        </w:sectPr>
      </w:pPr>
    </w:p>
    <w:bookmarkStart w:id="383" w:name="page384"/>
    <w:bookmarkEnd w:id="383"/>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Agreed Upon Procedures</w:t>
      </w:r>
      <w:r>
        <w:rPr>
          <w:rFonts w:ascii="Calibri" w:cs="Calibri" w:eastAsia="Calibri" w:hAnsi="Calibri"/>
          <w:sz w:val="20"/>
          <w:szCs w:val="20"/>
          <w:color w:val="auto"/>
        </w:rPr>
        <w:t>” means agreed-upon procedures to be performed by the Recipient’s Accountant’s in accordance with SSAE No. 19 with respect to the calculaton of the Upside Sharing Amount and the Carve-Out Financials pursuant to an agreed-upon procedures engagement by Recipient which agreed-upon procedures are specifed in the engagement leter and are approved by the Department.</w:t>
      </w:r>
    </w:p>
    <w:p>
      <w:pPr>
        <w:spacing w:after="0" w:line="187" w:lineRule="exact"/>
        <w:rPr>
          <w:sz w:val="20"/>
          <w:szCs w:val="20"/>
          <w:color w:val="auto"/>
        </w:rPr>
      </w:pPr>
    </w:p>
    <w:p>
      <w:pPr>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Disbursement Rato</w:t>
      </w:r>
      <w:r>
        <w:rPr>
          <w:rFonts w:ascii="Calibri" w:cs="Calibri" w:eastAsia="Calibri" w:hAnsi="Calibri"/>
          <w:sz w:val="20"/>
          <w:szCs w:val="20"/>
          <w:color w:val="auto"/>
        </w:rPr>
        <w:t xml:space="preserve"> ” means, as of any date of determinaton, the rato, expressed as a percentage, equal to (a) the Actual Cumulatve Disbursement Amount as of such date divided by (b) the Actual Cumulatve Capex Amount as of such date.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Milestone Completon Date</w:t>
      </w:r>
      <w:r>
        <w:rPr>
          <w:rFonts w:ascii="Calibri" w:cs="Calibri" w:eastAsia="Calibri" w:hAnsi="Calibri"/>
          <w:sz w:val="20"/>
          <w:szCs w:val="20"/>
          <w:color w:val="auto"/>
        </w:rPr>
        <w:t>” means, with respect to any Disbursement Milestone, the date on which the Recipient has actually completed such Disbursement Milestone, as such date is to be confrmed by the Department in consultaton with the Constructon Advisor afer the receipt of a Direct Funding Disbursement Request.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Advanced Packaging Resiliency Objectves</w:t>
      </w:r>
      <w:r>
        <w:rPr>
          <w:rFonts w:ascii="Calibri" w:cs="Calibri" w:eastAsia="Calibri" w:hAnsi="Calibri"/>
          <w:sz w:val="20"/>
          <w:szCs w:val="20"/>
          <w:color w:val="auto"/>
        </w:rPr>
        <w:t>” means the following advanced packaging resiliency objectves:</w:t>
      </w:r>
    </w:p>
    <w:p>
      <w:pPr>
        <w:spacing w:after="0" w:line="184" w:lineRule="exact"/>
        <w:rPr>
          <w:sz w:val="20"/>
          <w:szCs w:val="20"/>
          <w:color w:val="auto"/>
        </w:rPr>
      </w:pPr>
    </w:p>
    <w:p>
      <w:pPr>
        <w:jc w:val="both"/>
        <w:ind w:left="1300" w:hanging="644"/>
        <w:spacing w:after="0" w:line="203" w:lineRule="auto"/>
        <w:tabs>
          <w:tab w:leader="none" w:pos="1304" w:val="left"/>
        </w:tabs>
        <w:numPr>
          <w:ilvl w:val="0"/>
          <w:numId w:val="408"/>
        </w:numPr>
        <w:rPr>
          <w:rFonts w:ascii="Calibri" w:cs="Calibri" w:eastAsia="Calibri" w:hAnsi="Calibri"/>
          <w:sz w:val="20"/>
          <w:szCs w:val="20"/>
          <w:color w:val="auto"/>
        </w:rPr>
      </w:pPr>
      <w:r>
        <w:rPr>
          <w:rFonts w:ascii="Calibri" w:cs="Calibri" w:eastAsia="Calibri" w:hAnsi="Calibri"/>
          <w:sz w:val="20"/>
          <w:szCs w:val="20"/>
          <w:color w:val="auto"/>
        </w:rPr>
        <w:t xml:space="preserve">on or before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the Sponsor Guarantor and its subsidiaries, on a Consolidated Basis, shall have the operatonal capability and installed equipment capacity to package HBM wafers in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in an amount of not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the total amount of HBM wafers that the Sponsor Guarantor and its subsidiaries have the operatonal capability and installed equipment capacity to produce on a global basis; and</w:t>
      </w:r>
    </w:p>
    <w:p>
      <w:pPr>
        <w:spacing w:after="0" w:line="163" w:lineRule="exact"/>
        <w:rPr>
          <w:rFonts w:ascii="Calibri" w:cs="Calibri" w:eastAsia="Calibri" w:hAnsi="Calibri"/>
          <w:sz w:val="20"/>
          <w:szCs w:val="20"/>
          <w:color w:val="auto"/>
        </w:rPr>
      </w:pPr>
    </w:p>
    <w:p>
      <w:pPr>
        <w:ind w:left="1300" w:hanging="644"/>
        <w:spacing w:after="0"/>
        <w:tabs>
          <w:tab w:leader="none" w:pos="1300" w:val="left"/>
        </w:tabs>
        <w:numPr>
          <w:ilvl w:val="0"/>
          <w:numId w:val="408"/>
        </w:numPr>
        <w:rPr>
          <w:rFonts w:ascii="Calibri" w:cs="Calibri" w:eastAsia="Calibri" w:hAnsi="Calibri"/>
          <w:sz w:val="20"/>
          <w:szCs w:val="20"/>
          <w:color w:val="auto"/>
        </w:rPr>
      </w:pPr>
      <w:r>
        <w:rPr>
          <w:rFonts w:ascii="Calibri" w:cs="Calibri" w:eastAsia="Calibri" w:hAnsi="Calibri"/>
          <w:sz w:val="20"/>
          <w:szCs w:val="20"/>
          <w:color w:val="auto"/>
        </w:rPr>
        <w:t xml:space="preserve">the operatonal capability to package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HBM wafers manufactured by the Recipient in </w:t>
      </w:r>
      <w:r>
        <w:rPr>
          <w:rFonts w:ascii="Calibri" w:cs="Calibri" w:eastAsia="Calibri" w:hAnsi="Calibri"/>
          <w:sz w:val="20"/>
          <w:szCs w:val="20"/>
          <w:b w:val="1"/>
          <w:bCs w:val="1"/>
          <w:color w:val="auto"/>
        </w:rPr>
        <w:t>[***].</w:t>
      </w:r>
    </w:p>
    <w:p>
      <w:pPr>
        <w:spacing w:after="0" w:line="184"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xml:space="preserve">” means the Recipient’s advanced packaging resiliency plan, in form and substance satsfactory to the Department, from tme to tme in efect, which plan shall (a) provide for the constructon and/or expansion of one or more advanced packaging facilites in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(b) include a producton ramp plan that commences on or before calendar year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provides for an expected producton output capacity of at least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by the end of calendar year</w:t>
      </w:r>
      <w:r>
        <w:rPr>
          <w:rFonts w:ascii="Calibri" w:cs="Calibri" w:eastAsia="Calibri" w:hAnsi="Calibri"/>
          <w:sz w:val="20"/>
          <w:szCs w:val="20"/>
          <w:b w:val="1"/>
          <w:bCs w:val="1"/>
          <w:color w:val="auto"/>
        </w:rPr>
        <w:t>[***]</w:t>
      </w:r>
      <w:r>
        <w:rPr>
          <w:rFonts w:ascii="Calibri" w:cs="Calibri" w:eastAsia="Calibri" w:hAnsi="Calibri"/>
          <w:sz w:val="20"/>
          <w:szCs w:val="20"/>
          <w:color w:val="auto"/>
        </w:rPr>
        <w:t>, for the purpose of meetng the Advanced Packaging Resiliency Objectves.</w:t>
      </w:r>
    </w:p>
    <w:p>
      <w:pPr>
        <w:spacing w:after="0" w:line="184"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Afliate</w:t>
      </w:r>
      <w:r>
        <w:rPr>
          <w:rFonts w:ascii="Calibri" w:cs="Calibri" w:eastAsia="Calibri" w:hAnsi="Calibri"/>
          <w:sz w:val="20"/>
          <w:szCs w:val="20"/>
          <w:color w:val="auto"/>
        </w:rPr>
        <w:t>” means with respect to any Person, any other Person that directly or indirectly Controls, or is under common Control with, or is Controlled by, such Person; provided, that, in any event and for all purposes of the Financing Documents, the Sponsor Guarantor, or any Afliate of the Sponsor Guarantor shall be deemed an “Afliate” of the Recipient.</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has the meaning set forth in the preamble hereto, which agreement states the terms and conditons by which the Secretary agrees to make an Award available to the Recipient and the obligatons and dutes of the Recipient in connecton therewith and satsfes the meaning as “Required Agreement” in 15 C.F.R. § 112.</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Amortzaton</w:t>
      </w:r>
      <w:r>
        <w:rPr>
          <w:rFonts w:ascii="Calibri" w:cs="Calibri" w:eastAsia="Calibri" w:hAnsi="Calibri"/>
          <w:sz w:val="20"/>
          <w:szCs w:val="20"/>
          <w:color w:val="auto"/>
        </w:rPr>
        <w:t>” has the meaning set forth in the Applicable Accountng Requirements.</w:t>
      </w:r>
    </w:p>
    <w:p>
      <w:pPr>
        <w:spacing w:after="0" w:line="184"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Antcipated Completon Date</w:t>
      </w:r>
      <w:r>
        <w:rPr>
          <w:rFonts w:ascii="Calibri" w:cs="Calibri" w:eastAsia="Calibri" w:hAnsi="Calibri"/>
          <w:sz w:val="20"/>
          <w:szCs w:val="20"/>
          <w:color w:val="auto"/>
        </w:rPr>
        <w:t>” means, with respect to any Disbursement Milestone, the relevant date set forth in the Disbursement Milestone Schedule under the column enttled “Antcipated Completon Date” for such Disbursement Milestone.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Ant-Corrupton Laws</w:t>
      </w:r>
      <w:r>
        <w:rPr>
          <w:rFonts w:ascii="Calibri" w:cs="Calibri" w:eastAsia="Calibri" w:hAnsi="Calibri"/>
          <w:sz w:val="20"/>
          <w:szCs w:val="20"/>
          <w:color w:val="auto"/>
        </w:rPr>
        <w:t>” means all laws, rules, regulatons, or orders with jurisdicton over any Recipient Party or the Project concerning or relatng to bribery or corrupton in the public or private sector, including, the United States Foreign Corrupt Practces Act of 1977, as amended.</w:t>
      </w:r>
    </w:p>
    <w:p>
      <w:pPr>
        <w:spacing w:after="0" w:line="19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Times New Roman" w:cs="Times New Roman" w:eastAsia="Times New Roman" w:hAnsi="Times New Roman"/>
          <w:sz w:val="20"/>
          <w:szCs w:val="20"/>
          <w:b w:val="1"/>
          <w:bCs w:val="1"/>
          <w:color w:val="auto"/>
        </w:rPr>
        <w:t>Anti-Deficiency Act</w:t>
      </w:r>
      <w:r>
        <w:rPr>
          <w:rFonts w:ascii="Calibri" w:cs="Calibri" w:eastAsia="Calibri" w:hAnsi="Calibri"/>
          <w:sz w:val="20"/>
          <w:szCs w:val="20"/>
          <w:color w:val="auto"/>
        </w:rPr>
        <w:t>” means 31 U.S.C. §§ 1341 and 1517.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84" w:right="339" w:bottom="1440" w:gutter="0" w:footer="0" w:header="0"/>
        </w:sectPr>
      </w:pPr>
    </w:p>
    <w:bookmarkStart w:id="384" w:name="page385"/>
    <w:bookmarkEnd w:id="384"/>
    <w:p>
      <w:pPr>
        <w:jc w:val="both"/>
        <w:ind w:right="20"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Ant-Money Laundering Laws</w:t>
      </w:r>
      <w:r>
        <w:rPr>
          <w:rFonts w:ascii="Calibri" w:cs="Calibri" w:eastAsia="Calibri" w:hAnsi="Calibri"/>
          <w:sz w:val="20"/>
          <w:szCs w:val="20"/>
          <w:color w:val="auto"/>
        </w:rPr>
        <w:t>” means the Currency and Foreign Transactons Reportng Act of 1970 (otherwise known as the Bank Secrecy Act), the Patriot Act, the Ant-Money Laundering Act of 2020, the Money Laundering Control Act, the rules and regulatons thereunder and any similar Applicable Laws relatng to money laundering, terrorist fnancing, or fnancial recordkeeping and recording requirements administered or enforced by any United States of America governmental agency, or any other jurisdicton in which the Recipient operates or conducts business.</w:t>
      </w:r>
    </w:p>
    <w:p>
      <w:pPr>
        <w:spacing w:after="0" w:line="174" w:lineRule="exact"/>
        <w:rPr>
          <w:sz w:val="20"/>
          <w:szCs w:val="20"/>
          <w:color w:val="auto"/>
        </w:rPr>
      </w:pPr>
    </w:p>
    <w:p>
      <w:pPr>
        <w:jc w:val="both"/>
        <w:ind w:right="20"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Applicable Accountng Requirements</w:t>
      </w:r>
      <w:r>
        <w:rPr>
          <w:rFonts w:ascii="Calibri" w:cs="Calibri" w:eastAsia="Calibri" w:hAnsi="Calibri"/>
          <w:sz w:val="20"/>
          <w:szCs w:val="20"/>
          <w:color w:val="auto"/>
        </w:rPr>
        <w:t>” means GAAP, and in respect of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 the following (with each element of the Carve-Out Financials specifed below being at the Project level using Recipient fnancial informaton for the applicable Fiscal Year, unless otherwise specifed as being based on Sponsor Guarantor consolidated informaton):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580" w:type="dxa"/>
            <w:vAlign w:val="bottom"/>
          </w:tcPr>
          <w:p>
            <w:pPr>
              <w:ind w:left="40"/>
              <w:spacing w:after="0"/>
              <w:rPr>
                <w:sz w:val="20"/>
                <w:szCs w:val="20"/>
                <w:color w:val="auto"/>
              </w:rPr>
            </w:pPr>
            <w:r>
              <w:rPr>
                <w:rFonts w:ascii="Calibri" w:cs="Calibri" w:eastAsia="Calibri" w:hAnsi="Calibri"/>
                <w:sz w:val="20"/>
                <w:szCs w:val="20"/>
                <w:b w:val="1"/>
                <w:bCs w:val="1"/>
                <w:color w:val="auto"/>
              </w:rPr>
              <w:t>Applicable</w:t>
            </w:r>
          </w:p>
        </w:tc>
        <w:tc>
          <w:tcPr>
            <w:tcW w:w="2540" w:type="dxa"/>
            <w:vAlign w:val="bottom"/>
            <w:gridSpan w:val="2"/>
          </w:tcPr>
          <w:p>
            <w:pPr>
              <w:jc w:val="right"/>
              <w:ind w:right="221"/>
              <w:spacing w:after="0"/>
              <w:rPr>
                <w:sz w:val="20"/>
                <w:szCs w:val="20"/>
                <w:color w:val="auto"/>
              </w:rPr>
            </w:pPr>
            <w:r>
              <w:rPr>
                <w:rFonts w:ascii="Calibri" w:cs="Calibri" w:eastAsia="Calibri" w:hAnsi="Calibri"/>
                <w:sz w:val="20"/>
                <w:szCs w:val="20"/>
                <w:b w:val="1"/>
                <w:bCs w:val="1"/>
                <w:color w:val="auto"/>
              </w:rPr>
              <w:t>Accountng Defniton</w:t>
            </w:r>
          </w:p>
        </w:tc>
        <w:tc>
          <w:tcPr>
            <w:tcW w:w="7140" w:type="dxa"/>
            <w:vAlign w:val="bottom"/>
          </w:tcPr>
          <w:p>
            <w:pPr>
              <w:spacing w:after="0"/>
              <w:rPr>
                <w:sz w:val="21"/>
                <w:szCs w:val="21"/>
                <w:color w:val="auto"/>
              </w:rPr>
            </w:pPr>
          </w:p>
        </w:tc>
      </w:tr>
      <w:tr>
        <w:trPr>
          <w:trHeight w:val="234"/>
        </w:trPr>
        <w:tc>
          <w:tcPr>
            <w:tcW w:w="1580" w:type="dxa"/>
            <w:vAlign w:val="bottom"/>
          </w:tcPr>
          <w:p>
            <w:pPr>
              <w:ind w:left="40"/>
              <w:spacing w:after="0" w:line="234" w:lineRule="exact"/>
              <w:rPr>
                <w:sz w:val="20"/>
                <w:szCs w:val="20"/>
                <w:color w:val="auto"/>
              </w:rPr>
            </w:pPr>
            <w:r>
              <w:rPr>
                <w:rFonts w:ascii="Calibri" w:cs="Calibri" w:eastAsia="Calibri" w:hAnsi="Calibri"/>
                <w:sz w:val="20"/>
                <w:szCs w:val="20"/>
                <w:b w:val="1"/>
                <w:bCs w:val="1"/>
                <w:color w:val="auto"/>
              </w:rPr>
              <w:t>Requirements</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33"/>
        </w:trPr>
        <w:tc>
          <w:tcPr>
            <w:tcW w:w="1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r>
      <w:tr>
        <w:trPr>
          <w:trHeight w:val="231"/>
        </w:trPr>
        <w:tc>
          <w:tcPr>
            <w:tcW w:w="1580" w:type="dxa"/>
            <w:vAlign w:val="bottom"/>
          </w:tcPr>
          <w:p>
            <w:pPr>
              <w:ind w:left="40"/>
              <w:spacing w:after="0" w:line="230" w:lineRule="exact"/>
              <w:rPr>
                <w:sz w:val="20"/>
                <w:szCs w:val="20"/>
                <w:color w:val="auto"/>
              </w:rPr>
            </w:pPr>
            <w:r>
              <w:rPr>
                <w:rFonts w:ascii="Calibri" w:cs="Calibri" w:eastAsia="Calibri" w:hAnsi="Calibri"/>
                <w:sz w:val="20"/>
                <w:szCs w:val="20"/>
                <w:color w:val="auto"/>
              </w:rPr>
              <w:t>Total Revenue</w:t>
            </w:r>
          </w:p>
        </w:tc>
        <w:tc>
          <w:tcPr>
            <w:tcW w:w="1140" w:type="dxa"/>
            <w:vAlign w:val="bottom"/>
          </w:tcPr>
          <w:p>
            <w:pPr>
              <w:spacing w:after="0"/>
              <w:rPr>
                <w:sz w:val="20"/>
                <w:szCs w:val="20"/>
                <w:color w:val="auto"/>
              </w:rPr>
            </w:pPr>
          </w:p>
        </w:tc>
        <w:tc>
          <w:tcPr>
            <w:tcW w:w="1400" w:type="dxa"/>
            <w:vAlign w:val="bottom"/>
          </w:tcPr>
          <w:p>
            <w:pPr>
              <w:jc w:val="right"/>
              <w:ind w:right="121"/>
              <w:spacing w:after="0" w:line="230" w:lineRule="exact"/>
              <w:rPr>
                <w:sz w:val="20"/>
                <w:szCs w:val="20"/>
                <w:color w:val="auto"/>
              </w:rPr>
            </w:pPr>
            <w:r>
              <w:rPr>
                <w:rFonts w:ascii="Calibri" w:cs="Calibri" w:eastAsia="Calibri" w:hAnsi="Calibri"/>
                <w:sz w:val="20"/>
                <w:szCs w:val="20"/>
                <w:color w:val="auto"/>
              </w:rPr>
              <w:t>(1)</w:t>
            </w:r>
          </w:p>
        </w:tc>
        <w:tc>
          <w:tcPr>
            <w:tcW w:w="7140" w:type="dxa"/>
            <w:vAlign w:val="bottom"/>
          </w:tcPr>
          <w:p>
            <w:pPr>
              <w:jc w:val="right"/>
              <w:ind w:right="6461"/>
              <w:spacing w:after="0" w:line="230" w:lineRule="exact"/>
              <w:rPr>
                <w:sz w:val="20"/>
                <w:szCs w:val="20"/>
                <w:color w:val="auto"/>
              </w:rPr>
            </w:pPr>
            <w:r>
              <w:rPr>
                <w:rFonts w:ascii="Calibri" w:cs="Calibri" w:eastAsia="Calibri" w:hAnsi="Calibri"/>
                <w:sz w:val="20"/>
                <w:szCs w:val="20"/>
                <w:b w:val="1"/>
                <w:bCs w:val="1"/>
                <w:color w:val="auto"/>
              </w:rPr>
              <w:t>[***]</w:t>
            </w:r>
          </w:p>
        </w:tc>
      </w:tr>
      <w:tr>
        <w:trPr>
          <w:trHeight w:val="276"/>
        </w:trPr>
        <w:tc>
          <w:tcPr>
            <w:tcW w:w="2720" w:type="dxa"/>
            <w:vAlign w:val="bottom"/>
            <w:tcBorders>
              <w:bottom w:val="single" w:sz="8" w:color="auto"/>
            </w:tcBorders>
            <w:gridSpan w:val="2"/>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r>
        <w:trPr>
          <w:trHeight w:val="231"/>
        </w:trPr>
        <w:tc>
          <w:tcPr>
            <w:tcW w:w="2720" w:type="dxa"/>
            <w:vAlign w:val="bottom"/>
            <w:gridSpan w:val="2"/>
          </w:tcPr>
          <w:p>
            <w:pPr>
              <w:ind w:left="80"/>
              <w:spacing w:after="0" w:line="230" w:lineRule="exact"/>
              <w:rPr>
                <w:sz w:val="20"/>
                <w:szCs w:val="20"/>
                <w:color w:val="auto"/>
              </w:rPr>
            </w:pPr>
            <w:r>
              <w:rPr>
                <w:rFonts w:ascii="Calibri" w:cs="Calibri" w:eastAsia="Calibri" w:hAnsi="Calibri"/>
                <w:sz w:val="20"/>
                <w:szCs w:val="20"/>
                <w:color w:val="auto"/>
              </w:rPr>
              <w:t>Cost of Goods Sold (“</w:t>
            </w:r>
            <w:r>
              <w:rPr>
                <w:rFonts w:ascii="Calibri" w:cs="Calibri" w:eastAsia="Calibri" w:hAnsi="Calibri"/>
                <w:sz w:val="20"/>
                <w:szCs w:val="20"/>
                <w:b w:val="1"/>
                <w:bCs w:val="1"/>
                <w:color w:val="auto"/>
              </w:rPr>
              <w:t>COGS</w:t>
            </w:r>
            <w:r>
              <w:rPr>
                <w:rFonts w:ascii="Calibri" w:cs="Calibri" w:eastAsia="Calibri" w:hAnsi="Calibri"/>
                <w:sz w:val="20"/>
                <w:szCs w:val="20"/>
                <w:color w:val="auto"/>
              </w:rPr>
              <w:t>”)</w:t>
            </w:r>
          </w:p>
        </w:tc>
        <w:tc>
          <w:tcPr>
            <w:tcW w:w="1400" w:type="dxa"/>
            <w:vAlign w:val="bottom"/>
          </w:tcPr>
          <w:p>
            <w:pPr>
              <w:jc w:val="right"/>
              <w:ind w:right="41"/>
              <w:spacing w:after="0" w:line="230" w:lineRule="exact"/>
              <w:rPr>
                <w:sz w:val="20"/>
                <w:szCs w:val="20"/>
                <w:color w:val="auto"/>
              </w:rPr>
            </w:pPr>
            <w:r>
              <w:rPr>
                <w:rFonts w:ascii="Calibri" w:cs="Calibri" w:eastAsia="Calibri" w:hAnsi="Calibri"/>
                <w:sz w:val="20"/>
                <w:szCs w:val="20"/>
                <w:color w:val="auto"/>
              </w:rPr>
              <w:t>The sum of:</w:t>
            </w:r>
          </w:p>
        </w:tc>
        <w:tc>
          <w:tcPr>
            <w:tcW w:w="7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140575" cy="80321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40575" cy="8032115"/>
                    </a:xfrm>
                    <a:prstGeom prst="rect">
                      <a:avLst/>
                    </a:prstGeom>
                    <a:noFill/>
                  </pic:spPr>
                </pic:pic>
              </a:graphicData>
            </a:graphic>
          </wp:anchor>
        </w:drawing>
      </w:r>
    </w:p>
    <w:p>
      <w:pPr>
        <w:spacing w:after="0" w:line="127" w:lineRule="exact"/>
        <w:rPr>
          <w:sz w:val="20"/>
          <w:szCs w:val="20"/>
          <w:color w:val="auto"/>
        </w:rPr>
      </w:pPr>
    </w:p>
    <w:p>
      <w:pPr>
        <w:ind w:left="3620" w:hanging="651"/>
        <w:spacing w:after="0"/>
        <w:tabs>
          <w:tab w:leader="none" w:pos="3620" w:val="left"/>
        </w:tabs>
        <w:numPr>
          <w:ilvl w:val="0"/>
          <w:numId w:val="409"/>
        </w:numPr>
        <w:rPr>
          <w:rFonts w:ascii="Calibri" w:cs="Calibri" w:eastAsia="Calibri" w:hAnsi="Calibri"/>
          <w:sz w:val="20"/>
          <w:szCs w:val="20"/>
          <w:color w:val="auto"/>
        </w:rPr>
      </w:pPr>
      <w:r>
        <w:rPr>
          <w:rFonts w:ascii="Calibri" w:cs="Calibri" w:eastAsia="Calibri" w:hAnsi="Calibri"/>
          <w:sz w:val="20"/>
          <w:szCs w:val="20"/>
          <w:color w:val="auto"/>
        </w:rPr>
        <w:t>Core COGS</w:t>
      </w:r>
    </w:p>
    <w:p>
      <w:pPr>
        <w:spacing w:after="0" w:line="201" w:lineRule="exact"/>
        <w:rPr>
          <w:rFonts w:ascii="Calibri" w:cs="Calibri" w:eastAsia="Calibri" w:hAnsi="Calibri"/>
          <w:sz w:val="20"/>
          <w:szCs w:val="20"/>
          <w:color w:val="auto"/>
        </w:rPr>
      </w:pPr>
    </w:p>
    <w:p>
      <w:pPr>
        <w:ind w:left="3020"/>
        <w:spacing w:after="0"/>
        <w:rPr>
          <w:rFonts w:ascii="Calibri" w:cs="Calibri" w:eastAsia="Calibri" w:hAnsi="Calibri"/>
          <w:sz w:val="20"/>
          <w:szCs w:val="20"/>
          <w:color w:val="auto"/>
        </w:rPr>
      </w:pPr>
      <w:r>
        <w:rPr>
          <w:rFonts w:ascii="Calibri" w:cs="Calibri" w:eastAsia="Calibri" w:hAnsi="Calibri"/>
          <w:sz w:val="20"/>
          <w:szCs w:val="20"/>
          <w:u w:val="single" w:color="auto"/>
          <w:color w:val="auto"/>
        </w:rPr>
        <w:t>plus</w:t>
      </w:r>
    </w:p>
    <w:p>
      <w:pPr>
        <w:spacing w:after="0" w:line="174" w:lineRule="exact"/>
        <w:rPr>
          <w:rFonts w:ascii="Calibri" w:cs="Calibri" w:eastAsia="Calibri" w:hAnsi="Calibri"/>
          <w:sz w:val="20"/>
          <w:szCs w:val="20"/>
          <w:color w:val="auto"/>
        </w:rPr>
      </w:pPr>
    </w:p>
    <w:p>
      <w:pPr>
        <w:ind w:left="3620" w:hanging="651"/>
        <w:spacing w:after="0"/>
        <w:tabs>
          <w:tab w:leader="none" w:pos="3620" w:val="left"/>
        </w:tabs>
        <w:numPr>
          <w:ilvl w:val="0"/>
          <w:numId w:val="409"/>
        </w:numPr>
        <w:rPr>
          <w:rFonts w:ascii="Calibri" w:cs="Calibri" w:eastAsia="Calibri" w:hAnsi="Calibri"/>
          <w:sz w:val="20"/>
          <w:szCs w:val="20"/>
          <w:color w:val="auto"/>
        </w:rPr>
      </w:pPr>
      <w:r>
        <w:rPr>
          <w:rFonts w:ascii="Calibri" w:cs="Calibri" w:eastAsia="Calibri" w:hAnsi="Calibri"/>
          <w:sz w:val="20"/>
          <w:szCs w:val="20"/>
          <w:color w:val="auto"/>
        </w:rPr>
        <w:t>Other COGS.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1940" w:type="dxa"/>
            <w:vAlign w:val="bottom"/>
          </w:tcPr>
          <w:p>
            <w:pPr>
              <w:spacing w:after="0"/>
              <w:rPr>
                <w:sz w:val="20"/>
                <w:szCs w:val="20"/>
                <w:color w:val="auto"/>
              </w:rPr>
            </w:pPr>
            <w:r>
              <w:rPr>
                <w:rFonts w:ascii="Calibri" w:cs="Calibri" w:eastAsia="Calibri" w:hAnsi="Calibri"/>
                <w:sz w:val="20"/>
                <w:szCs w:val="20"/>
                <w:color w:val="auto"/>
              </w:rPr>
              <w:t>Core COGS</w:t>
            </w:r>
          </w:p>
        </w:tc>
        <w:tc>
          <w:tcPr>
            <w:tcW w:w="3580" w:type="dxa"/>
            <w:vAlign w:val="bottom"/>
          </w:tcPr>
          <w:p>
            <w:pPr>
              <w:ind w:left="1040"/>
              <w:spacing w:after="0"/>
              <w:rPr>
                <w:sz w:val="20"/>
                <w:szCs w:val="20"/>
                <w:color w:val="auto"/>
              </w:rPr>
            </w:pPr>
            <w:r>
              <w:rPr>
                <w:rFonts w:ascii="Calibri" w:cs="Calibri" w:eastAsia="Calibri" w:hAnsi="Calibri"/>
                <w:sz w:val="20"/>
                <w:szCs w:val="20"/>
                <w:color w:val="auto"/>
                <w:w w:val="99"/>
              </w:rPr>
              <w:t>The sum of the following costs:</w:t>
            </w:r>
          </w:p>
        </w:tc>
      </w:tr>
    </w:tbl>
    <w:p>
      <w:pPr>
        <w:spacing w:after="0" w:line="174" w:lineRule="exact"/>
        <w:rPr>
          <w:sz w:val="20"/>
          <w:szCs w:val="20"/>
          <w:color w:val="auto"/>
        </w:rPr>
      </w:pPr>
    </w:p>
    <w:p>
      <w:pPr>
        <w:ind w:left="3620" w:hanging="651"/>
        <w:spacing w:after="0"/>
        <w:tabs>
          <w:tab w:leader="none" w:pos="3620" w:val="left"/>
        </w:tabs>
        <w:numPr>
          <w:ilvl w:val="0"/>
          <w:numId w:val="410"/>
        </w:numPr>
        <w:rPr>
          <w:rFonts w:ascii="Calibri" w:cs="Calibri" w:eastAsia="Calibri" w:hAnsi="Calibri"/>
          <w:sz w:val="20"/>
          <w:szCs w:val="20"/>
          <w:color w:val="auto"/>
        </w:rPr>
      </w:pPr>
      <w:r>
        <w:rPr>
          <w:rFonts w:ascii="Calibri" w:cs="Calibri" w:eastAsia="Calibri" w:hAnsi="Calibri"/>
          <w:sz w:val="20"/>
          <w:szCs w:val="20"/>
          <w:color w:val="auto"/>
        </w:rPr>
        <w:t>Direct and indirect fully loaded labor cost.</w:t>
      </w:r>
    </w:p>
    <w:p>
      <w:pPr>
        <w:spacing w:after="0" w:line="201" w:lineRule="exact"/>
        <w:rPr>
          <w:rFonts w:ascii="Calibri" w:cs="Calibri" w:eastAsia="Calibri" w:hAnsi="Calibri"/>
          <w:sz w:val="20"/>
          <w:szCs w:val="20"/>
          <w:color w:val="auto"/>
        </w:rPr>
      </w:pPr>
    </w:p>
    <w:p>
      <w:pPr>
        <w:ind w:left="3020"/>
        <w:spacing w:after="0"/>
        <w:rPr>
          <w:rFonts w:ascii="Calibri" w:cs="Calibri" w:eastAsia="Calibri" w:hAnsi="Calibri"/>
          <w:sz w:val="20"/>
          <w:szCs w:val="20"/>
          <w:color w:val="auto"/>
        </w:rPr>
      </w:pPr>
      <w:r>
        <w:rPr>
          <w:rFonts w:ascii="Calibri" w:cs="Calibri" w:eastAsia="Calibri" w:hAnsi="Calibri"/>
          <w:sz w:val="20"/>
          <w:szCs w:val="20"/>
          <w:u w:val="single" w:color="auto"/>
          <w:color w:val="auto"/>
        </w:rPr>
        <w:t>plus</w:t>
      </w:r>
    </w:p>
    <w:p>
      <w:pPr>
        <w:spacing w:after="0" w:line="184" w:lineRule="exact"/>
        <w:rPr>
          <w:rFonts w:ascii="Calibri" w:cs="Calibri" w:eastAsia="Calibri" w:hAnsi="Calibri"/>
          <w:sz w:val="20"/>
          <w:szCs w:val="20"/>
          <w:color w:val="auto"/>
        </w:rPr>
      </w:pPr>
    </w:p>
    <w:p>
      <w:pPr>
        <w:jc w:val="both"/>
        <w:ind w:left="3620" w:right="100" w:hanging="651"/>
        <w:spacing w:after="0" w:line="205" w:lineRule="auto"/>
        <w:tabs>
          <w:tab w:leader="none" w:pos="3616" w:val="left"/>
        </w:tabs>
        <w:numPr>
          <w:ilvl w:val="0"/>
          <w:numId w:val="410"/>
        </w:numPr>
        <w:rPr>
          <w:rFonts w:ascii="Calibri" w:cs="Calibri" w:eastAsia="Calibri" w:hAnsi="Calibri"/>
          <w:sz w:val="20"/>
          <w:szCs w:val="20"/>
          <w:color w:val="auto"/>
        </w:rPr>
      </w:pPr>
      <w:r>
        <w:rPr>
          <w:rFonts w:ascii="Calibri" w:cs="Calibri" w:eastAsia="Calibri" w:hAnsi="Calibri"/>
          <w:sz w:val="20"/>
          <w:szCs w:val="20"/>
          <w:color w:val="auto"/>
        </w:rPr>
        <w:t>Material and spares costs, including, but not limited to, prime wafers, chemicals, photoresist, gases, slurry, test wafers, targets, polishing pads, repairs and maintenance, service contracts and operatng supplies.</w:t>
      </w:r>
    </w:p>
    <w:p>
      <w:pPr>
        <w:spacing w:after="0" w:line="202" w:lineRule="exact"/>
        <w:rPr>
          <w:sz w:val="20"/>
          <w:szCs w:val="20"/>
          <w:color w:val="auto"/>
        </w:rPr>
      </w:pPr>
    </w:p>
    <w:p>
      <w:pPr>
        <w:ind w:left="3020"/>
        <w:spacing w:after="0"/>
        <w:rPr>
          <w:sz w:val="20"/>
          <w:szCs w:val="20"/>
          <w:color w:val="auto"/>
        </w:rPr>
      </w:pPr>
      <w:r>
        <w:rPr>
          <w:rFonts w:ascii="Calibri" w:cs="Calibri" w:eastAsia="Calibri" w:hAnsi="Calibri"/>
          <w:sz w:val="20"/>
          <w:szCs w:val="20"/>
          <w:u w:val="single" w:color="auto"/>
          <w:color w:val="auto"/>
        </w:rPr>
        <w:t>plus</w:t>
      </w:r>
    </w:p>
    <w:p>
      <w:pPr>
        <w:spacing w:after="0" w:line="198" w:lineRule="exact"/>
        <w:rPr>
          <w:sz w:val="20"/>
          <w:szCs w:val="20"/>
          <w:color w:val="auto"/>
        </w:rPr>
      </w:pPr>
    </w:p>
    <w:p>
      <w:pPr>
        <w:ind w:left="3620" w:right="100" w:hanging="651"/>
        <w:spacing w:after="0"/>
        <w:tabs>
          <w:tab w:leader="none" w:pos="3616" w:val="left"/>
        </w:tabs>
        <w:numPr>
          <w:ilvl w:val="0"/>
          <w:numId w:val="411"/>
        </w:numPr>
        <w:rPr>
          <w:rFonts w:ascii="Calibri" w:cs="Calibri" w:eastAsia="Calibri" w:hAnsi="Calibri"/>
          <w:sz w:val="20"/>
          <w:szCs w:val="20"/>
          <w:color w:val="auto"/>
        </w:rPr>
      </w:pPr>
      <w:r>
        <w:rPr>
          <w:rFonts w:ascii="Calibri" w:cs="Calibri" w:eastAsia="Calibri" w:hAnsi="Calibri"/>
          <w:sz w:val="20"/>
          <w:szCs w:val="20"/>
          <w:color w:val="auto"/>
        </w:rPr>
        <w:t>Utlites costs, including, but not limited to, electricity, gas, wastewater treatment, and water.</w:t>
      </w:r>
    </w:p>
    <w:p>
      <w:pPr>
        <w:spacing w:after="0" w:line="381" w:lineRule="exact"/>
        <w:rPr>
          <w:sz w:val="20"/>
          <w:szCs w:val="20"/>
          <w:color w:val="auto"/>
        </w:rPr>
      </w:pPr>
    </w:p>
    <w:p>
      <w:pPr>
        <w:ind w:left="3020"/>
        <w:spacing w:after="0"/>
        <w:rPr>
          <w:sz w:val="20"/>
          <w:szCs w:val="20"/>
          <w:color w:val="auto"/>
        </w:rPr>
      </w:pPr>
      <w:r>
        <w:rPr>
          <w:rFonts w:ascii="Calibri" w:cs="Calibri" w:eastAsia="Calibri" w:hAnsi="Calibri"/>
          <w:sz w:val="20"/>
          <w:szCs w:val="20"/>
          <w:u w:val="single" w:color="auto"/>
          <w:color w:val="auto"/>
        </w:rPr>
        <w:t>plus</w:t>
      </w:r>
    </w:p>
    <w:p>
      <w:pPr>
        <w:spacing w:after="0" w:line="198" w:lineRule="exact"/>
        <w:rPr>
          <w:sz w:val="20"/>
          <w:szCs w:val="20"/>
          <w:color w:val="auto"/>
        </w:rPr>
      </w:pPr>
    </w:p>
    <w:p>
      <w:pPr>
        <w:ind w:left="3620" w:right="100" w:hanging="651"/>
        <w:spacing w:after="0" w:line="208" w:lineRule="auto"/>
        <w:tabs>
          <w:tab w:leader="none" w:pos="3616" w:val="left"/>
        </w:tabs>
        <w:numPr>
          <w:ilvl w:val="0"/>
          <w:numId w:val="412"/>
        </w:numPr>
        <w:rPr>
          <w:rFonts w:ascii="Calibri" w:cs="Calibri" w:eastAsia="Calibri" w:hAnsi="Calibri"/>
          <w:sz w:val="20"/>
          <w:szCs w:val="20"/>
          <w:color w:val="auto"/>
        </w:rPr>
      </w:pPr>
      <w:r>
        <w:rPr>
          <w:rFonts w:ascii="Calibri" w:cs="Calibri" w:eastAsia="Calibri" w:hAnsi="Calibri"/>
          <w:sz w:val="20"/>
          <w:szCs w:val="20"/>
          <w:color w:val="auto"/>
        </w:rPr>
        <w:t>Depreciaton and Amortzaton arising from property, plant and equipment and intangible assets recognized in accordance with the Sponsor Guarantor’s GAAP accountng policies.</w:t>
      </w:r>
    </w:p>
    <w:p>
      <w:pPr>
        <w:spacing w:after="0" w:line="202" w:lineRule="exact"/>
        <w:rPr>
          <w:sz w:val="20"/>
          <w:szCs w:val="20"/>
          <w:color w:val="auto"/>
        </w:rPr>
      </w:pPr>
    </w:p>
    <w:p>
      <w:pPr>
        <w:ind w:left="3020"/>
        <w:spacing w:after="0"/>
        <w:rPr>
          <w:sz w:val="20"/>
          <w:szCs w:val="20"/>
          <w:color w:val="auto"/>
        </w:rPr>
      </w:pPr>
      <w:r>
        <w:rPr>
          <w:rFonts w:ascii="Calibri" w:cs="Calibri" w:eastAsia="Calibri" w:hAnsi="Calibri"/>
          <w:sz w:val="20"/>
          <w:szCs w:val="20"/>
          <w:u w:val="single" w:color="auto"/>
          <w:color w:val="auto"/>
        </w:rPr>
        <w:t>plus</w:t>
      </w:r>
    </w:p>
    <w:p>
      <w:pPr>
        <w:spacing w:after="0" w:line="188" w:lineRule="exact"/>
        <w:rPr>
          <w:sz w:val="20"/>
          <w:szCs w:val="20"/>
          <w:color w:val="auto"/>
        </w:rPr>
      </w:pPr>
    </w:p>
    <w:p>
      <w:pPr>
        <w:ind w:left="3620" w:hanging="651"/>
        <w:spacing w:after="0"/>
        <w:tabs>
          <w:tab w:leader="none" w:pos="3620" w:val="left"/>
        </w:tabs>
        <w:numPr>
          <w:ilvl w:val="0"/>
          <w:numId w:val="413"/>
        </w:numPr>
        <w:rPr>
          <w:rFonts w:ascii="Calibri" w:cs="Calibri" w:eastAsia="Calibri" w:hAnsi="Calibri"/>
          <w:sz w:val="20"/>
          <w:szCs w:val="20"/>
          <w:color w:val="auto"/>
        </w:rPr>
      </w:pPr>
      <w:r>
        <w:rPr>
          <w:rFonts w:ascii="Calibri" w:cs="Calibri" w:eastAsia="Calibri" w:hAnsi="Calibri"/>
          <w:sz w:val="20"/>
          <w:szCs w:val="20"/>
          <w:color w:val="auto"/>
        </w:rPr>
        <w:t>Back end and other cost of sales, measured as the product of:</w:t>
      </w:r>
    </w:p>
    <w:p>
      <w:pPr>
        <w:spacing w:after="0" w:line="171" w:lineRule="exact"/>
        <w:rPr>
          <w:sz w:val="20"/>
          <w:szCs w:val="20"/>
          <w:color w:val="auto"/>
        </w:rPr>
      </w:pPr>
    </w:p>
    <w:p>
      <w:pPr>
        <w:ind w:left="3620" w:right="100" w:hanging="651"/>
        <w:spacing w:after="0" w:line="214" w:lineRule="auto"/>
        <w:tabs>
          <w:tab w:leader="none" w:pos="3614" w:val="left"/>
        </w:tabs>
        <w:numPr>
          <w:ilvl w:val="0"/>
          <w:numId w:val="414"/>
        </w:numPr>
        <w:rPr>
          <w:rFonts w:ascii="Calibri" w:cs="Calibri" w:eastAsia="Calibri" w:hAnsi="Calibri"/>
          <w:sz w:val="20"/>
          <w:szCs w:val="20"/>
          <w:color w:val="auto"/>
        </w:rPr>
      </w:pPr>
      <w:r>
        <w:rPr>
          <w:rFonts w:ascii="Calibri" w:cs="Calibri" w:eastAsia="Calibri" w:hAnsi="Calibri"/>
          <w:sz w:val="20"/>
          <w:szCs w:val="20"/>
          <w:color w:val="auto"/>
        </w:rPr>
        <w:t xml:space="preserve">Sponsor Guarantor’s consolidated cost of goods sold (as set forth in Sponsor Guarantor’s audited GAAP fnancial statements) multplied by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203" w:lineRule="exact"/>
        <w:rPr>
          <w:sz w:val="20"/>
          <w:szCs w:val="20"/>
          <w:color w:val="auto"/>
        </w:rPr>
      </w:pPr>
    </w:p>
    <w:p>
      <w:pPr>
        <w:ind w:left="3660"/>
        <w:spacing w:after="0"/>
        <w:rPr>
          <w:sz w:val="20"/>
          <w:szCs w:val="20"/>
          <w:color w:val="auto"/>
        </w:rPr>
      </w:pPr>
      <w:r>
        <w:rPr>
          <w:rFonts w:ascii="Calibri" w:cs="Calibri" w:eastAsia="Calibri" w:hAnsi="Calibri"/>
          <w:sz w:val="20"/>
          <w:szCs w:val="20"/>
          <w:u w:val="single" w:color="auto"/>
          <w:color w:val="auto"/>
        </w:rPr>
        <w:t>multplied by</w:t>
      </w:r>
    </w:p>
    <w:p>
      <w:pPr>
        <w:spacing w:after="0" w:line="174" w:lineRule="exact"/>
        <w:rPr>
          <w:sz w:val="20"/>
          <w:szCs w:val="20"/>
          <w:color w:val="auto"/>
        </w:rPr>
      </w:pPr>
    </w:p>
    <w:p>
      <w:pPr>
        <w:ind w:left="3620" w:hanging="651"/>
        <w:spacing w:after="0"/>
        <w:tabs>
          <w:tab w:leader="none" w:pos="3620" w:val="left"/>
        </w:tabs>
        <w:numPr>
          <w:ilvl w:val="0"/>
          <w:numId w:val="415"/>
        </w:numPr>
        <w:rPr>
          <w:rFonts w:ascii="Calibri" w:cs="Calibri" w:eastAsia="Calibri" w:hAnsi="Calibri"/>
          <w:sz w:val="20"/>
          <w:szCs w:val="20"/>
          <w:color w:val="auto"/>
        </w:rPr>
      </w:pPr>
      <w:r>
        <w:rPr>
          <w:rFonts w:ascii="Calibri" w:cs="Calibri" w:eastAsia="Calibri" w:hAnsi="Calibri"/>
          <w:sz w:val="20"/>
          <w:szCs w:val="20"/>
          <w:color w:val="auto"/>
        </w:rPr>
        <w:t>the quotent of</w:t>
      </w:r>
    </w:p>
    <w:p>
      <w:pPr>
        <w:spacing w:after="0" w:line="184" w:lineRule="exact"/>
        <w:rPr>
          <w:rFonts w:ascii="Calibri" w:cs="Calibri" w:eastAsia="Calibri" w:hAnsi="Calibri"/>
          <w:sz w:val="20"/>
          <w:szCs w:val="20"/>
          <w:color w:val="auto"/>
        </w:rPr>
      </w:pPr>
    </w:p>
    <w:p>
      <w:pPr>
        <w:ind w:left="4320" w:right="5200" w:hanging="55"/>
        <w:spacing w:after="0" w:line="415" w:lineRule="auto"/>
        <w:tabs>
          <w:tab w:leader="none" w:pos="4920" w:val="left"/>
        </w:tabs>
        <w:numPr>
          <w:ilvl w:val="1"/>
          <w:numId w:val="415"/>
        </w:numPr>
        <w:rPr>
          <w:rFonts w:ascii="Calibri" w:cs="Calibri" w:eastAsia="Calibri" w:hAnsi="Calibri"/>
          <w:sz w:val="20"/>
          <w:szCs w:val="20"/>
          <w:color w:val="auto"/>
        </w:rPr>
      </w:pPr>
      <w:r>
        <w:rPr>
          <w:rFonts w:ascii="Calibri" w:cs="Calibri" w:eastAsia="Calibri" w:hAnsi="Calibri"/>
          <w:sz w:val="20"/>
          <w:szCs w:val="20"/>
          <w:color w:val="auto"/>
        </w:rPr>
        <w:t xml:space="preserve">Total Revenue </w:t>
      </w:r>
      <w:r>
        <w:rPr>
          <w:rFonts w:ascii="Calibri" w:cs="Calibri" w:eastAsia="Calibri" w:hAnsi="Calibri"/>
          <w:sz w:val="20"/>
          <w:szCs w:val="20"/>
          <w:u w:val="single" w:color="auto"/>
          <w:color w:val="auto"/>
        </w:rPr>
        <w:t>divided by</w:t>
      </w:r>
    </w:p>
    <w:p>
      <w:pPr>
        <w:spacing w:after="0" w:line="19" w:lineRule="exact"/>
        <w:rPr>
          <w:rFonts w:ascii="Calibri" w:cs="Calibri" w:eastAsia="Calibri" w:hAnsi="Calibri"/>
          <w:sz w:val="20"/>
          <w:szCs w:val="20"/>
          <w:color w:val="auto"/>
        </w:rPr>
      </w:pPr>
    </w:p>
    <w:p>
      <w:pPr>
        <w:ind w:left="4920" w:right="100" w:hanging="655"/>
        <w:spacing w:after="0" w:line="214" w:lineRule="auto"/>
        <w:tabs>
          <w:tab w:leader="none" w:pos="4922" w:val="left"/>
        </w:tabs>
        <w:numPr>
          <w:ilvl w:val="1"/>
          <w:numId w:val="415"/>
        </w:numPr>
        <w:rPr>
          <w:rFonts w:ascii="Calibri" w:cs="Calibri" w:eastAsia="Calibri" w:hAnsi="Calibri"/>
          <w:sz w:val="20"/>
          <w:szCs w:val="20"/>
          <w:color w:val="auto"/>
        </w:rPr>
      </w:pPr>
      <w:r>
        <w:rPr>
          <w:rFonts w:ascii="Calibri" w:cs="Calibri" w:eastAsia="Calibri" w:hAnsi="Calibri"/>
          <w:sz w:val="20"/>
          <w:szCs w:val="20"/>
          <w:color w:val="auto"/>
        </w:rPr>
        <w:t>Sponsor Guarantor’s consolidated total revenue (as set forth in Sponsor Guarantor’s audited GAAP fnancial statements).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1980" w:type="dxa"/>
            <w:vAlign w:val="bottom"/>
          </w:tcPr>
          <w:p>
            <w:pPr>
              <w:spacing w:after="0"/>
              <w:rPr>
                <w:sz w:val="20"/>
                <w:szCs w:val="20"/>
                <w:color w:val="auto"/>
              </w:rPr>
            </w:pPr>
            <w:r>
              <w:rPr>
                <w:rFonts w:ascii="Calibri" w:cs="Calibri" w:eastAsia="Calibri" w:hAnsi="Calibri"/>
                <w:sz w:val="20"/>
                <w:szCs w:val="20"/>
                <w:color w:val="auto"/>
              </w:rPr>
              <w:t>Other COGS</w:t>
            </w:r>
          </w:p>
        </w:tc>
        <w:tc>
          <w:tcPr>
            <w:tcW w:w="2260" w:type="dxa"/>
            <w:vAlign w:val="bottom"/>
          </w:tcPr>
          <w:p>
            <w:pPr>
              <w:ind w:left="1000"/>
              <w:spacing w:after="0"/>
              <w:rPr>
                <w:sz w:val="20"/>
                <w:szCs w:val="20"/>
                <w:color w:val="auto"/>
              </w:rPr>
            </w:pPr>
            <w:r>
              <w:rPr>
                <w:rFonts w:ascii="Calibri" w:cs="Calibri" w:eastAsia="Calibri" w:hAnsi="Calibri"/>
                <w:sz w:val="20"/>
                <w:szCs w:val="20"/>
                <w:color w:val="auto"/>
                <w:w w:val="98"/>
              </w:rPr>
              <w:t>The product of:</w:t>
            </w:r>
          </w:p>
        </w:tc>
      </w:tr>
    </w:tbl>
    <w:p>
      <w:pPr>
        <w:spacing w:after="0" w:line="184" w:lineRule="exact"/>
        <w:rPr>
          <w:sz w:val="20"/>
          <w:szCs w:val="20"/>
          <w:color w:val="auto"/>
        </w:rPr>
      </w:pPr>
    </w:p>
    <w:p>
      <w:pPr>
        <w:ind w:left="3020" w:right="7080" w:hanging="51"/>
        <w:spacing w:after="0" w:line="447" w:lineRule="auto"/>
        <w:tabs>
          <w:tab w:leader="none" w:pos="3614" w:val="left"/>
        </w:tabs>
        <w:numPr>
          <w:ilvl w:val="0"/>
          <w:numId w:val="416"/>
        </w:numPr>
        <w:rPr>
          <w:rFonts w:ascii="Calibri" w:cs="Calibri" w:eastAsia="Calibri" w:hAnsi="Calibri"/>
          <w:sz w:val="19"/>
          <w:szCs w:val="19"/>
          <w:color w:val="auto"/>
        </w:rPr>
      </w:pPr>
      <w:r>
        <w:rPr>
          <w:rFonts w:ascii="Calibri" w:cs="Calibri" w:eastAsia="Calibri" w:hAnsi="Calibri"/>
          <w:sz w:val="19"/>
          <w:szCs w:val="19"/>
          <w:b w:val="1"/>
          <w:bCs w:val="1"/>
          <w:color w:val="auto"/>
        </w:rPr>
        <w:t>[***]</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u w:val="single" w:color="auto"/>
          <w:color w:val="auto"/>
        </w:rPr>
        <w:t>multplied by</w:t>
      </w:r>
    </w:p>
    <w:p>
      <w:pPr>
        <w:ind w:left="3620" w:hanging="651"/>
        <w:spacing w:after="0"/>
        <w:tabs>
          <w:tab w:leader="none" w:pos="3620" w:val="left"/>
        </w:tabs>
        <w:numPr>
          <w:ilvl w:val="0"/>
          <w:numId w:val="416"/>
        </w:numPr>
        <w:rPr>
          <w:rFonts w:ascii="Calibri" w:cs="Calibri" w:eastAsia="Calibri" w:hAnsi="Calibri"/>
          <w:sz w:val="20"/>
          <w:szCs w:val="20"/>
          <w:color w:val="auto"/>
        </w:rPr>
      </w:pPr>
      <w:r>
        <w:rPr>
          <w:rFonts w:ascii="Calibri" w:cs="Calibri" w:eastAsia="Calibri" w:hAnsi="Calibri"/>
          <w:sz w:val="20"/>
          <w:szCs w:val="20"/>
          <w:color w:val="auto"/>
        </w:rPr>
        <w:t>Core COGS</w:t>
      </w:r>
      <w:r>
        <w:rPr>
          <w:rFonts w:ascii="Calibri" w:cs="Calibri" w:eastAsia="Calibri" w:hAnsi="Calibri"/>
          <w:sz w:val="20"/>
          <w:szCs w:val="20"/>
          <w:b w:val="1"/>
          <w:bCs w:val="1"/>
          <w:color w:val="auto"/>
        </w:rPr>
        <w:t>.</w:t>
      </w:r>
    </w:p>
    <w:p>
      <w:pPr>
        <w:sectPr>
          <w:pgSz w:w="11900" w:h="16838" w:orient="portrait"/>
          <w:cols w:equalWidth="0" w:num="1">
            <w:col w:w="11260"/>
          </w:cols>
          <w:pgMar w:left="320" w:top="1384" w:right="319" w:bottom="426" w:gutter="0" w:footer="0" w:header="0"/>
        </w:sectPr>
      </w:pPr>
    </w:p>
    <w:bookmarkStart w:id="385" w:name="page386"/>
    <w:bookmarkEnd w:id="385"/>
    <w:p>
      <w:pPr>
        <w:jc w:val="center"/>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9019"/>
          </w:cols>
          <w:pgMar w:left="1440" w:top="693" w:right="1440" w:bottom="1440" w:gutter="0" w:footer="0" w:header="0"/>
        </w:sectPr>
      </w:pPr>
    </w:p>
    <w:bookmarkStart w:id="386" w:name="page387"/>
    <w:bookmarkEnd w:id="386"/>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9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20"/>
                <w:szCs w:val="20"/>
                <w:color w:val="auto"/>
              </w:rPr>
              <w:t>Operatng Expenses</w:t>
            </w:r>
          </w:p>
        </w:tc>
        <w:tc>
          <w:tcPr>
            <w:tcW w:w="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7"/>
          </w:tcPr>
          <w:p>
            <w:pPr>
              <w:spacing w:after="0"/>
              <w:rPr>
                <w:sz w:val="20"/>
                <w:szCs w:val="20"/>
                <w:color w:val="auto"/>
              </w:rPr>
            </w:pPr>
            <w:r>
              <w:rPr>
                <w:rFonts w:ascii="Calibri" w:cs="Calibri" w:eastAsia="Calibri" w:hAnsi="Calibri"/>
                <w:sz w:val="20"/>
                <w:szCs w:val="20"/>
                <w:color w:val="auto"/>
              </w:rPr>
              <w:t>The sum of :</w:t>
            </w:r>
          </w:p>
        </w:tc>
        <w:tc>
          <w:tcPr>
            <w:tcW w:w="260" w:type="dxa"/>
            <w:vAlign w:val="bottom"/>
            <w:tcBorders>
              <w:top w:val="single" w:sz="8" w:color="auto"/>
            </w:tcBorders>
          </w:tcPr>
          <w:p>
            <w:pPr>
              <w:spacing w:after="0"/>
              <w:rPr>
                <w:sz w:val="21"/>
                <w:szCs w:val="21"/>
                <w:color w:val="auto"/>
              </w:rPr>
            </w:pPr>
          </w:p>
        </w:tc>
        <w:tc>
          <w:tcPr>
            <w:tcW w:w="6100" w:type="dxa"/>
            <w:vAlign w:val="bottom"/>
            <w:tcBorders>
              <w:top w:val="single" w:sz="8" w:color="auto"/>
              <w:right w:val="single" w:sz="8" w:color="auto"/>
            </w:tcBorders>
          </w:tcPr>
          <w:p>
            <w:pPr>
              <w:spacing w:after="0"/>
              <w:rPr>
                <w:sz w:val="21"/>
                <w:szCs w:val="21"/>
                <w:color w:val="auto"/>
              </w:rPr>
            </w:pPr>
          </w:p>
        </w:tc>
      </w:tr>
      <w:tr>
        <w:trPr>
          <w:trHeight w:val="394"/>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(1)</w:t>
            </w:r>
          </w:p>
        </w:tc>
        <w:tc>
          <w:tcPr>
            <w:tcW w:w="160" w:type="dxa"/>
            <w:vAlign w:val="bottom"/>
          </w:tcPr>
          <w:p>
            <w:pPr>
              <w:spacing w:after="0"/>
              <w:rPr>
                <w:sz w:val="24"/>
                <w:szCs w:val="24"/>
                <w:color w:val="auto"/>
              </w:rPr>
            </w:pP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Research and development (“R&amp;D”) expense equal to the product of:</w:t>
            </w:r>
          </w:p>
        </w:tc>
      </w:tr>
      <w:tr>
        <w:trPr>
          <w:trHeight w:val="405"/>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(x)</w:t>
            </w: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the quotent of :</w:t>
            </w:r>
          </w:p>
        </w:tc>
      </w:tr>
      <w:tr>
        <w:trPr>
          <w:trHeight w:val="418"/>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740"/>
              <w:spacing w:after="0"/>
              <w:rPr>
                <w:sz w:val="20"/>
                <w:szCs w:val="20"/>
                <w:color w:val="auto"/>
              </w:rPr>
            </w:pPr>
            <w:r>
              <w:rPr>
                <w:rFonts w:ascii="Calibri" w:cs="Calibri" w:eastAsia="Calibri" w:hAnsi="Calibri"/>
                <w:sz w:val="20"/>
                <w:szCs w:val="20"/>
                <w:color w:val="auto"/>
              </w:rPr>
              <w:t>1)</w:t>
            </w:r>
          </w:p>
        </w:tc>
        <w:tc>
          <w:tcPr>
            <w:tcW w:w="160" w:type="dxa"/>
            <w:vAlign w:val="bottom"/>
          </w:tcPr>
          <w:p>
            <w:pPr>
              <w:spacing w:after="0"/>
              <w:rPr>
                <w:sz w:val="24"/>
                <w:szCs w:val="24"/>
                <w:color w:val="auto"/>
              </w:rPr>
            </w:pPr>
          </w:p>
        </w:tc>
        <w:tc>
          <w:tcPr>
            <w:tcW w:w="636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20"/>
                <w:szCs w:val="20"/>
                <w:color w:val="auto"/>
              </w:rPr>
              <w:t>Sponsor Guarantor’s research and development expense</w:t>
            </w: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color w:val="auto"/>
                <w:w w:val="97"/>
              </w:rPr>
              <w:t>divided by</w:t>
            </w:r>
          </w:p>
        </w:tc>
        <w:tc>
          <w:tcPr>
            <w:tcW w:w="6100" w:type="dxa"/>
            <w:vAlign w:val="bottom"/>
            <w:tcBorders>
              <w:right w:val="single" w:sz="8" w:color="auto"/>
            </w:tcBorders>
          </w:tcPr>
          <w:p>
            <w:pPr>
              <w:spacing w:after="0"/>
              <w:rPr>
                <w:sz w:val="24"/>
                <w:szCs w:val="24"/>
                <w:color w:val="auto"/>
              </w:rPr>
            </w:pPr>
          </w:p>
        </w:tc>
      </w:tr>
      <w:tr>
        <w:trPr>
          <w:trHeight w:val="40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740"/>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4"/>
                <w:szCs w:val="24"/>
                <w:color w:val="auto"/>
              </w:rPr>
            </w:pPr>
          </w:p>
        </w:tc>
        <w:tc>
          <w:tcPr>
            <w:tcW w:w="636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20"/>
                <w:szCs w:val="20"/>
                <w:color w:val="auto"/>
              </w:rPr>
              <w:t>Sponsor Guarantor’s consolidated total revenue (each as set forth in</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Borders>
              <w:right w:val="single" w:sz="8" w:color="auto"/>
            </w:tcBorders>
            <w:gridSpan w:val="2"/>
          </w:tcPr>
          <w:p>
            <w:pPr>
              <w:ind w:left="20"/>
              <w:spacing w:after="0" w:line="234" w:lineRule="exact"/>
              <w:rPr>
                <w:sz w:val="20"/>
                <w:szCs w:val="20"/>
                <w:color w:val="auto"/>
              </w:rPr>
            </w:pPr>
            <w:r>
              <w:rPr>
                <w:rFonts w:ascii="Calibri" w:cs="Calibri" w:eastAsia="Calibri" w:hAnsi="Calibri"/>
                <w:sz w:val="20"/>
                <w:szCs w:val="20"/>
                <w:color w:val="auto"/>
              </w:rPr>
              <w:t>Sponsor Guarantor’s audited GAAP fnancial statements)</w:t>
            </w: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Calibri" w:cs="Calibri" w:eastAsia="Calibri" w:hAnsi="Calibri"/>
                <w:sz w:val="20"/>
                <w:szCs w:val="20"/>
                <w:color w:val="auto"/>
              </w:rPr>
              <w:t>multplied by</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433"/>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(y)</w:t>
            </w:r>
          </w:p>
        </w:tc>
        <w:tc>
          <w:tcPr>
            <w:tcW w:w="800" w:type="dxa"/>
            <w:vAlign w:val="bottom"/>
            <w:gridSpan w:val="3"/>
          </w:tcPr>
          <w:p>
            <w:pPr>
              <w:ind w:left="100"/>
              <w:spacing w:after="0"/>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Calibri" w:cs="Calibri" w:eastAsia="Calibri" w:hAnsi="Calibri"/>
                <w:sz w:val="20"/>
                <w:szCs w:val="20"/>
                <w:color w:val="auto"/>
              </w:rPr>
              <w:t>multplied by</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433"/>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(z)</w:t>
            </w:r>
          </w:p>
        </w:tc>
        <w:tc>
          <w:tcPr>
            <w:tcW w:w="1380" w:type="dxa"/>
            <w:vAlign w:val="bottom"/>
            <w:gridSpan w:val="5"/>
          </w:tcPr>
          <w:p>
            <w:pPr>
              <w:ind w:left="100"/>
              <w:spacing w:after="0"/>
              <w:rPr>
                <w:sz w:val="20"/>
                <w:szCs w:val="20"/>
                <w:color w:val="auto"/>
              </w:rPr>
            </w:pPr>
            <w:r>
              <w:rPr>
                <w:rFonts w:ascii="Calibri" w:cs="Calibri" w:eastAsia="Calibri" w:hAnsi="Calibri"/>
                <w:sz w:val="20"/>
                <w:szCs w:val="20"/>
                <w:color w:val="auto"/>
              </w:rPr>
              <w:t>Total Revenue</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w w:val="95"/>
              </w:rPr>
              <w:t>plus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46"/>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4"/>
                <w:szCs w:val="24"/>
                <w:color w:val="auto"/>
              </w:rPr>
            </w:pP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Selling, general and administratve (“SG&amp;A”) expense equal to the product of :</w:t>
            </w:r>
          </w:p>
        </w:tc>
      </w:tr>
      <w:tr>
        <w:trPr>
          <w:trHeight w:val="405"/>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(x)</w:t>
            </w:r>
          </w:p>
        </w:tc>
        <w:tc>
          <w:tcPr>
            <w:tcW w:w="1380" w:type="dxa"/>
            <w:vAlign w:val="bottom"/>
            <w:gridSpan w:val="5"/>
          </w:tcPr>
          <w:p>
            <w:pPr>
              <w:ind w:left="100"/>
              <w:spacing w:after="0"/>
              <w:rPr>
                <w:sz w:val="20"/>
                <w:szCs w:val="20"/>
                <w:color w:val="auto"/>
              </w:rPr>
            </w:pPr>
            <w:r>
              <w:rPr>
                <w:rFonts w:ascii="Calibri" w:cs="Calibri" w:eastAsia="Calibri" w:hAnsi="Calibri"/>
                <w:sz w:val="20"/>
                <w:szCs w:val="20"/>
                <w:color w:val="auto"/>
              </w:rPr>
              <w:t>the quotent of:</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18"/>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740"/>
              <w:spacing w:after="0"/>
              <w:rPr>
                <w:sz w:val="20"/>
                <w:szCs w:val="20"/>
                <w:color w:val="auto"/>
              </w:rPr>
            </w:pPr>
            <w:r>
              <w:rPr>
                <w:rFonts w:ascii="Calibri" w:cs="Calibri" w:eastAsia="Calibri" w:hAnsi="Calibri"/>
                <w:sz w:val="20"/>
                <w:szCs w:val="20"/>
                <w:color w:val="auto"/>
              </w:rPr>
              <w:t>1)</w:t>
            </w:r>
          </w:p>
        </w:tc>
        <w:tc>
          <w:tcPr>
            <w:tcW w:w="160" w:type="dxa"/>
            <w:vAlign w:val="bottom"/>
          </w:tcPr>
          <w:p>
            <w:pPr>
              <w:spacing w:after="0"/>
              <w:rPr>
                <w:sz w:val="24"/>
                <w:szCs w:val="24"/>
                <w:color w:val="auto"/>
              </w:rPr>
            </w:pPr>
          </w:p>
        </w:tc>
        <w:tc>
          <w:tcPr>
            <w:tcW w:w="636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20"/>
                <w:szCs w:val="20"/>
                <w:color w:val="auto"/>
              </w:rPr>
              <w:t>Sponsor Guarantor’s SG&amp;A expense</w:t>
            </w: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color w:val="auto"/>
                <w:w w:val="97"/>
              </w:rPr>
              <w:t>divided by</w:t>
            </w:r>
          </w:p>
        </w:tc>
        <w:tc>
          <w:tcPr>
            <w:tcW w:w="6100" w:type="dxa"/>
            <w:vAlign w:val="bottom"/>
            <w:tcBorders>
              <w:right w:val="single" w:sz="8" w:color="auto"/>
            </w:tcBorders>
          </w:tcPr>
          <w:p>
            <w:pPr>
              <w:spacing w:after="0"/>
              <w:rPr>
                <w:sz w:val="24"/>
                <w:szCs w:val="24"/>
                <w:color w:val="auto"/>
              </w:rPr>
            </w:pPr>
          </w:p>
        </w:tc>
      </w:tr>
      <w:tr>
        <w:trPr>
          <w:trHeight w:val="40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ind w:left="740"/>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4"/>
                <w:szCs w:val="24"/>
                <w:color w:val="auto"/>
              </w:rPr>
            </w:pPr>
          </w:p>
        </w:tc>
        <w:tc>
          <w:tcPr>
            <w:tcW w:w="636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20"/>
                <w:szCs w:val="20"/>
                <w:color w:val="auto"/>
              </w:rPr>
              <w:t>Sponsor Guarantor’s consolidated total revenue (each as set forth in</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Borders>
              <w:right w:val="single" w:sz="8" w:color="auto"/>
            </w:tcBorders>
            <w:gridSpan w:val="2"/>
          </w:tcPr>
          <w:p>
            <w:pPr>
              <w:ind w:left="20"/>
              <w:spacing w:after="0" w:line="234" w:lineRule="exact"/>
              <w:rPr>
                <w:sz w:val="20"/>
                <w:szCs w:val="20"/>
                <w:color w:val="auto"/>
              </w:rPr>
            </w:pPr>
            <w:r>
              <w:rPr>
                <w:rFonts w:ascii="Calibri" w:cs="Calibri" w:eastAsia="Calibri" w:hAnsi="Calibri"/>
                <w:sz w:val="20"/>
                <w:szCs w:val="20"/>
                <w:color w:val="auto"/>
              </w:rPr>
              <w:t>Sponsor Guarantor’s audited GAAP fnancial statements)</w:t>
            </w: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Calibri" w:cs="Calibri" w:eastAsia="Calibri" w:hAnsi="Calibri"/>
                <w:sz w:val="20"/>
                <w:szCs w:val="20"/>
                <w:color w:val="auto"/>
              </w:rPr>
              <w:t>multplied by</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433"/>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(y)</w:t>
            </w:r>
          </w:p>
        </w:tc>
        <w:tc>
          <w:tcPr>
            <w:tcW w:w="800" w:type="dxa"/>
            <w:vAlign w:val="bottom"/>
            <w:gridSpan w:val="3"/>
          </w:tcPr>
          <w:p>
            <w:pPr>
              <w:ind w:left="100"/>
              <w:spacing w:after="0"/>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Calibri" w:cs="Calibri" w:eastAsia="Calibri" w:hAnsi="Calibri"/>
                <w:sz w:val="20"/>
                <w:szCs w:val="20"/>
                <w:color w:val="auto"/>
              </w:rPr>
              <w:t>multplied by</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433"/>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(z)</w:t>
            </w:r>
          </w:p>
        </w:tc>
        <w:tc>
          <w:tcPr>
            <w:tcW w:w="1380" w:type="dxa"/>
            <w:vAlign w:val="bottom"/>
            <w:gridSpan w:val="5"/>
          </w:tcPr>
          <w:p>
            <w:pPr>
              <w:ind w:left="100"/>
              <w:spacing w:after="0"/>
              <w:rPr>
                <w:sz w:val="20"/>
                <w:szCs w:val="20"/>
                <w:color w:val="auto"/>
              </w:rPr>
            </w:pPr>
            <w:r>
              <w:rPr>
                <w:rFonts w:ascii="Calibri" w:cs="Calibri" w:eastAsia="Calibri" w:hAnsi="Calibri"/>
                <w:sz w:val="20"/>
                <w:szCs w:val="20"/>
                <w:color w:val="auto"/>
              </w:rPr>
              <w:t>Total Revenue</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263"/>
        </w:trPr>
        <w:tc>
          <w:tcPr>
            <w:tcW w:w="296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100" w:type="dxa"/>
            <w:vAlign w:val="bottom"/>
            <w:tcBorders>
              <w:bottom w:val="single" w:sz="8" w:color="auto"/>
              <w:right w:val="single" w:sz="8" w:color="auto"/>
            </w:tcBorders>
          </w:tcPr>
          <w:p>
            <w:pPr>
              <w:spacing w:after="0"/>
              <w:rPr>
                <w:sz w:val="22"/>
                <w:szCs w:val="22"/>
                <w:color w:val="auto"/>
              </w:rPr>
            </w:pPr>
          </w:p>
        </w:tc>
      </w:tr>
      <w:tr>
        <w:trPr>
          <w:trHeight w:val="228"/>
        </w:trPr>
        <w:tc>
          <w:tcPr>
            <w:tcW w:w="296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color w:val="auto"/>
              </w:rPr>
              <w:t>Cash Tax</w:t>
            </w:r>
          </w:p>
        </w:tc>
        <w:tc>
          <w:tcPr>
            <w:tcW w:w="60" w:type="dxa"/>
            <w:vAlign w:val="bottom"/>
          </w:tcPr>
          <w:p>
            <w:pPr>
              <w:spacing w:after="0"/>
              <w:rPr>
                <w:sz w:val="19"/>
                <w:szCs w:val="19"/>
                <w:color w:val="auto"/>
              </w:rPr>
            </w:pPr>
          </w:p>
        </w:tc>
        <w:tc>
          <w:tcPr>
            <w:tcW w:w="1880" w:type="dxa"/>
            <w:vAlign w:val="bottom"/>
            <w:gridSpan w:val="7"/>
          </w:tcPr>
          <w:p>
            <w:pPr>
              <w:spacing w:after="0" w:line="228" w:lineRule="exact"/>
              <w:rPr>
                <w:sz w:val="20"/>
                <w:szCs w:val="20"/>
                <w:color w:val="auto"/>
              </w:rPr>
            </w:pPr>
            <w:r>
              <w:rPr>
                <w:rFonts w:ascii="Calibri" w:cs="Calibri" w:eastAsia="Calibri" w:hAnsi="Calibri"/>
                <w:sz w:val="20"/>
                <w:szCs w:val="20"/>
                <w:color w:val="auto"/>
              </w:rPr>
              <w:t>The product of:</w:t>
            </w:r>
          </w:p>
        </w:tc>
        <w:tc>
          <w:tcPr>
            <w:tcW w:w="260" w:type="dxa"/>
            <w:vAlign w:val="bottom"/>
          </w:tcPr>
          <w:p>
            <w:pPr>
              <w:spacing w:after="0"/>
              <w:rPr>
                <w:sz w:val="19"/>
                <w:szCs w:val="19"/>
                <w:color w:val="auto"/>
              </w:rPr>
            </w:pPr>
          </w:p>
        </w:tc>
        <w:tc>
          <w:tcPr>
            <w:tcW w:w="6100" w:type="dxa"/>
            <w:vAlign w:val="bottom"/>
            <w:tcBorders>
              <w:right w:val="single" w:sz="8" w:color="auto"/>
            </w:tcBorders>
          </w:tcPr>
          <w:p>
            <w:pPr>
              <w:spacing w:after="0"/>
              <w:rPr>
                <w:sz w:val="19"/>
                <w:szCs w:val="19"/>
                <w:color w:val="auto"/>
              </w:rPr>
            </w:pPr>
          </w:p>
        </w:tc>
      </w:tr>
      <w:tr>
        <w:trPr>
          <w:trHeight w:val="349"/>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(1)</w:t>
            </w:r>
          </w:p>
        </w:tc>
        <w:tc>
          <w:tcPr>
            <w:tcW w:w="160" w:type="dxa"/>
            <w:vAlign w:val="bottom"/>
          </w:tcPr>
          <w:p>
            <w:pPr>
              <w:spacing w:after="0"/>
              <w:rPr>
                <w:sz w:val="24"/>
                <w:szCs w:val="24"/>
                <w:color w:val="auto"/>
              </w:rPr>
            </w:pP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 xml:space="preserve">The sum of 1) the Federal corporate tax rate in efect (currently 21%) and 2) </w:t>
            </w:r>
            <w:r>
              <w:rPr>
                <w:rFonts w:ascii="Calibri" w:cs="Calibri" w:eastAsia="Calibri" w:hAnsi="Calibri"/>
                <w:sz w:val="20"/>
                <w:szCs w:val="20"/>
                <w:b w:val="1"/>
                <w:bCs w:val="1"/>
                <w:color w:val="auto"/>
              </w:rPr>
              <w:t>[***]</w:t>
            </w:r>
            <w:r>
              <w:rPr>
                <w:rFonts w:ascii="Calibri" w:cs="Calibri" w:eastAsia="Calibri" w:hAnsi="Calibri"/>
                <w:sz w:val="20"/>
                <w:szCs w:val="20"/>
                <w:color w:val="auto"/>
              </w:rPr>
              <w:t>% as the</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tcBorders>
              <w:right w:val="single" w:sz="8" w:color="auto"/>
            </w:tcBorders>
            <w:gridSpan w:val="7"/>
          </w:tcPr>
          <w:p>
            <w:pPr>
              <w:ind w:left="100"/>
              <w:spacing w:after="0" w:line="234" w:lineRule="exact"/>
              <w:rPr>
                <w:sz w:val="20"/>
                <w:szCs w:val="20"/>
                <w:color w:val="auto"/>
              </w:rPr>
            </w:pPr>
            <w:r>
              <w:rPr>
                <w:rFonts w:ascii="Calibri" w:cs="Calibri" w:eastAsia="Calibri" w:hAnsi="Calibri"/>
                <w:sz w:val="20"/>
                <w:szCs w:val="20"/>
                <w:color w:val="auto"/>
              </w:rPr>
              <w:t>representatve blended US state income tax rate</w:t>
            </w:r>
          </w:p>
        </w:tc>
      </w:tr>
      <w:tr>
        <w:trPr>
          <w:trHeight w:val="411"/>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gridSpan w:val="4"/>
          </w:tcPr>
          <w:p>
            <w:pPr>
              <w:spacing w:after="0"/>
              <w:rPr>
                <w:sz w:val="20"/>
                <w:szCs w:val="20"/>
                <w:color w:val="auto"/>
              </w:rPr>
            </w:pPr>
            <w:r>
              <w:rPr>
                <w:rFonts w:ascii="Calibri" w:cs="Calibri" w:eastAsia="Calibri" w:hAnsi="Calibri"/>
                <w:sz w:val="20"/>
                <w:szCs w:val="20"/>
                <w:color w:val="auto"/>
              </w:rPr>
              <w:t>multplied by</w:t>
            </w:r>
          </w:p>
        </w:tc>
        <w:tc>
          <w:tcPr>
            <w:tcW w:w="8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01"/>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4"/>
                <w:szCs w:val="24"/>
                <w:color w:val="auto"/>
              </w:rPr>
            </w:pP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the Project’s proft before tax (calculated under the Applicable Accountng Requirements</w:t>
            </w:r>
          </w:p>
        </w:tc>
      </w:tr>
      <w:tr>
        <w:trPr>
          <w:trHeight w:val="203"/>
        </w:trPr>
        <w:tc>
          <w:tcPr>
            <w:tcW w:w="2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40" w:type="dxa"/>
            <w:vAlign w:val="bottom"/>
            <w:tcBorders>
              <w:right w:val="single" w:sz="8" w:color="auto"/>
            </w:tcBorders>
            <w:gridSpan w:val="7"/>
          </w:tcPr>
          <w:p>
            <w:pPr>
              <w:ind w:left="100"/>
              <w:spacing w:after="0" w:line="203" w:lineRule="exact"/>
              <w:rPr>
                <w:sz w:val="20"/>
                <w:szCs w:val="20"/>
                <w:color w:val="auto"/>
              </w:rPr>
            </w:pPr>
            <w:r>
              <w:rPr>
                <w:rFonts w:ascii="Calibri" w:cs="Calibri" w:eastAsia="Calibri" w:hAnsi="Calibri"/>
                <w:sz w:val="20"/>
                <w:szCs w:val="20"/>
                <w:color w:val="auto"/>
              </w:rPr>
              <w:t>defned herein) and with net interest expense (income) for purposes of the Project’s proft</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tcBorders>
              <w:right w:val="single" w:sz="8" w:color="auto"/>
            </w:tcBorders>
            <w:gridSpan w:val="7"/>
          </w:tcPr>
          <w:p>
            <w:pPr>
              <w:ind w:left="100"/>
              <w:spacing w:after="0" w:line="234" w:lineRule="exact"/>
              <w:rPr>
                <w:sz w:val="20"/>
                <w:szCs w:val="20"/>
                <w:color w:val="auto"/>
              </w:rPr>
            </w:pPr>
            <w:r>
              <w:rPr>
                <w:rFonts w:ascii="Calibri" w:cs="Calibri" w:eastAsia="Calibri" w:hAnsi="Calibri"/>
                <w:sz w:val="20"/>
                <w:szCs w:val="20"/>
                <w:color w:val="auto"/>
              </w:rPr>
              <w:t>before tax calculaton equal to the product of:</w:t>
            </w:r>
          </w:p>
        </w:tc>
      </w:tr>
      <w:tr>
        <w:trPr>
          <w:trHeight w:val="418"/>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(x)</w:t>
            </w: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the Sponsor Guarantor’s net interest expense (income)</w:t>
            </w:r>
          </w:p>
        </w:tc>
      </w:tr>
      <w:tr>
        <w:trPr>
          <w:trHeight w:val="398"/>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gridSpan w:val="4"/>
          </w:tcPr>
          <w:p>
            <w:pPr>
              <w:spacing w:after="0"/>
              <w:rPr>
                <w:sz w:val="20"/>
                <w:szCs w:val="20"/>
                <w:color w:val="auto"/>
              </w:rPr>
            </w:pPr>
            <w:r>
              <w:rPr>
                <w:rFonts w:ascii="Calibri" w:cs="Calibri" w:eastAsia="Calibri" w:hAnsi="Calibri"/>
                <w:sz w:val="20"/>
                <w:szCs w:val="20"/>
                <w:color w:val="auto"/>
              </w:rPr>
              <w:t>multplied by</w:t>
            </w:r>
          </w:p>
        </w:tc>
        <w:tc>
          <w:tcPr>
            <w:tcW w:w="8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01"/>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(y)</w:t>
            </w: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a fracton equal to 1) Total Revenue divided by 2) Sponsor Guarantor’s consolidated total</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5"/>
          </w:tcPr>
          <w:p>
            <w:pPr>
              <w:ind w:left="100"/>
              <w:spacing w:after="0" w:line="234" w:lineRule="exact"/>
              <w:rPr>
                <w:sz w:val="20"/>
                <w:szCs w:val="20"/>
                <w:color w:val="auto"/>
              </w:rPr>
            </w:pPr>
            <w:r>
              <w:rPr>
                <w:rFonts w:ascii="Calibri" w:cs="Calibri" w:eastAsia="Calibri" w:hAnsi="Calibri"/>
                <w:sz w:val="20"/>
                <w:szCs w:val="20"/>
                <w:color w:val="auto"/>
              </w:rPr>
              <w:t>revenue.</w:t>
            </w:r>
          </w:p>
        </w:tc>
        <w:tc>
          <w:tcPr>
            <w:tcW w:w="260" w:type="dxa"/>
            <w:vAlign w:val="bottom"/>
          </w:tcPr>
          <w:p>
            <w:pPr>
              <w:spacing w:after="0"/>
              <w:rPr>
                <w:sz w:val="20"/>
                <w:szCs w:val="20"/>
                <w:color w:val="auto"/>
              </w:rPr>
            </w:pPr>
          </w:p>
        </w:tc>
        <w:tc>
          <w:tcPr>
            <w:tcW w:w="6100" w:type="dxa"/>
            <w:vAlign w:val="bottom"/>
            <w:tcBorders>
              <w:right w:val="single" w:sz="8" w:color="auto"/>
            </w:tcBorders>
          </w:tcPr>
          <w:p>
            <w:pPr>
              <w:spacing w:after="0"/>
              <w:rPr>
                <w:sz w:val="20"/>
                <w:szCs w:val="20"/>
                <w:color w:val="auto"/>
              </w:rPr>
            </w:pPr>
          </w:p>
        </w:tc>
      </w:tr>
      <w:tr>
        <w:trPr>
          <w:trHeight w:val="263"/>
        </w:trPr>
        <w:tc>
          <w:tcPr>
            <w:tcW w:w="296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100" w:type="dxa"/>
            <w:vAlign w:val="bottom"/>
            <w:tcBorders>
              <w:bottom w:val="single" w:sz="8" w:color="auto"/>
              <w:right w:val="single" w:sz="8" w:color="auto"/>
            </w:tcBorders>
          </w:tcPr>
          <w:p>
            <w:pPr>
              <w:spacing w:after="0"/>
              <w:rPr>
                <w:sz w:val="22"/>
                <w:szCs w:val="22"/>
                <w:color w:val="auto"/>
              </w:rPr>
            </w:pPr>
          </w:p>
        </w:tc>
      </w:tr>
      <w:tr>
        <w:trPr>
          <w:trHeight w:val="228"/>
        </w:trPr>
        <w:tc>
          <w:tcPr>
            <w:tcW w:w="296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Net Capital Expenditures</w:t>
            </w:r>
          </w:p>
        </w:tc>
        <w:tc>
          <w:tcPr>
            <w:tcW w:w="60" w:type="dxa"/>
            <w:vAlign w:val="bottom"/>
          </w:tcPr>
          <w:p>
            <w:pPr>
              <w:spacing w:after="0"/>
              <w:rPr>
                <w:sz w:val="19"/>
                <w:szCs w:val="19"/>
                <w:color w:val="auto"/>
              </w:rPr>
            </w:pPr>
          </w:p>
        </w:tc>
        <w:tc>
          <w:tcPr>
            <w:tcW w:w="1880" w:type="dxa"/>
            <w:vAlign w:val="bottom"/>
            <w:gridSpan w:val="7"/>
          </w:tcPr>
          <w:p>
            <w:pPr>
              <w:spacing w:after="0" w:line="228" w:lineRule="exact"/>
              <w:rPr>
                <w:sz w:val="20"/>
                <w:szCs w:val="20"/>
                <w:color w:val="auto"/>
              </w:rPr>
            </w:pPr>
            <w:r>
              <w:rPr>
                <w:rFonts w:ascii="Calibri" w:cs="Calibri" w:eastAsia="Calibri" w:hAnsi="Calibri"/>
                <w:sz w:val="20"/>
                <w:szCs w:val="20"/>
                <w:color w:val="auto"/>
              </w:rPr>
              <w:t>The diference of:</w:t>
            </w:r>
          </w:p>
        </w:tc>
        <w:tc>
          <w:tcPr>
            <w:tcW w:w="260" w:type="dxa"/>
            <w:vAlign w:val="bottom"/>
          </w:tcPr>
          <w:p>
            <w:pPr>
              <w:spacing w:after="0"/>
              <w:rPr>
                <w:sz w:val="19"/>
                <w:szCs w:val="19"/>
                <w:color w:val="auto"/>
              </w:rPr>
            </w:pPr>
          </w:p>
        </w:tc>
        <w:tc>
          <w:tcPr>
            <w:tcW w:w="6100" w:type="dxa"/>
            <w:vAlign w:val="bottom"/>
            <w:tcBorders>
              <w:right w:val="single" w:sz="8" w:color="auto"/>
            </w:tcBorders>
          </w:tcPr>
          <w:p>
            <w:pPr>
              <w:spacing w:after="0"/>
              <w:rPr>
                <w:sz w:val="19"/>
                <w:szCs w:val="19"/>
                <w:color w:val="auto"/>
              </w:rPr>
            </w:pPr>
          </w:p>
        </w:tc>
      </w:tr>
      <w:tr>
        <w:trPr>
          <w:trHeight w:val="394"/>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(1)</w:t>
            </w:r>
          </w:p>
        </w:tc>
        <w:tc>
          <w:tcPr>
            <w:tcW w:w="160" w:type="dxa"/>
            <w:vAlign w:val="bottom"/>
          </w:tcPr>
          <w:p>
            <w:pPr>
              <w:spacing w:after="0"/>
              <w:rPr>
                <w:sz w:val="24"/>
                <w:szCs w:val="24"/>
                <w:color w:val="auto"/>
              </w:rPr>
            </w:pP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gross capital expenditures</w:t>
            </w:r>
          </w:p>
        </w:tc>
      </w:tr>
      <w:tr>
        <w:trPr>
          <w:trHeight w:val="398"/>
        </w:trPr>
        <w:tc>
          <w:tcPr>
            <w:tcW w:w="29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Calibri" w:cs="Calibri" w:eastAsia="Calibri" w:hAnsi="Calibri"/>
                <w:sz w:val="20"/>
                <w:szCs w:val="20"/>
                <w:color w:val="auto"/>
                <w:w w:val="97"/>
              </w:rPr>
              <w:t>minus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446"/>
        </w:trPr>
        <w:tc>
          <w:tcPr>
            <w:tcW w:w="2960" w:type="dxa"/>
            <w:vAlign w:val="bottom"/>
            <w:tcBorders>
              <w:left w:val="single" w:sz="8" w:color="auto"/>
              <w:right w:val="single" w:sz="8" w:color="auto"/>
            </w:tcBorders>
          </w:tcPr>
          <w:p>
            <w:pPr>
              <w:spacing w:after="0"/>
              <w:rPr>
                <w:sz w:val="24"/>
                <w:szCs w:val="24"/>
                <w:color w:val="auto"/>
              </w:rPr>
            </w:pPr>
          </w:p>
        </w:tc>
        <w:tc>
          <w:tcPr>
            <w:tcW w:w="400" w:type="dxa"/>
            <w:vAlign w:val="bottom"/>
            <w:gridSpan w:val="2"/>
          </w:tcPr>
          <w:p>
            <w:pPr>
              <w:spacing w:after="0"/>
              <w:rPr>
                <w:sz w:val="20"/>
                <w:szCs w:val="20"/>
                <w:color w:val="auto"/>
              </w:rPr>
            </w:pPr>
            <w:r>
              <w:rPr>
                <w:rFonts w:ascii="Calibri" w:cs="Calibri" w:eastAsia="Calibri" w:hAnsi="Calibri"/>
                <w:sz w:val="20"/>
                <w:szCs w:val="20"/>
                <w:color w:val="auto"/>
              </w:rPr>
              <w:t>(2)</w:t>
            </w:r>
          </w:p>
        </w:tc>
        <w:tc>
          <w:tcPr>
            <w:tcW w:w="160" w:type="dxa"/>
            <w:vAlign w:val="bottom"/>
          </w:tcPr>
          <w:p>
            <w:pPr>
              <w:spacing w:after="0"/>
              <w:rPr>
                <w:sz w:val="24"/>
                <w:szCs w:val="24"/>
                <w:color w:val="auto"/>
              </w:rPr>
            </w:pPr>
          </w:p>
        </w:tc>
        <w:tc>
          <w:tcPr>
            <w:tcW w:w="1380" w:type="dxa"/>
            <w:vAlign w:val="bottom"/>
            <w:gridSpan w:val="5"/>
          </w:tcPr>
          <w:p>
            <w:pPr>
              <w:ind w:left="100"/>
              <w:spacing w:after="0"/>
              <w:rPr>
                <w:sz w:val="20"/>
                <w:szCs w:val="20"/>
                <w:color w:val="auto"/>
              </w:rPr>
            </w:pPr>
            <w:r>
              <w:rPr>
                <w:rFonts w:ascii="Calibri" w:cs="Calibri" w:eastAsia="Calibri" w:hAnsi="Calibri"/>
                <w:sz w:val="20"/>
                <w:szCs w:val="20"/>
                <w:color w:val="auto"/>
              </w:rPr>
              <w:t>the sum of :</w:t>
            </w:r>
          </w:p>
        </w:tc>
        <w:tc>
          <w:tcPr>
            <w:tcW w:w="260" w:type="dxa"/>
            <w:vAlign w:val="bottom"/>
          </w:tcPr>
          <w:p>
            <w:pPr>
              <w:spacing w:after="0"/>
              <w:rPr>
                <w:sz w:val="24"/>
                <w:szCs w:val="24"/>
                <w:color w:val="auto"/>
              </w:rPr>
            </w:pPr>
          </w:p>
        </w:tc>
        <w:tc>
          <w:tcPr>
            <w:tcW w:w="6100" w:type="dxa"/>
            <w:vAlign w:val="bottom"/>
            <w:tcBorders>
              <w:right w:val="single" w:sz="8" w:color="auto"/>
            </w:tcBorders>
          </w:tcPr>
          <w:p>
            <w:pPr>
              <w:spacing w:after="0"/>
              <w:rPr>
                <w:sz w:val="24"/>
                <w:szCs w:val="24"/>
                <w:color w:val="auto"/>
              </w:rPr>
            </w:pPr>
          </w:p>
        </w:tc>
      </w:tr>
      <w:tr>
        <w:trPr>
          <w:trHeight w:val="373"/>
        </w:trPr>
        <w:tc>
          <w:tcPr>
            <w:tcW w:w="2960" w:type="dxa"/>
            <w:vAlign w:val="bottom"/>
            <w:tcBorders>
              <w:left w:val="single" w:sz="8" w:color="auto"/>
              <w:right w:val="single" w:sz="8" w:color="auto"/>
            </w:tcBorders>
          </w:tcPr>
          <w:p>
            <w:pPr>
              <w:spacing w:after="0"/>
              <w:rPr>
                <w:sz w:val="24"/>
                <w:szCs w:val="24"/>
                <w:color w:val="auto"/>
              </w:rPr>
            </w:pPr>
          </w:p>
        </w:tc>
        <w:tc>
          <w:tcPr>
            <w:tcW w:w="560" w:type="dxa"/>
            <w:vAlign w:val="bottom"/>
            <w:gridSpan w:val="3"/>
          </w:tcPr>
          <w:p>
            <w:pPr>
              <w:spacing w:after="0"/>
              <w:rPr>
                <w:sz w:val="20"/>
                <w:szCs w:val="20"/>
                <w:color w:val="auto"/>
              </w:rPr>
            </w:pPr>
            <w:r>
              <w:rPr>
                <w:rFonts w:ascii="Calibri" w:cs="Calibri" w:eastAsia="Calibri" w:hAnsi="Calibri"/>
                <w:sz w:val="20"/>
                <w:szCs w:val="20"/>
                <w:color w:val="auto"/>
              </w:rPr>
              <w:t>(x)</w:t>
            </w:r>
          </w:p>
        </w:tc>
        <w:tc>
          <w:tcPr>
            <w:tcW w:w="7740" w:type="dxa"/>
            <w:vAlign w:val="bottom"/>
            <w:tcBorders>
              <w:right w:val="single" w:sz="8" w:color="auto"/>
            </w:tcBorders>
            <w:gridSpan w:val="7"/>
          </w:tcPr>
          <w:p>
            <w:pPr>
              <w:ind w:left="100"/>
              <w:spacing w:after="0"/>
              <w:rPr>
                <w:sz w:val="20"/>
                <w:szCs w:val="20"/>
                <w:color w:val="auto"/>
              </w:rPr>
            </w:pPr>
            <w:r>
              <w:rPr>
                <w:rFonts w:ascii="Calibri" w:cs="Calibri" w:eastAsia="Calibri" w:hAnsi="Calibri"/>
                <w:sz w:val="20"/>
                <w:szCs w:val="20"/>
                <w:color w:val="auto"/>
              </w:rPr>
              <w:t>(i) Direct Funding Disbursements received minus (ii) Direct Funding returned to the</w:t>
            </w:r>
          </w:p>
        </w:tc>
      </w:tr>
      <w:tr>
        <w:trPr>
          <w:trHeight w:val="202"/>
        </w:trPr>
        <w:tc>
          <w:tcPr>
            <w:tcW w:w="296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40" w:type="dxa"/>
            <w:vAlign w:val="bottom"/>
            <w:tcBorders>
              <w:right w:val="single" w:sz="8" w:color="auto"/>
            </w:tcBorders>
            <w:gridSpan w:val="7"/>
          </w:tcPr>
          <w:p>
            <w:pPr>
              <w:ind w:left="100"/>
              <w:spacing w:after="0" w:line="203" w:lineRule="exact"/>
              <w:rPr>
                <w:sz w:val="20"/>
                <w:szCs w:val="20"/>
                <w:color w:val="auto"/>
              </w:rPr>
            </w:pPr>
            <w:r>
              <w:rPr>
                <w:rFonts w:ascii="Calibri" w:cs="Calibri" w:eastAsia="Calibri" w:hAnsi="Calibri"/>
                <w:sz w:val="20"/>
                <w:szCs w:val="20"/>
                <w:color w:val="auto"/>
              </w:rPr>
              <w:t>Department pursuant to the exercise of any of the Department’s remedies under this</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tcBorders>
              <w:right w:val="single" w:sz="8" w:color="auto"/>
            </w:tcBorders>
            <w:gridSpan w:val="7"/>
          </w:tcPr>
          <w:p>
            <w:pPr>
              <w:ind w:left="100"/>
              <w:spacing w:after="0" w:line="234" w:lineRule="exact"/>
              <w:rPr>
                <w:sz w:val="20"/>
                <w:szCs w:val="20"/>
                <w:color w:val="auto"/>
              </w:rPr>
            </w:pPr>
            <w:r>
              <w:rPr>
                <w:rFonts w:ascii="Calibri" w:cs="Calibri" w:eastAsia="Calibri" w:hAnsi="Calibri"/>
                <w:sz w:val="20"/>
                <w:szCs w:val="20"/>
                <w:color w:val="auto"/>
              </w:rPr>
              <w:t>Agreement or the Sponsor Guarantee</w:t>
            </w:r>
          </w:p>
        </w:tc>
      </w:tr>
      <w:tr>
        <w:trPr>
          <w:trHeight w:val="69"/>
        </w:trPr>
        <w:tc>
          <w:tcPr>
            <w:tcW w:w="2960" w:type="dxa"/>
            <w:vAlign w:val="bottom"/>
            <w:tcBorders>
              <w:left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100" w:type="dxa"/>
            <w:vAlign w:val="bottom"/>
            <w:tcBorders>
              <w:right w:val="single" w:sz="8" w:color="auto"/>
            </w:tcBorders>
          </w:tcPr>
          <w:p>
            <w:pPr>
              <w:spacing w:after="0"/>
              <w:rPr>
                <w:sz w:val="6"/>
                <w:szCs w:val="6"/>
                <w:color w:val="auto"/>
              </w:rPr>
            </w:pPr>
          </w:p>
        </w:tc>
      </w:tr>
    </w:tbl>
    <w:p>
      <w:pPr>
        <w:sectPr>
          <w:pgSz w:w="11900" w:h="16900" w:orient="portrait"/>
          <w:cols w:equalWidth="0" w:num="1">
            <w:col w:w="11260"/>
          </w:cols>
          <w:pgMar w:left="320" w:top="1440" w:right="319" w:bottom="0" w:gutter="0" w:footer="0" w:header="0"/>
        </w:sectPr>
      </w:pPr>
    </w:p>
    <w:bookmarkStart w:id="387" w:name="page388"/>
    <w:bookmarkEnd w:id="387"/>
    <w:p>
      <w:pPr>
        <w:ind w:left="3660"/>
        <w:spacing w:after="0"/>
        <w:rPr>
          <w:sz w:val="20"/>
          <w:szCs w:val="20"/>
          <w:color w:val="auto"/>
        </w:rPr>
      </w:pPr>
      <w:r>
        <w:rPr>
          <w:rFonts w:ascii="Calibri" w:cs="Calibri" w:eastAsia="Calibri" w:hAnsi="Calibri"/>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0575" cy="12172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40575" cy="1217295"/>
                    </a:xfrm>
                    <a:prstGeom prst="rect">
                      <a:avLst/>
                    </a:prstGeom>
                    <a:noFill/>
                  </pic:spPr>
                </pic:pic>
              </a:graphicData>
            </a:graphic>
          </wp:anchor>
        </w:drawing>
        <w:t>plus</w:t>
      </w:r>
    </w:p>
    <w:p>
      <w:pPr>
        <w:spacing w:after="0" w:line="184" w:lineRule="exact"/>
        <w:rPr>
          <w:sz w:val="20"/>
          <w:szCs w:val="20"/>
          <w:color w:val="auto"/>
        </w:rPr>
      </w:pPr>
    </w:p>
    <w:p>
      <w:pPr>
        <w:ind w:left="3660" w:right="4000" w:hanging="691"/>
        <w:spacing w:after="0" w:line="424" w:lineRule="auto"/>
        <w:tabs>
          <w:tab w:leader="none" w:pos="3608" w:val="left"/>
        </w:tabs>
        <w:numPr>
          <w:ilvl w:val="0"/>
          <w:numId w:val="417"/>
        </w:numPr>
        <w:rPr>
          <w:rFonts w:ascii="Calibri" w:cs="Calibri" w:eastAsia="Calibri" w:hAnsi="Calibri"/>
          <w:sz w:val="20"/>
          <w:szCs w:val="20"/>
          <w:color w:val="auto"/>
        </w:rPr>
      </w:pPr>
      <w:r>
        <w:rPr>
          <w:rFonts w:ascii="Calibri" w:cs="Calibri" w:eastAsia="Calibri" w:hAnsi="Calibri"/>
          <w:sz w:val="20"/>
          <w:szCs w:val="20"/>
          <w:color w:val="auto"/>
        </w:rPr>
        <w:t xml:space="preserve">Federal investment tax credits cash received </w:t>
      </w:r>
      <w:r>
        <w:rPr>
          <w:rFonts w:ascii="Calibri" w:cs="Calibri" w:eastAsia="Calibri" w:hAnsi="Calibri"/>
          <w:sz w:val="20"/>
          <w:szCs w:val="20"/>
          <w:u w:val="single" w:color="auto"/>
          <w:color w:val="auto"/>
        </w:rPr>
        <w:t>plus</w:t>
      </w:r>
    </w:p>
    <w:p>
      <w:pPr>
        <w:ind w:left="3620" w:hanging="651"/>
        <w:spacing w:after="0"/>
        <w:tabs>
          <w:tab w:leader="none" w:pos="3620" w:val="left"/>
        </w:tabs>
        <w:numPr>
          <w:ilvl w:val="0"/>
          <w:numId w:val="417"/>
        </w:numPr>
        <w:rPr>
          <w:rFonts w:ascii="Calibri" w:cs="Calibri" w:eastAsia="Calibri" w:hAnsi="Calibri"/>
          <w:sz w:val="20"/>
          <w:szCs w:val="20"/>
          <w:color w:val="auto"/>
        </w:rPr>
      </w:pPr>
      <w:r>
        <w:rPr>
          <w:rFonts w:ascii="Calibri" w:cs="Calibri" w:eastAsia="Calibri" w:hAnsi="Calibri"/>
          <w:sz w:val="20"/>
          <w:szCs w:val="20"/>
          <w:color w:val="auto"/>
        </w:rPr>
        <w:t>Idaho State investment tax credits cash received.</w:t>
      </w:r>
    </w:p>
    <w:p>
      <w:pPr>
        <w:spacing w:after="0" w:line="200" w:lineRule="exact"/>
        <w:rPr>
          <w:sz w:val="20"/>
          <w:szCs w:val="20"/>
          <w:color w:val="auto"/>
        </w:rPr>
      </w:pPr>
    </w:p>
    <w:p>
      <w:pPr>
        <w:spacing w:after="0" w:line="362"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Applicable Law</w:t>
      </w:r>
      <w:r>
        <w:rPr>
          <w:rFonts w:ascii="Calibri" w:cs="Calibri" w:eastAsia="Calibri" w:hAnsi="Calibri"/>
          <w:sz w:val="20"/>
          <w:szCs w:val="20"/>
          <w:color w:val="auto"/>
        </w:rPr>
        <w:t>” means, with respect to any Person, any consttuton, statute, law, rule, regulaton, code, ordinance, treaty, judgment, order or any published directve, guideline, requirement or other governmental rule or restricton which has the force of law, or any determinaton or interpretaton of any of the foregoing by any Governmental Authority having jurisdicton over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254" w:right="339" w:bottom="1440" w:gutter="0" w:footer="0" w:header="0"/>
        </w:sectPr>
      </w:pPr>
    </w:p>
    <w:bookmarkStart w:id="388" w:name="page389"/>
    <w:bookmarkEnd w:id="388"/>
    <w:p>
      <w:pPr>
        <w:ind w:right="20"/>
        <w:spacing w:after="0" w:line="214" w:lineRule="auto"/>
        <w:rPr>
          <w:sz w:val="20"/>
          <w:szCs w:val="20"/>
          <w:color w:val="auto"/>
        </w:rPr>
      </w:pPr>
      <w:r>
        <w:rPr>
          <w:rFonts w:ascii="Calibri" w:cs="Calibri" w:eastAsia="Calibri" w:hAnsi="Calibri"/>
          <w:sz w:val="20"/>
          <w:szCs w:val="20"/>
          <w:color w:val="auto"/>
        </w:rPr>
        <w:t>judicial authority, that is binding on such Person or any of its propertes, whether in efect as of the date of this Agreement or as of any date hereafer.</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Applicaton</w:t>
      </w:r>
      <w:r>
        <w:rPr>
          <w:rFonts w:ascii="Calibri" w:cs="Calibri" w:eastAsia="Calibri" w:hAnsi="Calibri"/>
          <w:sz w:val="20"/>
          <w:szCs w:val="20"/>
          <w:color w:val="auto"/>
        </w:rPr>
        <w:t>” has the meaning set forth in the recitals hereto.</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Approved Jurisdictons</w:t>
      </w:r>
      <w:r>
        <w:rPr>
          <w:rFonts w:ascii="Calibri" w:cs="Calibri" w:eastAsia="Calibri" w:hAnsi="Calibri"/>
          <w:sz w:val="20"/>
          <w:szCs w:val="20"/>
          <w:color w:val="auto"/>
        </w:rPr>
        <w:t xml:space="preserve">” means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ASAP</w:t>
      </w:r>
      <w:r>
        <w:rPr>
          <w:rFonts w:ascii="Calibri" w:cs="Calibri" w:eastAsia="Calibri" w:hAnsi="Calibri"/>
          <w:sz w:val="20"/>
          <w:szCs w:val="20"/>
          <w:color w:val="auto"/>
        </w:rPr>
        <w:t>” has the meaning set forth in Secton 2.2.1 (</w:t>
      </w:r>
      <w:r>
        <w:rPr>
          <w:rFonts w:ascii="Calibri" w:cs="Calibri" w:eastAsia="Calibri" w:hAnsi="Calibri"/>
          <w:sz w:val="20"/>
          <w:szCs w:val="20"/>
          <w:b w:val="1"/>
          <w:bCs w:val="1"/>
          <w:color w:val="auto"/>
        </w:rPr>
        <w:t>ASAP System</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AUP Leter</w:t>
      </w:r>
      <w:r>
        <w:rPr>
          <w:rFonts w:ascii="Calibri" w:cs="Calibri" w:eastAsia="Calibri" w:hAnsi="Calibri"/>
          <w:sz w:val="20"/>
          <w:szCs w:val="20"/>
          <w:color w:val="auto"/>
        </w:rPr>
        <w:t>” has the meaning set forth in Secton 3.2.3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Authorized Ofcer</w:t>
      </w:r>
      <w:r>
        <w:rPr>
          <w:rFonts w:ascii="Calibri" w:cs="Calibri" w:eastAsia="Calibri" w:hAnsi="Calibri"/>
          <w:sz w:val="20"/>
          <w:szCs w:val="20"/>
          <w:color w:val="auto"/>
        </w:rPr>
        <w:t>” means:</w:t>
      </w:r>
    </w:p>
    <w:p>
      <w:pPr>
        <w:spacing w:after="0" w:line="184" w:lineRule="exact"/>
        <w:rPr>
          <w:sz w:val="20"/>
          <w:szCs w:val="20"/>
          <w:color w:val="auto"/>
        </w:rPr>
      </w:pPr>
    </w:p>
    <w:p>
      <w:pPr>
        <w:jc w:val="both"/>
        <w:ind w:left="1300" w:hanging="644"/>
        <w:spacing w:after="0" w:line="220" w:lineRule="auto"/>
        <w:tabs>
          <w:tab w:leader="none" w:pos="1304" w:val="left"/>
        </w:tabs>
        <w:numPr>
          <w:ilvl w:val="0"/>
          <w:numId w:val="418"/>
        </w:numPr>
        <w:rPr>
          <w:rFonts w:ascii="Calibri" w:cs="Calibri" w:eastAsia="Calibri" w:hAnsi="Calibri"/>
          <w:sz w:val="20"/>
          <w:szCs w:val="20"/>
          <w:color w:val="auto"/>
        </w:rPr>
      </w:pPr>
      <w:r>
        <w:rPr>
          <w:rFonts w:ascii="Calibri" w:cs="Calibri" w:eastAsia="Calibri" w:hAnsi="Calibri"/>
          <w:sz w:val="20"/>
          <w:szCs w:val="20"/>
          <w:color w:val="auto"/>
        </w:rPr>
        <w:t>with respect to any Person that is (i) a corporaton, the chairman, chief executve ofcer, president, vice president, assistant vice president, treasurer, assistant treasurer, any Person holding equivalent positons in such corporatons, or any other Financial Ofcer of such Person; (ii) a partnership, each general partner of such Person or the chairman, chief executve ofcer, president, a vice president, an assistant vice president, treasurer, an assistant treasurer, any Person holding equivalent positons in such partnership, or any other Financial Ofcer of a general partner of such Person; or (iii) a limited liability company, the manager, managing partner or duly appointed ofcer of such Person, the individuals authorized to represent such Person pursuant to the Organizatonal Documents of such Person, or the chairman, chief executve ofcer, president, vice president, assistant vice president, treasurer, assistant treasurer, any Person holding equivalent positons in such corporatons, or any other Financial Ofcer of the manager or managing member of such Person; and</w:t>
      </w:r>
    </w:p>
    <w:p>
      <w:pPr>
        <w:spacing w:after="0" w:line="172" w:lineRule="exact"/>
        <w:rPr>
          <w:rFonts w:ascii="Calibri" w:cs="Calibri" w:eastAsia="Calibri" w:hAnsi="Calibri"/>
          <w:sz w:val="20"/>
          <w:szCs w:val="20"/>
          <w:color w:val="auto"/>
        </w:rPr>
      </w:pPr>
    </w:p>
    <w:p>
      <w:pPr>
        <w:jc w:val="both"/>
        <w:ind w:left="1300" w:hanging="644"/>
        <w:spacing w:after="0" w:line="203" w:lineRule="auto"/>
        <w:tabs>
          <w:tab w:leader="none" w:pos="1300" w:val="left"/>
        </w:tabs>
        <w:numPr>
          <w:ilvl w:val="0"/>
          <w:numId w:val="418"/>
        </w:numPr>
        <w:rPr>
          <w:rFonts w:ascii="Calibri" w:cs="Calibri" w:eastAsia="Calibri" w:hAnsi="Calibri"/>
          <w:sz w:val="20"/>
          <w:szCs w:val="20"/>
          <w:color w:val="auto"/>
        </w:rPr>
      </w:pPr>
      <w:r>
        <w:rPr>
          <w:rFonts w:ascii="Calibri" w:cs="Calibri" w:eastAsia="Calibri" w:hAnsi="Calibri"/>
          <w:sz w:val="20"/>
          <w:szCs w:val="20"/>
          <w:color w:val="auto"/>
        </w:rPr>
        <w:t>with respect to any Recipient Party, only those individuals holding any of the foregoing positons whose name appears on the certfcate of incumbency delivered pursuant to Secton 4.2.1 (</w:t>
      </w:r>
      <w:r>
        <w:rPr>
          <w:rFonts w:ascii="Calibri" w:cs="Calibri" w:eastAsia="Calibri" w:hAnsi="Calibri"/>
          <w:sz w:val="20"/>
          <w:szCs w:val="20"/>
          <w:b w:val="1"/>
          <w:bCs w:val="1"/>
          <w:color w:val="auto"/>
        </w:rPr>
        <w:t>Recipient Partes Organizatonal Documents</w:t>
      </w:r>
      <w:r>
        <w:rPr>
          <w:rFonts w:ascii="Calibri" w:cs="Calibri" w:eastAsia="Calibri" w:hAnsi="Calibri"/>
          <w:sz w:val="20"/>
          <w:szCs w:val="20"/>
          <w:color w:val="auto"/>
        </w:rPr>
        <w:t>), as such certfcate of incumbency may be amended from tme to tme to identfy the individuals then holding such ofces and the capacity in which they are actng.</w:t>
      </w:r>
    </w:p>
    <w:p>
      <w:pPr>
        <w:spacing w:after="0" w:line="187" w:lineRule="exact"/>
        <w:rPr>
          <w:sz w:val="20"/>
          <w:szCs w:val="20"/>
          <w:color w:val="auto"/>
        </w:rPr>
      </w:pPr>
    </w:p>
    <w:p>
      <w:pPr>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Authorized Purpose</w:t>
      </w:r>
      <w:r>
        <w:rPr>
          <w:rFonts w:ascii="Calibri" w:cs="Calibri" w:eastAsia="Calibri" w:hAnsi="Calibri"/>
          <w:sz w:val="20"/>
          <w:szCs w:val="20"/>
          <w:color w:val="auto"/>
        </w:rPr>
        <w:t>” means the constructon of the Facilites and the manufacturing of Semiconductors, including leading edge DRAM chips in the United States (including any reasonable ancillary uses and purposes related thereto).</w:t>
      </w:r>
    </w:p>
    <w:p>
      <w:pPr>
        <w:spacing w:after="0" w:line="184"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w:t>
      </w:r>
      <w:r>
        <w:rPr>
          <w:rFonts w:ascii="Calibri" w:cs="Calibri" w:eastAsia="Calibri" w:hAnsi="Calibri"/>
          <w:sz w:val="20"/>
          <w:szCs w:val="20"/>
          <w:color w:val="auto"/>
        </w:rPr>
        <w:t>” means that CHIPS Incentve provided by the Department to the Recipient pursuant to terms of the CHIPS Act and the Award Documents, including the Direct Funding Award.</w:t>
      </w:r>
    </w:p>
    <w:p>
      <w:pPr>
        <w:spacing w:after="0" w:line="172"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 Date</w:t>
      </w:r>
      <w:r>
        <w:rPr>
          <w:rFonts w:ascii="Calibri" w:cs="Calibri" w:eastAsia="Calibri" w:hAnsi="Calibri"/>
          <w:sz w:val="20"/>
          <w:szCs w:val="20"/>
          <w:color w:val="auto"/>
        </w:rPr>
        <w:t>” means the date on which this Agreement and the frst Funding Obligaton are executed by the Department and the Recipient.</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 Documents</w:t>
      </w:r>
      <w:r>
        <w:rPr>
          <w:rFonts w:ascii="Calibri" w:cs="Calibri" w:eastAsia="Calibri" w:hAnsi="Calibri"/>
          <w:sz w:val="20"/>
          <w:szCs w:val="20"/>
          <w:color w:val="auto"/>
        </w:rPr>
        <w:t>” means collectvely:</w:t>
      </w:r>
    </w:p>
    <w:p>
      <w:pPr>
        <w:spacing w:after="0" w:line="161" w:lineRule="exact"/>
        <w:rPr>
          <w:sz w:val="20"/>
          <w:szCs w:val="20"/>
          <w:color w:val="auto"/>
        </w:rPr>
      </w:pPr>
    </w:p>
    <w:p>
      <w:pPr>
        <w:ind w:left="1300" w:hanging="644"/>
        <w:spacing w:after="0"/>
        <w:tabs>
          <w:tab w:leader="none" w:pos="1300" w:val="left"/>
        </w:tabs>
        <w:numPr>
          <w:ilvl w:val="0"/>
          <w:numId w:val="419"/>
        </w:numPr>
        <w:rPr>
          <w:rFonts w:ascii="Calibri" w:cs="Calibri" w:eastAsia="Calibri" w:hAnsi="Calibri"/>
          <w:sz w:val="20"/>
          <w:szCs w:val="20"/>
          <w:color w:val="auto"/>
        </w:rPr>
      </w:pPr>
      <w:r>
        <w:rPr>
          <w:rFonts w:ascii="Calibri" w:cs="Calibri" w:eastAsia="Calibri" w:hAnsi="Calibri"/>
          <w:sz w:val="20"/>
          <w:szCs w:val="20"/>
          <w:color w:val="auto"/>
        </w:rPr>
        <w:t>this Agreement;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19"/>
        </w:numPr>
        <w:rPr>
          <w:rFonts w:ascii="Calibri" w:cs="Calibri" w:eastAsia="Calibri" w:hAnsi="Calibri"/>
          <w:sz w:val="20"/>
          <w:szCs w:val="20"/>
          <w:color w:val="auto"/>
        </w:rPr>
      </w:pPr>
      <w:r>
        <w:rPr>
          <w:rFonts w:ascii="Calibri" w:cs="Calibri" w:eastAsia="Calibri" w:hAnsi="Calibri"/>
          <w:sz w:val="20"/>
          <w:szCs w:val="20"/>
          <w:color w:val="auto"/>
        </w:rPr>
        <w:t>each Funding Obligaton; and</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19"/>
        </w:numPr>
        <w:rPr>
          <w:rFonts w:ascii="Calibri" w:cs="Calibri" w:eastAsia="Calibri" w:hAnsi="Calibri"/>
          <w:sz w:val="20"/>
          <w:szCs w:val="20"/>
          <w:color w:val="auto"/>
        </w:rPr>
      </w:pPr>
      <w:r>
        <w:rPr>
          <w:rFonts w:ascii="Calibri" w:cs="Calibri" w:eastAsia="Calibri" w:hAnsi="Calibri"/>
          <w:sz w:val="20"/>
          <w:szCs w:val="20"/>
          <w:color w:val="auto"/>
        </w:rPr>
        <w:t>each other document atached to this Agreement or any Funding Obligatons.</w:t>
      </w:r>
    </w:p>
    <w:p>
      <w:pPr>
        <w:spacing w:after="0" w:line="171"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 means the base case fnancial model delivered by the Recipient, and approved by the Department, in connecton with the Award Date, pursuant to Secton 4.9 (</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BIS</w:t>
      </w:r>
      <w:r>
        <w:rPr>
          <w:rFonts w:ascii="Calibri" w:cs="Calibri" w:eastAsia="Calibri" w:hAnsi="Calibri"/>
          <w:sz w:val="20"/>
          <w:szCs w:val="20"/>
          <w:color w:val="auto"/>
        </w:rPr>
        <w:t>” means the Department’s Bureau of Industry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384" w:right="339" w:bottom="1440" w:gutter="0" w:footer="0" w:header="0"/>
        </w:sectPr>
      </w:pPr>
    </w:p>
    <w:bookmarkStart w:id="389" w:name="page390"/>
    <w:bookmarkEnd w:id="389"/>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Body of Informaton</w:t>
      </w:r>
      <w:r>
        <w:rPr>
          <w:rFonts w:ascii="Calibri" w:cs="Calibri" w:eastAsia="Calibri" w:hAnsi="Calibri"/>
          <w:sz w:val="20"/>
          <w:szCs w:val="20"/>
          <w:color w:val="auto"/>
        </w:rPr>
        <w:t>” means (a) a Member of Congress or a representatve of a commitee of Congress; (b) the OIG; (c) the Government Accountability Ofce; (d) a Federal employee responsible for management of the Award; (e) an authorized ofcial of the Department of Justce or other law enforcement agency; (f) a court or grand jury; or (g) a management ofcial or other employee of the Recipient or Recipient Party who has the responsibility to investgate, discover, or address misconduct subject to whistleblower protectons.</w:t>
      </w:r>
    </w:p>
    <w:p>
      <w:pPr>
        <w:spacing w:after="0" w:line="17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Breakeven Date</w:t>
      </w:r>
      <w:r>
        <w:rPr>
          <w:rFonts w:ascii="Calibri" w:cs="Calibri" w:eastAsia="Calibri" w:hAnsi="Calibri"/>
          <w:sz w:val="20"/>
          <w:szCs w:val="20"/>
          <w:color w:val="auto"/>
        </w:rPr>
        <w:t>” means the frst (1st) date on which the Cumulatve Actual Unlevered Free Cash Flow generated by the Project since the Project Initaton Date is equal to or greater than zero Dollars ($0).</w:t>
      </w:r>
    </w:p>
    <w:p>
      <w:pPr>
        <w:spacing w:after="0" w:line="186"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Business Day</w:t>
      </w:r>
      <w:r>
        <w:rPr>
          <w:rFonts w:ascii="Calibri" w:cs="Calibri" w:eastAsia="Calibri" w:hAnsi="Calibri"/>
          <w:sz w:val="20"/>
          <w:szCs w:val="20"/>
          <w:color w:val="auto"/>
        </w:rPr>
        <w:t>” means any day other than Saturday, Sunday or other day on which either the Department of Treasury or the Federal Reserve Bank of New York is not open for business.</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Capital Expenditures</w:t>
      </w:r>
      <w:r>
        <w:rPr>
          <w:rFonts w:ascii="Calibri" w:cs="Calibri" w:eastAsia="Calibri" w:hAnsi="Calibri"/>
          <w:sz w:val="20"/>
          <w:szCs w:val="20"/>
          <w:color w:val="auto"/>
        </w:rPr>
        <w:t>” means all expenditures that are capitalized in accordance with the Applicable Accountng Requirements.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Carve-Out Financials</w:t>
      </w:r>
      <w:r>
        <w:rPr>
          <w:rFonts w:ascii="Calibri" w:cs="Calibri" w:eastAsia="Calibri" w:hAnsi="Calibri"/>
          <w:sz w:val="20"/>
          <w:szCs w:val="20"/>
          <w:color w:val="auto"/>
        </w:rPr>
        <w:t>” has the meaning set forth in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w:t>
      </w:r>
    </w:p>
    <w:p>
      <w:pPr>
        <w:spacing w:after="0" w:line="171"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Cash Taxes</w:t>
      </w:r>
      <w:r>
        <w:rPr>
          <w:rFonts w:ascii="Calibri" w:cs="Calibri" w:eastAsia="Calibri" w:hAnsi="Calibri"/>
          <w:sz w:val="20"/>
          <w:szCs w:val="20"/>
          <w:color w:val="auto"/>
        </w:rPr>
        <w:t>” means, per the relevant period, (a) Total Revenue, minus Cost of Goods Sold including Depreciaton, minus Operatng Expenses for such period, then (b) multplied by the applicable corporate tax rate for the relevant period.</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means the occurrence of any of the following:</w:t>
      </w:r>
    </w:p>
    <w:p>
      <w:pPr>
        <w:spacing w:after="0" w:line="171" w:lineRule="exact"/>
        <w:rPr>
          <w:sz w:val="20"/>
          <w:szCs w:val="20"/>
          <w:color w:val="auto"/>
        </w:rPr>
      </w:pPr>
    </w:p>
    <w:p>
      <w:pPr>
        <w:jc w:val="both"/>
        <w:ind w:left="1300" w:hanging="644"/>
        <w:spacing w:after="0" w:line="209" w:lineRule="auto"/>
        <w:tabs>
          <w:tab w:leader="none" w:pos="1298" w:val="left"/>
        </w:tabs>
        <w:numPr>
          <w:ilvl w:val="0"/>
          <w:numId w:val="420"/>
        </w:numPr>
        <w:rPr>
          <w:rFonts w:ascii="Calibri" w:cs="Calibri" w:eastAsia="Calibri" w:hAnsi="Calibri"/>
          <w:sz w:val="20"/>
          <w:szCs w:val="20"/>
          <w:color w:val="auto"/>
        </w:rPr>
      </w:pPr>
      <w:r>
        <w:rPr>
          <w:rFonts w:ascii="Calibri" w:cs="Calibri" w:eastAsia="Calibri" w:hAnsi="Calibri"/>
          <w:sz w:val="20"/>
          <w:szCs w:val="20"/>
          <w:color w:val="auto"/>
        </w:rPr>
        <w:t>any Person or group (within the meaning of Rules 13d-3 and 13d-5 under the Securites Exchange Act of 1934), acquires Control of more than thirty fve percent (35%) of the votng Equity Interests or the economic value of Equity Interests of the Sponsor Guarantor;</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420"/>
        </w:numPr>
        <w:rPr>
          <w:rFonts w:ascii="Calibri" w:cs="Calibri" w:eastAsia="Calibri" w:hAnsi="Calibri"/>
          <w:sz w:val="20"/>
          <w:szCs w:val="20"/>
          <w:color w:val="auto"/>
        </w:rPr>
      </w:pPr>
      <w:r>
        <w:rPr>
          <w:rFonts w:ascii="Calibri" w:cs="Calibri" w:eastAsia="Calibri" w:hAnsi="Calibri"/>
          <w:sz w:val="20"/>
          <w:szCs w:val="20"/>
          <w:color w:val="auto"/>
        </w:rPr>
        <w:t>a Prohibited Person or Foreign Entty of Concern acquires Control of any Recipient Party; and</w:t>
      </w:r>
    </w:p>
    <w:p>
      <w:pPr>
        <w:spacing w:after="0" w:line="184" w:lineRule="exact"/>
        <w:rPr>
          <w:rFonts w:ascii="Calibri" w:cs="Calibri" w:eastAsia="Calibri" w:hAnsi="Calibri"/>
          <w:sz w:val="20"/>
          <w:szCs w:val="20"/>
          <w:color w:val="auto"/>
        </w:rPr>
      </w:pPr>
    </w:p>
    <w:p>
      <w:pPr>
        <w:jc w:val="both"/>
        <w:ind w:left="1300" w:right="20" w:hanging="644"/>
        <w:spacing w:after="0" w:line="205" w:lineRule="auto"/>
        <w:tabs>
          <w:tab w:leader="none" w:pos="1300" w:val="left"/>
        </w:tabs>
        <w:numPr>
          <w:ilvl w:val="0"/>
          <w:numId w:val="420"/>
        </w:numPr>
        <w:rPr>
          <w:rFonts w:ascii="Calibri" w:cs="Calibri" w:eastAsia="Calibri" w:hAnsi="Calibri"/>
          <w:sz w:val="20"/>
          <w:szCs w:val="20"/>
          <w:color w:val="auto"/>
        </w:rPr>
      </w:pPr>
      <w:r>
        <w:rPr>
          <w:rFonts w:ascii="Calibri" w:cs="Calibri" w:eastAsia="Calibri" w:hAnsi="Calibri"/>
          <w:sz w:val="20"/>
          <w:szCs w:val="20"/>
          <w:color w:val="auto"/>
        </w:rPr>
        <w:t>the Sponsor Guarantor ceases (i) to hold and Control, directly or indirectly, one hundred percent (100%) of the votng Equity Interests, or to hold the economic value of the Equity Interests, of the Recipient; or (ii) to Control, directly or indirectly, the Recipient.</w:t>
      </w:r>
    </w:p>
    <w:p>
      <w:pPr>
        <w:spacing w:after="0" w:line="184"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Act</w:t>
      </w:r>
      <w:r>
        <w:rPr>
          <w:rFonts w:ascii="Calibri" w:cs="Calibri" w:eastAsia="Calibri" w:hAnsi="Calibri"/>
          <w:sz w:val="20"/>
          <w:szCs w:val="20"/>
          <w:color w:val="auto"/>
        </w:rPr>
        <w:t>” means Title XCIX—Creatng Helpful Incentves to Produce Semiconductors for America of the William M. (Mac) Thornberry Natonal Defense Authorizaton Act for Fiscal Year 2021 (Pub. L. 116-283), as amended by the CHIPS Act of 2022 (Division A of Pub. L. 117-167).</w:t>
      </w:r>
    </w:p>
    <w:p>
      <w:pPr>
        <w:spacing w:after="0" w:line="184"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Incentves</w:t>
      </w:r>
      <w:r>
        <w:rPr>
          <w:rFonts w:ascii="Calibri" w:cs="Calibri" w:eastAsia="Calibri" w:hAnsi="Calibri"/>
          <w:sz w:val="20"/>
          <w:szCs w:val="20"/>
          <w:color w:val="auto"/>
        </w:rPr>
        <w:t>” means the provision of direct funding (via grants, cooperatve agreements, or other transactons), loans and loan guarantees as described in the NOFO.</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Incentves Program</w:t>
      </w:r>
      <w:r>
        <w:rPr>
          <w:rFonts w:ascii="Calibri" w:cs="Calibri" w:eastAsia="Calibri" w:hAnsi="Calibri"/>
          <w:sz w:val="20"/>
          <w:szCs w:val="20"/>
          <w:color w:val="auto"/>
        </w:rPr>
        <w:t>” has the meaning set forth in the Recitals.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Program Ofce</w:t>
      </w:r>
      <w:r>
        <w:rPr>
          <w:rFonts w:ascii="Calibri" w:cs="Calibri" w:eastAsia="Calibri" w:hAnsi="Calibri"/>
          <w:sz w:val="20"/>
          <w:szCs w:val="20"/>
          <w:color w:val="auto"/>
        </w:rPr>
        <w:t>” means the ofce of the Department overseeing the administraton of the CHIPS Incentve Program.</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Communicatons</w:t>
      </w:r>
      <w:r>
        <w:rPr>
          <w:rFonts w:ascii="Calibri" w:cs="Calibri" w:eastAsia="Calibri" w:hAnsi="Calibri"/>
          <w:sz w:val="20"/>
          <w:szCs w:val="20"/>
          <w:color w:val="auto"/>
        </w:rPr>
        <w:t>” has the meaning set forth in Secton 10.2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Comptroller General</w:t>
      </w:r>
      <w:r>
        <w:rPr>
          <w:rFonts w:ascii="Calibri" w:cs="Calibri" w:eastAsia="Calibri" w:hAnsi="Calibri"/>
          <w:sz w:val="20"/>
          <w:szCs w:val="20"/>
          <w:color w:val="auto"/>
        </w:rPr>
        <w:t>” means the Comptroller General of the United States.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Confict of Interest</w:t>
      </w:r>
      <w:r>
        <w:rPr>
          <w:rFonts w:ascii="Calibri" w:cs="Calibri" w:eastAsia="Calibri" w:hAnsi="Calibri"/>
          <w:sz w:val="20"/>
          <w:szCs w:val="20"/>
          <w:color w:val="auto"/>
        </w:rPr>
        <w:t>” means the occurrence of any of the following:</w:t>
      </w:r>
    </w:p>
    <w:p>
      <w:pPr>
        <w:spacing w:after="0" w:line="171" w:lineRule="exact"/>
        <w:rPr>
          <w:sz w:val="20"/>
          <w:szCs w:val="20"/>
          <w:color w:val="auto"/>
        </w:rPr>
      </w:pPr>
    </w:p>
    <w:p>
      <w:pPr>
        <w:ind w:left="1300" w:right="20" w:hanging="644"/>
        <w:spacing w:after="0" w:line="214" w:lineRule="auto"/>
        <w:tabs>
          <w:tab w:leader="none" w:pos="1294" w:val="left"/>
        </w:tabs>
        <w:numPr>
          <w:ilvl w:val="0"/>
          <w:numId w:val="421"/>
        </w:numPr>
        <w:rPr>
          <w:rFonts w:ascii="Calibri" w:cs="Calibri" w:eastAsia="Calibri" w:hAnsi="Calibri"/>
          <w:sz w:val="20"/>
          <w:szCs w:val="20"/>
          <w:color w:val="auto"/>
        </w:rPr>
      </w:pPr>
      <w:r>
        <w:rPr>
          <w:rFonts w:ascii="Calibri" w:cs="Calibri" w:eastAsia="Calibri" w:hAnsi="Calibri"/>
          <w:sz w:val="20"/>
          <w:szCs w:val="20"/>
          <w:color w:val="auto"/>
        </w:rPr>
        <w:t>partcipaton by an Interested Party in a mater that has a direct and predictable efect on the Interested Party’s personal or fnancial interests, which may include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384" w:right="339" w:bottom="1440" w:gutter="0" w:footer="0" w:header="0"/>
        </w:sectPr>
      </w:pPr>
    </w:p>
    <w:bookmarkStart w:id="390" w:name="page391"/>
    <w:bookmarkEnd w:id="390"/>
    <w:p>
      <w:pPr>
        <w:ind w:left="1300"/>
        <w:spacing w:after="0" w:line="214" w:lineRule="auto"/>
        <w:rPr>
          <w:sz w:val="20"/>
          <w:szCs w:val="20"/>
          <w:color w:val="auto"/>
        </w:rPr>
      </w:pPr>
      <w:r>
        <w:rPr>
          <w:rFonts w:ascii="Calibri" w:cs="Calibri" w:eastAsia="Calibri" w:hAnsi="Calibri"/>
          <w:sz w:val="20"/>
          <w:szCs w:val="20"/>
          <w:color w:val="auto"/>
        </w:rPr>
        <w:t>stock ownership, a creditor or debtor relatonship, or prospectve employment with the organizaton selected or to be selected for a Subaward; and</w:t>
      </w:r>
    </w:p>
    <w:p>
      <w:pPr>
        <w:spacing w:after="0" w:line="172" w:lineRule="exact"/>
        <w:rPr>
          <w:sz w:val="20"/>
          <w:szCs w:val="20"/>
          <w:color w:val="auto"/>
        </w:rPr>
      </w:pPr>
    </w:p>
    <w:p>
      <w:pPr>
        <w:ind w:left="1300" w:hanging="644"/>
        <w:spacing w:after="0"/>
        <w:tabs>
          <w:tab w:leader="none" w:pos="1302" w:val="left"/>
        </w:tabs>
        <w:numPr>
          <w:ilvl w:val="0"/>
          <w:numId w:val="422"/>
        </w:numPr>
        <w:rPr>
          <w:rFonts w:ascii="Calibri" w:cs="Calibri" w:eastAsia="Calibri" w:hAnsi="Calibri"/>
          <w:sz w:val="20"/>
          <w:szCs w:val="20"/>
          <w:color w:val="auto"/>
        </w:rPr>
      </w:pPr>
      <w:r>
        <w:rPr>
          <w:rFonts w:ascii="Calibri" w:cs="Calibri" w:eastAsia="Calibri" w:hAnsi="Calibri"/>
          <w:sz w:val="20"/>
          <w:szCs w:val="20"/>
          <w:color w:val="auto"/>
        </w:rPr>
        <w:t>an appearance that an Interested Party’s objectvity in performing his or her responsibilites under the Project is impaired.</w:t>
      </w:r>
    </w:p>
    <w:p>
      <w:pPr>
        <w:spacing w:after="0" w:line="377"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Consolidated</w:t>
      </w:r>
      <w:r>
        <w:rPr>
          <w:rFonts w:ascii="Calibri" w:cs="Calibri" w:eastAsia="Calibri" w:hAnsi="Calibri"/>
          <w:sz w:val="20"/>
          <w:szCs w:val="20"/>
          <w:color w:val="auto"/>
        </w:rPr>
        <w:t>” or “</w:t>
      </w:r>
      <w:r>
        <w:rPr>
          <w:rFonts w:ascii="Calibri" w:cs="Calibri" w:eastAsia="Calibri" w:hAnsi="Calibri"/>
          <w:sz w:val="20"/>
          <w:szCs w:val="20"/>
          <w:b w:val="1"/>
          <w:bCs w:val="1"/>
          <w:color w:val="auto"/>
        </w:rPr>
        <w:t>Consolidated Basis</w:t>
      </w:r>
      <w:r>
        <w:rPr>
          <w:rFonts w:ascii="Calibri" w:cs="Calibri" w:eastAsia="Calibri" w:hAnsi="Calibri"/>
          <w:sz w:val="20"/>
          <w:szCs w:val="20"/>
          <w:color w:val="auto"/>
        </w:rPr>
        <w:t>” means, with respect to any Financial Statements to be provided by any Person, or any fnancial calculaton to be made, that calculaton shall be made by reference to the sum of all amounts of similar nature reported in the relevant Financial Statements of each of the enttes whose accounts are to be consolidated with the accounts of the such Person plus or minus the consolidaton adjustments customarily applied to avoid double countng of transactons among any of those enttes, including the Recipient.</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Advisor</w:t>
      </w:r>
      <w:r>
        <w:rPr>
          <w:rFonts w:ascii="Calibri" w:cs="Calibri" w:eastAsia="Calibri" w:hAnsi="Calibri"/>
          <w:sz w:val="20"/>
          <w:szCs w:val="20"/>
          <w:color w:val="auto"/>
        </w:rPr>
        <w:t>” means AECOM Technical Services, Inc., actng as Constructon Advisor to the Department, or any successor Constructon Advisor appointed by the Department.</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means the budget delivered by the Recipient to the Department prior to the frst Direct Funding Disbursement Date pursuant to Secton 4.12 (</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as amended or supplemented.</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Contract</w:t>
      </w:r>
      <w:r>
        <w:rPr>
          <w:rFonts w:ascii="Calibri" w:cs="Calibri" w:eastAsia="Calibri" w:hAnsi="Calibri"/>
          <w:sz w:val="20"/>
          <w:szCs w:val="20"/>
          <w:color w:val="auto"/>
        </w:rPr>
        <w:t>” means collectvely:</w:t>
      </w:r>
    </w:p>
    <w:p>
      <w:pPr>
        <w:spacing w:after="0" w:line="171" w:lineRule="exact"/>
        <w:rPr>
          <w:sz w:val="20"/>
          <w:szCs w:val="20"/>
          <w:color w:val="auto"/>
        </w:rPr>
      </w:pPr>
    </w:p>
    <w:p>
      <w:pPr>
        <w:jc w:val="both"/>
        <w:ind w:left="1300" w:hanging="644"/>
        <w:spacing w:after="0" w:line="209" w:lineRule="auto"/>
        <w:tabs>
          <w:tab w:leader="none" w:pos="1299" w:val="left"/>
        </w:tabs>
        <w:numPr>
          <w:ilvl w:val="0"/>
          <w:numId w:val="423"/>
        </w:numPr>
        <w:rPr>
          <w:rFonts w:ascii="Calibri" w:cs="Calibri" w:eastAsia="Calibri" w:hAnsi="Calibri"/>
          <w:sz w:val="20"/>
          <w:szCs w:val="20"/>
          <w:color w:val="auto"/>
        </w:rPr>
      </w:pPr>
      <w:r>
        <w:rPr>
          <w:rFonts w:ascii="Calibri" w:cs="Calibri" w:eastAsia="Calibri" w:hAnsi="Calibri"/>
          <w:sz w:val="20"/>
          <w:szCs w:val="20"/>
          <w:color w:val="auto"/>
        </w:rPr>
        <w:t xml:space="preserve">Constructon contracts with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to provide design and constructon related services related to the constructon of a new semiconductor fab with a current contract value of approximately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expected to eventually total approximately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once executed by the Recipient;</w:t>
      </w:r>
    </w:p>
    <w:p>
      <w:pPr>
        <w:spacing w:after="0" w:line="172" w:lineRule="exact"/>
        <w:rPr>
          <w:rFonts w:ascii="Calibri" w:cs="Calibri" w:eastAsia="Calibri" w:hAnsi="Calibri"/>
          <w:sz w:val="20"/>
          <w:szCs w:val="20"/>
          <w:color w:val="auto"/>
        </w:rPr>
      </w:pPr>
    </w:p>
    <w:p>
      <w:pPr>
        <w:jc w:val="both"/>
        <w:ind w:left="1300" w:hanging="644"/>
        <w:spacing w:after="0" w:line="205" w:lineRule="auto"/>
        <w:tabs>
          <w:tab w:leader="none" w:pos="1294" w:val="left"/>
        </w:tabs>
        <w:numPr>
          <w:ilvl w:val="0"/>
          <w:numId w:val="423"/>
        </w:numPr>
        <w:rPr>
          <w:rFonts w:ascii="Calibri" w:cs="Calibri" w:eastAsia="Calibri" w:hAnsi="Calibri"/>
          <w:sz w:val="20"/>
          <w:szCs w:val="20"/>
          <w:color w:val="auto"/>
        </w:rPr>
      </w:pPr>
      <w:r>
        <w:rPr>
          <w:rFonts w:ascii="Calibri" w:cs="Calibri" w:eastAsia="Calibri" w:hAnsi="Calibri"/>
          <w:sz w:val="20"/>
          <w:szCs w:val="20"/>
          <w:color w:val="auto"/>
        </w:rPr>
        <w:t>each other constructon contract contemplated in the Sources and Uses Plan and entered into between the Recipient and a Constructon Contractor in connecton with the constructon of the Project prior to the frst Direct Funding Disbursement Date and is otherwise in form and substance satsfactory to the Department; and</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23"/>
        </w:numPr>
        <w:rPr>
          <w:rFonts w:ascii="Calibri" w:cs="Calibri" w:eastAsia="Calibri" w:hAnsi="Calibri"/>
          <w:sz w:val="20"/>
          <w:szCs w:val="20"/>
          <w:color w:val="auto"/>
        </w:rPr>
      </w:pPr>
      <w:r>
        <w:rPr>
          <w:rFonts w:ascii="Calibri" w:cs="Calibri" w:eastAsia="Calibri" w:hAnsi="Calibri"/>
          <w:sz w:val="20"/>
          <w:szCs w:val="20"/>
          <w:color w:val="auto"/>
        </w:rPr>
        <w:t>any other document designated in writng as a Constructon Contract by the Recipient and the Department.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Contractor</w:t>
      </w:r>
      <w:r>
        <w:rPr>
          <w:rFonts w:ascii="Calibri" w:cs="Calibri" w:eastAsia="Calibri" w:hAnsi="Calibri"/>
          <w:sz w:val="20"/>
          <w:szCs w:val="20"/>
          <w:color w:val="auto"/>
        </w:rPr>
        <w:t>” means each contractor and each material subcontractor (if any), under any Constructon Contract.</w:t>
      </w:r>
    </w:p>
    <w:p>
      <w:pPr>
        <w:spacing w:after="0" w:line="171"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Consultants</w:t>
      </w:r>
      <w:r>
        <w:rPr>
          <w:rFonts w:ascii="Calibri" w:cs="Calibri" w:eastAsia="Calibri" w:hAnsi="Calibri"/>
          <w:sz w:val="20"/>
          <w:szCs w:val="20"/>
          <w:color w:val="auto"/>
        </w:rPr>
        <w:t>” means, collectvely, (a) the Financial Advisor; (b) the Constructon Advisor; (c) Allen Overy Shearman Sterling US LLP as legal counsel to the Department; and (d) any other advisor, legal counsel or consultant retained by the Department from tme to tme in connecton with the Award, the Project or the Financing Documents.</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Contngent Obligatons</w:t>
      </w:r>
      <w:r>
        <w:rPr>
          <w:rFonts w:ascii="Calibri" w:cs="Calibri" w:eastAsia="Calibri" w:hAnsi="Calibri"/>
          <w:sz w:val="20"/>
          <w:szCs w:val="20"/>
          <w:color w:val="auto"/>
        </w:rPr>
        <w:t>” means as to any Person, any obligaton of such Person with respect to any Indebtedness (“</w:t>
      </w:r>
      <w:r>
        <w:rPr>
          <w:rFonts w:ascii="Calibri" w:cs="Calibri" w:eastAsia="Calibri" w:hAnsi="Calibri"/>
          <w:sz w:val="20"/>
          <w:szCs w:val="20"/>
          <w:b w:val="1"/>
          <w:bCs w:val="1"/>
          <w:color w:val="auto"/>
        </w:rPr>
        <w:t>primary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obligatons</w:t>
      </w:r>
      <w:r>
        <w:rPr>
          <w:rFonts w:ascii="Calibri" w:cs="Calibri" w:eastAsia="Calibri" w:hAnsi="Calibri"/>
          <w:sz w:val="20"/>
          <w:szCs w:val="20"/>
          <w:color w:val="auto"/>
        </w:rPr>
        <w:t>”) of any other Person (the “</w:t>
      </w:r>
      <w:r>
        <w:rPr>
          <w:rFonts w:ascii="Calibri" w:cs="Calibri" w:eastAsia="Calibri" w:hAnsi="Calibri"/>
          <w:sz w:val="20"/>
          <w:szCs w:val="20"/>
          <w:b w:val="1"/>
          <w:bCs w:val="1"/>
          <w:color w:val="auto"/>
        </w:rPr>
        <w:t>primary obligor</w:t>
      </w:r>
      <w:r>
        <w:rPr>
          <w:rFonts w:ascii="Calibri" w:cs="Calibri" w:eastAsia="Calibri" w:hAnsi="Calibri"/>
          <w:sz w:val="20"/>
          <w:szCs w:val="20"/>
          <w:color w:val="auto"/>
        </w:rPr>
        <w:t>”) in any manner, whether directly or indirectly, including any obligaton of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Person, whether or not contngent, as a guarantee or otherwise:</w:t>
      </w:r>
    </w:p>
    <w:p>
      <w:pPr>
        <w:spacing w:after="0" w:line="162" w:lineRule="exact"/>
        <w:rPr>
          <w:sz w:val="20"/>
          <w:szCs w:val="20"/>
          <w:color w:val="auto"/>
        </w:rPr>
      </w:pPr>
    </w:p>
    <w:p>
      <w:pPr>
        <w:ind w:left="1300" w:hanging="644"/>
        <w:spacing w:after="0"/>
        <w:tabs>
          <w:tab w:leader="none" w:pos="1300" w:val="left"/>
        </w:tabs>
        <w:numPr>
          <w:ilvl w:val="0"/>
          <w:numId w:val="424"/>
        </w:numPr>
        <w:rPr>
          <w:rFonts w:ascii="Calibri" w:cs="Calibri" w:eastAsia="Calibri" w:hAnsi="Calibri"/>
          <w:sz w:val="20"/>
          <w:szCs w:val="20"/>
          <w:color w:val="auto"/>
        </w:rPr>
      </w:pPr>
      <w:r>
        <w:rPr>
          <w:rFonts w:ascii="Calibri" w:cs="Calibri" w:eastAsia="Calibri" w:hAnsi="Calibri"/>
          <w:sz w:val="20"/>
          <w:szCs w:val="20"/>
          <w:color w:val="auto"/>
        </w:rPr>
        <w:t>for the purchase, payment or discharge of any such primary obligaton;</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300" w:val="left"/>
        </w:tabs>
        <w:numPr>
          <w:ilvl w:val="0"/>
          <w:numId w:val="424"/>
        </w:numPr>
        <w:rPr>
          <w:rFonts w:ascii="Calibri" w:cs="Calibri" w:eastAsia="Calibri" w:hAnsi="Calibri"/>
          <w:sz w:val="20"/>
          <w:szCs w:val="20"/>
          <w:color w:val="auto"/>
        </w:rPr>
      </w:pPr>
      <w:r>
        <w:rPr>
          <w:rFonts w:ascii="Calibri" w:cs="Calibri" w:eastAsia="Calibri" w:hAnsi="Calibri"/>
          <w:sz w:val="20"/>
          <w:szCs w:val="20"/>
          <w:color w:val="auto"/>
        </w:rPr>
        <w:t>to purchase, repurchase or otherwise acquire such primary obligatons or any property consttutng direct or indirect security therefor, including the obligaton to make take or pay or similar payments;</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424"/>
        </w:numPr>
        <w:rPr>
          <w:rFonts w:ascii="Calibri" w:cs="Calibri" w:eastAsia="Calibri" w:hAnsi="Calibri"/>
          <w:sz w:val="20"/>
          <w:szCs w:val="20"/>
          <w:color w:val="auto"/>
        </w:rPr>
      </w:pPr>
      <w:r>
        <w:rPr>
          <w:rFonts w:ascii="Calibri" w:cs="Calibri" w:eastAsia="Calibri" w:hAnsi="Calibri"/>
          <w:sz w:val="20"/>
          <w:szCs w:val="20"/>
          <w:color w:val="auto"/>
        </w:rPr>
        <w:t>to advance or supply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384" w:right="339" w:bottom="1440" w:gutter="0" w:footer="0" w:header="0"/>
        </w:sectPr>
      </w:pPr>
    </w:p>
    <w:bookmarkStart w:id="391" w:name="page392"/>
    <w:bookmarkEnd w:id="391"/>
    <w:p>
      <w:pPr>
        <w:ind w:left="1300" w:right="20" w:hanging="644"/>
        <w:spacing w:after="0" w:line="214" w:lineRule="auto"/>
        <w:tabs>
          <w:tab w:leader="none" w:pos="1300" w:val="left"/>
        </w:tabs>
        <w:numPr>
          <w:ilvl w:val="0"/>
          <w:numId w:val="425"/>
        </w:numPr>
        <w:rPr>
          <w:rFonts w:ascii="Calibri" w:cs="Calibri" w:eastAsia="Calibri" w:hAnsi="Calibri"/>
          <w:sz w:val="20"/>
          <w:szCs w:val="20"/>
          <w:color w:val="auto"/>
        </w:rPr>
      </w:pPr>
      <w:r>
        <w:rPr>
          <w:rFonts w:ascii="Calibri" w:cs="Calibri" w:eastAsia="Calibri" w:hAnsi="Calibri"/>
          <w:sz w:val="20"/>
          <w:szCs w:val="20"/>
          <w:color w:val="auto"/>
        </w:rPr>
        <w:t>to maintain working capital or equity capital of the primary obligor or otherwise to maintain the net worth or solvency or any balance sheet item, level of income or fnancial conditon of the primary obligor;</w:t>
      </w:r>
    </w:p>
    <w:p>
      <w:pPr>
        <w:spacing w:after="0" w:line="172" w:lineRule="exact"/>
        <w:rPr>
          <w:rFonts w:ascii="Calibri" w:cs="Calibri" w:eastAsia="Calibri" w:hAnsi="Calibri"/>
          <w:sz w:val="20"/>
          <w:szCs w:val="20"/>
          <w:color w:val="auto"/>
        </w:rPr>
      </w:pPr>
    </w:p>
    <w:p>
      <w:pPr>
        <w:ind w:left="1300" w:right="20" w:hanging="644"/>
        <w:spacing w:after="0" w:line="214" w:lineRule="auto"/>
        <w:tabs>
          <w:tab w:leader="none" w:pos="1304" w:val="left"/>
        </w:tabs>
        <w:numPr>
          <w:ilvl w:val="0"/>
          <w:numId w:val="425"/>
        </w:numPr>
        <w:rPr>
          <w:rFonts w:ascii="Calibri" w:cs="Calibri" w:eastAsia="Calibri" w:hAnsi="Calibri"/>
          <w:sz w:val="20"/>
          <w:szCs w:val="20"/>
          <w:color w:val="auto"/>
        </w:rPr>
      </w:pPr>
      <w:r>
        <w:rPr>
          <w:rFonts w:ascii="Calibri" w:cs="Calibri" w:eastAsia="Calibri" w:hAnsi="Calibri"/>
          <w:sz w:val="20"/>
          <w:szCs w:val="20"/>
          <w:color w:val="auto"/>
        </w:rPr>
        <w:t>to purchase property, securites or services primarily for the purpose of assuring the holder of any such primary obligaton of the ability of the primary obligor to make payment of such primary obligaton; or</w:t>
      </w:r>
    </w:p>
    <w:p>
      <w:pPr>
        <w:spacing w:after="0" w:line="185" w:lineRule="exact"/>
        <w:rPr>
          <w:rFonts w:ascii="Calibri" w:cs="Calibri" w:eastAsia="Calibri" w:hAnsi="Calibri"/>
          <w:sz w:val="20"/>
          <w:szCs w:val="20"/>
          <w:color w:val="auto"/>
        </w:rPr>
      </w:pPr>
    </w:p>
    <w:p>
      <w:pPr>
        <w:jc w:val="both"/>
        <w:ind w:left="1300" w:hanging="644"/>
        <w:spacing w:after="0" w:line="205" w:lineRule="auto"/>
        <w:tabs>
          <w:tab w:leader="none" w:pos="1299" w:val="left"/>
        </w:tabs>
        <w:numPr>
          <w:ilvl w:val="0"/>
          <w:numId w:val="425"/>
        </w:numPr>
        <w:rPr>
          <w:rFonts w:ascii="Calibri" w:cs="Calibri" w:eastAsia="Calibri" w:hAnsi="Calibri"/>
          <w:sz w:val="20"/>
          <w:szCs w:val="20"/>
          <w:color w:val="auto"/>
        </w:rPr>
      </w:pPr>
      <w:r>
        <w:rPr>
          <w:rFonts w:ascii="Calibri" w:cs="Calibri" w:eastAsia="Calibri" w:hAnsi="Calibri"/>
          <w:sz w:val="20"/>
          <w:szCs w:val="20"/>
          <w:color w:val="auto"/>
        </w:rPr>
        <w:t>otherwise to assure or hold harmless the holder of such primary obligaton against loss in respect thereof, including with respect to leter of credit obligatons, swap agreements, foreign exchange contracts and other similar agreements (including agreements relatng to derivatve instruments),</w:t>
      </w:r>
    </w:p>
    <w:p>
      <w:pPr>
        <w:spacing w:after="0" w:line="211"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0"/>
          <w:szCs w:val="20"/>
          <w:color w:val="auto"/>
        </w:rPr>
        <w:t>provided that, (x) the term “Contngent Obligaton” shall not include endorsements of instruments for deposit or collecton in the ordinary course of business; (y) the amount of any Contngent Obligaton shall be deemed to be an amount equal to the stated or determinable amount of the primary obligaton in respect of which such Contngent Obligaton is made or, if not stated or determinable, the maximum antcipated liability in respect thereof (assuming such Person is required to perform thereunder) as determined by such Person in good faith; and (z) if recourse to the Person with an obligaton in respect of Indebtedness of another Person is limited to specifed Property, the amount of the Contngent Obligaton of such Person in respect thereof shall not exceed the value of such Property on the books and records of the applicable Person in accordance with Applicable Accountng Standards (regardless of the amount of the primary obligatons).</w:t>
      </w:r>
    </w:p>
    <w:p>
      <w:pPr>
        <w:spacing w:after="0" w:line="191" w:lineRule="exact"/>
        <w:rPr>
          <w:sz w:val="20"/>
          <w:szCs w:val="20"/>
          <w:color w:val="auto"/>
        </w:rPr>
      </w:pPr>
    </w:p>
    <w:p>
      <w:pPr>
        <w:jc w:val="both"/>
        <w:ind w:right="20"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Control</w:t>
      </w:r>
      <w:r>
        <w:rPr>
          <w:rFonts w:ascii="Calibri" w:cs="Calibri" w:eastAsia="Calibri" w:hAnsi="Calibri"/>
          <w:sz w:val="20"/>
          <w:szCs w:val="20"/>
          <w:color w:val="auto"/>
        </w:rPr>
        <w:t>” means the power, directly or indirectly, to direct or cause the directon of the management or business or policies of a Person (whether through the ownership of votng securites or partnership or other ownership interests, by contract, or otherwise); and the words “Controlling,” “Controlled,” and similar constructons shall have correlatve meanings.</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Cost of Goods Sold</w:t>
      </w:r>
      <w:r>
        <w:rPr>
          <w:rFonts w:ascii="Calibri" w:cs="Calibri" w:eastAsia="Calibri" w:hAnsi="Calibri"/>
          <w:sz w:val="20"/>
          <w:szCs w:val="20"/>
          <w:color w:val="auto"/>
        </w:rPr>
        <w:t>” has the meaning set forth in the Applicable Accountng Requirements.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Covered Incentve</w:t>
      </w:r>
      <w:r>
        <w:rPr>
          <w:rFonts w:ascii="Calibri" w:cs="Calibri" w:eastAsia="Calibri" w:hAnsi="Calibri"/>
          <w:sz w:val="20"/>
          <w:szCs w:val="20"/>
          <w:color w:val="auto"/>
        </w:rPr>
        <w:t>” has the meaning set forth in 15 U.S.C. § 4651 (</w:t>
      </w:r>
      <w:r>
        <w:rPr>
          <w:rFonts w:ascii="Calibri" w:cs="Calibri" w:eastAsia="Calibri" w:hAnsi="Calibri"/>
          <w:sz w:val="20"/>
          <w:szCs w:val="20"/>
          <w:i w:val="1"/>
          <w:iCs w:val="1"/>
          <w:color w:val="auto"/>
        </w:rPr>
        <w:t>Defnitons</w:t>
      </w:r>
      <w:r>
        <w:rPr>
          <w:rFonts w:ascii="Calibri" w:cs="Calibri" w:eastAsia="Calibri" w:hAnsi="Calibri"/>
          <w:sz w:val="20"/>
          <w:szCs w:val="20"/>
          <w:color w:val="auto"/>
        </w:rPr>
        <w:t>).</w:t>
      </w:r>
    </w:p>
    <w:p>
      <w:pPr>
        <w:spacing w:after="0" w:line="184"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Customer Agreement</w:t>
      </w:r>
      <w:r>
        <w:rPr>
          <w:rFonts w:ascii="Calibri" w:cs="Calibri" w:eastAsia="Calibri" w:hAnsi="Calibri"/>
          <w:sz w:val="20"/>
          <w:szCs w:val="20"/>
          <w:color w:val="auto"/>
        </w:rPr>
        <w:t>” means any contract entered into, or to be entered into, by the Recipient for the sale of Product throughout the stated term thereof.</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Data Protecton Laws</w:t>
      </w:r>
      <w:r>
        <w:rPr>
          <w:rFonts w:ascii="Calibri" w:cs="Calibri" w:eastAsia="Calibri" w:hAnsi="Calibri"/>
          <w:sz w:val="20"/>
          <w:szCs w:val="20"/>
          <w:color w:val="auto"/>
        </w:rPr>
        <w:t>” means any and all foreign or domestc (including U.S. federal, state and local) Applicable Laws relatng to the privacy, security, notfcaton of breaches, Processing of any data or informaton that identfes or can be used to identfy an individual, household or device, whether directly or indirectly, in each case, in any manner applicable to any Recipient Party or any Subsidiary of any Recipient Party.</w:t>
      </w:r>
    </w:p>
    <w:p>
      <w:pPr>
        <w:spacing w:after="0" w:line="17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Debarment Regulatons</w:t>
      </w:r>
      <w:r>
        <w:rPr>
          <w:rFonts w:ascii="Calibri" w:cs="Calibri" w:eastAsia="Calibri" w:hAnsi="Calibri"/>
          <w:sz w:val="20"/>
          <w:szCs w:val="20"/>
          <w:color w:val="auto"/>
        </w:rPr>
        <w:t>” means all of the following:</w:t>
      </w:r>
    </w:p>
    <w:p>
      <w:pPr>
        <w:spacing w:after="0" w:line="171" w:lineRule="exact"/>
        <w:rPr>
          <w:sz w:val="20"/>
          <w:szCs w:val="20"/>
          <w:color w:val="auto"/>
        </w:rPr>
      </w:pPr>
    </w:p>
    <w:p>
      <w:pPr>
        <w:ind w:left="1300" w:hanging="644"/>
        <w:spacing w:after="0"/>
        <w:tabs>
          <w:tab w:leader="none" w:pos="1301" w:val="left"/>
        </w:tabs>
        <w:numPr>
          <w:ilvl w:val="0"/>
          <w:numId w:val="426"/>
        </w:numPr>
        <w:rPr>
          <w:rFonts w:ascii="Calibri" w:cs="Calibri" w:eastAsia="Calibri" w:hAnsi="Calibri"/>
          <w:sz w:val="20"/>
          <w:szCs w:val="20"/>
          <w:color w:val="auto"/>
        </w:rPr>
      </w:pPr>
      <w:r>
        <w:rPr>
          <w:rFonts w:ascii="Calibri" w:cs="Calibri" w:eastAsia="Calibri" w:hAnsi="Calibri"/>
          <w:sz w:val="20"/>
          <w:szCs w:val="20"/>
          <w:color w:val="auto"/>
        </w:rPr>
        <w:t>OMB Guidelines to Agencies on Government-wide Debarment and Suspension (Non-procurement) (2 C.F.R. Part 180); and</w:t>
      </w:r>
    </w:p>
    <w:p>
      <w:pPr>
        <w:spacing w:after="0" w:line="367" w:lineRule="exact"/>
        <w:rPr>
          <w:rFonts w:ascii="Calibri" w:cs="Calibri" w:eastAsia="Calibri" w:hAnsi="Calibri"/>
          <w:sz w:val="20"/>
          <w:szCs w:val="20"/>
          <w:color w:val="auto"/>
        </w:rPr>
      </w:pPr>
    </w:p>
    <w:p>
      <w:pPr>
        <w:ind w:left="1300" w:hanging="644"/>
        <w:spacing w:after="0"/>
        <w:tabs>
          <w:tab w:leader="none" w:pos="1300" w:val="left"/>
        </w:tabs>
        <w:numPr>
          <w:ilvl w:val="0"/>
          <w:numId w:val="426"/>
        </w:numPr>
        <w:rPr>
          <w:rFonts w:ascii="Calibri" w:cs="Calibri" w:eastAsia="Calibri" w:hAnsi="Calibri"/>
          <w:sz w:val="20"/>
          <w:szCs w:val="20"/>
          <w:color w:val="auto"/>
        </w:rPr>
      </w:pPr>
      <w:r>
        <w:rPr>
          <w:rFonts w:ascii="Calibri" w:cs="Calibri" w:eastAsia="Calibri" w:hAnsi="Calibri"/>
          <w:sz w:val="20"/>
          <w:szCs w:val="20"/>
          <w:color w:val="auto"/>
        </w:rPr>
        <w:t>Debarment, Suspension, and Ineligibility (48 C.F.R. Subpart 9.4).</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Debt Collecton Act</w:t>
      </w:r>
      <w:r>
        <w:rPr>
          <w:rFonts w:ascii="Calibri" w:cs="Calibri" w:eastAsia="Calibri" w:hAnsi="Calibri"/>
          <w:sz w:val="20"/>
          <w:szCs w:val="20"/>
          <w:color w:val="auto"/>
        </w:rPr>
        <w:t>” means the Debt Collecton Act of 1982 as amended (31 U.S.C. § 3717) and 31 C.F.R. § 901.9.</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has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1384" w:right="339" w:bottom="1440" w:gutter="0" w:footer="0" w:header="0"/>
        </w:sectPr>
      </w:pPr>
    </w:p>
    <w:bookmarkStart w:id="392" w:name="page393"/>
    <w:bookmarkEnd w:id="392"/>
    <w:p>
      <w:pPr>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Department Obligatons</w:t>
      </w:r>
      <w:r>
        <w:rPr>
          <w:rFonts w:ascii="Calibri" w:cs="Calibri" w:eastAsia="Calibri" w:hAnsi="Calibri"/>
          <w:sz w:val="20"/>
          <w:szCs w:val="20"/>
          <w:color w:val="auto"/>
        </w:rPr>
        <w:t>” means all amounts, without duplicaton, owing to the Department under the Financing Documents, including:</w:t>
      </w:r>
    </w:p>
    <w:p>
      <w:pPr>
        <w:spacing w:after="0" w:line="172" w:lineRule="exact"/>
        <w:rPr>
          <w:sz w:val="20"/>
          <w:szCs w:val="20"/>
          <w:color w:val="auto"/>
        </w:rPr>
      </w:pPr>
    </w:p>
    <w:p>
      <w:pPr>
        <w:jc w:val="both"/>
        <w:ind w:left="1300" w:hanging="644"/>
        <w:spacing w:after="0" w:line="209" w:lineRule="auto"/>
        <w:tabs>
          <w:tab w:leader="none" w:pos="1298" w:val="left"/>
        </w:tabs>
        <w:numPr>
          <w:ilvl w:val="0"/>
          <w:numId w:val="427"/>
        </w:numPr>
        <w:rPr>
          <w:rFonts w:ascii="Calibri" w:cs="Calibri" w:eastAsia="Calibri" w:hAnsi="Calibri"/>
          <w:sz w:val="20"/>
          <w:szCs w:val="20"/>
          <w:color w:val="auto"/>
        </w:rPr>
      </w:pPr>
      <w:r>
        <w:rPr>
          <w:rFonts w:ascii="Calibri" w:cs="Calibri" w:eastAsia="Calibri" w:hAnsi="Calibri"/>
          <w:sz w:val="20"/>
          <w:szCs w:val="20"/>
          <w:color w:val="auto"/>
        </w:rPr>
        <w:t>any payments, interest, charges, expenses, fees, atorneys’ or other Consultants’ fees and disbursements, indemnites and other amounts payable by the Recipient under any Financing Document and any reimbursement amounts in respect of any of the foregoing that the Department may elect to pay or advance on behalf of the Recipient; and</w:t>
      </w:r>
    </w:p>
    <w:p>
      <w:pPr>
        <w:spacing w:after="0" w:line="172" w:lineRule="exact"/>
        <w:rPr>
          <w:rFonts w:ascii="Calibri" w:cs="Calibri" w:eastAsia="Calibri" w:hAnsi="Calibri"/>
          <w:sz w:val="20"/>
          <w:szCs w:val="20"/>
          <w:color w:val="auto"/>
        </w:rPr>
      </w:pPr>
    </w:p>
    <w:p>
      <w:pPr>
        <w:jc w:val="both"/>
        <w:ind w:left="1300" w:hanging="644"/>
        <w:spacing w:after="0" w:line="202" w:lineRule="auto"/>
        <w:tabs>
          <w:tab w:leader="none" w:pos="1297" w:val="left"/>
        </w:tabs>
        <w:numPr>
          <w:ilvl w:val="0"/>
          <w:numId w:val="427"/>
        </w:numPr>
        <w:rPr>
          <w:rFonts w:ascii="Calibri" w:cs="Calibri" w:eastAsia="Calibri" w:hAnsi="Calibri"/>
          <w:sz w:val="20"/>
          <w:szCs w:val="20"/>
          <w:color w:val="auto"/>
        </w:rPr>
      </w:pPr>
      <w:r>
        <w:rPr>
          <w:rFonts w:ascii="Calibri" w:cs="Calibri" w:eastAsia="Calibri" w:hAnsi="Calibri"/>
          <w:sz w:val="20"/>
          <w:szCs w:val="20"/>
          <w:color w:val="auto"/>
        </w:rPr>
        <w:t>all liabilites, and obligatons, howsoever arising, owed by the Recipient under the Financing Documents (whether or not evidenced by any note or instrument and whether or not for the payment of money), direct or indirect, absolute or contngent, due or to become due, now existng or hereafer arising, pursuant to any of the Financing Documents, including all interest, fees and Periodic Expenses chargeable to the Recipient and payable by the Recipient hereunder or thereunder.</w:t>
      </w:r>
    </w:p>
    <w:p>
      <w:pPr>
        <w:spacing w:after="0" w:line="17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Depreciaton</w:t>
      </w:r>
      <w:r>
        <w:rPr>
          <w:rFonts w:ascii="Calibri" w:cs="Calibri" w:eastAsia="Calibri" w:hAnsi="Calibri"/>
          <w:sz w:val="20"/>
          <w:szCs w:val="20"/>
          <w:color w:val="auto"/>
        </w:rPr>
        <w:t>” has the meaning set forth in the Applicable Accountng Requirements.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w:t>
      </w:r>
      <w:r>
        <w:rPr>
          <w:rFonts w:ascii="Calibri" w:cs="Calibri" w:eastAsia="Calibri" w:hAnsi="Calibri"/>
          <w:sz w:val="20"/>
          <w:szCs w:val="20"/>
          <w:color w:val="auto"/>
        </w:rPr>
        <w:t>” means direct funding under the NOFO in the form of an other transacton.</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Award</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84"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b w:val="1"/>
          <w:bCs w:val="1"/>
          <w:color w:val="auto"/>
        </w:rPr>
        <w:t>“Direct Funding Disbursement</w:t>
      </w:r>
      <w:r>
        <w:rPr>
          <w:rFonts w:ascii="Calibri" w:cs="Calibri" w:eastAsia="Calibri" w:hAnsi="Calibri"/>
          <w:sz w:val="20"/>
          <w:szCs w:val="20"/>
          <w:color w:val="auto"/>
        </w:rPr>
        <w:t>” means a disbursement of the Direct Funding for a Disbursement Milestone made in accordance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this Agreement.</w:t>
      </w:r>
    </w:p>
    <w:p>
      <w:pPr>
        <w:spacing w:after="0" w:line="211" w:lineRule="exact"/>
        <w:rPr>
          <w:sz w:val="20"/>
          <w:szCs w:val="20"/>
          <w:color w:val="auto"/>
        </w:rPr>
      </w:pPr>
    </w:p>
    <w:p>
      <w:pPr>
        <w:jc w:val="both"/>
        <w:ind w:firstLine="635"/>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Approval Notce</w:t>
      </w:r>
      <w:r>
        <w:rPr>
          <w:rFonts w:ascii="Calibri" w:cs="Calibri" w:eastAsia="Calibri" w:hAnsi="Calibri"/>
          <w:sz w:val="20"/>
          <w:szCs w:val="20"/>
          <w:color w:val="auto"/>
        </w:rPr>
        <w:t>” means a notce issued by the Department, substantally in the form atached hereto as Exhibit C (</w:t>
      </w:r>
      <w:r>
        <w:rPr>
          <w:rFonts w:ascii="Calibri" w:cs="Calibri" w:eastAsia="Calibri" w:hAnsi="Calibri"/>
          <w:sz w:val="20"/>
          <w:szCs w:val="20"/>
          <w:b w:val="1"/>
          <w:bCs w:val="1"/>
          <w:color w:val="auto"/>
        </w:rPr>
        <w:t>Form of Direct Funding Disbursement Approval Notce</w:t>
      </w:r>
      <w:r>
        <w:rPr>
          <w:rFonts w:ascii="Calibri" w:cs="Calibri" w:eastAsia="Calibri" w:hAnsi="Calibri"/>
          <w:sz w:val="20"/>
          <w:szCs w:val="20"/>
          <w:color w:val="auto"/>
        </w:rPr>
        <w:t>), delivered to the Recipient pursuant to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w:t>
      </w:r>
    </w:p>
    <w:p>
      <w:pPr>
        <w:spacing w:after="0" w:line="200"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b w:val="1"/>
          <w:bCs w:val="1"/>
          <w:color w:val="auto"/>
        </w:rPr>
        <w:t>“Direct Funding Disbursement Date</w:t>
      </w:r>
      <w:r>
        <w:rPr>
          <w:rFonts w:ascii="Calibri" w:cs="Calibri" w:eastAsia="Calibri" w:hAnsi="Calibri"/>
          <w:sz w:val="20"/>
          <w:szCs w:val="20"/>
          <w:color w:val="auto"/>
        </w:rPr>
        <w:t>” means a Disbursement Date on which a Direct Funding Disbursement is made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this Agreement.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Period</w:t>
      </w:r>
      <w:r>
        <w:rPr>
          <w:rFonts w:ascii="Calibri" w:cs="Calibri" w:eastAsia="Calibri" w:hAnsi="Calibri"/>
          <w:sz w:val="20"/>
          <w:szCs w:val="20"/>
          <w:color w:val="auto"/>
        </w:rPr>
        <w:t>” means the period commencing on the Award Date and ending on the earlier of:</w:t>
      </w:r>
    </w:p>
    <w:p>
      <w:pPr>
        <w:spacing w:after="0" w:line="184" w:lineRule="exact"/>
        <w:rPr>
          <w:sz w:val="20"/>
          <w:szCs w:val="20"/>
          <w:color w:val="auto"/>
        </w:rPr>
      </w:pPr>
    </w:p>
    <w:p>
      <w:pPr>
        <w:ind w:left="1300" w:hanging="644"/>
        <w:spacing w:after="0" w:line="208" w:lineRule="auto"/>
        <w:tabs>
          <w:tab w:leader="none" w:pos="1294" w:val="left"/>
        </w:tabs>
        <w:numPr>
          <w:ilvl w:val="0"/>
          <w:numId w:val="428"/>
        </w:numPr>
        <w:rPr>
          <w:rFonts w:ascii="Calibri" w:cs="Calibri" w:eastAsia="Calibri" w:hAnsi="Calibri"/>
          <w:sz w:val="20"/>
          <w:szCs w:val="20"/>
          <w:color w:val="auto"/>
        </w:rPr>
      </w:pPr>
      <w:r>
        <w:rPr>
          <w:rFonts w:ascii="Calibri" w:cs="Calibri" w:eastAsia="Calibri" w:hAnsi="Calibri"/>
          <w:sz w:val="20"/>
          <w:szCs w:val="20"/>
          <w:color w:val="auto"/>
        </w:rPr>
        <w:t>the Milestone Completon Longstop Date for the last Disbursement Milestone set forth in the Disbursement Milestone Schedule;</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298" w:val="left"/>
        </w:tabs>
        <w:numPr>
          <w:ilvl w:val="0"/>
          <w:numId w:val="428"/>
        </w:numPr>
        <w:rPr>
          <w:rFonts w:ascii="Calibri" w:cs="Calibri" w:eastAsia="Calibri" w:hAnsi="Calibri"/>
          <w:sz w:val="20"/>
          <w:szCs w:val="20"/>
          <w:color w:val="auto"/>
        </w:rPr>
      </w:pPr>
      <w:r>
        <w:rPr>
          <w:rFonts w:ascii="Calibri" w:cs="Calibri" w:eastAsia="Calibri" w:hAnsi="Calibri"/>
          <w:sz w:val="20"/>
          <w:szCs w:val="20"/>
          <w:color w:val="auto"/>
        </w:rPr>
        <w:t>the date of the Direct Funding Disbursement for the last Disbursement Milestone set forth in the Disbursement Milestone Schedule; and</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428"/>
        </w:numPr>
        <w:rPr>
          <w:rFonts w:ascii="Calibri" w:cs="Calibri" w:eastAsia="Calibri" w:hAnsi="Calibri"/>
          <w:sz w:val="20"/>
          <w:szCs w:val="20"/>
          <w:color w:val="auto"/>
        </w:rPr>
      </w:pPr>
      <w:r>
        <w:rPr>
          <w:rFonts w:ascii="Calibri" w:cs="Calibri" w:eastAsia="Calibri" w:hAnsi="Calibri"/>
          <w:sz w:val="20"/>
          <w:szCs w:val="20"/>
          <w:color w:val="auto"/>
        </w:rPr>
        <w:t>the date on which the Maximum Direct Funding Award Amount is reduced to zero.</w:t>
      </w:r>
    </w:p>
    <w:p>
      <w:pPr>
        <w:spacing w:after="0" w:line="184" w:lineRule="exact"/>
        <w:rPr>
          <w:sz w:val="20"/>
          <w:szCs w:val="20"/>
          <w:color w:val="auto"/>
        </w:rPr>
      </w:pPr>
    </w:p>
    <w:p>
      <w:pPr>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Request</w:t>
      </w:r>
      <w:r>
        <w:rPr>
          <w:rFonts w:ascii="Calibri" w:cs="Calibri" w:eastAsia="Calibri" w:hAnsi="Calibri"/>
          <w:sz w:val="20"/>
          <w:szCs w:val="20"/>
          <w:color w:val="auto"/>
        </w:rPr>
        <w:t>” means a request for a Direct Funding Disbursement, substantally in the form atached hereto as Exhibit B-1 (</w:t>
      </w:r>
      <w:r>
        <w:rPr>
          <w:rFonts w:ascii="Calibri" w:cs="Calibri" w:eastAsia="Calibri" w:hAnsi="Calibri"/>
          <w:sz w:val="20"/>
          <w:szCs w:val="20"/>
          <w:b w:val="1"/>
          <w:bCs w:val="1"/>
          <w:color w:val="auto"/>
        </w:rPr>
        <w:t>Form of Direct Funding Disbursement Request</w:t>
      </w:r>
      <w:r>
        <w:rPr>
          <w:rFonts w:ascii="Calibri" w:cs="Calibri" w:eastAsia="Calibri" w:hAnsi="Calibri"/>
          <w:sz w:val="20"/>
          <w:szCs w:val="20"/>
          <w:color w:val="auto"/>
        </w:rPr>
        <w:t>), delivered to the Department.</w:t>
      </w:r>
    </w:p>
    <w:p>
      <w:pPr>
        <w:spacing w:after="0" w:line="172" w:lineRule="exact"/>
        <w:rPr>
          <w:sz w:val="20"/>
          <w:szCs w:val="20"/>
          <w:color w:val="auto"/>
        </w:rPr>
      </w:pPr>
    </w:p>
    <w:p>
      <w:pPr>
        <w:ind w:right="20" w:firstLine="648"/>
        <w:spacing w:after="0" w:line="214" w:lineRule="auto"/>
        <w:rPr>
          <w:sz w:val="20"/>
          <w:szCs w:val="20"/>
          <w:color w:val="auto"/>
        </w:rPr>
      </w:pPr>
      <w:r>
        <w:rPr>
          <w:rFonts w:ascii="Calibri" w:cs="Calibri" w:eastAsia="Calibri" w:hAnsi="Calibri"/>
          <w:sz w:val="20"/>
          <w:szCs w:val="20"/>
          <w:b w:val="1"/>
          <w:bCs w:val="1"/>
          <w:color w:val="auto"/>
        </w:rPr>
        <w:t>“Disbursement</w:t>
      </w:r>
      <w:r>
        <w:rPr>
          <w:rFonts w:ascii="Calibri" w:cs="Calibri" w:eastAsia="Calibri" w:hAnsi="Calibri"/>
          <w:sz w:val="20"/>
          <w:szCs w:val="20"/>
          <w:color w:val="auto"/>
        </w:rPr>
        <w:t>” means any disbursement of the Award in accordance with this Agreement, including any Direct Funding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Disbursement.</w:t>
      </w:r>
    </w:p>
    <w:p>
      <w:pPr>
        <w:spacing w:after="0" w:line="186" w:lineRule="exact"/>
        <w:rPr>
          <w:sz w:val="20"/>
          <w:szCs w:val="20"/>
          <w:color w:val="auto"/>
        </w:rPr>
      </w:pPr>
    </w:p>
    <w:p>
      <w:pPr>
        <w:ind w:firstLine="648"/>
        <w:spacing w:after="0" w:line="208" w:lineRule="auto"/>
        <w:rPr>
          <w:sz w:val="20"/>
          <w:szCs w:val="20"/>
          <w:color w:val="auto"/>
        </w:rPr>
      </w:pPr>
      <w:r>
        <w:rPr>
          <w:rFonts w:ascii="Calibri" w:cs="Calibri" w:eastAsia="Calibri" w:hAnsi="Calibri"/>
          <w:sz w:val="20"/>
          <w:szCs w:val="20"/>
          <w:b w:val="1"/>
          <w:bCs w:val="1"/>
          <w:color w:val="auto"/>
        </w:rPr>
        <w:t>“Disbursement Date</w:t>
      </w:r>
      <w:r>
        <w:rPr>
          <w:rFonts w:ascii="Calibri" w:cs="Calibri" w:eastAsia="Calibri" w:hAnsi="Calibri"/>
          <w:sz w:val="20"/>
          <w:szCs w:val="20"/>
          <w:color w:val="auto"/>
        </w:rPr>
        <w:t>” means a Business Day on which funds are transferred through the ASAP System to make a Disbursement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Artcle 2 (</w:t>
      </w:r>
      <w:r>
        <w:rPr>
          <w:rFonts w:ascii="Calibri" w:cs="Calibri" w:eastAsia="Calibri" w:hAnsi="Calibri"/>
          <w:sz w:val="20"/>
          <w:szCs w:val="20"/>
          <w:b w:val="1"/>
          <w:bCs w:val="1"/>
          <w:color w:val="auto"/>
        </w:rPr>
        <w:t>Award and Disbursements</w:t>
      </w:r>
      <w:r>
        <w:rPr>
          <w:rFonts w:ascii="Calibri" w:cs="Calibri" w:eastAsia="Calibri" w:hAnsi="Calibri"/>
          <w:sz w:val="20"/>
          <w:szCs w:val="20"/>
          <w:color w:val="auto"/>
        </w:rPr>
        <w:t>), including any Direct Funding Disbursement Date.</w:t>
      </w:r>
    </w:p>
    <w:p>
      <w:pPr>
        <w:spacing w:after="0" w:line="184" w:lineRule="exact"/>
        <w:rPr>
          <w:sz w:val="20"/>
          <w:szCs w:val="20"/>
          <w:color w:val="auto"/>
        </w:rPr>
      </w:pPr>
    </w:p>
    <w:p>
      <w:pPr>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Milestone</w:t>
      </w:r>
      <w:r>
        <w:rPr>
          <w:rFonts w:ascii="Calibri" w:cs="Calibri" w:eastAsia="Calibri" w:hAnsi="Calibri"/>
          <w:sz w:val="20"/>
          <w:szCs w:val="20"/>
          <w:color w:val="auto"/>
        </w:rPr>
        <w:t>” means, the Project milestone set forth in the Disbursement Milestone Schedule under the column enttled “Disbursement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384" w:right="339" w:bottom="1440" w:gutter="0" w:footer="0" w:header="0"/>
        </w:sectPr>
      </w:pPr>
    </w:p>
    <w:bookmarkStart w:id="393" w:name="page394"/>
    <w:bookmarkEnd w:id="393"/>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Milestone Schedule</w:t>
      </w:r>
      <w:r>
        <w:rPr>
          <w:rFonts w:ascii="Calibri" w:cs="Calibri" w:eastAsia="Calibri" w:hAnsi="Calibri"/>
          <w:sz w:val="20"/>
          <w:szCs w:val="20"/>
          <w:color w:val="auto"/>
        </w:rPr>
        <w:t>” means that schedule atached hereto as Schedule B (</w:t>
      </w:r>
      <w:r>
        <w:rPr>
          <w:rFonts w:ascii="Calibri" w:cs="Calibri" w:eastAsia="Calibri" w:hAnsi="Calibri"/>
          <w:sz w:val="20"/>
          <w:szCs w:val="20"/>
          <w:b w:val="1"/>
          <w:bCs w:val="1"/>
          <w:color w:val="auto"/>
        </w:rPr>
        <w:t>Project Milestone Schedule</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Request</w:t>
      </w:r>
      <w:r>
        <w:rPr>
          <w:rFonts w:ascii="Calibri" w:cs="Calibri" w:eastAsia="Calibri" w:hAnsi="Calibri"/>
          <w:sz w:val="20"/>
          <w:szCs w:val="20"/>
          <w:color w:val="auto"/>
        </w:rPr>
        <w:t>” means any Direct Funding Disbursement Request.</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Dispositon</w:t>
      </w:r>
      <w:r>
        <w:rPr>
          <w:rFonts w:ascii="Calibri" w:cs="Calibri" w:eastAsia="Calibri" w:hAnsi="Calibri"/>
          <w:sz w:val="20"/>
          <w:szCs w:val="20"/>
          <w:color w:val="auto"/>
        </w:rPr>
        <w:t xml:space="preserve">” means, with respect to any Property or assets, any single or series of related sales, transfers, assignments, donatons, conveyances, leases, licenses, abandonment or other dispositons thereof, and the terms “Dispose” and “Disposed of” shall have correlatve meanings;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that the term “Dispositon” shall not include the creaton or existence of any Liens, unless ownership is transferred to any party pursuant thereto.</w:t>
      </w:r>
    </w:p>
    <w:p>
      <w:pPr>
        <w:spacing w:after="0" w:line="17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Dispute</w:t>
      </w:r>
      <w:r>
        <w:rPr>
          <w:rFonts w:ascii="Calibri" w:cs="Calibri" w:eastAsia="Calibri" w:hAnsi="Calibri"/>
          <w:sz w:val="20"/>
          <w:szCs w:val="20"/>
          <w:color w:val="auto"/>
        </w:rPr>
        <w:t>” has the meaning set forth in Secton 10.12.1 (</w:t>
      </w:r>
      <w:r>
        <w:rPr>
          <w:rFonts w:ascii="Calibri" w:cs="Calibri" w:eastAsia="Calibri" w:hAnsi="Calibri"/>
          <w:sz w:val="20"/>
          <w:szCs w:val="20"/>
          <w:b w:val="1"/>
          <w:bCs w:val="1"/>
          <w:color w:val="auto"/>
        </w:rPr>
        <w:t>Scope and Severability</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DOL</w:t>
      </w:r>
      <w:r>
        <w:rPr>
          <w:rFonts w:ascii="Calibri" w:cs="Calibri" w:eastAsia="Calibri" w:hAnsi="Calibri"/>
          <w:sz w:val="20"/>
          <w:szCs w:val="20"/>
          <w:color w:val="auto"/>
        </w:rPr>
        <w:t>” means the United States Department of Labor.</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Dollars</w:t>
      </w:r>
      <w:r>
        <w:rPr>
          <w:rFonts w:ascii="Calibri" w:cs="Calibri" w:eastAsia="Calibri" w:hAnsi="Calibri"/>
          <w:sz w:val="20"/>
          <w:szCs w:val="20"/>
          <w:color w:val="auto"/>
        </w:rPr>
        <w:t>” or “</w:t>
      </w:r>
      <w:r>
        <w:rPr>
          <w:rFonts w:ascii="Calibri" w:cs="Calibri" w:eastAsia="Calibri" w:hAnsi="Calibri"/>
          <w:sz w:val="20"/>
          <w:szCs w:val="20"/>
          <w:b w:val="1"/>
          <w:bCs w:val="1"/>
          <w:color w:val="auto"/>
        </w:rPr>
        <w:t>$</w:t>
      </w:r>
      <w:r>
        <w:rPr>
          <w:rFonts w:ascii="Calibri" w:cs="Calibri" w:eastAsia="Calibri" w:hAnsi="Calibri"/>
          <w:sz w:val="20"/>
          <w:szCs w:val="20"/>
          <w:color w:val="auto"/>
        </w:rPr>
        <w:t>” means the lawful currency of the United States.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DRAM</w:t>
      </w:r>
      <w:r>
        <w:rPr>
          <w:rFonts w:ascii="Calibri" w:cs="Calibri" w:eastAsia="Calibri" w:hAnsi="Calibri"/>
          <w:sz w:val="20"/>
          <w:szCs w:val="20"/>
          <w:color w:val="auto"/>
        </w:rPr>
        <w:t>” means dynamic random access memory.</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EAR</w:t>
      </w:r>
      <w:r>
        <w:rPr>
          <w:rFonts w:ascii="Calibri" w:cs="Calibri" w:eastAsia="Calibri" w:hAnsi="Calibri"/>
          <w:sz w:val="20"/>
          <w:szCs w:val="20"/>
          <w:color w:val="auto"/>
        </w:rPr>
        <w:t>” means the Export Administraton Regulatons, 15 C.F.R. Parts 700-786, administered by BIS.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Electronic Signature</w:t>
      </w:r>
      <w:r>
        <w:rPr>
          <w:rFonts w:ascii="Calibri" w:cs="Calibri" w:eastAsia="Calibri" w:hAnsi="Calibri"/>
          <w:sz w:val="20"/>
          <w:szCs w:val="20"/>
          <w:color w:val="auto"/>
        </w:rPr>
        <w:t>” has the meaning assigned to it by 15 U.S.C. § 7006.</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Eligibility Start Date</w:t>
      </w:r>
      <w:r>
        <w:rPr>
          <w:rFonts w:ascii="Calibri" w:cs="Calibri" w:eastAsia="Calibri" w:hAnsi="Calibri"/>
          <w:sz w:val="20"/>
          <w:szCs w:val="20"/>
          <w:color w:val="auto"/>
        </w:rPr>
        <w:t>” means March 29, 2024, which is the efectve date of the PMT.</w:t>
      </w:r>
    </w:p>
    <w:p>
      <w:pPr>
        <w:spacing w:after="0" w:line="17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Eligible Facility</w:t>
      </w:r>
      <w:r>
        <w:rPr>
          <w:rFonts w:ascii="Calibri" w:cs="Calibri" w:eastAsia="Calibri" w:hAnsi="Calibri"/>
          <w:sz w:val="20"/>
          <w:szCs w:val="20"/>
          <w:color w:val="auto"/>
        </w:rPr>
        <w:t>” means a Facility that meets eligibility requirements set forth in the CHIPS Act and the Guardrail Regulatons, including those set forth in 15 U.S.C. § 4652 (</w:t>
      </w:r>
      <w:r>
        <w:rPr>
          <w:rFonts w:ascii="Calibri" w:cs="Calibri" w:eastAsia="Calibri" w:hAnsi="Calibri"/>
          <w:sz w:val="20"/>
          <w:szCs w:val="20"/>
          <w:i w:val="1"/>
          <w:iCs w:val="1"/>
          <w:color w:val="auto"/>
        </w:rPr>
        <w:t>Semiconductor incentves</w:t>
      </w:r>
      <w:r>
        <w:rPr>
          <w:rFonts w:ascii="Calibri" w:cs="Calibri" w:eastAsia="Calibri" w:hAnsi="Calibri"/>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means, with respect to the Project, Project Costs that:</w:t>
      </w:r>
    </w:p>
    <w:p>
      <w:pPr>
        <w:spacing w:after="0" w:line="161" w:lineRule="exact"/>
        <w:rPr>
          <w:sz w:val="20"/>
          <w:szCs w:val="20"/>
          <w:color w:val="auto"/>
        </w:rPr>
      </w:pPr>
    </w:p>
    <w:p>
      <w:pPr>
        <w:ind w:left="1320" w:hanging="664"/>
        <w:spacing w:after="0"/>
        <w:tabs>
          <w:tab w:leader="none" w:pos="1320" w:val="left"/>
        </w:tabs>
        <w:numPr>
          <w:ilvl w:val="0"/>
          <w:numId w:val="429"/>
        </w:numPr>
        <w:rPr>
          <w:rFonts w:ascii="Calibri" w:cs="Calibri" w:eastAsia="Calibri" w:hAnsi="Calibri"/>
          <w:sz w:val="20"/>
          <w:szCs w:val="20"/>
          <w:color w:val="auto"/>
        </w:rPr>
      </w:pPr>
      <w:r>
        <w:rPr>
          <w:rFonts w:ascii="Calibri" w:cs="Calibri" w:eastAsia="Calibri" w:hAnsi="Calibri"/>
          <w:sz w:val="20"/>
          <w:szCs w:val="20"/>
          <w:color w:val="auto"/>
        </w:rPr>
        <w:t>are incurred or will be incurred for any of the following purposes to:</w:t>
      </w:r>
    </w:p>
    <w:p>
      <w:pPr>
        <w:spacing w:after="0" w:line="184" w:lineRule="exact"/>
        <w:rPr>
          <w:rFonts w:ascii="Calibri" w:cs="Calibri" w:eastAsia="Calibri" w:hAnsi="Calibri"/>
          <w:sz w:val="20"/>
          <w:szCs w:val="20"/>
          <w:color w:val="auto"/>
        </w:rPr>
      </w:pPr>
    </w:p>
    <w:p>
      <w:pPr>
        <w:jc w:val="both"/>
        <w:ind w:left="1960" w:hanging="656"/>
        <w:spacing w:after="0" w:line="205" w:lineRule="auto"/>
        <w:tabs>
          <w:tab w:leader="none" w:pos="1954" w:val="left"/>
        </w:tabs>
        <w:numPr>
          <w:ilvl w:val="1"/>
          <w:numId w:val="429"/>
        </w:numPr>
        <w:rPr>
          <w:rFonts w:ascii="Calibri" w:cs="Calibri" w:eastAsia="Calibri" w:hAnsi="Calibri"/>
          <w:sz w:val="20"/>
          <w:szCs w:val="20"/>
          <w:color w:val="auto"/>
        </w:rPr>
      </w:pPr>
      <w:r>
        <w:rPr>
          <w:rFonts w:ascii="Calibri" w:cs="Calibri" w:eastAsia="Calibri" w:hAnsi="Calibri"/>
          <w:sz w:val="20"/>
          <w:szCs w:val="20"/>
          <w:color w:val="auto"/>
        </w:rPr>
        <w:t>fnance the constructon, expansion or modernizaton of the applicable Eligible Facility or to acquire, maintain, repair, or transport equipment to be used for the applicable Eligible Facility, as determined necessary by the Secretary for purposes relatng to the natonal security and economic compettveness of the United States;</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429"/>
        </w:numPr>
        <w:rPr>
          <w:rFonts w:ascii="Calibri" w:cs="Calibri" w:eastAsia="Calibri" w:hAnsi="Calibri"/>
          <w:sz w:val="20"/>
          <w:szCs w:val="20"/>
          <w:color w:val="auto"/>
        </w:rPr>
      </w:pPr>
      <w:r>
        <w:rPr>
          <w:rFonts w:ascii="Calibri" w:cs="Calibri" w:eastAsia="Calibri" w:hAnsi="Calibri"/>
          <w:sz w:val="20"/>
          <w:szCs w:val="20"/>
          <w:color w:val="auto"/>
        </w:rPr>
        <w:t>support workforce development for such Eligible Facility, as determined by the Secretary;</w:t>
      </w:r>
    </w:p>
    <w:p>
      <w:pPr>
        <w:spacing w:after="0" w:line="160" w:lineRule="exact"/>
        <w:rPr>
          <w:rFonts w:ascii="Calibri" w:cs="Calibri" w:eastAsia="Calibri" w:hAnsi="Calibri"/>
          <w:sz w:val="20"/>
          <w:szCs w:val="20"/>
          <w:color w:val="auto"/>
        </w:rPr>
      </w:pPr>
    </w:p>
    <w:p>
      <w:pPr>
        <w:ind w:left="1960" w:hanging="656"/>
        <w:spacing w:after="0"/>
        <w:tabs>
          <w:tab w:leader="none" w:pos="1960" w:val="left"/>
        </w:tabs>
        <w:numPr>
          <w:ilvl w:val="1"/>
          <w:numId w:val="429"/>
        </w:numPr>
        <w:rPr>
          <w:rFonts w:ascii="Calibri" w:cs="Calibri" w:eastAsia="Calibri" w:hAnsi="Calibri"/>
          <w:sz w:val="20"/>
          <w:szCs w:val="20"/>
          <w:color w:val="auto"/>
        </w:rPr>
      </w:pPr>
      <w:r>
        <w:rPr>
          <w:rFonts w:ascii="Calibri" w:cs="Calibri" w:eastAsia="Calibri" w:hAnsi="Calibri"/>
          <w:sz w:val="20"/>
          <w:szCs w:val="20"/>
          <w:color w:val="auto"/>
        </w:rPr>
        <w:t>support site development for such Eligible Facility, as determined by the Secretary; or</w:t>
      </w:r>
    </w:p>
    <w:p>
      <w:pPr>
        <w:spacing w:after="0" w:line="184" w:lineRule="exact"/>
        <w:rPr>
          <w:rFonts w:ascii="Calibri" w:cs="Calibri" w:eastAsia="Calibri" w:hAnsi="Calibri"/>
          <w:sz w:val="20"/>
          <w:szCs w:val="20"/>
          <w:color w:val="auto"/>
        </w:rPr>
      </w:pPr>
    </w:p>
    <w:p>
      <w:pPr>
        <w:ind w:left="1960" w:right="20" w:hanging="656"/>
        <w:spacing w:after="0" w:line="214" w:lineRule="auto"/>
        <w:tabs>
          <w:tab w:leader="none" w:pos="1964" w:val="left"/>
        </w:tabs>
        <w:numPr>
          <w:ilvl w:val="1"/>
          <w:numId w:val="429"/>
        </w:numPr>
        <w:rPr>
          <w:rFonts w:ascii="Calibri" w:cs="Calibri" w:eastAsia="Calibri" w:hAnsi="Calibri"/>
          <w:sz w:val="20"/>
          <w:szCs w:val="20"/>
          <w:color w:val="auto"/>
        </w:rPr>
      </w:pPr>
      <w:r>
        <w:rPr>
          <w:rFonts w:ascii="Calibri" w:cs="Calibri" w:eastAsia="Calibri" w:hAnsi="Calibri"/>
          <w:sz w:val="20"/>
          <w:szCs w:val="20"/>
          <w:color w:val="auto"/>
        </w:rPr>
        <w:t>pay reasonable costs related to the operatng expenses for such Eligible Facility including specialized workforce, essental materials, and complex equipment maintenance for the Project, as determined by the Secretary;</w:t>
      </w:r>
    </w:p>
    <w:p>
      <w:pPr>
        <w:sectPr>
          <w:pgSz w:w="11900" w:h="16838" w:orient="portrait"/>
          <w:cols w:equalWidth="0" w:num="1">
            <w:col w:w="11240"/>
          </w:cols>
          <w:pgMar w:left="320" w:top="1374" w:right="339" w:bottom="1440" w:gutter="0" w:footer="0" w:header="0"/>
        </w:sectPr>
      </w:pPr>
    </w:p>
    <w:p>
      <w:pPr>
        <w:spacing w:after="0" w:line="172"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alibri" w:cs="Calibri" w:eastAsia="Calibri" w:hAnsi="Calibri"/>
          <w:sz w:val="20"/>
          <w:szCs w:val="20"/>
          <w:color w:val="auto"/>
        </w:rPr>
        <w:t>are incurred on or following the Eligibility Start Date; and</w:t>
      </w:r>
    </w:p>
    <w:p>
      <w:pPr>
        <w:spacing w:after="0" w:line="174"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are not Ineligible Uses of Funds.</w:t>
      </w:r>
    </w:p>
    <w:p>
      <w:pPr>
        <w:spacing w:after="0" w:line="184"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Environmental Claim</w:t>
      </w:r>
      <w:r>
        <w:rPr>
          <w:rFonts w:ascii="Calibri" w:cs="Calibri" w:eastAsia="Calibri" w:hAnsi="Calibri"/>
          <w:sz w:val="20"/>
          <w:szCs w:val="20"/>
          <w:color w:val="auto"/>
        </w:rPr>
        <w:t>” means any and all obligatons, liabilites, losses, administratve, regulatory or judicial actons, suits, demands, decrees, claims, liens, judgments, notces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374" w:right="339" w:bottom="1440" w:gutter="0" w:footer="0" w:header="0"/>
          <w:type w:val="continuous"/>
        </w:sectPr>
      </w:pPr>
    </w:p>
    <w:bookmarkStart w:id="394" w:name="page395"/>
    <w:bookmarkEnd w:id="394"/>
    <w:p>
      <w:pPr>
        <w:jc w:val="both"/>
        <w:spacing w:after="0" w:line="199" w:lineRule="auto"/>
        <w:rPr>
          <w:sz w:val="20"/>
          <w:szCs w:val="20"/>
          <w:color w:val="auto"/>
        </w:rPr>
      </w:pPr>
      <w:r>
        <w:rPr>
          <w:rFonts w:ascii="Calibri" w:cs="Calibri" w:eastAsia="Calibri" w:hAnsi="Calibri"/>
          <w:sz w:val="20"/>
          <w:szCs w:val="20"/>
          <w:color w:val="auto"/>
        </w:rPr>
        <w:t>noncompliance or violaton, investgatons (excluding routne inspectons), proceedings, clean-up, removal or remedial actons or orders, or damages (foreseeable and unforeseeable, including consequental and punitve damages), penaltes, fees, out- of-pocket costs, expenses, disbursements, atorneys’ or consultants’ fees, relatng in any way to any violaton of Environmental Law or any violaton of any Governmental Approval issued under any such Environmental Law including (a) any and all indemnity claims by any Governmental Authority for enforcement, clean-up, removal, response, remedial or other actons or damages pursuant to any applicable Environmental Law; and (b) any and all indemnity claims by any third party seeking damages, contributon, indemnifcaton, cost recovery, compensaton or injunctve relief resultng from Hazardous Substances, the violaton or alleged violaton of any Environmental Law or Governmental Approval issued thereunder, or arising from alleged injury or threat of injury to health, safety or the environment.</w:t>
      </w:r>
    </w:p>
    <w:p>
      <w:pPr>
        <w:spacing w:after="0" w:line="176"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means any Applicable Law in efect as of the date hereof or hereafer, and in each case as amended, regulatng, relatng to or imposing obligatons, liability or standards of conduct concerning or otherwise relatng to (a) environmental impacts resultng from the use of the Project Site or environmental conditons present on, in or under the Project Site; (b) polluton, protecton of human health or safety or the environment, including fora and fauna, or Releases or threatened Releases of pollutants, contaminants, chemicals, radiaton or industrial, toxic or hazardous substances or wastes, including Hazardous Substances; or (c) the generaton, manufacture, processing, distributon, use, treatment, storage, recycling, disposal, transport, or handling of pollutants, contaminants, chemicals, or industrial, toxic or hazardous substances or wastes, including Hazardous Substances.</w:t>
      </w:r>
    </w:p>
    <w:p>
      <w:pPr>
        <w:spacing w:after="0" w:line="190"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Commitment</w:t>
      </w:r>
      <w:r>
        <w:rPr>
          <w:rFonts w:ascii="Calibri" w:cs="Calibri" w:eastAsia="Calibri" w:hAnsi="Calibri"/>
          <w:sz w:val="20"/>
          <w:szCs w:val="20"/>
          <w:color w:val="auto"/>
        </w:rPr>
        <w:t xml:space="preserve">” means, with respect to the Project, the obligaton of the Sponsor Guarantor under the Sponsor Guarantee to fund an aggregate amount equal to </w:t>
      </w:r>
      <w:r>
        <w:rPr>
          <w:rFonts w:ascii="Calibri" w:cs="Calibri" w:eastAsia="Calibri" w:hAnsi="Calibri"/>
          <w:sz w:val="20"/>
          <w:szCs w:val="20"/>
          <w:b w:val="1"/>
          <w:bCs w:val="1"/>
          <w:color w:val="auto"/>
        </w:rPr>
        <w:t>[***]</w:t>
      </w:r>
      <w:r>
        <w:rPr>
          <w:rFonts w:ascii="Calibri" w:cs="Calibri" w:eastAsia="Calibri" w:hAnsi="Calibri"/>
          <w:sz w:val="20"/>
          <w:szCs w:val="20"/>
          <w:color w:val="auto"/>
        </w:rPr>
        <w:t>, which is an amount equal to the positve diference between (i) the Estmated Project Costs; and (ii) the sum of (A) the Maximum Direct Funding Award Amount; (B) the aggregate debt funding amounts provided for in the Third Party Debt Funding Documents in respect of the Project; and (C) Covered Incentves in respect of the Project.</w:t>
      </w:r>
    </w:p>
    <w:p>
      <w:pPr>
        <w:spacing w:after="0" w:line="173"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Contributon</w:t>
      </w:r>
      <w:r>
        <w:rPr>
          <w:rFonts w:ascii="Calibri" w:cs="Calibri" w:eastAsia="Calibri" w:hAnsi="Calibri"/>
          <w:sz w:val="20"/>
          <w:szCs w:val="20"/>
          <w:color w:val="auto"/>
        </w:rPr>
        <w:t>” means an equity contributon to the Recipient made in accordance with the Sponsor Guarantee in the form of share capital subscriptons or Permited Shareholder Loans.</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Documents</w:t>
      </w:r>
      <w:r>
        <w:rPr>
          <w:rFonts w:ascii="Calibri" w:cs="Calibri" w:eastAsia="Calibri" w:hAnsi="Calibri"/>
          <w:sz w:val="20"/>
          <w:szCs w:val="20"/>
          <w:color w:val="auto"/>
        </w:rPr>
        <w:t>” means, collectvely:</w:t>
      </w:r>
    </w:p>
    <w:p>
      <w:pPr>
        <w:sectPr>
          <w:pgSz w:w="11900" w:h="16838" w:orient="portrait"/>
          <w:cols w:equalWidth="0" w:num="1">
            <w:col w:w="11240"/>
          </w:cols>
          <w:pgMar w:left="320" w:top="1384" w:right="33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the Sponsor Guarantee; and</w:t>
      </w:r>
    </w:p>
    <w:p>
      <w:pPr>
        <w:spacing w:after="0" w:line="174" w:lineRule="exact"/>
        <w:rPr>
          <w:sz w:val="20"/>
          <w:szCs w:val="20"/>
          <w:color w:val="auto"/>
        </w:rPr>
      </w:pPr>
    </w:p>
    <w:p>
      <w:pPr>
        <w:sectPr>
          <w:pgSz w:w="11900" w:h="16838" w:orient="portrait"/>
          <w:cols w:equalWidth="0" w:num="2">
            <w:col w:w="980" w:space="320"/>
            <w:col w:w="994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(ae)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any other agreement designated in writng by the mutual agreement of the Recipient and the Department as an “Equity</w:t>
      </w:r>
    </w:p>
    <w:p>
      <w:pPr>
        <w:spacing w:after="0" w:line="1" w:lineRule="exact"/>
        <w:rPr>
          <w:sz w:val="20"/>
          <w:szCs w:val="20"/>
          <w:color w:val="auto"/>
        </w:rPr>
      </w:pPr>
    </w:p>
    <w:p>
      <w:pPr>
        <w:sectPr>
          <w:pgSz w:w="11900" w:h="16838" w:orient="portrait"/>
          <w:cols w:equalWidth="0" w:num="2">
            <w:col w:w="980" w:space="320"/>
            <w:col w:w="9940"/>
          </w:cols>
          <w:pgMar w:left="320" w:top="1384" w:right="339" w:bottom="1440" w:gutter="0" w:footer="0" w:header="0"/>
          <w:type w:val="continuous"/>
        </w:sectPr>
      </w:pPr>
    </w:p>
    <w:p>
      <w:pPr>
        <w:ind w:left="1300"/>
        <w:spacing w:after="0" w:line="209" w:lineRule="auto"/>
        <w:rPr>
          <w:sz w:val="20"/>
          <w:szCs w:val="20"/>
          <w:color w:val="auto"/>
        </w:rPr>
      </w:pPr>
      <w:r>
        <w:rPr>
          <w:rFonts w:ascii="Calibri" w:cs="Calibri" w:eastAsia="Calibri" w:hAnsi="Calibri"/>
          <w:sz w:val="19"/>
          <w:szCs w:val="19"/>
          <w:color w:val="auto"/>
        </w:rPr>
        <w:t>Document.”</w:t>
      </w:r>
    </w:p>
    <w:p>
      <w:pPr>
        <w:sectPr>
          <w:pgSz w:w="11900" w:h="16838" w:orient="portrait"/>
          <w:cols w:equalWidth="0" w:num="1">
            <w:col w:w="11240"/>
          </w:cols>
          <w:pgMar w:left="320" w:top="1384" w:right="339" w:bottom="1440" w:gutter="0" w:footer="0" w:header="0"/>
          <w:type w:val="continuous"/>
        </w:sectPr>
      </w:pPr>
    </w:p>
    <w:p>
      <w:pPr>
        <w:spacing w:after="0" w:line="171"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Interest</w:t>
      </w:r>
      <w:r>
        <w:rPr>
          <w:rFonts w:ascii="Calibri" w:cs="Calibri" w:eastAsia="Calibri" w:hAnsi="Calibri"/>
          <w:sz w:val="20"/>
          <w:szCs w:val="20"/>
          <w:color w:val="auto"/>
        </w:rPr>
        <w:t>” means any and all shares, interest, rights to purchase, warrants, optons, partcipatons or other equivalents of or interests in (however designated) the common or preferred equity or preference share capital of an entty, including partnership interests, limited liability interests and trust benefcial interests.</w:t>
      </w:r>
    </w:p>
    <w:p>
      <w:pPr>
        <w:spacing w:after="0" w:line="17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Decision-Maker</w:t>
      </w:r>
      <w:r>
        <w:rPr>
          <w:rFonts w:ascii="Calibri" w:cs="Calibri" w:eastAsia="Calibri" w:hAnsi="Calibri"/>
          <w:sz w:val="20"/>
          <w:szCs w:val="20"/>
          <w:color w:val="auto"/>
        </w:rPr>
        <w:t>” means any “Department Escalaton Decision-Maker” or “Recipient Escalaton Decision-Maker” identfed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as applicable.</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Decision-Maker Meetng</w:t>
      </w:r>
      <w:r>
        <w:rPr>
          <w:rFonts w:ascii="Calibri" w:cs="Calibri" w:eastAsia="Calibri" w:hAnsi="Calibri"/>
          <w:sz w:val="20"/>
          <w:szCs w:val="20"/>
          <w:color w:val="auto"/>
        </w:rPr>
        <w:t>” has the meaning set forth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Notce</w:t>
      </w:r>
      <w:r>
        <w:rPr>
          <w:rFonts w:ascii="Calibri" w:cs="Calibri" w:eastAsia="Calibri" w:hAnsi="Calibri"/>
          <w:sz w:val="20"/>
          <w:szCs w:val="20"/>
          <w:color w:val="auto"/>
        </w:rPr>
        <w:t>” has the meaning set forth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Estmated Project Costs</w:t>
      </w:r>
      <w:r>
        <w:rPr>
          <w:rFonts w:ascii="Calibri" w:cs="Calibri" w:eastAsia="Calibri" w:hAnsi="Calibri"/>
          <w:sz w:val="20"/>
          <w:szCs w:val="20"/>
          <w:color w:val="auto"/>
        </w:rPr>
        <w:t xml:space="preserve">” means an amount equal to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Default</w:t>
      </w:r>
      <w:r>
        <w:rPr>
          <w:rFonts w:ascii="Calibri" w:cs="Calibri" w:eastAsia="Calibri" w:hAnsi="Calibri"/>
          <w:sz w:val="20"/>
          <w:szCs w:val="20"/>
          <w:color w:val="auto"/>
        </w:rPr>
        <w:t>” means any of the events described in 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384" w:right="339" w:bottom="1440" w:gutter="0" w:footer="0" w:header="0"/>
          <w:type w:val="continuous"/>
        </w:sectPr>
      </w:pPr>
    </w:p>
    <w:bookmarkStart w:id="395" w:name="page396"/>
    <w:bookmarkEnd w:id="395"/>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Force Majeure</w:t>
      </w:r>
      <w:r>
        <w:rPr>
          <w:rFonts w:ascii="Calibri" w:cs="Calibri" w:eastAsia="Calibri" w:hAnsi="Calibri"/>
          <w:sz w:val="20"/>
          <w:szCs w:val="20"/>
          <w:color w:val="auto"/>
        </w:rPr>
        <w:t>” means any event, circumstance or conditon in the nature of force majeure that would enttle any Person to any abatement, postponement, or other relief from any of its contractual obligatons under the Project Document to which such Person is party.</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Loss</w:t>
      </w:r>
      <w:r>
        <w:rPr>
          <w:rFonts w:ascii="Calibri" w:cs="Calibri" w:eastAsia="Calibri" w:hAnsi="Calibri"/>
          <w:sz w:val="20"/>
          <w:szCs w:val="20"/>
          <w:color w:val="auto"/>
        </w:rPr>
        <w:t>” means any event that causes any porton of the Project or any other property of the Recipient to be damaged, destroyed or rendered unft for normal use for any reason whatsoever, including through a failure of ttle, or any loss of such property, or a condemnaton or taking (including by any Governmental Authority) of any porton of the Project, the Facility or the Propertes.</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Expansion Clawback Term</w:t>
      </w:r>
      <w:r>
        <w:rPr>
          <w:rFonts w:ascii="Calibri" w:cs="Calibri" w:eastAsia="Calibri" w:hAnsi="Calibri"/>
          <w:sz w:val="20"/>
          <w:szCs w:val="20"/>
          <w:color w:val="auto"/>
        </w:rPr>
        <w:t>” means the period commencing on the Award Date and ending on to the tenth (10th) anniversary of the Award Date.</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Export Control Laws</w:t>
      </w:r>
      <w:r>
        <w:rPr>
          <w:rFonts w:ascii="Calibri" w:cs="Calibri" w:eastAsia="Calibri" w:hAnsi="Calibri"/>
          <w:sz w:val="20"/>
          <w:szCs w:val="20"/>
          <w:color w:val="auto"/>
        </w:rPr>
        <w:t>” means any and all laws which have as a purpose or efect of restrictng or controlling the export, re-export, transfer or access of controlled or sensitve informaton, commodites, sofware, technology or services between or within one or more countries or their natonals, including without limitaton, the EAR and ITAR.</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Facility</w:t>
      </w:r>
      <w:r>
        <w:rPr>
          <w:rFonts w:ascii="Calibri" w:cs="Calibri" w:eastAsia="Calibri" w:hAnsi="Calibri"/>
          <w:sz w:val="20"/>
          <w:szCs w:val="20"/>
          <w:color w:val="auto"/>
        </w:rPr>
        <w:t>” means a fabricaton facility located at the Project Site and including all the buildings, fxtures and other improvements situated, or to be situated, on the Project Site.</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 xml:space="preserve">“Federal Register” </w:t>
      </w:r>
      <w:r>
        <w:rPr>
          <w:rFonts w:ascii="Calibri" w:cs="Calibri" w:eastAsia="Calibri" w:hAnsi="Calibri"/>
          <w:sz w:val="20"/>
          <w:szCs w:val="20"/>
          <w:color w:val="auto"/>
        </w:rPr>
        <w:t>means the publicaton provided for by the Federal Register Act (44 U.S.C. §1501</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Finance Lease</w:t>
      </w:r>
      <w:r>
        <w:rPr>
          <w:rFonts w:ascii="Calibri" w:cs="Calibri" w:eastAsia="Calibri" w:hAnsi="Calibri"/>
          <w:sz w:val="20"/>
          <w:szCs w:val="20"/>
          <w:color w:val="auto"/>
        </w:rPr>
        <w:t>” means, for any Person, any lease of (or other agreement conveying the right to use) any property of such Person that would be required, in accordance with the Applicable Accountng Requirements, to be capitalized and accounted for as a fnance lease on a balance sheet of such Person.</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Advisor</w:t>
      </w:r>
      <w:r>
        <w:rPr>
          <w:rFonts w:ascii="Calibri" w:cs="Calibri" w:eastAsia="Calibri" w:hAnsi="Calibri"/>
          <w:sz w:val="20"/>
          <w:szCs w:val="20"/>
          <w:color w:val="auto"/>
        </w:rPr>
        <w:t>” means Alvarez &amp; Marsal Federal LLC, actng as fnancial advisor to the Department in connecton with the Project, or any successor fnancial advisor appointed by the Department.</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Ofcer</w:t>
      </w:r>
      <w:r>
        <w:rPr>
          <w:rFonts w:ascii="Calibri" w:cs="Calibri" w:eastAsia="Calibri" w:hAnsi="Calibri"/>
          <w:sz w:val="20"/>
          <w:szCs w:val="20"/>
          <w:color w:val="auto"/>
        </w:rPr>
        <w:t>” means with respect to any Person, the general manager, any director, the chief fnancial ofcer, the controller, the treasurer or any assistant treasurer, any vice president-fnance or any assistant vice president-fnance or any other vice president or assistant vice president with signifcant responsibility for the fnancial afairs of such Person.</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Statements</w:t>
      </w:r>
      <w:r>
        <w:rPr>
          <w:rFonts w:ascii="Calibri" w:cs="Calibri" w:eastAsia="Calibri" w:hAnsi="Calibri"/>
          <w:sz w:val="20"/>
          <w:szCs w:val="20"/>
          <w:color w:val="auto"/>
        </w:rPr>
        <w:t>” means:</w:t>
      </w:r>
    </w:p>
    <w:p>
      <w:pPr>
        <w:sectPr>
          <w:pgSz w:w="11900" w:h="16838" w:orient="portrait"/>
          <w:cols w:equalWidth="0" w:num="1">
            <w:col w:w="11240"/>
          </w:cols>
          <w:pgMar w:left="320" w:top="1384" w:right="339" w:bottom="1440" w:gutter="0" w:footer="0" w:header="0"/>
        </w:sectPr>
      </w:pP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(af)</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with respect to the Recipient, the Recipient’s quarterly or annual unaudited balance sheet and statements of income, and cash fow for such fscal period, except for during the frst (1st) Fiscal Year, with comparable fgures for the corresponding period of its previous fscal period, each prepared in Dollars and in accordance with the Applicable Accountng Requirements; and</w:t>
      </w:r>
    </w:p>
    <w:p>
      <w:pPr>
        <w:spacing w:after="0" w:line="187" w:lineRule="exact"/>
        <w:rPr>
          <w:sz w:val="20"/>
          <w:szCs w:val="20"/>
          <w:color w:val="auto"/>
        </w:rPr>
      </w:pPr>
    </w:p>
    <w:p>
      <w:pPr>
        <w:sectPr>
          <w:pgSz w:w="11900" w:h="16838" w:orient="portrait"/>
          <w:cols w:equalWidth="0" w:num="2">
            <w:col w:w="940" w:space="360"/>
            <w:col w:w="994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(ag)</w:t>
      </w:r>
    </w:p>
    <w:p>
      <w:pPr>
        <w:spacing w:after="0" w:line="20" w:lineRule="exact"/>
        <w:rPr>
          <w:sz w:val="20"/>
          <w:szCs w:val="20"/>
          <w:color w:val="auto"/>
        </w:rPr>
      </w:pPr>
      <w:r>
        <w:rPr>
          <w:sz w:val="20"/>
          <w:szCs w:val="20"/>
          <w:color w:val="auto"/>
        </w:rPr>
        <w:br w:type="column"/>
      </w:r>
    </w:p>
    <w:p>
      <w:pPr>
        <w:jc w:val="both"/>
        <w:ind w:right="20" w:firstLine="4"/>
        <w:spacing w:after="0" w:line="203" w:lineRule="auto"/>
        <w:rPr>
          <w:sz w:val="20"/>
          <w:szCs w:val="20"/>
          <w:color w:val="auto"/>
        </w:rPr>
      </w:pPr>
      <w:r>
        <w:rPr>
          <w:rFonts w:ascii="Calibri" w:cs="Calibri" w:eastAsia="Calibri" w:hAnsi="Calibri"/>
          <w:sz w:val="20"/>
          <w:szCs w:val="20"/>
          <w:color w:val="auto"/>
        </w:rPr>
        <w:t>with respect to the Sponsor Guarantor, the Sponsor Guarantor’s quarterly unaudited or annual audited balance sheet and statements of income, retained earnings, and cash fow for such fscal period, together with all notes thereto and, except for during the frst (1st) Fiscal Year, with comparable fgures for the corresponding period of its previous fscal period, each prepared in Dollars and in accordance with the Applicable Accountng Requirements.</w:t>
      </w:r>
    </w:p>
    <w:p>
      <w:pPr>
        <w:spacing w:after="0" w:line="163" w:lineRule="exact"/>
        <w:rPr>
          <w:sz w:val="20"/>
          <w:szCs w:val="20"/>
          <w:color w:val="auto"/>
        </w:rPr>
      </w:pPr>
    </w:p>
    <w:p>
      <w:pPr>
        <w:sectPr>
          <w:pgSz w:w="11900" w:h="16838" w:orient="portrait"/>
          <w:cols w:equalWidth="0" w:num="2">
            <w:col w:w="960" w:space="340"/>
            <w:col w:w="994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Financing Documents</w:t>
      </w:r>
      <w:r>
        <w:rPr>
          <w:rFonts w:ascii="Calibri" w:cs="Calibri" w:eastAsia="Calibri" w:hAnsi="Calibri"/>
          <w:sz w:val="20"/>
          <w:szCs w:val="20"/>
          <w:color w:val="auto"/>
        </w:rPr>
        <w:t>” means, collectvely:</w:t>
      </w:r>
    </w:p>
    <w:p>
      <w:pPr>
        <w:sectPr>
          <w:pgSz w:w="11900" w:h="16838" w:orient="portrait"/>
          <w:cols w:equalWidth="0" w:num="1">
            <w:col w:w="11240"/>
          </w:cols>
          <w:pgMar w:left="320" w:top="1384"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alibri" w:cs="Calibri" w:eastAsia="Calibri" w:hAnsi="Calibri"/>
          <w:sz w:val="20"/>
          <w:szCs w:val="20"/>
          <w:color w:val="auto"/>
        </w:rPr>
        <w:t>the Award Documents;</w:t>
      </w:r>
    </w:p>
    <w:p>
      <w:pPr>
        <w:spacing w:after="0" w:line="174" w:lineRule="exact"/>
        <w:rPr>
          <w:sz w:val="20"/>
          <w:szCs w:val="20"/>
          <w:color w:val="auto"/>
        </w:rPr>
      </w:pPr>
    </w:p>
    <w:p>
      <w:pPr>
        <w:sectPr>
          <w:pgSz w:w="11900" w:h="16838" w:orient="portrait"/>
          <w:cols w:equalWidth="0" w:num="2">
            <w:col w:w="980" w:space="320"/>
            <w:col w:w="9940"/>
          </w:cols>
          <w:pgMar w:left="320" w:top="138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the Equity Documents;</w:t>
      </w:r>
    </w:p>
    <w:p>
      <w:pPr>
        <w:spacing w:after="0" w:line="200" w:lineRule="exact"/>
        <w:rPr>
          <w:sz w:val="20"/>
          <w:szCs w:val="20"/>
          <w:color w:val="auto"/>
        </w:rPr>
      </w:pPr>
    </w:p>
    <w:p>
      <w:pPr>
        <w:sectPr>
          <w:pgSz w:w="11900" w:h="16838" w:orient="portrait"/>
          <w:cols w:equalWidth="0" w:num="2">
            <w:col w:w="920" w:space="380"/>
            <w:col w:w="9940"/>
          </w:cols>
          <w:pgMar w:left="320" w:top="1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12.</w:t>
      </w:r>
    </w:p>
    <w:p>
      <w:pPr>
        <w:sectPr>
          <w:pgSz w:w="11900" w:h="16838" w:orient="portrait"/>
          <w:cols w:equalWidth="0" w:num="1">
            <w:col w:w="11240"/>
          </w:cols>
          <w:pgMar w:left="320" w:top="1384" w:right="339" w:bottom="1440" w:gutter="0" w:footer="0" w:header="0"/>
          <w:type w:val="continuous"/>
        </w:sectPr>
      </w:pPr>
    </w:p>
    <w:bookmarkStart w:id="396" w:name="page397"/>
    <w:bookmarkEnd w:id="396"/>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any Third Party Debt Funding Documents; and</w:t>
      </w:r>
    </w:p>
    <w:p>
      <w:pPr>
        <w:spacing w:after="0" w:line="184" w:lineRule="exact"/>
        <w:rPr>
          <w:sz w:val="20"/>
          <w:szCs w:val="20"/>
          <w:color w:val="auto"/>
        </w:rPr>
      </w:pPr>
    </w:p>
    <w:p>
      <w:pPr>
        <w:sectPr>
          <w:pgSz w:w="11900" w:h="16838" w:orient="portrait"/>
          <w:cols w:equalWidth="0" w:num="2">
            <w:col w:w="920" w:space="380"/>
            <w:col w:w="9940"/>
          </w:cols>
          <w:pgMar w:left="320" w:top="1374" w:right="339" w:bottom="1440" w:gutter="0" w:footer="0" w:header="0"/>
        </w:sectPr>
      </w:pPr>
    </w:p>
    <w:p>
      <w:pPr>
        <w:ind w:left="660"/>
        <w:spacing w:after="0"/>
        <w:rPr>
          <w:sz w:val="20"/>
          <w:szCs w:val="20"/>
          <w:color w:val="auto"/>
        </w:rPr>
      </w:pPr>
      <w:r>
        <w:rPr>
          <w:rFonts w:ascii="Calibri" w:cs="Calibri" w:eastAsia="Calibri" w:hAnsi="Calibri"/>
          <w:sz w:val="19"/>
          <w:szCs w:val="19"/>
          <w:color w:val="auto"/>
        </w:rPr>
        <w:t>(ak)</w:t>
      </w:r>
    </w:p>
    <w:p>
      <w:pPr>
        <w:spacing w:after="0" w:line="20" w:lineRule="exact"/>
        <w:rPr>
          <w:sz w:val="20"/>
          <w:szCs w:val="20"/>
          <w:color w:val="auto"/>
        </w:rPr>
      </w:pPr>
      <w:r>
        <w:rPr>
          <w:sz w:val="20"/>
          <w:szCs w:val="20"/>
          <w:color w:val="auto"/>
        </w:rPr>
        <w:br w:type="column"/>
      </w:r>
    </w:p>
    <w:p>
      <w:pPr>
        <w:ind w:firstLine="1"/>
        <w:spacing w:after="0" w:line="208" w:lineRule="auto"/>
        <w:rPr>
          <w:sz w:val="20"/>
          <w:szCs w:val="20"/>
          <w:color w:val="auto"/>
        </w:rPr>
      </w:pPr>
      <w:r>
        <w:rPr>
          <w:rFonts w:ascii="Calibri" w:cs="Calibri" w:eastAsia="Calibri" w:hAnsi="Calibri"/>
          <w:sz w:val="20"/>
          <w:szCs w:val="20"/>
          <w:color w:val="auto"/>
        </w:rPr>
        <w:t>each other document or agreement entered into afer the date hereof that is designated as a “Financing Document” by the mutual writen agreement of the Recipient and the Department, but in all cases excluding any Project Documents.</w:t>
      </w:r>
    </w:p>
    <w:p>
      <w:pPr>
        <w:spacing w:after="0" w:line="184"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First Wafers Out Milestone</w:t>
      </w:r>
      <w:r>
        <w:rPr>
          <w:rFonts w:ascii="Calibri" w:cs="Calibri" w:eastAsia="Calibri" w:hAnsi="Calibri"/>
          <w:sz w:val="20"/>
          <w:szCs w:val="20"/>
          <w:color w:val="auto"/>
        </w:rPr>
        <w:t>” means the commencement of commercial wafer producton, including producton of the frst wafer for commercial use.</w:t>
      </w:r>
    </w:p>
    <w:p>
      <w:pPr>
        <w:spacing w:after="0" w:line="159"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Fiscal Quarter</w:t>
      </w:r>
      <w:r>
        <w:rPr>
          <w:rFonts w:ascii="Calibri" w:cs="Calibri" w:eastAsia="Calibri" w:hAnsi="Calibri"/>
          <w:sz w:val="20"/>
          <w:szCs w:val="20"/>
          <w:color w:val="auto"/>
        </w:rPr>
        <w:t>” means each of the quarterly accountng periods of the Recipient Partes ending on or about the last day of February, May, August and November of each Fiscal Year.</w:t>
      </w:r>
    </w:p>
    <w:p>
      <w:pPr>
        <w:spacing w:after="0" w:line="172"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Fiscal Year</w:t>
      </w:r>
      <w:r>
        <w:rPr>
          <w:rFonts w:ascii="Calibri" w:cs="Calibri" w:eastAsia="Calibri" w:hAnsi="Calibri"/>
          <w:sz w:val="20"/>
          <w:szCs w:val="20"/>
          <w:color w:val="auto"/>
        </w:rPr>
        <w:t>” means: (a) with respect to the Recipient, the accountng year of the Recipient beginning on or about September 1 and ending on or about August 31; and (b) with respect to any other Person, such Person’s accountng year.</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Fitch</w:t>
      </w:r>
      <w:r>
        <w:rPr>
          <w:rFonts w:ascii="Calibri" w:cs="Calibri" w:eastAsia="Calibri" w:hAnsi="Calibri"/>
          <w:sz w:val="20"/>
          <w:szCs w:val="20"/>
          <w:color w:val="auto"/>
        </w:rPr>
        <w:t>” means Fitch Ratngs, Inc. or any successor to the ratng agency business thereof.</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Country of Concern</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 of Concern</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Fundamental Event of Default</w:t>
      </w:r>
      <w:r>
        <w:rPr>
          <w:rFonts w:ascii="Calibri" w:cs="Calibri" w:eastAsia="Calibri" w:hAnsi="Calibri"/>
          <w:sz w:val="20"/>
          <w:szCs w:val="20"/>
          <w:color w:val="auto"/>
        </w:rPr>
        <w:t>” means the occurrence of any of the following:</w:t>
      </w:r>
    </w:p>
    <w:p>
      <w:pPr>
        <w:sectPr>
          <w:pgSz w:w="11900" w:h="16838" w:orient="portrait"/>
          <w:cols w:equalWidth="0" w:num="1">
            <w:col w:w="11240"/>
          </w:cols>
          <w:pgMar w:left="320" w:top="1374"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alibri" w:cs="Calibri" w:eastAsia="Calibri" w:hAnsi="Calibri"/>
          <w:sz w:val="20"/>
          <w:szCs w:val="20"/>
          <w:color w:val="auto"/>
        </w:rPr>
        <w:t>an Event of Default under Secton 9.1.1(d) (</w:t>
      </w:r>
      <w:r>
        <w:rPr>
          <w:rFonts w:ascii="Calibri" w:cs="Calibri" w:eastAsia="Calibri" w:hAnsi="Calibri"/>
          <w:sz w:val="20"/>
          <w:szCs w:val="20"/>
          <w:b w:val="1"/>
          <w:bCs w:val="1"/>
          <w:color w:val="auto"/>
        </w:rPr>
        <w:t>Authorized Purpose Clawback Event</w:t>
      </w:r>
      <w:r>
        <w:rPr>
          <w:rFonts w:ascii="Calibri" w:cs="Calibri" w:eastAsia="Calibri" w:hAnsi="Calibri"/>
          <w:sz w:val="20"/>
          <w:szCs w:val="20"/>
          <w:color w:val="auto"/>
        </w:rPr>
        <w:t>);</w:t>
      </w:r>
    </w:p>
    <w:p>
      <w:pPr>
        <w:spacing w:after="0" w:line="174" w:lineRule="exact"/>
        <w:rPr>
          <w:sz w:val="20"/>
          <w:szCs w:val="20"/>
          <w:color w:val="auto"/>
        </w:rPr>
      </w:pPr>
    </w:p>
    <w:p>
      <w:pPr>
        <w:sectPr>
          <w:pgSz w:w="11900" w:h="16838" w:orient="portrait"/>
          <w:cols w:equalWidth="0" w:num="2">
            <w:col w:w="920" w:space="38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(am)</w:t>
      </w:r>
    </w:p>
    <w:p>
      <w:pPr>
        <w:spacing w:after="0" w:line="20" w:lineRule="exact"/>
        <w:rPr>
          <w:sz w:val="20"/>
          <w:szCs w:val="20"/>
          <w:color w:val="auto"/>
        </w:rPr>
      </w:pPr>
      <w:r>
        <w:rPr>
          <w:sz w:val="20"/>
          <w:szCs w:val="20"/>
          <w:color w:val="auto"/>
        </w:rPr>
        <w:br w:type="column"/>
      </w:r>
    </w:p>
    <w:p>
      <w:pPr>
        <w:ind w:firstLine="3"/>
        <w:spacing w:after="0" w:line="208" w:lineRule="auto"/>
        <w:rPr>
          <w:sz w:val="20"/>
          <w:szCs w:val="20"/>
          <w:color w:val="auto"/>
        </w:rPr>
      </w:pPr>
      <w:r>
        <w:rPr>
          <w:rFonts w:ascii="Calibri" w:cs="Calibri" w:eastAsia="Calibri" w:hAnsi="Calibri"/>
          <w:sz w:val="20"/>
          <w:szCs w:val="20"/>
          <w:color w:val="auto"/>
        </w:rPr>
        <w:t>any Recipient Party becomes a Foreign Entty of Concern or Sanctoned Person in breach of Secton 8.1.1 (</w:t>
      </w:r>
      <w:r>
        <w:rPr>
          <w:rFonts w:ascii="Calibri" w:cs="Calibri" w:eastAsia="Calibri" w:hAnsi="Calibri"/>
          <w:sz w:val="20"/>
          <w:szCs w:val="20"/>
          <w:b w:val="1"/>
          <w:bCs w:val="1"/>
          <w:color w:val="auto"/>
        </w:rPr>
        <w:t>Prohibited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Persons; Foreign Enttes of Concern</w:t>
      </w:r>
      <w:r>
        <w:rPr>
          <w:rFonts w:ascii="Calibri" w:cs="Calibri" w:eastAsia="Calibri" w:hAnsi="Calibri"/>
          <w:sz w:val="20"/>
          <w:szCs w:val="20"/>
          <w:color w:val="auto"/>
        </w:rPr>
        <w:t>);</w:t>
      </w:r>
    </w:p>
    <w:p>
      <w:pPr>
        <w:spacing w:after="0" w:line="184" w:lineRule="exact"/>
        <w:rPr>
          <w:sz w:val="20"/>
          <w:szCs w:val="20"/>
          <w:color w:val="auto"/>
        </w:rPr>
      </w:pPr>
    </w:p>
    <w:p>
      <w:pPr>
        <w:sectPr>
          <w:pgSz w:w="11900" w:h="16838" w:orient="portrait"/>
          <w:cols w:equalWidth="0" w:num="2">
            <w:col w:w="1040" w:space="26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(an)</w:t>
      </w:r>
    </w:p>
    <w:p>
      <w:pPr>
        <w:spacing w:after="0" w:line="20" w:lineRule="exact"/>
        <w:rPr>
          <w:sz w:val="20"/>
          <w:szCs w:val="20"/>
          <w:color w:val="auto"/>
        </w:rPr>
      </w:pPr>
      <w:r>
        <w:rPr>
          <w:sz w:val="20"/>
          <w:szCs w:val="20"/>
          <w:color w:val="auto"/>
        </w:rPr>
        <w:br w:type="column"/>
      </w:r>
    </w:p>
    <w:p>
      <w:pPr>
        <w:ind w:firstLine="2"/>
        <w:spacing w:after="0" w:line="208" w:lineRule="auto"/>
        <w:rPr>
          <w:sz w:val="20"/>
          <w:szCs w:val="20"/>
          <w:color w:val="auto"/>
        </w:rPr>
      </w:pPr>
      <w:r>
        <w:rPr>
          <w:rFonts w:ascii="Calibri" w:cs="Calibri" w:eastAsia="Calibri" w:hAnsi="Calibri"/>
          <w:sz w:val="20"/>
          <w:szCs w:val="20"/>
          <w:color w:val="auto"/>
        </w:rPr>
        <w:t>the Recipient fails to perform or observe any covenant, term or obligaton described in Secton 2.1 (</w:t>
      </w:r>
      <w:r>
        <w:rPr>
          <w:rFonts w:ascii="Calibri" w:cs="Calibri" w:eastAsia="Calibri" w:hAnsi="Calibri"/>
          <w:sz w:val="20"/>
          <w:szCs w:val="20"/>
          <w:b w:val="1"/>
          <w:bCs w:val="1"/>
          <w:color w:val="auto"/>
        </w:rPr>
        <w:t>Economic and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Natonal Security Objectves</w:t>
      </w:r>
      <w:r>
        <w:rPr>
          <w:rFonts w:ascii="Calibri" w:cs="Calibri" w:eastAsia="Calibri" w:hAnsi="Calibri"/>
          <w:sz w:val="20"/>
          <w:szCs w:val="20"/>
          <w:color w:val="auto"/>
        </w:rPr>
        <w:t>)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84"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(ao)</w:t>
      </w:r>
    </w:p>
    <w:p>
      <w:pPr>
        <w:spacing w:after="0" w:line="20" w:lineRule="exact"/>
        <w:rPr>
          <w:sz w:val="20"/>
          <w:szCs w:val="20"/>
          <w:color w:val="auto"/>
        </w:rPr>
      </w:pPr>
      <w:r>
        <w:rPr>
          <w:sz w:val="20"/>
          <w:szCs w:val="20"/>
          <w:color w:val="auto"/>
        </w:rPr>
        <w:br w:type="column"/>
      </w:r>
    </w:p>
    <w:p>
      <w:pPr>
        <w:ind w:firstLine="3"/>
        <w:spacing w:after="0" w:line="214" w:lineRule="auto"/>
        <w:rPr>
          <w:sz w:val="20"/>
          <w:szCs w:val="20"/>
          <w:color w:val="auto"/>
        </w:rPr>
      </w:pPr>
      <w:r>
        <w:rPr>
          <w:rFonts w:ascii="Calibri" w:cs="Calibri" w:eastAsia="Calibri" w:hAnsi="Calibri"/>
          <w:sz w:val="20"/>
          <w:szCs w:val="20"/>
          <w:color w:val="auto"/>
        </w:rPr>
        <w:t>the Recipient acts or fails to act in a manner resultng in a material breach of the Secton 7.3.1 (</w:t>
      </w:r>
      <w:r>
        <w:rPr>
          <w:rFonts w:ascii="Calibri" w:cs="Calibri" w:eastAsia="Calibri" w:hAnsi="Calibri"/>
          <w:sz w:val="20"/>
          <w:szCs w:val="20"/>
          <w:b w:val="1"/>
          <w:bCs w:val="1"/>
          <w:color w:val="auto"/>
        </w:rPr>
        <w:t>Books, Records and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Inspectons; Accountng and Auditng Maters</w:t>
      </w:r>
      <w:r>
        <w:rPr>
          <w:rFonts w:ascii="Calibri" w:cs="Calibri" w:eastAsia="Calibri" w:hAnsi="Calibri"/>
          <w:sz w:val="20"/>
          <w:szCs w:val="20"/>
          <w:color w:val="auto"/>
        </w:rPr>
        <w:t>) with respect to the Department’s auditng rights; or</w:t>
      </w:r>
    </w:p>
    <w:p>
      <w:pPr>
        <w:spacing w:after="0" w:line="162"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 Event of Default under Secton 9.1.10 (</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w:t>
      </w:r>
    </w:p>
    <w:p>
      <w:pPr>
        <w:spacing w:after="0" w:line="184"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(aq)</w:t>
      </w:r>
    </w:p>
    <w:p>
      <w:pPr>
        <w:spacing w:after="0" w:line="20" w:lineRule="exact"/>
        <w:rPr>
          <w:sz w:val="20"/>
          <w:szCs w:val="20"/>
          <w:color w:val="auto"/>
        </w:rPr>
      </w:pPr>
      <w:r>
        <w:rPr>
          <w:sz w:val="20"/>
          <w:szCs w:val="20"/>
          <w:color w:val="auto"/>
        </w:rPr>
        <w:br w:type="column"/>
      </w:r>
    </w:p>
    <w:p>
      <w:pPr>
        <w:ind w:right="20" w:firstLine="2"/>
        <w:spacing w:after="0" w:line="214" w:lineRule="auto"/>
        <w:rPr>
          <w:sz w:val="20"/>
          <w:szCs w:val="20"/>
          <w:color w:val="auto"/>
        </w:rPr>
      </w:pPr>
      <w:r>
        <w:rPr>
          <w:rFonts w:ascii="Calibri" w:cs="Calibri" w:eastAsia="Calibri" w:hAnsi="Calibri"/>
          <w:sz w:val="20"/>
          <w:szCs w:val="20"/>
          <w:color w:val="auto"/>
        </w:rPr>
        <w:t>an Event of Default under Secton 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other than an Event of Default occurring as a result of a Change of Control as set forth in paragraph (a) of the defniton thereof;</w:t>
      </w:r>
    </w:p>
    <w:p>
      <w:pPr>
        <w:spacing w:after="0" w:line="172"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(ar)</w:t>
      </w:r>
    </w:p>
    <w:p>
      <w:pPr>
        <w:spacing w:after="0" w:line="20" w:lineRule="exact"/>
        <w:rPr>
          <w:sz w:val="20"/>
          <w:szCs w:val="20"/>
          <w:color w:val="auto"/>
        </w:rPr>
      </w:pPr>
      <w:r>
        <w:rPr>
          <w:sz w:val="20"/>
          <w:szCs w:val="20"/>
          <w:color w:val="auto"/>
        </w:rPr>
        <w:br w:type="column"/>
      </w:r>
    </w:p>
    <w:p>
      <w:pPr>
        <w:jc w:val="both"/>
        <w:ind w:firstLine="7"/>
        <w:spacing w:after="0" w:line="209" w:lineRule="auto"/>
        <w:rPr>
          <w:sz w:val="20"/>
          <w:szCs w:val="20"/>
          <w:color w:val="auto"/>
        </w:rPr>
      </w:pPr>
      <w:r>
        <w:rPr>
          <w:rFonts w:ascii="Calibri" w:cs="Calibri" w:eastAsia="Calibri" w:hAnsi="Calibri"/>
          <w:sz w:val="20"/>
          <w:szCs w:val="20"/>
          <w:color w:val="auto"/>
        </w:rPr>
        <w:t>an Event of Default under Secton 9.1.12 (</w:t>
      </w:r>
      <w:r>
        <w:rPr>
          <w:rFonts w:ascii="Calibri" w:cs="Calibri" w:eastAsia="Calibri" w:hAnsi="Calibri"/>
          <w:sz w:val="20"/>
          <w:szCs w:val="20"/>
          <w:b w:val="1"/>
          <w:bCs w:val="1"/>
          <w:color w:val="auto"/>
        </w:rPr>
        <w:t>Misstatements; Omissions</w:t>
      </w:r>
      <w:r>
        <w:rPr>
          <w:rFonts w:ascii="Calibri" w:cs="Calibri" w:eastAsia="Calibri" w:hAnsi="Calibri"/>
          <w:sz w:val="20"/>
          <w:szCs w:val="20"/>
          <w:color w:val="auto"/>
        </w:rPr>
        <w:t>), solely to the extent that any representaton or warranty of the Recipient or any other Recipient Party referenced therein shall be found to have been Knowingly incorrect, false or misleading in any material respect when made or deemed to have been made.</w:t>
      </w:r>
    </w:p>
    <w:p>
      <w:pPr>
        <w:spacing w:after="0" w:line="172" w:lineRule="exact"/>
        <w:rPr>
          <w:sz w:val="20"/>
          <w:szCs w:val="20"/>
          <w:color w:val="auto"/>
        </w:rPr>
      </w:pPr>
    </w:p>
    <w:p>
      <w:pPr>
        <w:sectPr>
          <w:pgSz w:w="11900" w:h="16838" w:orient="portrait"/>
          <w:cols w:equalWidth="0" w:num="2">
            <w:col w:w="940" w:space="360"/>
            <w:col w:w="9940"/>
          </w:cols>
          <w:pgMar w:left="320" w:top="1374" w:right="339" w:bottom="1440" w:gutter="0" w:footer="0" w:header="0"/>
          <w:type w:val="continuous"/>
        </w:sect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means each Other Transacton Agreement Acton Sheet issued by the Department in respect of the Maximum Award Amount and acknowledged by the Recipient.</w:t>
      </w:r>
    </w:p>
    <w:p>
      <w:pPr>
        <w:spacing w:after="0" w:line="186"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GAAP</w:t>
      </w:r>
      <w:r>
        <w:rPr>
          <w:rFonts w:ascii="Calibri" w:cs="Calibri" w:eastAsia="Calibri" w:hAnsi="Calibri"/>
          <w:sz w:val="20"/>
          <w:szCs w:val="20"/>
          <w:color w:val="auto"/>
        </w:rPr>
        <w:t>” means generally accepted accountng principles in the United States in efect from tme to tme including, where appropriate, generally accepted auditng standards, including the pronouncements and interpretatons of appropriate accountancy administratve bodies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374" w:right="339" w:bottom="1440" w:gutter="0" w:footer="0" w:header="0"/>
          <w:type w:val="continuous"/>
        </w:sectPr>
      </w:pPr>
    </w:p>
    <w:bookmarkStart w:id="397" w:name="page398"/>
    <w:bookmarkEnd w:id="397"/>
    <w:p>
      <w:pPr>
        <w:jc w:val="both"/>
        <w:spacing w:after="0" w:line="214" w:lineRule="auto"/>
        <w:rPr>
          <w:sz w:val="20"/>
          <w:szCs w:val="20"/>
          <w:color w:val="auto"/>
        </w:rPr>
      </w:pPr>
      <w:r>
        <w:rPr>
          <w:rFonts w:ascii="Calibri" w:cs="Calibri" w:eastAsia="Calibri" w:hAnsi="Calibri"/>
          <w:sz w:val="20"/>
          <w:szCs w:val="20"/>
          <w:color w:val="auto"/>
        </w:rPr>
        <w:t>Financial Accountng Standards Board and any predecessor and successor thereto), applied on a consistent basis both as to classifcaton of items and amounts.</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GAO</w:t>
      </w:r>
      <w:r>
        <w:rPr>
          <w:rFonts w:ascii="Calibri" w:cs="Calibri" w:eastAsia="Calibri" w:hAnsi="Calibri"/>
          <w:sz w:val="20"/>
          <w:szCs w:val="20"/>
          <w:color w:val="auto"/>
        </w:rPr>
        <w:t>” means the U.S. Government Accountability Ofce.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Approval</w:t>
      </w:r>
      <w:r>
        <w:rPr>
          <w:rFonts w:ascii="Calibri" w:cs="Calibri" w:eastAsia="Calibri" w:hAnsi="Calibri"/>
          <w:sz w:val="20"/>
          <w:szCs w:val="20"/>
          <w:color w:val="auto"/>
        </w:rPr>
        <w:t>” means any approval, consent, authorizaton, license, permit, order, certfcate, qualifcaton, waiver, exempton, or variance, or any other acton of a similar nature, of or by a Governmental Authority, including any of the foregoing that under Applicable Law are or may be deemed given or withheld by failure to act within a specifed tme period.</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Authority</w:t>
      </w:r>
      <w:r>
        <w:rPr>
          <w:rFonts w:ascii="Calibri" w:cs="Calibri" w:eastAsia="Calibri" w:hAnsi="Calibri"/>
          <w:sz w:val="20"/>
          <w:szCs w:val="20"/>
          <w:color w:val="auto"/>
        </w:rPr>
        <w:t>” means any United States federal, state, county, municipal, or regional authority, or any other entty of a similar nature, exercising any executve, legislatve, judicial, regulatory, or administratve functon of government.</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Judgment</w:t>
      </w:r>
      <w:r>
        <w:rPr>
          <w:rFonts w:ascii="Calibri" w:cs="Calibri" w:eastAsia="Calibri" w:hAnsi="Calibri"/>
          <w:sz w:val="20"/>
          <w:szCs w:val="20"/>
          <w:color w:val="auto"/>
        </w:rPr>
        <w:t>” means with respect to any Person, any judgment, order, decision, or decree, or any act of a similar nature, of or by a Governmental Authority having jurisdicton over such Person or any of its propertes.</w:t>
      </w:r>
    </w:p>
    <w:p>
      <w:pPr>
        <w:spacing w:after="0" w:line="186"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Ground Prep Milestone</w:t>
      </w:r>
      <w:r>
        <w:rPr>
          <w:rFonts w:ascii="Calibri" w:cs="Calibri" w:eastAsia="Calibri" w:hAnsi="Calibri"/>
          <w:sz w:val="20"/>
          <w:szCs w:val="20"/>
          <w:color w:val="auto"/>
        </w:rPr>
        <w:t>” means the completon of groundwork necessary to commence constructon of the NY Fab 1 Project, which may include tree clearing, grubbing and excavaton.</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Guarantee</w:t>
      </w:r>
      <w:r>
        <w:rPr>
          <w:rFonts w:ascii="Calibri" w:cs="Calibri" w:eastAsia="Calibri" w:hAnsi="Calibri"/>
          <w:sz w:val="20"/>
          <w:szCs w:val="20"/>
          <w:color w:val="auto"/>
        </w:rPr>
        <w:t>” means, as to any Person, obligatons, contngent or otherwise (including a Contngent Obligaton), guaranteeing or having the economic efect of guaranteeing any Indebtedness of another Person in any manner, whether directly or indirectly, and including any obligaton:</w:t>
      </w:r>
    </w:p>
    <w:p>
      <w:pPr>
        <w:sectPr>
          <w:pgSz w:w="11900" w:h="16838" w:orient="portrait"/>
          <w:cols w:equalWidth="0" w:num="1">
            <w:col w:w="11240"/>
          </w:cols>
          <w:pgMar w:left="320" w:top="1384" w:right="33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(as)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alibri" w:cs="Calibri" w:eastAsia="Calibri" w:hAnsi="Calibri"/>
          <w:sz w:val="20"/>
          <w:szCs w:val="20"/>
          <w:color w:val="auto"/>
        </w:rPr>
        <w:t>to purchase or pay any Indebtedness or to purchase or provide security for the payment of any Indebtedness;</w:t>
      </w:r>
    </w:p>
    <w:p>
      <w:pPr>
        <w:spacing w:after="0" w:line="161" w:lineRule="exact"/>
        <w:rPr>
          <w:sz w:val="20"/>
          <w:szCs w:val="20"/>
          <w:color w:val="auto"/>
        </w:rPr>
      </w:pPr>
    </w:p>
    <w:p>
      <w:pPr>
        <w:sectPr>
          <w:pgSz w:w="11900" w:h="16838" w:orient="portrait"/>
          <w:cols w:equalWidth="0" w:num="2">
            <w:col w:w="960" w:space="340"/>
            <w:col w:w="9940"/>
          </w:cols>
          <w:pgMar w:left="320" w:top="138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to purchase or lease property, securites or services for the purpose of assuring the payment of any Indebtedness;</w:t>
      </w:r>
    </w:p>
    <w:p>
      <w:pPr>
        <w:spacing w:after="0" w:line="174" w:lineRule="exact"/>
        <w:rPr>
          <w:sz w:val="20"/>
          <w:szCs w:val="20"/>
          <w:color w:val="auto"/>
        </w:rPr>
      </w:pPr>
    </w:p>
    <w:p>
      <w:pPr>
        <w:sectPr>
          <w:pgSz w:w="11900" w:h="16838" w:orient="portrait"/>
          <w:cols w:equalWidth="0" w:num="2">
            <w:col w:w="940" w:space="360"/>
            <w:col w:w="9940"/>
          </w:cols>
          <w:pgMar w:left="320" w:top="138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to maintain working capital, equity capital or any other fnancial statement conditon or liquidity of any other Person; or</w:t>
      </w:r>
    </w:p>
    <w:p>
      <w:pPr>
        <w:spacing w:after="0" w:line="161" w:lineRule="exact"/>
        <w:rPr>
          <w:sz w:val="20"/>
          <w:szCs w:val="20"/>
          <w:color w:val="auto"/>
        </w:rPr>
      </w:pPr>
    </w:p>
    <w:p>
      <w:pPr>
        <w:sectPr>
          <w:pgSz w:w="11900" w:h="16838" w:orient="portrait"/>
          <w:cols w:equalWidth="0" w:num="2">
            <w:col w:w="980" w:space="320"/>
            <w:col w:w="9940"/>
          </w:cols>
          <w:pgMar w:left="320" w:top="138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in respect of any leter of credit, leter of guarantee or bond issued to support any obligaton or Indebtedness,</w:t>
      </w:r>
    </w:p>
    <w:p>
      <w:pPr>
        <w:spacing w:after="0" w:line="200" w:lineRule="exact"/>
        <w:rPr>
          <w:sz w:val="20"/>
          <w:szCs w:val="20"/>
          <w:color w:val="auto"/>
        </w:rPr>
      </w:pPr>
    </w:p>
    <w:p>
      <w:pPr>
        <w:sectPr>
          <w:pgSz w:w="11900" w:h="16838" w:orient="portrait"/>
          <w:cols w:equalWidth="0" w:num="2">
            <w:col w:w="960" w:space="340"/>
            <w:col w:w="9940"/>
          </w:cols>
          <w:pgMar w:left="320" w:top="1384" w:right="339" w:bottom="1440" w:gutter="0" w:footer="0" w:header="0"/>
          <w:type w:val="continuous"/>
        </w:sectPr>
      </w:pPr>
    </w:p>
    <w:p>
      <w:pPr>
        <w:spacing w:after="0" w:line="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except that the term Guarantee shall not include endorsements for collecton or deposit in the ordinary course of business.</w:t>
      </w:r>
    </w:p>
    <w:p>
      <w:pPr>
        <w:spacing w:after="0" w:line="198"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xml:space="preserve"> ” means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hereto, as the same may be deemed amended or otherwise modifed from tme to tme in accordance with Secton 10.5 (</w:t>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Guardrail Regulatons</w:t>
      </w:r>
      <w:r>
        <w:rPr>
          <w:rFonts w:ascii="Calibri" w:cs="Calibri" w:eastAsia="Calibri" w:hAnsi="Calibri"/>
          <w:sz w:val="20"/>
          <w:szCs w:val="20"/>
          <w:color w:val="auto"/>
        </w:rPr>
        <w:t>” has the meaning set forth in the Guardrail Provisions.</w:t>
      </w:r>
    </w:p>
    <w:p>
      <w:pPr>
        <w:spacing w:after="0" w:line="184" w:lineRule="exact"/>
        <w:rPr>
          <w:sz w:val="20"/>
          <w:szCs w:val="20"/>
          <w:color w:val="auto"/>
        </w:rPr>
      </w:pPr>
    </w:p>
    <w:p>
      <w:pPr>
        <w:jc w:val="both"/>
        <w:ind w:firstLine="648"/>
        <w:spacing w:after="0" w:line="19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Hazardous Substance</w:t>
      </w:r>
      <w:r>
        <w:rPr>
          <w:rFonts w:ascii="Calibri" w:cs="Calibri" w:eastAsia="Calibri" w:hAnsi="Calibri"/>
          <w:sz w:val="20"/>
          <w:szCs w:val="20"/>
          <w:color w:val="auto"/>
        </w:rPr>
        <w:t>” means any hazardous or toxic substances, chemicals, materials, pollutants or wastes defned, listed, classifed or regulated as such in or under any Environmental Laws, including: (a) any petroleum or petroleum products (including gasoline, crude oil or any fracton thereof), fammable explosives, radioactve materials, asbestos in any form that is or could become friable, urea formaldehyde foam insulaton and polychlorinated biphenyls; (b) any chemicals, materials or substances defned as or included in the defniton of “hazardous substances,” “hazardous wastes,” “extremely hazardous wastes,” “restricted hazardous wastes,” “toxic substances,” “toxic pollutants,” “contaminants” or “pollutants,” or words of similar import, under any applicable Environmental Law; and (c) any other chemical, material or substance, the import, storage, transport, use or disposal of, or exposure to or Release of which is prohibited, limited or otherwise regulated under, or for which liability is imposed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ectPr>
          <w:pgSz w:w="11900" w:h="16838" w:orient="portrait"/>
          <w:cols w:equalWidth="0" w:num="1">
            <w:col w:w="11240"/>
          </w:cols>
          <w:pgMar w:left="320" w:top="1384" w:right="339" w:bottom="1440" w:gutter="0" w:footer="0" w:header="0"/>
          <w:type w:val="continuous"/>
        </w:sectPr>
      </w:pPr>
    </w:p>
    <w:bookmarkStart w:id="398" w:name="page399"/>
    <w:bookmarkEnd w:id="398"/>
    <w:p>
      <w:pPr>
        <w:ind w:left="660"/>
        <w:spacing w:after="0"/>
        <w:rPr>
          <w:sz w:val="20"/>
          <w:szCs w:val="20"/>
          <w:color w:val="auto"/>
        </w:rPr>
      </w:pP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HBM</w:t>
      </w:r>
      <w:r>
        <w:rPr>
          <w:rFonts w:ascii="Calibri" w:cs="Calibri" w:eastAsia="Calibri" w:hAnsi="Calibri"/>
          <w:sz w:val="20"/>
          <w:szCs w:val="20"/>
          <w:color w:val="auto"/>
        </w:rPr>
        <w:t>” means high-bandwidth memory consistent with JEDEC HBM3E standards or later.</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Indebtedness</w:t>
      </w:r>
      <w:r>
        <w:rPr>
          <w:rFonts w:ascii="Calibri" w:cs="Calibri" w:eastAsia="Calibri" w:hAnsi="Calibri"/>
          <w:sz w:val="20"/>
          <w:szCs w:val="20"/>
          <w:color w:val="auto"/>
        </w:rPr>
        <w:t>” means as to any Person, and at any date, without duplicaton:</w:t>
      </w:r>
    </w:p>
    <w:p>
      <w:pPr>
        <w:sectPr>
          <w:pgSz w:w="11900" w:h="16838" w:orient="portrait"/>
          <w:cols w:equalWidth="0" w:num="1">
            <w:col w:w="11240"/>
          </w:cols>
          <w:pgMar w:left="320" w:top="1374" w:right="339" w:bottom="1440" w:gutter="0" w:footer="0" w:header="0"/>
        </w:sectPr>
      </w:pPr>
    </w:p>
    <w:p>
      <w:pPr>
        <w:spacing w:after="0" w:line="184"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(aw)</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alibri" w:cs="Calibri" w:eastAsia="Calibri" w:hAnsi="Calibri"/>
          <w:sz w:val="20"/>
          <w:szCs w:val="20"/>
          <w:color w:val="auto"/>
        </w:rPr>
        <w:t>all Indebtedness for Borrowed Money of such Person;</w:t>
      </w:r>
    </w:p>
    <w:p>
      <w:pPr>
        <w:spacing w:after="0" w:line="174" w:lineRule="exact"/>
        <w:rPr>
          <w:sz w:val="20"/>
          <w:szCs w:val="20"/>
          <w:color w:val="auto"/>
        </w:rPr>
      </w:pPr>
    </w:p>
    <w:p>
      <w:pPr>
        <w:sectPr>
          <w:pgSz w:w="11900" w:h="16838" w:orient="portrait"/>
          <w:cols w:equalWidth="0" w:num="2">
            <w:col w:w="1020" w:space="280"/>
            <w:col w:w="9940"/>
          </w:cols>
          <w:pgMar w:left="320" w:top="137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obligatons of such Person evidenced by bonds, debentures, notes, leters of credit, or other similar instruments;</w:t>
      </w:r>
    </w:p>
    <w:p>
      <w:pPr>
        <w:spacing w:after="0" w:line="171"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(ay)</w:t>
      </w:r>
    </w:p>
    <w:p>
      <w:pPr>
        <w:spacing w:after="0" w:line="20" w:lineRule="exact"/>
        <w:rPr>
          <w:sz w:val="20"/>
          <w:szCs w:val="20"/>
          <w:color w:val="auto"/>
        </w:rPr>
      </w:pPr>
      <w:r>
        <w:rPr>
          <w:sz w:val="20"/>
          <w:szCs w:val="20"/>
          <w:color w:val="auto"/>
        </w:rPr>
        <w:br w:type="column"/>
      </w:r>
    </w:p>
    <w:p>
      <w:pPr>
        <w:ind w:right="20" w:hanging="2"/>
        <w:spacing w:after="0" w:line="214" w:lineRule="auto"/>
        <w:rPr>
          <w:sz w:val="20"/>
          <w:szCs w:val="20"/>
          <w:color w:val="auto"/>
        </w:rPr>
      </w:pPr>
      <w:r>
        <w:rPr>
          <w:rFonts w:ascii="Calibri" w:cs="Calibri" w:eastAsia="Calibri" w:hAnsi="Calibri"/>
          <w:sz w:val="20"/>
          <w:szCs w:val="20"/>
          <w:color w:val="auto"/>
        </w:rPr>
        <w:t>all obligatons of such Person to purchase securites (or other property) that arise out of or in connecton with the sale or acquisiton of the same or similar securites (or property);</w:t>
      </w:r>
    </w:p>
    <w:p>
      <w:pPr>
        <w:spacing w:after="0" w:line="176"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(az)</w:t>
      </w:r>
    </w:p>
    <w:p>
      <w:pPr>
        <w:spacing w:after="0" w:line="20" w:lineRule="exact"/>
        <w:rPr>
          <w:sz w:val="20"/>
          <w:szCs w:val="20"/>
          <w:color w:val="auto"/>
        </w:rPr>
      </w:pPr>
      <w:r>
        <w:rPr>
          <w:sz w:val="20"/>
          <w:szCs w:val="20"/>
          <w:color w:val="auto"/>
        </w:rPr>
        <w:br w:type="column"/>
      </w:r>
    </w:p>
    <w:p>
      <w:pPr>
        <w:ind w:right="20" w:firstLine="3"/>
        <w:spacing w:after="0" w:line="208" w:lineRule="auto"/>
        <w:rPr>
          <w:sz w:val="20"/>
          <w:szCs w:val="20"/>
          <w:color w:val="auto"/>
        </w:rPr>
      </w:pPr>
      <w:r>
        <w:rPr>
          <w:rFonts w:ascii="Calibri" w:cs="Calibri" w:eastAsia="Calibri" w:hAnsi="Calibri"/>
          <w:sz w:val="20"/>
          <w:szCs w:val="20"/>
          <w:color w:val="auto"/>
        </w:rPr>
        <w:t>all obligatons of such Person issued, undertaken or assumed as the deferred purchase price of property or services other than trade credit in the ordinary course of business;</w:t>
      </w:r>
    </w:p>
    <w:p>
      <w:pPr>
        <w:spacing w:after="0" w:line="175"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Guarantees by such Person;</w:t>
      </w:r>
    </w:p>
    <w:p>
      <w:pPr>
        <w:spacing w:after="0" w:line="184"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1300" w:right="20" w:hanging="644"/>
        <w:spacing w:after="0" w:line="208" w:lineRule="auto"/>
        <w:tabs>
          <w:tab w:leader="none" w:pos="1298" w:val="left"/>
        </w:tabs>
        <w:numPr>
          <w:ilvl w:val="0"/>
          <w:numId w:val="430"/>
        </w:numPr>
        <w:rPr>
          <w:rFonts w:ascii="Calibri" w:cs="Calibri" w:eastAsia="Calibri" w:hAnsi="Calibri"/>
          <w:sz w:val="20"/>
          <w:szCs w:val="20"/>
          <w:color w:val="auto"/>
        </w:rPr>
      </w:pPr>
      <w:r>
        <w:rPr>
          <w:rFonts w:ascii="Calibri" w:cs="Calibri" w:eastAsia="Calibri" w:hAnsi="Calibri"/>
          <w:sz w:val="20"/>
          <w:szCs w:val="20"/>
          <w:color w:val="auto"/>
        </w:rPr>
        <w:t>all obligatons of such Person under leases that are or should be, in accordance with the Applicable Accountng Requirements, recorded as Finance Leases in respect of which such Person is liable;</w:t>
      </w:r>
    </w:p>
    <w:p>
      <w:pPr>
        <w:sectPr>
          <w:pgSz w:w="11900" w:h="16838" w:orient="portrait"/>
          <w:cols w:equalWidth="0" w:num="1">
            <w:col w:w="11240"/>
          </w:cols>
          <w:pgMar w:left="320" w:top="1374"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(bc)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firstLine="4"/>
        <w:spacing w:after="0" w:line="214" w:lineRule="auto"/>
        <w:rPr>
          <w:sz w:val="20"/>
          <w:szCs w:val="20"/>
          <w:color w:val="auto"/>
        </w:rPr>
      </w:pPr>
      <w:r>
        <w:rPr>
          <w:rFonts w:ascii="Calibri" w:cs="Calibri" w:eastAsia="Calibri" w:hAnsi="Calibri"/>
          <w:sz w:val="20"/>
          <w:szCs w:val="20"/>
          <w:color w:val="auto"/>
        </w:rPr>
        <w:t>all deferred obligatons of such Person to reimburse any bank or other Person in respect of amounts paid or advanced under a leter of credit or other instrument;</w:t>
      </w:r>
    </w:p>
    <w:p>
      <w:pPr>
        <w:spacing w:after="0" w:line="162"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(bd)</w:t>
      </w:r>
    </w:p>
    <w:p>
      <w:pPr>
        <w:spacing w:after="0" w:line="20" w:lineRule="exact"/>
        <w:rPr>
          <w:sz w:val="20"/>
          <w:szCs w:val="20"/>
          <w:color w:val="auto"/>
        </w:rPr>
      </w:pPr>
      <w:r>
        <w:rPr>
          <w:sz w:val="20"/>
          <w:szCs w:val="20"/>
          <w:color w:val="auto"/>
        </w:rPr>
        <w:br w:type="column"/>
      </w:r>
    </w:p>
    <w:p>
      <w:pPr>
        <w:ind w:right="20" w:hanging="1"/>
        <w:spacing w:after="0" w:line="214" w:lineRule="auto"/>
        <w:rPr>
          <w:sz w:val="20"/>
          <w:szCs w:val="20"/>
          <w:color w:val="auto"/>
        </w:rPr>
      </w:pPr>
      <w:r>
        <w:rPr>
          <w:rFonts w:ascii="Calibri" w:cs="Calibri" w:eastAsia="Calibri" w:hAnsi="Calibri"/>
          <w:sz w:val="20"/>
          <w:szCs w:val="20"/>
          <w:color w:val="auto"/>
        </w:rPr>
        <w:t>the currently available amount of all surety bonds, performance bonds, leters of credit or other similar instruments issued for the account of such Person;</w:t>
      </w:r>
    </w:p>
    <w:p>
      <w:pPr>
        <w:spacing w:after="0" w:line="186" w:lineRule="exact"/>
        <w:rPr>
          <w:sz w:val="20"/>
          <w:szCs w:val="20"/>
          <w:color w:val="auto"/>
        </w:rPr>
      </w:pPr>
    </w:p>
    <w:p>
      <w:pPr>
        <w:sectPr>
          <w:pgSz w:w="11900" w:h="16838" w:orient="portrait"/>
          <w:cols w:equalWidth="0" w:num="2">
            <w:col w:w="1000" w:space="30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(be)</w:t>
      </w:r>
    </w:p>
    <w:p>
      <w:pPr>
        <w:spacing w:after="0" w:line="20" w:lineRule="exact"/>
        <w:rPr>
          <w:sz w:val="20"/>
          <w:szCs w:val="20"/>
          <w:color w:val="auto"/>
        </w:rPr>
      </w:pPr>
      <w:r>
        <w:rPr>
          <w:sz w:val="20"/>
          <w:szCs w:val="20"/>
          <w:color w:val="auto"/>
        </w:rPr>
        <w:br w:type="column"/>
      </w:r>
    </w:p>
    <w:p>
      <w:pPr>
        <w:jc w:val="both"/>
        <w:ind w:firstLine="6"/>
        <w:spacing w:after="0" w:line="205" w:lineRule="auto"/>
        <w:rPr>
          <w:sz w:val="20"/>
          <w:szCs w:val="20"/>
          <w:color w:val="auto"/>
        </w:rPr>
      </w:pPr>
      <w:r>
        <w:rPr>
          <w:rFonts w:ascii="Calibri" w:cs="Calibri" w:eastAsia="Calibri" w:hAnsi="Calibri"/>
          <w:sz w:val="20"/>
          <w:szCs w:val="20"/>
          <w:color w:val="auto"/>
        </w:rPr>
        <w:t>all liabilites secured by (or for which the holder of such liabilites has an existng right, contngent, or otherwise, to be secured by) any Lien upon or in property (including accounts and contract rights) owned by such Person, even though such Person has not assumed or become liable for the payment of such liabilites;</w:t>
      </w:r>
    </w:p>
    <w:p>
      <w:pPr>
        <w:spacing w:after="0" w:line="171"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(bf)</w:t>
      </w:r>
    </w:p>
    <w:p>
      <w:pPr>
        <w:spacing w:after="0" w:line="20" w:lineRule="exact"/>
        <w:rPr>
          <w:sz w:val="20"/>
          <w:szCs w:val="20"/>
          <w:color w:val="auto"/>
        </w:rPr>
      </w:pPr>
      <w:r>
        <w:rPr>
          <w:sz w:val="20"/>
          <w:szCs w:val="20"/>
          <w:color w:val="auto"/>
        </w:rPr>
        <w:br w:type="column"/>
      </w:r>
    </w:p>
    <w:p>
      <w:pPr>
        <w:jc w:val="both"/>
        <w:ind w:hanging="4"/>
        <w:spacing w:after="0" w:line="209" w:lineRule="auto"/>
        <w:rPr>
          <w:sz w:val="20"/>
          <w:szCs w:val="20"/>
          <w:color w:val="auto"/>
        </w:rPr>
      </w:pPr>
      <w:r>
        <w:rPr>
          <w:rFonts w:ascii="Calibri" w:cs="Calibri" w:eastAsia="Calibri" w:hAnsi="Calibri"/>
          <w:sz w:val="20"/>
          <w:szCs w:val="20"/>
          <w:color w:val="auto"/>
        </w:rPr>
        <w:t>all indebtedness created or arising under any conditonal sale or other ttle retenton agreement, or incurred as fnancing, in either case with respect to property acquired by such Person (even though the rights and remedies of the seller or bank under such agreement in the event of any default are limited to repossession or sale of such property);</w:t>
      </w:r>
    </w:p>
    <w:p>
      <w:pPr>
        <w:spacing w:after="0" w:line="172" w:lineRule="exact"/>
        <w:rPr>
          <w:sz w:val="20"/>
          <w:szCs w:val="20"/>
          <w:color w:val="auto"/>
        </w:rPr>
      </w:pPr>
    </w:p>
    <w:p>
      <w:pPr>
        <w:sectPr>
          <w:pgSz w:w="11900" w:h="16838" w:orient="portrait"/>
          <w:cols w:equalWidth="0" w:num="2">
            <w:col w:w="940" w:space="36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19"/>
          <w:szCs w:val="19"/>
          <w:color w:val="auto"/>
        </w:rPr>
        <w:t>(bg)</w:t>
      </w:r>
    </w:p>
    <w:p>
      <w:pPr>
        <w:spacing w:after="0" w:line="20" w:lineRule="exact"/>
        <w:rPr>
          <w:sz w:val="20"/>
          <w:szCs w:val="20"/>
          <w:color w:val="auto"/>
        </w:rPr>
      </w:pPr>
      <w:r>
        <w:rPr>
          <w:sz w:val="20"/>
          <w:szCs w:val="20"/>
          <w:color w:val="auto"/>
        </w:rPr>
        <w:br w:type="column"/>
      </w:r>
    </w:p>
    <w:p>
      <w:pPr>
        <w:jc w:val="both"/>
        <w:spacing w:after="0" w:line="209" w:lineRule="auto"/>
        <w:rPr>
          <w:sz w:val="20"/>
          <w:szCs w:val="20"/>
          <w:color w:val="auto"/>
        </w:rPr>
      </w:pPr>
      <w:r>
        <w:rPr>
          <w:rFonts w:ascii="Calibri" w:cs="Calibri" w:eastAsia="Calibri" w:hAnsi="Calibri"/>
          <w:sz w:val="20"/>
          <w:szCs w:val="20"/>
          <w:color w:val="auto"/>
        </w:rPr>
        <w:t>obligatons pursuant to any agreement to purchase materials, supplies or other property if such agreement provides that payment shall be made regardless of whether delivery of such materials, supplies or other property is ever made or tendered;</w:t>
      </w:r>
    </w:p>
    <w:p>
      <w:pPr>
        <w:spacing w:after="0" w:line="162"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(bh)</w:t>
      </w:r>
    </w:p>
    <w:p>
      <w:pPr>
        <w:spacing w:after="0" w:line="20" w:lineRule="exact"/>
        <w:rPr>
          <w:sz w:val="20"/>
          <w:szCs w:val="20"/>
          <w:color w:val="auto"/>
        </w:rPr>
      </w:pPr>
      <w:r>
        <w:rPr>
          <w:sz w:val="20"/>
          <w:szCs w:val="20"/>
          <w:color w:val="auto"/>
        </w:rPr>
        <w:br w:type="column"/>
      </w:r>
    </w:p>
    <w:p>
      <w:pPr>
        <w:jc w:val="both"/>
        <w:ind w:hanging="1"/>
        <w:spacing w:after="0" w:line="209" w:lineRule="auto"/>
        <w:rPr>
          <w:sz w:val="20"/>
          <w:szCs w:val="20"/>
          <w:color w:val="auto"/>
        </w:rPr>
      </w:pPr>
      <w:r>
        <w:rPr>
          <w:rFonts w:ascii="Calibri" w:cs="Calibri" w:eastAsia="Calibri" w:hAnsi="Calibri"/>
          <w:sz w:val="20"/>
          <w:szCs w:val="20"/>
          <w:color w:val="auto"/>
        </w:rPr>
        <w:t>all obligatons in respect of any hedging agreement or similar arrangement between such Person and a fnancial insttuton providing for the transfer or mitgaton of interest risks either generally or under specifc contngencies (but without regard to any notonal principal amount relatng thereto); and</w:t>
      </w:r>
    </w:p>
    <w:p>
      <w:pPr>
        <w:spacing w:after="0" w:line="162" w:lineRule="exact"/>
        <w:rPr>
          <w:sz w:val="20"/>
          <w:szCs w:val="20"/>
          <w:color w:val="auto"/>
        </w:rPr>
      </w:pPr>
    </w:p>
    <w:p>
      <w:pPr>
        <w:sectPr>
          <w:pgSz w:w="11900" w:h="16838" w:orient="portrait"/>
          <w:cols w:equalWidth="0" w:num="2">
            <w:col w:w="1000" w:space="30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(bi)</w:t>
      </w:r>
    </w:p>
    <w:p>
      <w:pPr>
        <w:spacing w:after="0" w:line="20" w:lineRule="exact"/>
        <w:rPr>
          <w:sz w:val="20"/>
          <w:szCs w:val="20"/>
          <w:color w:val="auto"/>
        </w:rPr>
      </w:pPr>
      <w:r>
        <w:rPr>
          <w:sz w:val="20"/>
          <w:szCs w:val="20"/>
          <w:color w:val="auto"/>
        </w:rPr>
        <w:br w:type="column"/>
      </w:r>
    </w:p>
    <w:p>
      <w:pPr>
        <w:ind w:right="20" w:firstLine="5"/>
        <w:spacing w:after="0" w:line="214" w:lineRule="auto"/>
        <w:rPr>
          <w:sz w:val="20"/>
          <w:szCs w:val="20"/>
          <w:color w:val="auto"/>
        </w:rPr>
      </w:pPr>
      <w:r>
        <w:rPr>
          <w:rFonts w:ascii="Calibri" w:cs="Calibri" w:eastAsia="Calibri" w:hAnsi="Calibri"/>
          <w:sz w:val="20"/>
          <w:szCs w:val="20"/>
          <w:color w:val="auto"/>
        </w:rPr>
        <w:t>all Contngent Obligatons of such Person with respect to Indebtedness of the types specifed in clauses (a) through (l) above.</w:t>
      </w:r>
    </w:p>
    <w:p>
      <w:pPr>
        <w:spacing w:after="0" w:line="186" w:lineRule="exact"/>
        <w:rPr>
          <w:sz w:val="20"/>
          <w:szCs w:val="20"/>
          <w:color w:val="auto"/>
        </w:rPr>
      </w:pPr>
    </w:p>
    <w:p>
      <w:pPr>
        <w:sectPr>
          <w:pgSz w:w="11900" w:h="16838" w:orient="portrait"/>
          <w:cols w:equalWidth="0" w:num="2">
            <w:col w:w="940" w:space="360"/>
            <w:col w:w="9940"/>
          </w:cols>
          <w:pgMar w:left="320" w:top="1374" w:right="339" w:bottom="1440" w:gutter="0" w:footer="0" w:header="0"/>
          <w:type w:val="continuous"/>
        </w:sect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Indebtedness for Borrowed Money</w:t>
      </w:r>
      <w:r>
        <w:rPr>
          <w:rFonts w:ascii="Calibri" w:cs="Calibri" w:eastAsia="Calibri" w:hAnsi="Calibri"/>
          <w:sz w:val="20"/>
          <w:szCs w:val="20"/>
          <w:color w:val="auto"/>
        </w:rPr>
        <w:t>” means, as to any Person, indebtedness for borrowed money. For the avoidance of doubt, Indebtedness for Borrowed Money with respect to a Person only includes indebtedness for the repayment of money provided to such Person, and does not include any other kind of indebtedness or obligaton notwithstanding that such other indebtedness or obligaton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240"/>
          </w:cols>
          <w:pgMar w:left="320" w:top="1374" w:right="339" w:bottom="1440" w:gutter="0" w:footer="0" w:header="0"/>
          <w:type w:val="continuous"/>
        </w:sectPr>
      </w:pPr>
    </w:p>
    <w:bookmarkStart w:id="399" w:name="page400"/>
    <w:bookmarkEnd w:id="399"/>
    <w:p>
      <w:pPr>
        <w:jc w:val="both"/>
        <w:spacing w:after="0" w:line="205" w:lineRule="auto"/>
        <w:rPr>
          <w:sz w:val="20"/>
          <w:szCs w:val="20"/>
          <w:color w:val="auto"/>
        </w:rPr>
      </w:pPr>
      <w:r>
        <w:rPr>
          <w:rFonts w:ascii="Calibri" w:cs="Calibri" w:eastAsia="Calibri" w:hAnsi="Calibri"/>
          <w:sz w:val="20"/>
          <w:szCs w:val="20"/>
          <w:color w:val="auto"/>
        </w:rPr>
        <w:t>may be evidenced by a note, bond, debenture or other similar instrument, may be in the nature of a fnancing transacton, or may be an obligaton that under GAAP is classifed as “debt” or another type of liability, whether required to be refected on the balance sheet of the obligor or otherwise.</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Liability</w:t>
      </w:r>
      <w:r>
        <w:rPr>
          <w:rFonts w:ascii="Calibri" w:cs="Calibri" w:eastAsia="Calibri" w:hAnsi="Calibri"/>
          <w:sz w:val="20"/>
          <w:szCs w:val="20"/>
          <w:color w:val="auto"/>
        </w:rPr>
        <w:t>” has the meaning set forth in Secton 10.17(a)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Party</w:t>
      </w:r>
      <w:r>
        <w:rPr>
          <w:rFonts w:ascii="Calibri" w:cs="Calibri" w:eastAsia="Calibri" w:hAnsi="Calibri"/>
          <w:sz w:val="20"/>
          <w:szCs w:val="20"/>
          <w:color w:val="auto"/>
        </w:rPr>
        <w:t>” has the meaning set forth in 10.17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Ineligible Uses of Funds</w:t>
      </w:r>
      <w:r>
        <w:rPr>
          <w:rFonts w:ascii="Calibri" w:cs="Calibri" w:eastAsia="Calibri" w:hAnsi="Calibri"/>
          <w:sz w:val="20"/>
          <w:szCs w:val="20"/>
          <w:color w:val="auto"/>
        </w:rPr>
        <w:t>” means the uses of Direct Funding to:</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(bj)</w:t>
      </w:r>
      <w:r>
        <w:rPr>
          <w:sz w:val="20"/>
          <w:szCs w:val="20"/>
          <w:color w:val="auto"/>
        </w:rPr>
        <w:tab/>
      </w:r>
      <w:r>
        <w:rPr>
          <w:rFonts w:ascii="Calibri" w:cs="Calibri" w:eastAsia="Calibri" w:hAnsi="Calibri"/>
          <w:sz w:val="20"/>
          <w:szCs w:val="20"/>
          <w:color w:val="auto"/>
        </w:rPr>
        <w:t>construct, modify, or improve a facility outside of the United States;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(bk)</w:t>
      </w:r>
      <w:r>
        <w:rPr>
          <w:sz w:val="20"/>
          <w:szCs w:val="20"/>
          <w:color w:val="auto"/>
        </w:rPr>
        <w:tab/>
      </w:r>
      <w:r>
        <w:rPr>
          <w:rFonts w:ascii="Calibri" w:cs="Calibri" w:eastAsia="Calibri" w:hAnsi="Calibri"/>
          <w:sz w:val="20"/>
          <w:szCs w:val="20"/>
          <w:color w:val="auto"/>
        </w:rPr>
        <w:t>physically relocate existng facility infrastructure to another jurisdicton in the United States, unless the Department has</w:t>
      </w:r>
    </w:p>
    <w:p>
      <w:pPr>
        <w:ind w:left="1300"/>
        <w:spacing w:after="0" w:line="193" w:lineRule="auto"/>
        <w:rPr>
          <w:sz w:val="20"/>
          <w:szCs w:val="20"/>
          <w:color w:val="auto"/>
        </w:rPr>
      </w:pPr>
      <w:r>
        <w:rPr>
          <w:rFonts w:ascii="Calibri" w:cs="Calibri" w:eastAsia="Calibri" w:hAnsi="Calibri"/>
          <w:sz w:val="20"/>
          <w:szCs w:val="20"/>
          <w:color w:val="auto"/>
        </w:rPr>
        <w:t>concluded that such relocaton is in the interest of the United States;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(bl)</w:t>
      </w:r>
      <w:r>
        <w:rPr>
          <w:sz w:val="20"/>
          <w:szCs w:val="20"/>
          <w:color w:val="auto"/>
        </w:rPr>
        <w:tab/>
      </w:r>
      <w:r>
        <w:rPr>
          <w:rFonts w:ascii="Calibri" w:cs="Calibri" w:eastAsia="Calibri" w:hAnsi="Calibri"/>
          <w:sz w:val="20"/>
          <w:szCs w:val="20"/>
          <w:color w:val="auto"/>
        </w:rPr>
        <w:t>purchase any equity security that is listed on a natonal securites exchange of any Recipient Party or any Afliate of such</w:t>
      </w:r>
    </w:p>
    <w:p>
      <w:pPr>
        <w:ind w:left="1300"/>
        <w:spacing w:after="0" w:line="199" w:lineRule="auto"/>
        <w:rPr>
          <w:sz w:val="20"/>
          <w:szCs w:val="20"/>
          <w:color w:val="auto"/>
        </w:rPr>
      </w:pPr>
      <w:r>
        <w:rPr>
          <w:rFonts w:ascii="Calibri" w:cs="Calibri" w:eastAsia="Calibri" w:hAnsi="Calibri"/>
          <w:sz w:val="20"/>
          <w:szCs w:val="20"/>
          <w:color w:val="auto"/>
        </w:rPr>
        <w:t>Recipient Party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(bm)</w:t>
        <w:tab/>
        <w:t>pay dividends or make other capital distributons with respect to the common stock (or equivalent interest) of any</w:t>
      </w:r>
    </w:p>
    <w:p>
      <w:pPr>
        <w:ind w:left="1300"/>
        <w:spacing w:after="0" w:line="199" w:lineRule="auto"/>
        <w:rPr>
          <w:sz w:val="20"/>
          <w:szCs w:val="20"/>
          <w:color w:val="auto"/>
        </w:rPr>
      </w:pPr>
      <w:r>
        <w:rPr>
          <w:rFonts w:ascii="Calibri" w:cs="Calibri" w:eastAsia="Calibri" w:hAnsi="Calibri"/>
          <w:sz w:val="20"/>
          <w:szCs w:val="20"/>
          <w:color w:val="auto"/>
        </w:rPr>
        <w:t>Recipient Party or any Afliate of such Recipient Party;</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(bn)</w:t>
      </w:r>
      <w:r>
        <w:rPr>
          <w:sz w:val="20"/>
          <w:szCs w:val="20"/>
          <w:color w:val="auto"/>
        </w:rPr>
        <w:tab/>
      </w:r>
      <w:r>
        <w:rPr>
          <w:rFonts w:ascii="Calibri" w:cs="Calibri" w:eastAsia="Calibri" w:hAnsi="Calibri"/>
          <w:sz w:val="20"/>
          <w:szCs w:val="20"/>
          <w:color w:val="auto"/>
        </w:rPr>
        <w:t>pay of any federal direct or guaranteed loan or any other form of federal debt;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(bo)</w:t>
      </w:r>
      <w:r>
        <w:rPr>
          <w:sz w:val="20"/>
          <w:szCs w:val="20"/>
          <w:color w:val="auto"/>
        </w:rPr>
        <w:tab/>
      </w:r>
      <w:r>
        <w:rPr>
          <w:rFonts w:ascii="Calibri" w:cs="Calibri" w:eastAsia="Calibri" w:hAnsi="Calibri"/>
          <w:sz w:val="20"/>
          <w:szCs w:val="20"/>
          <w:color w:val="auto"/>
        </w:rPr>
        <w:t>pay any indirect cost of the Recipient, except to pay an Intermediary or other workforce organizaton approved by the</w:t>
      </w:r>
    </w:p>
    <w:p>
      <w:pPr>
        <w:ind w:left="1300"/>
        <w:spacing w:after="0" w:line="199" w:lineRule="auto"/>
        <w:rPr>
          <w:sz w:val="20"/>
          <w:szCs w:val="20"/>
          <w:color w:val="auto"/>
        </w:rPr>
      </w:pPr>
      <w:r>
        <w:rPr>
          <w:rFonts w:ascii="Calibri" w:cs="Calibri" w:eastAsia="Calibri" w:hAnsi="Calibri"/>
          <w:sz w:val="20"/>
          <w:szCs w:val="20"/>
          <w:color w:val="auto"/>
        </w:rPr>
        <w:t>Department in this Agreement;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(bp)</w:t>
      </w:r>
      <w:r>
        <w:rPr>
          <w:sz w:val="20"/>
          <w:szCs w:val="20"/>
          <w:color w:val="auto"/>
        </w:rPr>
        <w:tab/>
      </w:r>
      <w:r>
        <w:rPr>
          <w:rFonts w:ascii="Calibri" w:cs="Calibri" w:eastAsia="Calibri" w:hAnsi="Calibri"/>
          <w:sz w:val="20"/>
          <w:szCs w:val="20"/>
          <w:color w:val="auto"/>
        </w:rPr>
        <w:t>pay profts, fees, or other incremental charges to the Recipient above the actual costs incurred in executng the approved</w:t>
      </w:r>
    </w:p>
    <w:p>
      <w:pPr>
        <w:ind w:left="1300"/>
        <w:spacing w:after="0" w:line="193" w:lineRule="auto"/>
        <w:rPr>
          <w:sz w:val="20"/>
          <w:szCs w:val="20"/>
          <w:color w:val="auto"/>
        </w:rPr>
      </w:pPr>
      <w:r>
        <w:rPr>
          <w:rFonts w:ascii="Calibri" w:cs="Calibri" w:eastAsia="Calibri" w:hAnsi="Calibri"/>
          <w:sz w:val="20"/>
          <w:szCs w:val="20"/>
          <w:color w:val="auto"/>
        </w:rPr>
        <w:t>scope of work subject to the Award;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(bq)</w:t>
      </w:r>
      <w:r>
        <w:rPr>
          <w:sz w:val="20"/>
          <w:szCs w:val="20"/>
          <w:color w:val="auto"/>
        </w:rPr>
        <w:tab/>
      </w:r>
      <w:r>
        <w:rPr>
          <w:rFonts w:ascii="Calibri" w:cs="Calibri" w:eastAsia="Calibri" w:hAnsi="Calibri"/>
          <w:sz w:val="20"/>
          <w:szCs w:val="20"/>
          <w:color w:val="auto"/>
        </w:rPr>
        <w:t>pay costs of certain covered telecommunicatons or video surveillance services or equipment prohibited by Secton 889</w:t>
      </w:r>
    </w:p>
    <w:p>
      <w:pPr>
        <w:ind w:left="1300"/>
        <w:spacing w:after="0" w:line="193" w:lineRule="auto"/>
        <w:rPr>
          <w:sz w:val="20"/>
          <w:szCs w:val="20"/>
          <w:color w:val="auto"/>
        </w:rPr>
      </w:pPr>
      <w:r>
        <w:rPr>
          <w:rFonts w:ascii="Calibri" w:cs="Calibri" w:eastAsia="Calibri" w:hAnsi="Calibri"/>
          <w:sz w:val="20"/>
          <w:szCs w:val="20"/>
          <w:color w:val="auto"/>
        </w:rPr>
        <w:t>of the Natonal Defense Authorizaton Act of 2019 (Pub. L. No. 115-232);</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(br)</w:t>
      </w:r>
      <w:r>
        <w:rPr>
          <w:sz w:val="20"/>
          <w:szCs w:val="20"/>
          <w:color w:val="auto"/>
        </w:rPr>
        <w:tab/>
      </w:r>
      <w:r>
        <w:rPr>
          <w:rFonts w:ascii="Calibri" w:cs="Calibri" w:eastAsia="Calibri" w:hAnsi="Calibri"/>
          <w:sz w:val="20"/>
          <w:szCs w:val="20"/>
          <w:color w:val="auto"/>
        </w:rPr>
        <w:t>apply any costs for purposes contrary to Applicable Law; or</w:t>
      </w:r>
    </w:p>
    <w:p>
      <w:pPr>
        <w:spacing w:after="0" w:line="174"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(bs)</w:t>
      </w:r>
      <w:r>
        <w:rPr>
          <w:sz w:val="20"/>
          <w:szCs w:val="20"/>
          <w:color w:val="auto"/>
        </w:rPr>
        <w:tab/>
      </w:r>
      <w:r>
        <w:rPr>
          <w:rFonts w:ascii="Calibri" w:cs="Calibri" w:eastAsia="Calibri" w:hAnsi="Calibri"/>
          <w:sz w:val="20"/>
          <w:szCs w:val="20"/>
          <w:color w:val="auto"/>
        </w:rPr>
        <w:t>provide any funds to any Foreign Entty of Concern.</w:t>
      </w:r>
    </w:p>
    <w:p>
      <w:pPr>
        <w:spacing w:after="0" w:line="17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Inital Decision-Maker</w:t>
      </w:r>
      <w:r>
        <w:rPr>
          <w:rFonts w:ascii="Calibri" w:cs="Calibri" w:eastAsia="Calibri" w:hAnsi="Calibri"/>
          <w:sz w:val="20"/>
          <w:szCs w:val="20"/>
          <w:color w:val="auto"/>
        </w:rPr>
        <w:t>” means any “Department Inital Decision-Maker” or “Recipient Inital Decision-Maker” identfed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as applicable.</w:t>
      </w:r>
    </w:p>
    <w:p>
      <w:pPr>
        <w:spacing w:after="0" w:line="186"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Insolvency Proceeding</w:t>
      </w:r>
      <w:r>
        <w:rPr>
          <w:rFonts w:ascii="Calibri" w:cs="Calibri" w:eastAsia="Calibri" w:hAnsi="Calibri"/>
          <w:sz w:val="20"/>
          <w:szCs w:val="20"/>
          <w:color w:val="auto"/>
        </w:rPr>
        <w:t>” means any bankruptcy, insolvency, liquidaton, company reorganizaton, restructuring, controlled management, suspension of payments, scheme of arrangement, appointment of provisional liquidator, receiver or administratve receiver, notfcaton, resoluton, or petton for winding up or similar proceeding, under any Applicable Law, in any jurisdicton and whether voluntary or involuntary.</w:t>
      </w:r>
    </w:p>
    <w:p>
      <w:pPr>
        <w:spacing w:after="0" w:line="173"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means any and all rights, priorites and privileges with respect to intellectual property, whether arising under United States, multnatonal or foreign laws or otherwise, including any and all of the following, as they exist anywhere in the world, whether registered or unregistered and including all registratons, issuances and applicatons therefor (whether or not any such applicatons are modifed, withdrawn, abandoned or resubmited) and all extensions and renewals thereof and whether now or hereafer existng, created, acquired or held: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Calibri" w:cs="Calibri" w:eastAsia="Calibri" w:hAnsi="Calibri"/>
          <w:sz w:val="20"/>
          <w:szCs w:val="20"/>
          <w:color w:val="auto"/>
        </w:rPr>
        <w:t>(bt)</w:t>
      </w:r>
      <w:r>
        <w:rPr>
          <w:sz w:val="20"/>
          <w:szCs w:val="20"/>
          <w:color w:val="auto"/>
        </w:rPr>
        <w:tab/>
      </w:r>
      <w:r>
        <w:rPr>
          <w:rFonts w:ascii="Calibri" w:cs="Calibri" w:eastAsia="Calibri" w:hAnsi="Calibri"/>
          <w:sz w:val="20"/>
          <w:szCs w:val="20"/>
          <w:color w:val="auto"/>
        </w:rPr>
        <w:t>all U.S., internatonal and foreign patents and patent applicatons and all reissues, divisions, renewals, extensions,</w:t>
      </w:r>
    </w:p>
    <w:p>
      <w:pPr>
        <w:ind w:left="1300"/>
        <w:spacing w:after="0" w:line="193" w:lineRule="auto"/>
        <w:rPr>
          <w:sz w:val="20"/>
          <w:szCs w:val="20"/>
          <w:color w:val="auto"/>
        </w:rPr>
      </w:pPr>
      <w:r>
        <w:rPr>
          <w:rFonts w:ascii="Calibri" w:cs="Calibri" w:eastAsia="Calibri" w:hAnsi="Calibri"/>
          <w:sz w:val="20"/>
          <w:szCs w:val="20"/>
          <w:color w:val="auto"/>
        </w:rPr>
        <w:t>provisionals, contnuatons and contnuatons-in-part thereof;</w:t>
      </w: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16.</w:t>
      </w:r>
    </w:p>
    <w:p>
      <w:pPr>
        <w:sectPr>
          <w:pgSz w:w="11900" w:h="16838" w:orient="portrait"/>
          <w:cols w:equalWidth="0" w:num="1">
            <w:col w:w="11240"/>
          </w:cols>
          <w:pgMar w:left="320" w:top="1384" w:right="339" w:bottom="1440" w:gutter="0" w:footer="0" w:header="0"/>
          <w:type w:val="continuous"/>
        </w:sectPr>
      </w:pPr>
    </w:p>
    <w:bookmarkStart w:id="400" w:name="page401"/>
    <w:bookmarkEnd w:id="400"/>
    <w:p>
      <w:pPr>
        <w:ind w:left="660"/>
        <w:spacing w:after="0"/>
        <w:rPr>
          <w:sz w:val="20"/>
          <w:szCs w:val="20"/>
          <w:color w:val="auto"/>
        </w:rPr>
      </w:pPr>
      <w:r>
        <w:rPr>
          <w:rFonts w:ascii="Calibri" w:cs="Calibri" w:eastAsia="Calibri" w:hAnsi="Calibri"/>
          <w:sz w:val="20"/>
          <w:szCs w:val="20"/>
          <w:color w:val="auto"/>
        </w:rPr>
        <w:t>(bu)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color w:val="auto"/>
        </w:rPr>
        <w:t>all Trade Secrets;</w:t>
      </w:r>
    </w:p>
    <w:p>
      <w:pPr>
        <w:spacing w:after="0" w:line="176" w:lineRule="exact"/>
        <w:rPr>
          <w:sz w:val="20"/>
          <w:szCs w:val="20"/>
          <w:color w:val="auto"/>
        </w:rPr>
      </w:pPr>
    </w:p>
    <w:p>
      <w:pPr>
        <w:sectPr>
          <w:pgSz w:w="11900" w:h="16838" w:orient="portrait"/>
          <w:cols w:equalWidth="0" w:num="2">
            <w:col w:w="1000" w:space="300"/>
            <w:col w:w="9940"/>
          </w:cols>
          <w:pgMar w:left="320" w:top="1374" w:right="339" w:bottom="1440" w:gutter="0" w:footer="0" w:header="0"/>
        </w:sectPr>
      </w:pPr>
    </w:p>
    <w:p>
      <w:pPr>
        <w:ind w:left="660"/>
        <w:spacing w:after="0"/>
        <w:rPr>
          <w:sz w:val="20"/>
          <w:szCs w:val="20"/>
          <w:color w:val="auto"/>
        </w:rPr>
      </w:pPr>
      <w:r>
        <w:rPr>
          <w:rFonts w:ascii="Calibri" w:cs="Calibri" w:eastAsia="Calibri" w:hAnsi="Calibri"/>
          <w:sz w:val="20"/>
          <w:szCs w:val="20"/>
          <w:color w:val="auto"/>
        </w:rPr>
        <w:t>(bv)</w:t>
      </w:r>
    </w:p>
    <w:p>
      <w:pPr>
        <w:spacing w:after="0" w:line="20" w:lineRule="exact"/>
        <w:rPr>
          <w:sz w:val="20"/>
          <w:szCs w:val="20"/>
          <w:color w:val="auto"/>
        </w:rPr>
      </w:pPr>
      <w:r>
        <w:rPr>
          <w:sz w:val="20"/>
          <w:szCs w:val="20"/>
          <w:color w:val="auto"/>
        </w:rPr>
        <w:br w:type="column"/>
      </w:r>
    </w:p>
    <w:p>
      <w:pPr>
        <w:ind w:hanging="3"/>
        <w:spacing w:after="0" w:line="208" w:lineRule="auto"/>
        <w:rPr>
          <w:sz w:val="20"/>
          <w:szCs w:val="20"/>
          <w:color w:val="auto"/>
        </w:rPr>
      </w:pPr>
      <w:r>
        <w:rPr>
          <w:rFonts w:ascii="Calibri" w:cs="Calibri" w:eastAsia="Calibri" w:hAnsi="Calibri"/>
          <w:sz w:val="20"/>
          <w:szCs w:val="20"/>
          <w:color w:val="auto"/>
        </w:rPr>
        <w:t>all copyrights or other rights associated with works of authorship, including all copyright registratons and applicatons for copyright registraton, renewals and extensions thereof, and all other rights corresponding thereto throughout the</w:t>
      </w:r>
    </w:p>
    <w:p>
      <w:pPr>
        <w:spacing w:after="0" w:line="1"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ind w:left="1300"/>
        <w:spacing w:after="0" w:line="199" w:lineRule="auto"/>
        <w:rPr>
          <w:sz w:val="20"/>
          <w:szCs w:val="20"/>
          <w:color w:val="auto"/>
        </w:rPr>
      </w:pPr>
      <w:r>
        <w:rPr>
          <w:rFonts w:ascii="Calibri" w:cs="Calibri" w:eastAsia="Calibri" w:hAnsi="Calibri"/>
          <w:sz w:val="20"/>
          <w:szCs w:val="20"/>
          <w:color w:val="auto"/>
        </w:rPr>
        <w:t>world;</w:t>
      </w:r>
    </w:p>
    <w:p>
      <w:pPr>
        <w:sectPr>
          <w:pgSz w:w="11900" w:h="16838" w:orient="portrait"/>
          <w:cols w:equalWidth="0" w:num="1">
            <w:col w:w="11240"/>
          </w:cols>
          <w:pgMar w:left="320" w:top="1374"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(bw)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0" w:hanging="4"/>
        <w:spacing w:after="0" w:line="208" w:lineRule="auto"/>
        <w:rPr>
          <w:sz w:val="20"/>
          <w:szCs w:val="20"/>
          <w:color w:val="auto"/>
        </w:rPr>
      </w:pPr>
      <w:r>
        <w:rPr>
          <w:rFonts w:ascii="Calibri" w:cs="Calibri" w:eastAsia="Calibri" w:hAnsi="Calibri"/>
          <w:sz w:val="20"/>
          <w:szCs w:val="20"/>
          <w:color w:val="auto"/>
        </w:rPr>
        <w:t>all mask work rights, mask work registratons and applicatons therefor, and any equivalent or similar rights in Semiconductor masks, layouts, architectures or topology;</w:t>
      </w:r>
    </w:p>
    <w:p>
      <w:pPr>
        <w:spacing w:after="0" w:line="175" w:lineRule="exact"/>
        <w:rPr>
          <w:sz w:val="20"/>
          <w:szCs w:val="20"/>
          <w:color w:val="auto"/>
        </w:rPr>
      </w:pPr>
    </w:p>
    <w:p>
      <w:pPr>
        <w:sectPr>
          <w:pgSz w:w="11900" w:h="16838" w:orient="portrait"/>
          <w:cols w:equalWidth="0" w:num="2">
            <w:col w:w="1020" w:space="280"/>
            <w:col w:w="9940"/>
          </w:cols>
          <w:pgMar w:left="320" w:top="1374" w:right="3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(bx)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rights in industrial designs and any registratons and applicatons therefor throughout the world;</w:t>
      </w:r>
    </w:p>
    <w:p>
      <w:pPr>
        <w:spacing w:after="0" w:line="174"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(by)</w:t>
      </w:r>
    </w:p>
    <w:p>
      <w:pPr>
        <w:spacing w:after="0" w:line="20" w:lineRule="exact"/>
        <w:rPr>
          <w:sz w:val="20"/>
          <w:szCs w:val="20"/>
          <w:color w:val="auto"/>
        </w:rPr>
      </w:pPr>
      <w:r>
        <w:rPr>
          <w:sz w:val="20"/>
          <w:szCs w:val="20"/>
          <w:color w:val="auto"/>
        </w:rPr>
        <w:br w:type="column"/>
      </w:r>
    </w:p>
    <w:p>
      <w:pPr>
        <w:ind w:hanging="3"/>
        <w:spacing w:after="0" w:line="208" w:lineRule="auto"/>
        <w:rPr>
          <w:sz w:val="20"/>
          <w:szCs w:val="20"/>
          <w:color w:val="auto"/>
        </w:rPr>
      </w:pPr>
      <w:r>
        <w:rPr>
          <w:rFonts w:ascii="Calibri" w:cs="Calibri" w:eastAsia="Calibri" w:hAnsi="Calibri"/>
          <w:sz w:val="20"/>
          <w:szCs w:val="20"/>
          <w:color w:val="auto"/>
        </w:rPr>
        <w:t>all rights to trade names, logos, trademarks and service marks, including registered trademarks and service marks and all applicatons to register trademarks and service marks throughout the world;</w:t>
      </w:r>
    </w:p>
    <w:p>
      <w:pPr>
        <w:spacing w:after="0" w:line="175" w:lineRule="exact"/>
        <w:rPr>
          <w:sz w:val="20"/>
          <w:szCs w:val="20"/>
          <w:color w:val="auto"/>
        </w:rPr>
      </w:pPr>
    </w:p>
    <w:p>
      <w:pPr>
        <w:sectPr>
          <w:pgSz w:w="11900" w:h="16838" w:orient="portrait"/>
          <w:cols w:equalWidth="0" w:num="2">
            <w:col w:w="980" w:space="320"/>
            <w:col w:w="9940"/>
          </w:cols>
          <w:pgMar w:left="320" w:top="1374" w:right="3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(bz)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rights in Sofware;</w:t>
      </w:r>
    </w:p>
    <w:p>
      <w:pPr>
        <w:spacing w:after="0" w:line="174"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rights to any databases and data collectons throughout the world;</w:t>
      </w:r>
    </w:p>
    <w:p>
      <w:pPr>
        <w:spacing w:after="0" w:line="161"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spacing w:after="0" w:line="10" w:lineRule="exact"/>
        <w:rPr>
          <w:sz w:val="20"/>
          <w:szCs w:val="20"/>
          <w:color w:val="auto"/>
        </w:rPr>
      </w:pPr>
    </w:p>
    <w:p>
      <w:pPr>
        <w:ind w:left="660"/>
        <w:spacing w:after="0"/>
        <w:rPr>
          <w:sz w:val="20"/>
          <w:szCs w:val="20"/>
          <w:color w:val="auto"/>
        </w:rPr>
      </w:pPr>
      <w:r>
        <w:rPr>
          <w:rFonts w:ascii="Calibri" w:cs="Calibri" w:eastAsia="Calibri" w:hAnsi="Calibri"/>
          <w:sz w:val="19"/>
          <w:szCs w:val="19"/>
          <w:color w:val="auto"/>
        </w:rPr>
        <w:t>(cb)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moral and economic rights of authors and inventors, however denominated, throughout the world; and</w:t>
      </w:r>
    </w:p>
    <w:p>
      <w:pPr>
        <w:spacing w:after="0" w:line="174" w:lineRule="exact"/>
        <w:rPr>
          <w:sz w:val="20"/>
          <w:szCs w:val="20"/>
          <w:color w:val="auto"/>
        </w:rPr>
      </w:pPr>
    </w:p>
    <w:p>
      <w:pPr>
        <w:sectPr>
          <w:pgSz w:w="11900" w:h="16838" w:orient="portrait"/>
          <w:cols w:equalWidth="0" w:num="2">
            <w:col w:w="960" w:space="340"/>
            <w:col w:w="9940"/>
          </w:cols>
          <w:pgMar w:left="320" w:top="1374" w:right="339" w:bottom="1440" w:gutter="0" w:footer="0" w:header="0"/>
          <w:type w:val="continuous"/>
        </w:sectPr>
      </w:pPr>
    </w:p>
    <w:p>
      <w:pPr>
        <w:ind w:left="1300" w:hanging="644"/>
        <w:spacing w:after="0"/>
        <w:tabs>
          <w:tab w:leader="none" w:pos="1300" w:val="left"/>
        </w:tabs>
        <w:numPr>
          <w:ilvl w:val="0"/>
          <w:numId w:val="431"/>
        </w:numPr>
        <w:rPr>
          <w:rFonts w:ascii="Calibri" w:cs="Calibri" w:eastAsia="Calibri" w:hAnsi="Calibri"/>
          <w:sz w:val="20"/>
          <w:szCs w:val="20"/>
          <w:color w:val="auto"/>
        </w:rPr>
      </w:pPr>
      <w:r>
        <w:rPr>
          <w:rFonts w:ascii="Calibri" w:cs="Calibri" w:eastAsia="Calibri" w:hAnsi="Calibri"/>
          <w:sz w:val="20"/>
          <w:szCs w:val="20"/>
          <w:color w:val="auto"/>
        </w:rPr>
        <w:t>any similar or equivalent rights to any of the foregoing anywhere in the world.</w:t>
      </w:r>
    </w:p>
    <w:p>
      <w:pPr>
        <w:spacing w:after="0" w:line="184"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Intellectual Property Embodiments</w:t>
      </w:r>
      <w:r>
        <w:rPr>
          <w:rFonts w:ascii="Calibri" w:cs="Calibri" w:eastAsia="Calibri" w:hAnsi="Calibri"/>
          <w:sz w:val="20"/>
          <w:szCs w:val="20"/>
          <w:color w:val="auto"/>
        </w:rPr>
        <w:t>” means tangible embodiments of Intellectual Property or Technology (including as embodied in Sofware) in any form or medium (including without limitaton, electronic media) that is Project IP.</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Interested Party</w:t>
      </w:r>
      <w:r>
        <w:rPr>
          <w:rFonts w:ascii="Calibri" w:cs="Calibri" w:eastAsia="Calibri" w:hAnsi="Calibri"/>
          <w:sz w:val="20"/>
          <w:szCs w:val="20"/>
          <w:color w:val="auto"/>
        </w:rPr>
        <w:t>” means any (a) ofcer; (b) employee; (c) member of the board of directors or other governing board of the Recipient; (d) partes that advise, approve, recommend, or otherwise partcipate in the business decisions of the Recipient, such as agents, advisors, consultants, atorneys, accountants or shareholders; or (e) immediate family and other Persons directly connected to the Interested Party by law or through a business arrangement.</w:t>
      </w:r>
    </w:p>
    <w:p>
      <w:pPr>
        <w:spacing w:after="0" w:line="173"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Internal Revenue Code</w:t>
      </w:r>
      <w:r>
        <w:rPr>
          <w:rFonts w:ascii="Calibri" w:cs="Calibri" w:eastAsia="Calibri" w:hAnsi="Calibri"/>
          <w:sz w:val="20"/>
          <w:szCs w:val="20"/>
          <w:color w:val="auto"/>
        </w:rPr>
        <w:t>” means the United States Internal Revenue Code of 1986, as amended, and the regulatons promulgated and rulings issued thereunder. Secton references to the Internal Revenue Code are to the Internal Revenue Code as in efect as of the date hereof and any subsequent provisions of the Internal Revenue Code, amendatory thereof, supplemental thereto or substtuted therefor.</w:t>
      </w:r>
    </w:p>
    <w:p>
      <w:pPr>
        <w:spacing w:after="0" w:line="27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ITAR</w:t>
      </w:r>
      <w:r>
        <w:rPr>
          <w:rFonts w:ascii="Calibri" w:cs="Calibri" w:eastAsia="Calibri" w:hAnsi="Calibri"/>
          <w:sz w:val="20"/>
          <w:szCs w:val="20"/>
          <w:color w:val="auto"/>
        </w:rPr>
        <w:t>” means the Internatonal Trafc in Arms Regulatons, 22 C.F.R. Parts 120-130, administered by the US Department of State.</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has the meaning set forth in Secton 6.25(a) (</w:t>
      </w:r>
      <w:r>
        <w:rPr>
          <w:rFonts w:ascii="Calibri" w:cs="Calibri" w:eastAsia="Calibri" w:hAnsi="Calibri"/>
          <w:sz w:val="20"/>
          <w:szCs w:val="20"/>
          <w:b w:val="1"/>
          <w:bCs w:val="1"/>
          <w:color w:val="auto"/>
        </w:rPr>
        <w:t>Informaton Technology; Cyber Security</w:t>
      </w: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Investment Grade Ratng</w:t>
      </w:r>
      <w:r>
        <w:rPr>
          <w:rFonts w:ascii="Calibri" w:cs="Calibri" w:eastAsia="Calibri" w:hAnsi="Calibri"/>
          <w:sz w:val="20"/>
          <w:szCs w:val="20"/>
          <w:color w:val="auto"/>
        </w:rPr>
        <w:t>” means a ratng equal to or higher than BBB-/Baa3 or the equivalent as determined by at least two of Moody’s, S&amp;P or Fitch.</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Joint Research</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Knowingly</w:t>
      </w:r>
      <w:r>
        <w:rPr>
          <w:rFonts w:ascii="Calibri" w:cs="Calibri" w:eastAsia="Calibri" w:hAnsi="Calibri"/>
          <w:sz w:val="20"/>
          <w:szCs w:val="20"/>
          <w:color w:val="auto"/>
        </w:rPr>
        <w:t>” has the meaning set forth in the Guardrail Provisions.</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b w:val="1"/>
          <w:bCs w:val="1"/>
          <w:color w:val="auto"/>
        </w:rPr>
        <w:t>“Knowledge</w:t>
      </w:r>
      <w:r>
        <w:rPr>
          <w:rFonts w:ascii="Calibri" w:cs="Calibri" w:eastAsia="Calibri" w:hAnsi="Calibri"/>
          <w:sz w:val="20"/>
          <w:szCs w:val="20"/>
          <w:color w:val="auto"/>
        </w:rPr>
        <w:t>” means with respect to any Recipient Party, (a) the actual knowledge of any Principal Persons of such Recipient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Party; or (b) any knowledge that should have been obtained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ectPr>
          <w:pgSz w:w="11900" w:h="16838" w:orient="portrait"/>
          <w:cols w:equalWidth="0" w:num="1">
            <w:col w:w="11240"/>
          </w:cols>
          <w:pgMar w:left="320" w:top="1374" w:right="339" w:bottom="1440" w:gutter="0" w:footer="0" w:header="0"/>
          <w:type w:val="continuous"/>
        </w:sectPr>
      </w:pPr>
    </w:p>
    <w:bookmarkStart w:id="401" w:name="page402"/>
    <w:bookmarkEnd w:id="401"/>
    <w:p>
      <w:pPr>
        <w:jc w:val="both"/>
        <w:spacing w:after="0" w:line="214" w:lineRule="auto"/>
        <w:rPr>
          <w:sz w:val="20"/>
          <w:szCs w:val="20"/>
          <w:color w:val="auto"/>
        </w:rPr>
      </w:pPr>
      <w:r>
        <w:rPr>
          <w:rFonts w:ascii="Calibri" w:cs="Calibri" w:eastAsia="Calibri" w:hAnsi="Calibri"/>
          <w:sz w:val="20"/>
          <w:szCs w:val="20"/>
          <w:color w:val="auto"/>
        </w:rPr>
        <w:t>Principal Person of such Recipient Party upon reasonable investgaton and inquiry in the ordinary course of such Principal Person performing its dutes based on its applicable ttle or positon.</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Lease</w:t>
      </w:r>
      <w:r>
        <w:rPr>
          <w:rFonts w:ascii="Calibri" w:cs="Calibri" w:eastAsia="Calibri" w:hAnsi="Calibri"/>
          <w:sz w:val="20"/>
          <w:szCs w:val="20"/>
          <w:color w:val="auto"/>
        </w:rPr>
        <w:t>” means any agreement that would be characterized under the Applicable Accountng Requirements as an operatng lease, including sub-leases.</w:t>
      </w:r>
    </w:p>
    <w:p>
      <w:pPr>
        <w:spacing w:after="0" w:line="186" w:lineRule="exact"/>
        <w:rPr>
          <w:sz w:val="20"/>
          <w:szCs w:val="20"/>
          <w:color w:val="auto"/>
        </w:rPr>
      </w:pPr>
    </w:p>
    <w:p>
      <w:pPr>
        <w:jc w:val="both"/>
        <w:ind w:firstLine="648"/>
        <w:spacing w:after="0" w:line="22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Lien</w:t>
      </w:r>
      <w:r>
        <w:rPr>
          <w:rFonts w:ascii="Calibri" w:cs="Calibri" w:eastAsia="Calibri" w:hAnsi="Calibri"/>
          <w:sz w:val="20"/>
          <w:szCs w:val="20"/>
          <w:color w:val="auto"/>
        </w:rPr>
        <w:t>” means any lien (statutory or other), pledge, mortgage, charge, security interest, deed of trust, assignment, hypothecaton, ttle retenton, fduciary transfer, deposit arrangement, easement, encumbrance or preference, priority or other security agreement or preferental arrangement of any kind or nature whatsoever in respect of an asset, whether or not fled, recorded or otherwise perfected or efectve under Applicable Law, as well as the interest of a vendor or lessor under any conditonal sale agreement, Finance Lease or other ttle retenton agreement relatng to such asset, (including any conditonal sale or other ttle retenton agreement, any Finance Lease having substantally the same economic efect as any of the foregoing, or any preferental arrangement having the practcal efect of consttutng a security interest with respect to the payment of any obligaton with, or from the proceeds of, any asset or revenue of any kind).</w:t>
      </w:r>
    </w:p>
    <w:p>
      <w:pPr>
        <w:spacing w:after="0" w:line="186"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Adverse Efect</w:t>
      </w:r>
      <w:r>
        <w:rPr>
          <w:rFonts w:ascii="Calibri" w:cs="Calibri" w:eastAsia="Calibri" w:hAnsi="Calibri"/>
          <w:sz w:val="20"/>
          <w:szCs w:val="20"/>
          <w:color w:val="auto"/>
        </w:rPr>
        <w:t>” means, as of any date of determinaton by the Department, a material and adverse efect on: (a) the Project (excluding for these purposes, any efect on the Total Project Costs of the Project); (b) the ability of any Recipient Party to observe and perform its material obligatons or enforce its rights in a tmely manner under any Financing Document to which it is a party; (c) the business, operatons, liabilites, conditon (fnancial or otherwise) or Property of the Recipient Partes taken as a whole;</w:t>
      </w:r>
    </w:p>
    <w:p>
      <w:pPr>
        <w:spacing w:after="0" w:line="2" w:lineRule="exact"/>
        <w:rPr>
          <w:sz w:val="20"/>
          <w:szCs w:val="20"/>
          <w:color w:val="auto"/>
        </w:rPr>
      </w:pPr>
    </w:p>
    <w:p>
      <w:pPr>
        <w:ind w:firstLine="8"/>
        <w:spacing w:after="0" w:line="192" w:lineRule="auto"/>
        <w:tabs>
          <w:tab w:leader="none" w:pos="312" w:val="left"/>
        </w:tabs>
        <w:numPr>
          <w:ilvl w:val="0"/>
          <w:numId w:val="432"/>
        </w:numPr>
        <w:rPr>
          <w:rFonts w:ascii="Calibri" w:cs="Calibri" w:eastAsia="Calibri" w:hAnsi="Calibri"/>
          <w:sz w:val="20"/>
          <w:szCs w:val="20"/>
          <w:color w:val="auto"/>
        </w:rPr>
      </w:pPr>
      <w:r>
        <w:rPr>
          <w:rFonts w:ascii="Calibri" w:cs="Calibri" w:eastAsia="Calibri" w:hAnsi="Calibri"/>
          <w:sz w:val="20"/>
          <w:szCs w:val="20"/>
          <w:color w:val="auto"/>
        </w:rPr>
        <w:t>the validity or enforceability of any material provision of any Financing Document; or (e) any material right or remedy of any Recipient Party or the Department under the Financing Documents.</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Expansion</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Maximum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Maximum Direct Funding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has the meaning set forth in the Guardrail Provisions.</w:t>
      </w:r>
    </w:p>
    <w:p>
      <w:pPr>
        <w:spacing w:after="0" w:line="171"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Milestone Based Schedule</w:t>
      </w:r>
      <w:r>
        <w:rPr>
          <w:rFonts w:ascii="Calibri" w:cs="Calibri" w:eastAsia="Calibri" w:hAnsi="Calibri"/>
          <w:sz w:val="20"/>
          <w:szCs w:val="20"/>
          <w:color w:val="auto"/>
        </w:rPr>
        <w:t>” means, with respect to the Project, a milestone-based constructon schedule that sets out each critcal path constructon milestone (including each Disbursement Milestone) necessary to achieve the Project Completon Date for the Project, which schedule shall include at a minimum (a) antcipated progress on a no less than monthly interim for each constructon milestone; (b) estmated and actual start dates for each constructon milestone; (c) estmated and actual completon dates for each constructon milestone; (d) progress metrics for each constructon milestone; and (e) other informaton requested by the Department.</w:t>
      </w:r>
    </w:p>
    <w:p>
      <w:pPr>
        <w:spacing w:after="0" w:line="188"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Milestone Completon Longstop Date</w:t>
      </w:r>
      <w:r>
        <w:rPr>
          <w:rFonts w:ascii="Calibri" w:cs="Calibri" w:eastAsia="Calibri" w:hAnsi="Calibri"/>
          <w:sz w:val="20"/>
          <w:szCs w:val="20"/>
          <w:color w:val="auto"/>
        </w:rPr>
        <w:t>” means, with respect to any Disbursement Milestone, the relevant date set forth in the Disbursement Milestone Schedule under the column enttled “Milestone Completon Longstop Date” for such Disbursement Milestone.</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Mitgaton Agreement</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Moody’s</w:t>
      </w:r>
      <w:r>
        <w:rPr>
          <w:rFonts w:ascii="Calibri" w:cs="Calibri" w:eastAsia="Calibri" w:hAnsi="Calibri"/>
          <w:sz w:val="20"/>
          <w:szCs w:val="20"/>
          <w:color w:val="auto"/>
        </w:rPr>
        <w:t>” means Moody’s Ratngs (formerly known as Moody’s Investors Service, Inc.), so long as it is a ratng agency.</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NOFO</w:t>
      </w:r>
      <w:r>
        <w:rPr>
          <w:rFonts w:ascii="Calibri" w:cs="Calibri" w:eastAsia="Calibri" w:hAnsi="Calibri"/>
          <w:sz w:val="20"/>
          <w:szCs w:val="20"/>
          <w:color w:val="auto"/>
        </w:rPr>
        <w:t>” has the meaning set forth in the recitals hereto.</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Non-Appealable</w:t>
      </w:r>
      <w:r>
        <w:rPr>
          <w:rFonts w:ascii="Calibri" w:cs="Calibri" w:eastAsia="Calibri" w:hAnsi="Calibri"/>
          <w:sz w:val="20"/>
          <w:szCs w:val="20"/>
          <w:color w:val="auto"/>
        </w:rPr>
        <w:t>” means, with respect to any Required Approval, unless otherwise agreed by the Department, (a) such Required Approval is not subject to any pending appeal, interventon or similar proceeding or any unsatsfed conditon which may result in modifcaton or revocaton; and (b)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ectPr>
          <w:pgSz w:w="11900" w:h="16838" w:orient="portrait"/>
          <w:cols w:equalWidth="0" w:num="1">
            <w:col w:w="11240"/>
          </w:cols>
          <w:pgMar w:left="320" w:top="1384" w:right="339" w:bottom="1440" w:gutter="0" w:footer="0" w:header="0"/>
        </w:sectPr>
      </w:pPr>
    </w:p>
    <w:bookmarkStart w:id="402" w:name="page403"/>
    <w:bookmarkEnd w:id="402"/>
    <w:p>
      <w:pPr>
        <w:jc w:val="both"/>
        <w:spacing w:after="0" w:line="214" w:lineRule="auto"/>
        <w:rPr>
          <w:sz w:val="20"/>
          <w:szCs w:val="20"/>
          <w:color w:val="auto"/>
        </w:rPr>
      </w:pPr>
      <w:r>
        <w:rPr>
          <w:rFonts w:ascii="Calibri" w:cs="Calibri" w:eastAsia="Calibri" w:hAnsi="Calibri"/>
          <w:sz w:val="20"/>
          <w:szCs w:val="20"/>
          <w:color w:val="auto"/>
        </w:rPr>
        <w:t>applicable appeal periods have expired (except for any Required Approval which does not have any limit on an appeal period under Applicable Law).</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DFA</w:t>
      </w:r>
      <w:r>
        <w:rPr>
          <w:rFonts w:ascii="Calibri" w:cs="Calibri" w:eastAsia="Calibri" w:hAnsi="Calibri"/>
          <w:sz w:val="20"/>
          <w:szCs w:val="20"/>
          <w:color w:val="auto"/>
        </w:rPr>
        <w:t>” has the meaning set forth in the recitals hereto.</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1 Project</w:t>
      </w:r>
      <w:r>
        <w:rPr>
          <w:rFonts w:ascii="Calibri" w:cs="Calibri" w:eastAsia="Calibri" w:hAnsi="Calibri"/>
          <w:sz w:val="20"/>
          <w:szCs w:val="20"/>
          <w:color w:val="auto"/>
        </w:rPr>
        <w:t>” has the meaning assigned to such term in the NY DFA.</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2 Project</w:t>
      </w:r>
      <w:r>
        <w:rPr>
          <w:rFonts w:ascii="Calibri" w:cs="Calibri" w:eastAsia="Calibri" w:hAnsi="Calibri"/>
          <w:sz w:val="20"/>
          <w:szCs w:val="20"/>
          <w:color w:val="auto"/>
        </w:rPr>
        <w:t>” has the meaning assigned to such term in the NY DFA.</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Recipient</w:t>
      </w:r>
      <w:r>
        <w:rPr>
          <w:rFonts w:ascii="Calibri" w:cs="Calibri" w:eastAsia="Calibri" w:hAnsi="Calibri"/>
          <w:sz w:val="20"/>
          <w:szCs w:val="20"/>
          <w:color w:val="auto"/>
        </w:rPr>
        <w:t>” has the meaning set forth in the recitals hereto.</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OFAC</w:t>
      </w:r>
      <w:r>
        <w:rPr>
          <w:rFonts w:ascii="Calibri" w:cs="Calibri" w:eastAsia="Calibri" w:hAnsi="Calibri"/>
          <w:sz w:val="20"/>
          <w:szCs w:val="20"/>
          <w:color w:val="auto"/>
        </w:rPr>
        <w:t>” means the Ofce of Foreign Assets Control, agency of the United States Department of the Treasury under the auspices of the Under-Secretary of the Treasury for Terrorism and Financial Intelligence.</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Ofcer’s Certfcate</w:t>
      </w:r>
      <w:r>
        <w:rPr>
          <w:rFonts w:ascii="Calibri" w:cs="Calibri" w:eastAsia="Calibri" w:hAnsi="Calibri"/>
          <w:sz w:val="20"/>
          <w:szCs w:val="20"/>
          <w:color w:val="auto"/>
        </w:rPr>
        <w:t>” means, with respect to any Person, a certfcate signed on behalf of such Person by an Authorized Ofcer thereof and relatng to the items or maters for which such certfcate is required, in each case, in form and substance reasonably acceptable to the Department.</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OIG</w:t>
      </w:r>
      <w:r>
        <w:rPr>
          <w:rFonts w:ascii="Calibri" w:cs="Calibri" w:eastAsia="Calibri" w:hAnsi="Calibri"/>
          <w:sz w:val="20"/>
          <w:szCs w:val="20"/>
          <w:color w:val="auto"/>
        </w:rPr>
        <w:t>” means the Ofce of Inspector General of the Department.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Operatng Expenses</w:t>
      </w:r>
      <w:r>
        <w:rPr>
          <w:rFonts w:ascii="Calibri" w:cs="Calibri" w:eastAsia="Calibri" w:hAnsi="Calibri"/>
          <w:sz w:val="20"/>
          <w:szCs w:val="20"/>
          <w:color w:val="auto"/>
        </w:rPr>
        <w:t>” has the meaning set forth in the Applicable Accountng Requirements.</w:t>
      </w:r>
    </w:p>
    <w:p>
      <w:pPr>
        <w:spacing w:after="0" w:line="184"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Organizatonal Documents</w:t>
      </w:r>
      <w:r>
        <w:rPr>
          <w:rFonts w:ascii="Calibri" w:cs="Calibri" w:eastAsia="Calibri" w:hAnsi="Calibri"/>
          <w:sz w:val="20"/>
          <w:szCs w:val="20"/>
          <w:color w:val="auto"/>
        </w:rPr>
        <w:t>” means, with respect to any Person: (a) to the extent such Person is a corporaton, the certfcate or artcles of incorporaton and the by-laws of such Person; (b) to the extent such Person is a limited liability company, the certfcate of formaton or artcles of formaton or organizaton and operatng or limited liability company agreement of such Person; and (c) to the extent such Person is a partnership, joint venture, trust or other form of business, the partnership, joint venture, trust or other applicable agreement of formaton or organizaton, and any agreement, instrument, fling or notce with respect thereto fled in connecton with its formaton or organizaton with the applicable Governmental Authority in the jurisdicton of its formaton or organizaton and, if applicable, any certfcate or artcles of formaton or organizaton or formaton of such Person.</w:t>
      </w:r>
    </w:p>
    <w:p>
      <w:pPr>
        <w:spacing w:after="0" w:line="18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Party</w:t>
      </w:r>
      <w:r>
        <w:rPr>
          <w:rFonts w:ascii="Calibri" w:cs="Calibri" w:eastAsia="Calibri" w:hAnsi="Calibri"/>
          <w:sz w:val="20"/>
          <w:szCs w:val="20"/>
          <w:color w:val="auto"/>
        </w:rPr>
        <w:t>” and “</w:t>
      </w:r>
      <w:r>
        <w:rPr>
          <w:rFonts w:ascii="Calibri" w:cs="Calibri" w:eastAsia="Calibri" w:hAnsi="Calibri"/>
          <w:sz w:val="20"/>
          <w:szCs w:val="20"/>
          <w:b w:val="1"/>
          <w:bCs w:val="1"/>
          <w:color w:val="auto"/>
        </w:rPr>
        <w:t>Partes</w:t>
      </w:r>
      <w:r>
        <w:rPr>
          <w:rFonts w:ascii="Calibri" w:cs="Calibri" w:eastAsia="Calibri" w:hAnsi="Calibri"/>
          <w:sz w:val="20"/>
          <w:szCs w:val="20"/>
          <w:color w:val="auto"/>
        </w:rPr>
        <w:t>” has the meaning set forth in the preamble hereto.</w:t>
      </w:r>
    </w:p>
    <w:p>
      <w:pPr>
        <w:spacing w:after="0" w:line="184"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Patriot Act</w:t>
      </w:r>
      <w:r>
        <w:rPr>
          <w:rFonts w:ascii="Calibri" w:cs="Calibri" w:eastAsia="Calibri" w:hAnsi="Calibri"/>
          <w:sz w:val="20"/>
          <w:szCs w:val="20"/>
          <w:color w:val="auto"/>
        </w:rPr>
        <w:t>” means the Unitng and Strengthening America by Providing Appropriate Tools Required to Intercept and Obstruct Terrorism Act of 2001, and all regulatons promulgated thereunder.</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Period of Performance”</w:t>
      </w:r>
      <w:r>
        <w:rPr>
          <w:rFonts w:ascii="Calibri" w:cs="Calibri" w:eastAsia="Calibri" w:hAnsi="Calibri"/>
          <w:sz w:val="20"/>
          <w:szCs w:val="20"/>
          <w:color w:val="auto"/>
        </w:rPr>
        <w:t xml:space="preserve"> means the period commencing on the Award Date and ending on the earlier of (a) the ffh (5th) anniversary of the Project Completon Date, and (b) the date on which the Project is Abandoned prior to the Project Completon Date and the Department Obligatons have been paid in full.</w:t>
      </w:r>
    </w:p>
    <w:p>
      <w:pPr>
        <w:spacing w:after="0" w:line="184"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Periodic Expenses</w:t>
      </w:r>
      <w:r>
        <w:rPr>
          <w:rFonts w:ascii="Calibri" w:cs="Calibri" w:eastAsia="Calibri" w:hAnsi="Calibri"/>
          <w:sz w:val="20"/>
          <w:szCs w:val="20"/>
          <w:color w:val="auto"/>
        </w:rPr>
        <w:t>” means all of the following amounts from tme to tme incurred under or in connecton with the Financing Documents: (a) recordaton and other costs, fees and charges in connecton with the executon, delivery, fling, registraton, or performance of the Financing Documents; (b) fees, charges, and expenses of any Consultants, in each case, solely to the extent payable by the Recipient pursuant to the applicable fee leter or similar arrangements; and (c) other fees, charges, expenses and other amounts from tme to tme due under or in connecton with the Financing Documents.</w:t>
      </w:r>
    </w:p>
    <w:p>
      <w:pPr>
        <w:spacing w:after="0" w:line="16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Dispositon</w:t>
      </w:r>
      <w:r>
        <w:rPr>
          <w:rFonts w:ascii="Calibri" w:cs="Calibri" w:eastAsia="Calibri" w:hAnsi="Calibri"/>
          <w:sz w:val="20"/>
          <w:szCs w:val="20"/>
          <w:color w:val="auto"/>
        </w:rPr>
        <w:t>” means:</w:t>
      </w:r>
    </w:p>
    <w:p>
      <w:pPr>
        <w:spacing w:after="0" w:line="184" w:lineRule="exact"/>
        <w:rPr>
          <w:sz w:val="20"/>
          <w:szCs w:val="20"/>
          <w:color w:val="auto"/>
        </w:rPr>
      </w:pPr>
    </w:p>
    <w:p>
      <w:pPr>
        <w:ind w:left="1300" w:hanging="647"/>
        <w:spacing w:after="0" w:line="214" w:lineRule="auto"/>
        <w:tabs>
          <w:tab w:leader="none" w:pos="1280" w:val="left"/>
        </w:tabs>
        <w:rPr>
          <w:sz w:val="20"/>
          <w:szCs w:val="20"/>
          <w:color w:val="auto"/>
        </w:rPr>
      </w:pPr>
      <w:r>
        <w:rPr>
          <w:rFonts w:ascii="Calibri" w:cs="Calibri" w:eastAsia="Calibri" w:hAnsi="Calibri"/>
          <w:sz w:val="20"/>
          <w:szCs w:val="20"/>
          <w:color w:val="auto"/>
        </w:rPr>
        <w:t>(cd)</w:t>
      </w:r>
      <w:r>
        <w:rPr>
          <w:sz w:val="20"/>
          <w:szCs w:val="20"/>
          <w:color w:val="auto"/>
        </w:rPr>
        <w:tab/>
      </w:r>
      <w:r>
        <w:rPr>
          <w:rFonts w:ascii="Calibri" w:cs="Calibri" w:eastAsia="Calibri" w:hAnsi="Calibri"/>
          <w:sz w:val="20"/>
          <w:szCs w:val="20"/>
          <w:color w:val="auto"/>
        </w:rPr>
        <w:t>any transacton permited under the Financing Documents, including any Dispositon of Product under any Customer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ectPr>
          <w:pgSz w:w="11900" w:h="16838" w:orient="portrait"/>
          <w:cols w:equalWidth="0" w:num="1">
            <w:col w:w="11240"/>
          </w:cols>
          <w:pgMar w:left="320" w:top="1384" w:right="339" w:bottom="1440" w:gutter="0" w:footer="0" w:header="0"/>
        </w:sectPr>
      </w:pPr>
    </w:p>
    <w:bookmarkStart w:id="403" w:name="page404"/>
    <w:bookmarkEnd w:id="403"/>
    <w:p>
      <w:pPr>
        <w:jc w:val="both"/>
        <w:ind w:left="1300" w:hanging="639"/>
        <w:spacing w:after="0" w:line="199" w:lineRule="auto"/>
        <w:tabs>
          <w:tab w:leader="none" w:pos="1280" w:val="left"/>
        </w:tabs>
        <w:rPr>
          <w:sz w:val="20"/>
          <w:szCs w:val="20"/>
          <w:color w:val="auto"/>
        </w:rPr>
      </w:pPr>
      <w:r>
        <w:rPr>
          <w:rFonts w:ascii="Calibri" w:cs="Calibri" w:eastAsia="Calibri" w:hAnsi="Calibri"/>
          <w:sz w:val="20"/>
          <w:szCs w:val="20"/>
          <w:color w:val="auto"/>
        </w:rPr>
        <w:t>(ce)</w:t>
      </w:r>
      <w:r>
        <w:rPr>
          <w:sz w:val="20"/>
          <w:szCs w:val="20"/>
          <w:color w:val="auto"/>
        </w:rPr>
        <w:tab/>
      </w:r>
      <w:r>
        <w:rPr>
          <w:rFonts w:ascii="Calibri" w:cs="Calibri" w:eastAsia="Calibri" w:hAnsi="Calibri"/>
          <w:sz w:val="20"/>
          <w:szCs w:val="20"/>
          <w:color w:val="auto"/>
        </w:rPr>
        <w:t>any Dispositon of any equipment or property of the Recipient that is: (i) obsolete; (ii) no longer used or useful in the operaton of the Project; or (iii) replaced by other equipment of equal value and utlity, and in all cases for which the (A) Recipient has received proceeds from such Dispositon in an amount equal to the value that would have been obtained in an arm’s length transacton with an unafliated third party (unless such assets only have scrap value); and (B) such proceeds are either (1) applied towards the purchase of replacement equipment or property for use in connecton with any Project or (2) are not applied towards the purchase of replacement equipment or property for use in connecton with the Project and do not exceed (in an aggregate amount) two hundred ffy million Dollars ($250,000,000) in any Fiscal Year of the Recipient.</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Shareholder Loans</w:t>
      </w:r>
      <w:r>
        <w:rPr>
          <w:rFonts w:ascii="Calibri" w:cs="Calibri" w:eastAsia="Calibri" w:hAnsi="Calibri"/>
          <w:sz w:val="20"/>
          <w:szCs w:val="20"/>
          <w:color w:val="auto"/>
        </w:rPr>
        <w:t>” means: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480" w:type="dxa"/>
            <w:vAlign w:val="bottom"/>
          </w:tcPr>
          <w:p>
            <w:pPr>
              <w:spacing w:after="0"/>
              <w:rPr>
                <w:sz w:val="20"/>
                <w:szCs w:val="20"/>
                <w:color w:val="auto"/>
              </w:rPr>
            </w:pPr>
            <w:r>
              <w:rPr>
                <w:rFonts w:ascii="Calibri" w:cs="Calibri" w:eastAsia="Calibri" w:hAnsi="Calibri"/>
                <w:sz w:val="20"/>
                <w:szCs w:val="20"/>
                <w:color w:val="auto"/>
              </w:rPr>
              <w:t>(cf)</w:t>
            </w:r>
          </w:p>
        </w:tc>
        <w:tc>
          <w:tcPr>
            <w:tcW w:w="10100" w:type="dxa"/>
            <w:vAlign w:val="bottom"/>
            <w:gridSpan w:val="2"/>
          </w:tcPr>
          <w:p>
            <w:pPr>
              <w:ind w:left="160"/>
              <w:spacing w:after="0"/>
              <w:rPr>
                <w:sz w:val="20"/>
                <w:szCs w:val="20"/>
                <w:color w:val="auto"/>
              </w:rPr>
            </w:pPr>
            <w:r>
              <w:rPr>
                <w:rFonts w:ascii="Calibri" w:cs="Calibri" w:eastAsia="Calibri" w:hAnsi="Calibri"/>
                <w:sz w:val="20"/>
                <w:szCs w:val="20"/>
                <w:color w:val="auto"/>
              </w:rPr>
              <w:t>loans made pursuant to the Revolving Credit Agreement dated December 12, 2022, by and between the Sponsor</w:t>
            </w:r>
          </w:p>
        </w:tc>
      </w:tr>
      <w:tr>
        <w:trPr>
          <w:trHeight w:val="234"/>
        </w:trPr>
        <w:tc>
          <w:tcPr>
            <w:tcW w:w="480" w:type="dxa"/>
            <w:vAlign w:val="bottom"/>
          </w:tcPr>
          <w:p>
            <w:pPr>
              <w:spacing w:after="0"/>
              <w:rPr>
                <w:sz w:val="20"/>
                <w:szCs w:val="20"/>
                <w:color w:val="auto"/>
              </w:rPr>
            </w:pPr>
          </w:p>
        </w:tc>
        <w:tc>
          <w:tcPr>
            <w:tcW w:w="10100" w:type="dxa"/>
            <w:vAlign w:val="bottom"/>
            <w:gridSpan w:val="2"/>
          </w:tcPr>
          <w:p>
            <w:pPr>
              <w:ind w:left="160"/>
              <w:spacing w:after="0" w:line="234" w:lineRule="exact"/>
              <w:rPr>
                <w:sz w:val="20"/>
                <w:szCs w:val="20"/>
                <w:color w:val="auto"/>
              </w:rPr>
            </w:pPr>
            <w:r>
              <w:rPr>
                <w:rFonts w:ascii="Calibri" w:cs="Calibri" w:eastAsia="Calibri" w:hAnsi="Calibri"/>
                <w:sz w:val="20"/>
                <w:szCs w:val="20"/>
                <w:color w:val="auto"/>
              </w:rPr>
              <w:t>Guarantor, as lender, and the Recipient, as borrower; and</w:t>
            </w:r>
          </w:p>
        </w:tc>
      </w:tr>
      <w:tr>
        <w:trPr>
          <w:trHeight w:val="405"/>
        </w:trPr>
        <w:tc>
          <w:tcPr>
            <w:tcW w:w="480" w:type="dxa"/>
            <w:vAlign w:val="bottom"/>
          </w:tcPr>
          <w:p>
            <w:pPr>
              <w:spacing w:after="0"/>
              <w:rPr>
                <w:sz w:val="20"/>
                <w:szCs w:val="20"/>
                <w:color w:val="auto"/>
              </w:rPr>
            </w:pPr>
            <w:r>
              <w:rPr>
                <w:rFonts w:ascii="Calibri" w:cs="Calibri" w:eastAsia="Calibri" w:hAnsi="Calibri"/>
                <w:sz w:val="20"/>
                <w:szCs w:val="20"/>
                <w:color w:val="auto"/>
              </w:rPr>
              <w:t>(cg)</w:t>
            </w:r>
          </w:p>
        </w:tc>
        <w:tc>
          <w:tcPr>
            <w:tcW w:w="10100" w:type="dxa"/>
            <w:vAlign w:val="bottom"/>
            <w:gridSpan w:val="2"/>
          </w:tcPr>
          <w:p>
            <w:pPr>
              <w:ind w:left="180"/>
              <w:spacing w:after="0"/>
              <w:rPr>
                <w:sz w:val="20"/>
                <w:szCs w:val="20"/>
                <w:color w:val="auto"/>
              </w:rPr>
            </w:pPr>
            <w:r>
              <w:rPr>
                <w:rFonts w:ascii="Calibri" w:cs="Calibri" w:eastAsia="Calibri" w:hAnsi="Calibri"/>
                <w:sz w:val="20"/>
                <w:szCs w:val="20"/>
                <w:color w:val="auto"/>
              </w:rPr>
              <w:t>any loans that are made:</w:t>
            </w:r>
          </w:p>
        </w:tc>
      </w:tr>
      <w:tr>
        <w:trPr>
          <w:trHeight w:val="387"/>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alibri" w:cs="Calibri" w:eastAsia="Calibri" w:hAnsi="Calibri"/>
                <w:sz w:val="20"/>
                <w:szCs w:val="20"/>
                <w:color w:val="auto"/>
              </w:rPr>
              <w:t>(i)</w:t>
            </w:r>
          </w:p>
        </w:tc>
        <w:tc>
          <w:tcPr>
            <w:tcW w:w="9480" w:type="dxa"/>
            <w:vAlign w:val="bottom"/>
          </w:tcPr>
          <w:p>
            <w:pPr>
              <w:ind w:left="180"/>
              <w:spacing w:after="0"/>
              <w:rPr>
                <w:sz w:val="20"/>
                <w:szCs w:val="20"/>
                <w:color w:val="auto"/>
              </w:rPr>
            </w:pPr>
            <w:r>
              <w:rPr>
                <w:rFonts w:ascii="Calibri" w:cs="Calibri" w:eastAsia="Calibri" w:hAnsi="Calibri"/>
                <w:sz w:val="20"/>
                <w:szCs w:val="20"/>
                <w:color w:val="auto"/>
              </w:rPr>
              <w:t>by or on behalf of, the Sponsor Guarantor to the Recipient in lieu of purchasing Equity Interests or refectng non-</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Calibri" w:cs="Calibri" w:eastAsia="Calibri" w:hAnsi="Calibri"/>
                <w:sz w:val="20"/>
                <w:szCs w:val="20"/>
                <w:color w:val="auto"/>
              </w:rPr>
              <w:t>cash intercompany allocatons of overhead and other costs appropriately atributable to the Recipient and</w:t>
            </w: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80" w:type="dxa"/>
            <w:vAlign w:val="bottom"/>
          </w:tcPr>
          <w:p>
            <w:pPr>
              <w:ind w:left="200"/>
              <w:spacing w:after="0" w:line="234" w:lineRule="exact"/>
              <w:rPr>
                <w:sz w:val="20"/>
                <w:szCs w:val="20"/>
                <w:color w:val="auto"/>
              </w:rPr>
            </w:pPr>
            <w:r>
              <w:rPr>
                <w:rFonts w:ascii="Calibri" w:cs="Calibri" w:eastAsia="Calibri" w:hAnsi="Calibri"/>
                <w:sz w:val="20"/>
                <w:szCs w:val="20"/>
                <w:color w:val="auto"/>
              </w:rPr>
              <w:t>allocated in accordance with the Sponsor Guarantor’s customary allocaton practces,</w:t>
            </w:r>
          </w:p>
        </w:tc>
      </w:tr>
      <w:tr>
        <w:trPr>
          <w:trHeight w:val="418"/>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alibri" w:cs="Calibri" w:eastAsia="Calibri" w:hAnsi="Calibri"/>
                <w:sz w:val="20"/>
                <w:szCs w:val="20"/>
                <w:color w:val="auto"/>
              </w:rPr>
              <w:t>(ii)</w:t>
            </w:r>
          </w:p>
        </w:tc>
        <w:tc>
          <w:tcPr>
            <w:tcW w:w="9480" w:type="dxa"/>
            <w:vAlign w:val="bottom"/>
          </w:tcPr>
          <w:p>
            <w:pPr>
              <w:ind w:left="200"/>
              <w:spacing w:after="0"/>
              <w:rPr>
                <w:sz w:val="20"/>
                <w:szCs w:val="20"/>
                <w:color w:val="auto"/>
              </w:rPr>
            </w:pPr>
            <w:r>
              <w:rPr>
                <w:rFonts w:ascii="Calibri" w:cs="Calibri" w:eastAsia="Calibri" w:hAnsi="Calibri"/>
                <w:sz w:val="20"/>
                <w:szCs w:val="20"/>
                <w:color w:val="auto"/>
              </w:rPr>
              <w:t>are unsecured; and</w:t>
            </w:r>
          </w:p>
        </w:tc>
      </w:tr>
      <w:tr>
        <w:trPr>
          <w:trHeight w:val="418"/>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alibri" w:cs="Calibri" w:eastAsia="Calibri" w:hAnsi="Calibri"/>
                <w:sz w:val="20"/>
                <w:szCs w:val="20"/>
                <w:color w:val="auto"/>
              </w:rPr>
              <w:t>(iii)</w:t>
            </w:r>
          </w:p>
        </w:tc>
        <w:tc>
          <w:tcPr>
            <w:tcW w:w="9480" w:type="dxa"/>
            <w:vAlign w:val="bottom"/>
          </w:tcPr>
          <w:p>
            <w:pPr>
              <w:ind w:left="200"/>
              <w:spacing w:after="0"/>
              <w:rPr>
                <w:sz w:val="20"/>
                <w:szCs w:val="20"/>
                <w:color w:val="auto"/>
              </w:rPr>
            </w:pPr>
            <w:r>
              <w:rPr>
                <w:rFonts w:ascii="Calibri" w:cs="Calibri" w:eastAsia="Calibri" w:hAnsi="Calibri"/>
                <w:sz w:val="20"/>
                <w:szCs w:val="20"/>
                <w:color w:val="auto"/>
              </w:rPr>
              <w:t>are made on the terms and conditons substantally similar to those described in clause (a) above.</w:t>
            </w:r>
          </w:p>
        </w:tc>
      </w:tr>
    </w:tbl>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Permitng Plan</w:t>
      </w:r>
      <w:r>
        <w:rPr>
          <w:rFonts w:ascii="Calibri" w:cs="Calibri" w:eastAsia="Calibri" w:hAnsi="Calibri"/>
          <w:sz w:val="20"/>
          <w:szCs w:val="20"/>
          <w:color w:val="auto"/>
        </w:rPr>
        <w:t>” means the list of Required Approvals for the Project and corresponding deadline for each such Required Approval to be obtained set forth Schedule C (</w:t>
      </w:r>
      <w:r>
        <w:rPr>
          <w:rFonts w:ascii="Calibri" w:cs="Calibri" w:eastAsia="Calibri" w:hAnsi="Calibri"/>
          <w:sz w:val="20"/>
          <w:szCs w:val="20"/>
          <w:b w:val="1"/>
          <w:bCs w:val="1"/>
          <w:color w:val="auto"/>
        </w:rPr>
        <w:t>Permitng Plan</w:t>
      </w:r>
      <w:r>
        <w:rPr>
          <w:rFonts w:ascii="Calibri" w:cs="Calibri" w:eastAsia="Calibri" w:hAnsi="Calibri"/>
          <w:sz w:val="20"/>
          <w:szCs w:val="20"/>
          <w:color w:val="auto"/>
        </w:rPr>
        <w:t>) hereto, as the same may be updated or otherwise modifed from tme to tme.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Person</w:t>
      </w:r>
      <w:r>
        <w:rPr>
          <w:rFonts w:ascii="Calibri" w:cs="Calibri" w:eastAsia="Calibri" w:hAnsi="Calibri"/>
          <w:sz w:val="20"/>
          <w:szCs w:val="20"/>
          <w:color w:val="auto"/>
        </w:rPr>
        <w:t>” means any individual, frm, corporaton, company, voluntary associaton, partnership, limited liability company, joint venture, trust, unincorporated organizaton, Governmental Authority, commitee, department, authority or any other body, incorporated or unincorporated, whether having distnct legal personality or not.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Platorm</w:t>
      </w:r>
      <w:r>
        <w:rPr>
          <w:rFonts w:ascii="Calibri" w:cs="Calibri" w:eastAsia="Calibri" w:hAnsi="Calibri"/>
          <w:sz w:val="20"/>
          <w:szCs w:val="20"/>
          <w:color w:val="auto"/>
        </w:rPr>
        <w:t>” has the meaning set forth in Secton 10.2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PMT</w:t>
      </w:r>
      <w:r>
        <w:rPr>
          <w:rFonts w:ascii="Calibri" w:cs="Calibri" w:eastAsia="Calibri" w:hAnsi="Calibri"/>
          <w:sz w:val="20"/>
          <w:szCs w:val="20"/>
          <w:color w:val="auto"/>
        </w:rPr>
        <w:t>” means the preliminary memorandum of terms in respect of the Project dated March 29, 2024.</w:t>
      </w:r>
    </w:p>
    <w:p>
      <w:pPr>
        <w:spacing w:after="0" w:line="17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Potental Event of Default</w:t>
      </w:r>
      <w:r>
        <w:rPr>
          <w:rFonts w:ascii="Calibri" w:cs="Calibri" w:eastAsia="Calibri" w:hAnsi="Calibri"/>
          <w:sz w:val="20"/>
          <w:szCs w:val="20"/>
          <w:color w:val="auto"/>
        </w:rPr>
        <w:t>” means an event or circumstance that, with the giving of notce or passage of tme or both, would become an Event of Default.</w:t>
      </w:r>
    </w:p>
    <w:p>
      <w:pPr>
        <w:spacing w:after="0" w:line="186"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Practce</w:t>
      </w:r>
      <w:r>
        <w:rPr>
          <w:rFonts w:ascii="Calibri" w:cs="Calibri" w:eastAsia="Calibri" w:hAnsi="Calibri"/>
          <w:sz w:val="20"/>
          <w:szCs w:val="20"/>
          <w:color w:val="auto"/>
        </w:rPr>
        <w:t xml:space="preserve"> ” means to practce Intellectual Property in any way, including to use, reproduce, distribute, modify, improve, make, display, perform, create derivatve works of, access and utlize.</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Principal Persons” means:</w:t>
      </w:r>
    </w:p>
    <w:p>
      <w:pPr>
        <w:spacing w:after="0" w:line="184" w:lineRule="exact"/>
        <w:rPr>
          <w:sz w:val="20"/>
          <w:szCs w:val="20"/>
          <w:color w:val="auto"/>
        </w:rPr>
      </w:pPr>
    </w:p>
    <w:p>
      <w:pPr>
        <w:jc w:val="both"/>
        <w:ind w:left="1300" w:hanging="644"/>
        <w:spacing w:after="0" w:line="203" w:lineRule="auto"/>
        <w:tabs>
          <w:tab w:leader="none" w:pos="1304" w:val="left"/>
        </w:tabs>
        <w:numPr>
          <w:ilvl w:val="0"/>
          <w:numId w:val="433"/>
        </w:numPr>
        <w:rPr>
          <w:rFonts w:ascii="Calibri" w:cs="Calibri" w:eastAsia="Calibri" w:hAnsi="Calibri"/>
          <w:sz w:val="20"/>
          <w:szCs w:val="20"/>
          <w:color w:val="auto"/>
        </w:rPr>
      </w:pPr>
      <w:r>
        <w:rPr>
          <w:rFonts w:ascii="Calibri" w:cs="Calibri" w:eastAsia="Calibri" w:hAnsi="Calibri"/>
          <w:sz w:val="20"/>
          <w:szCs w:val="20"/>
          <w:color w:val="auto"/>
        </w:rPr>
        <w:t>with respect to the Recipient, any ofcer, director, benefcial owner of ten percent (10%) or more of equity interests that are not publicly traded securites (other than the Recipient), the Principal Persons of the Sponsor Guarantor, or other natural person (whether or not an employee) with executve responsibilites over the Recipient or who has practcal control over the Recipient, and each of their respectve successors or assigns;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240"/>
          </w:cols>
          <w:pgMar w:left="320" w:top="1384" w:right="339" w:bottom="1440" w:gutter="0" w:footer="0" w:header="0"/>
        </w:sectPr>
      </w:pPr>
    </w:p>
    <w:bookmarkStart w:id="404" w:name="page405"/>
    <w:bookmarkEnd w:id="404"/>
    <w:p>
      <w:pPr>
        <w:ind w:left="1300" w:hanging="644"/>
        <w:spacing w:after="0"/>
        <w:tabs>
          <w:tab w:leader="none" w:pos="1300" w:val="left"/>
        </w:tabs>
        <w:numPr>
          <w:ilvl w:val="0"/>
          <w:numId w:val="434"/>
        </w:numPr>
        <w:rPr>
          <w:rFonts w:ascii="Calibri" w:cs="Calibri" w:eastAsia="Calibri" w:hAnsi="Calibri"/>
          <w:sz w:val="20"/>
          <w:szCs w:val="20"/>
          <w:color w:val="auto"/>
        </w:rPr>
      </w:pPr>
      <w:r>
        <w:rPr>
          <w:rFonts w:ascii="Calibri" w:cs="Calibri" w:eastAsia="Calibri" w:hAnsi="Calibri"/>
          <w:sz w:val="20"/>
          <w:szCs w:val="20"/>
          <w:color w:val="auto"/>
        </w:rPr>
        <w:t>with respect to the Sponsor Guarantor, any ofcer or employee of the Sponsor Guarantor responsible for (i) the</w:t>
      </w:r>
    </w:p>
    <w:p>
      <w:pPr>
        <w:ind w:left="1300"/>
        <w:spacing w:after="0" w:line="191" w:lineRule="auto"/>
        <w:rPr>
          <w:sz w:val="20"/>
          <w:szCs w:val="20"/>
          <w:color w:val="auto"/>
        </w:rPr>
      </w:pPr>
      <w:r>
        <w:rPr>
          <w:rFonts w:ascii="Calibri" w:cs="Calibri" w:eastAsia="Calibri" w:hAnsi="Calibri"/>
          <w:sz w:val="20"/>
          <w:szCs w:val="20"/>
          <w:color w:val="auto"/>
        </w:rPr>
        <w:t>constructon and operaton of the Project; (ii) any Project-related legal, technology, engineering or fnancial maters; and</w:t>
      </w:r>
    </w:p>
    <w:p>
      <w:pPr>
        <w:spacing w:after="0" w:line="1" w:lineRule="exact"/>
        <w:rPr>
          <w:sz w:val="20"/>
          <w:szCs w:val="20"/>
          <w:color w:val="auto"/>
        </w:rPr>
      </w:pPr>
    </w:p>
    <w:p>
      <w:pPr>
        <w:ind w:left="1300" w:right="20" w:firstLine="4"/>
        <w:spacing w:after="0" w:line="196" w:lineRule="auto"/>
        <w:tabs>
          <w:tab w:leader="none" w:pos="1622" w:val="left"/>
        </w:tabs>
        <w:numPr>
          <w:ilvl w:val="0"/>
          <w:numId w:val="435"/>
        </w:numPr>
        <w:rPr>
          <w:rFonts w:ascii="Calibri" w:cs="Calibri" w:eastAsia="Calibri" w:hAnsi="Calibri"/>
          <w:sz w:val="20"/>
          <w:szCs w:val="20"/>
          <w:color w:val="auto"/>
        </w:rPr>
      </w:pPr>
      <w:r>
        <w:rPr>
          <w:rFonts w:ascii="Calibri" w:cs="Calibri" w:eastAsia="Calibri" w:hAnsi="Calibri"/>
          <w:sz w:val="20"/>
          <w:szCs w:val="20"/>
          <w:color w:val="auto"/>
        </w:rPr>
        <w:t>preparing, in the ordinary course of performing such Person’s dutes, any reportng deliverables to the Department under the Award Documents.</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Processing</w:t>
      </w:r>
      <w:r>
        <w:rPr>
          <w:rFonts w:ascii="Calibri" w:cs="Calibri" w:eastAsia="Calibri" w:hAnsi="Calibri"/>
          <w:sz w:val="20"/>
          <w:szCs w:val="20"/>
          <w:color w:val="auto"/>
        </w:rPr>
        <w:t xml:space="preserve"> ” means any operaton or set of operatons that are performed on data or on sets of data, whether or not by automated means, including creaton, receipt, maintenance, access, acquisiton, use, disclosure, transmission, storage, retenton, processing, destructon, modifcaton or transfer (including cross-border transfer), and the words “Process” and similar constructons shall have correlatve meanings.</w:t>
      </w:r>
    </w:p>
    <w:p>
      <w:pPr>
        <w:spacing w:after="0" w:line="173"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Product</w:t>
      </w:r>
      <w:r>
        <w:rPr>
          <w:rFonts w:ascii="Calibri" w:cs="Calibri" w:eastAsia="Calibri" w:hAnsi="Calibri"/>
          <w:sz w:val="20"/>
          <w:szCs w:val="20"/>
          <w:color w:val="auto"/>
        </w:rPr>
        <w:t>” means leading edge DRAM Semiconductor wafers and die, including double data rate (DDR), graphics DDR (GDDR), low-power DDR (LPDDR), and HBM (high-bandwidth memory).</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Program Requirement</w:t>
      </w:r>
      <w:r>
        <w:rPr>
          <w:rFonts w:ascii="Calibri" w:cs="Calibri" w:eastAsia="Calibri" w:hAnsi="Calibri"/>
          <w:sz w:val="20"/>
          <w:szCs w:val="20"/>
          <w:color w:val="auto"/>
        </w:rPr>
        <w:t>” means each requirement set forth in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Prohibited Person</w:t>
      </w:r>
      <w:r>
        <w:rPr>
          <w:rFonts w:ascii="Calibri" w:cs="Calibri" w:eastAsia="Calibri" w:hAnsi="Calibri"/>
          <w:sz w:val="20"/>
          <w:szCs w:val="20"/>
          <w:color w:val="auto"/>
        </w:rPr>
        <w:t>” means any Person or entty that is:</w:t>
      </w:r>
    </w:p>
    <w:p>
      <w:pPr>
        <w:spacing w:after="0" w:line="174" w:lineRule="exact"/>
        <w:rPr>
          <w:sz w:val="20"/>
          <w:szCs w:val="20"/>
          <w:color w:val="auto"/>
        </w:rPr>
      </w:pPr>
    </w:p>
    <w:p>
      <w:pPr>
        <w:ind w:left="1300" w:hanging="644"/>
        <w:spacing w:after="0"/>
        <w:tabs>
          <w:tab w:leader="none" w:pos="1300" w:val="left"/>
        </w:tabs>
        <w:numPr>
          <w:ilvl w:val="0"/>
          <w:numId w:val="436"/>
        </w:numPr>
        <w:rPr>
          <w:rFonts w:ascii="Calibri" w:cs="Calibri" w:eastAsia="Calibri" w:hAnsi="Calibri"/>
          <w:sz w:val="20"/>
          <w:szCs w:val="20"/>
          <w:color w:val="auto"/>
        </w:rPr>
      </w:pPr>
      <w:r>
        <w:rPr>
          <w:rFonts w:ascii="Calibri" w:cs="Calibri" w:eastAsia="Calibri" w:hAnsi="Calibri"/>
          <w:sz w:val="20"/>
          <w:szCs w:val="20"/>
          <w:color w:val="auto"/>
        </w:rPr>
        <w:t>a Sanctoned Person;</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6"/>
        </w:numPr>
        <w:rPr>
          <w:rFonts w:ascii="Calibri" w:cs="Calibri" w:eastAsia="Calibri" w:hAnsi="Calibri"/>
          <w:sz w:val="20"/>
          <w:szCs w:val="20"/>
          <w:color w:val="auto"/>
        </w:rPr>
      </w:pPr>
      <w:r>
        <w:rPr>
          <w:rFonts w:ascii="Calibri" w:cs="Calibri" w:eastAsia="Calibri" w:hAnsi="Calibri"/>
          <w:sz w:val="20"/>
          <w:szCs w:val="20"/>
          <w:color w:val="auto"/>
        </w:rPr>
        <w:t>debarred or suspended from contractng with the U.S. government or any agency or instrumentality thereof;</w:t>
      </w:r>
    </w:p>
    <w:p>
      <w:pPr>
        <w:spacing w:after="0" w:line="170" w:lineRule="exact"/>
        <w:rPr>
          <w:rFonts w:ascii="Calibri" w:cs="Calibri" w:eastAsia="Calibri" w:hAnsi="Calibri"/>
          <w:sz w:val="20"/>
          <w:szCs w:val="20"/>
          <w:color w:val="auto"/>
        </w:rPr>
      </w:pPr>
    </w:p>
    <w:p>
      <w:pPr>
        <w:jc w:val="both"/>
        <w:ind w:left="1300" w:hanging="644"/>
        <w:spacing w:after="0" w:line="202" w:lineRule="auto"/>
        <w:tabs>
          <w:tab w:leader="none" w:pos="1294" w:val="left"/>
        </w:tabs>
        <w:numPr>
          <w:ilvl w:val="0"/>
          <w:numId w:val="436"/>
        </w:numPr>
        <w:rPr>
          <w:rFonts w:ascii="Calibri" w:cs="Calibri" w:eastAsia="Calibri" w:hAnsi="Calibri"/>
          <w:sz w:val="20"/>
          <w:szCs w:val="20"/>
          <w:color w:val="auto"/>
        </w:rPr>
      </w:pPr>
      <w:r>
        <w:rPr>
          <w:rFonts w:ascii="Calibri" w:cs="Calibri" w:eastAsia="Calibri" w:hAnsi="Calibri"/>
          <w:sz w:val="20"/>
          <w:szCs w:val="20"/>
          <w:color w:val="auto"/>
        </w:rPr>
        <w:t>debarred, suspended, proposed for debarment with a fnal determinaton stll pending, declared ineligible or voluntarily excluded (as such terms are defned in any of the Debarment Regulatons) from contractng with any U.S. federal government department or any agency or instrumentality thereof or otherwise partcipatng in procurement or non-procurement transactons with any U.S. federal government department or agency pursuant to any of the Debarment Regulatons; or</w:t>
      </w:r>
    </w:p>
    <w:p>
      <w:pPr>
        <w:spacing w:after="0" w:line="174" w:lineRule="exact"/>
        <w:rPr>
          <w:rFonts w:ascii="Calibri" w:cs="Calibri" w:eastAsia="Calibri" w:hAnsi="Calibri"/>
          <w:sz w:val="20"/>
          <w:szCs w:val="20"/>
          <w:color w:val="auto"/>
        </w:rPr>
      </w:pPr>
    </w:p>
    <w:p>
      <w:pPr>
        <w:ind w:left="1300" w:right="20" w:hanging="644"/>
        <w:spacing w:after="0" w:line="214" w:lineRule="auto"/>
        <w:tabs>
          <w:tab w:leader="none" w:pos="1298" w:val="left"/>
        </w:tabs>
        <w:numPr>
          <w:ilvl w:val="0"/>
          <w:numId w:val="436"/>
        </w:numPr>
        <w:rPr>
          <w:rFonts w:ascii="Calibri" w:cs="Calibri" w:eastAsia="Calibri" w:hAnsi="Calibri"/>
          <w:sz w:val="20"/>
          <w:szCs w:val="20"/>
          <w:color w:val="auto"/>
        </w:rPr>
      </w:pPr>
      <w:r>
        <w:rPr>
          <w:rFonts w:ascii="Calibri" w:cs="Calibri" w:eastAsia="Calibri" w:hAnsi="Calibri"/>
          <w:sz w:val="20"/>
          <w:szCs w:val="20"/>
          <w:color w:val="auto"/>
        </w:rPr>
        <w:t>indicted, convicted or had a Governmental Judgment rendered against it for any of the ofenses listed in any of the Debarment Regulatons.</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w:t>
      </w:r>
      <w:r>
        <w:rPr>
          <w:rFonts w:ascii="Calibri" w:cs="Calibri" w:eastAsia="Calibri" w:hAnsi="Calibri"/>
          <w:sz w:val="20"/>
          <w:szCs w:val="20"/>
          <w:color w:val="auto"/>
        </w:rPr>
        <w:t>” has the meaning set forth in the recitals hereto.</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Commencement Clawback Date</w:t>
      </w:r>
      <w:r>
        <w:rPr>
          <w:rFonts w:ascii="Calibri" w:cs="Calibri" w:eastAsia="Calibri" w:hAnsi="Calibri"/>
          <w:sz w:val="20"/>
          <w:szCs w:val="20"/>
          <w:color w:val="auto"/>
        </w:rPr>
        <w:t>” means the Award Date.</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Commencement Date</w:t>
      </w:r>
      <w:r>
        <w:rPr>
          <w:rFonts w:ascii="Calibri" w:cs="Calibri" w:eastAsia="Calibri" w:hAnsi="Calibri"/>
          <w:sz w:val="20"/>
          <w:szCs w:val="20"/>
          <w:color w:val="auto"/>
        </w:rPr>
        <w:t>” means, with respect to the Project, and as demonstrated by evidence delivered to the Department, in form and substance satsfactory to the Department, the date on which the Recipient commenced the Project.</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Clawback Date</w:t>
      </w:r>
      <w:r>
        <w:rPr>
          <w:rFonts w:ascii="Calibri" w:cs="Calibri" w:eastAsia="Calibri" w:hAnsi="Calibri"/>
          <w:sz w:val="20"/>
          <w:szCs w:val="20"/>
          <w:color w:val="auto"/>
        </w:rPr>
        <w:t>” means, with respect to the Project, the date the Recipient is required to achieve the Project Completon Date for the Project, as set forth in the Disbursement Milestone Schedule under the column enttled “Clawback Date” with respect to the fnal Disbursement Milestone for the Project.</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Date</w:t>
      </w:r>
      <w:r>
        <w:rPr>
          <w:rFonts w:ascii="Calibri" w:cs="Calibri" w:eastAsia="Calibri" w:hAnsi="Calibri"/>
          <w:sz w:val="20"/>
          <w:szCs w:val="20"/>
          <w:color w:val="auto"/>
        </w:rPr>
        <w:t>” means the frst date on which the Project Completon Requirements have been achieved to the satsfacton of the Department, as evidenced by a writen notfcaton from the Department to the Recipient.</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Requirements</w:t>
      </w:r>
      <w:r>
        <w:rPr>
          <w:rFonts w:ascii="Calibri" w:cs="Calibri" w:eastAsia="Calibri" w:hAnsi="Calibri"/>
          <w:sz w:val="20"/>
          <w:szCs w:val="20"/>
          <w:color w:val="auto"/>
        </w:rPr>
        <w:t>” means:</w:t>
      </w:r>
    </w:p>
    <w:p>
      <w:pPr>
        <w:spacing w:after="0" w:line="161" w:lineRule="exact"/>
        <w:rPr>
          <w:sz w:val="20"/>
          <w:szCs w:val="20"/>
          <w:color w:val="auto"/>
        </w:rPr>
      </w:pPr>
    </w:p>
    <w:p>
      <w:pPr>
        <w:ind w:left="1300" w:hanging="644"/>
        <w:spacing w:after="0"/>
        <w:tabs>
          <w:tab w:leader="none" w:pos="1300" w:val="left"/>
        </w:tabs>
        <w:numPr>
          <w:ilvl w:val="0"/>
          <w:numId w:val="437"/>
        </w:numPr>
        <w:rPr>
          <w:rFonts w:ascii="Calibri" w:cs="Calibri" w:eastAsia="Calibri" w:hAnsi="Calibri"/>
          <w:sz w:val="20"/>
          <w:szCs w:val="20"/>
          <w:color w:val="auto"/>
        </w:rPr>
      </w:pPr>
      <w:r>
        <w:rPr>
          <w:rFonts w:ascii="Calibri" w:cs="Calibri" w:eastAsia="Calibri" w:hAnsi="Calibri"/>
          <w:sz w:val="20"/>
          <w:szCs w:val="20"/>
          <w:color w:val="auto"/>
        </w:rPr>
        <w:t>the fnal Disbursement Milestone for the Project has been achieved to the satsfacton of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ectPr>
          <w:pgSz w:w="11900" w:h="16838" w:orient="portrait"/>
          <w:cols w:equalWidth="0" w:num="1">
            <w:col w:w="11240"/>
          </w:cols>
          <w:pgMar w:left="320" w:top="1374" w:right="339" w:bottom="1440" w:gutter="0" w:footer="0" w:header="0"/>
        </w:sectPr>
      </w:pPr>
    </w:p>
    <w:bookmarkStart w:id="405" w:name="page406"/>
    <w:bookmarkEnd w:id="405"/>
    <w:p>
      <w:pPr>
        <w:ind w:left="1300" w:hanging="644"/>
        <w:spacing w:after="0" w:line="214" w:lineRule="auto"/>
        <w:tabs>
          <w:tab w:leader="none" w:pos="1300" w:val="left"/>
        </w:tabs>
        <w:numPr>
          <w:ilvl w:val="0"/>
          <w:numId w:val="438"/>
        </w:numPr>
        <w:rPr>
          <w:rFonts w:ascii="Calibri" w:cs="Calibri" w:eastAsia="Calibri" w:hAnsi="Calibri"/>
          <w:sz w:val="20"/>
          <w:szCs w:val="20"/>
          <w:color w:val="auto"/>
        </w:rPr>
      </w:pPr>
      <w:r>
        <w:rPr>
          <w:rFonts w:ascii="Calibri" w:cs="Calibri" w:eastAsia="Calibri" w:hAnsi="Calibri"/>
          <w:sz w:val="20"/>
          <w:szCs w:val="20"/>
          <w:color w:val="auto"/>
        </w:rPr>
        <w:t>the contractual requirements for completon of the constructon of the Project under the Constructon Contracts and any other relevant Project Documents have been met, and the Project has commenced commercial operatons;</w:t>
      </w:r>
    </w:p>
    <w:p>
      <w:pPr>
        <w:spacing w:after="0" w:line="172" w:lineRule="exact"/>
        <w:rPr>
          <w:rFonts w:ascii="Calibri" w:cs="Calibri" w:eastAsia="Calibri" w:hAnsi="Calibri"/>
          <w:sz w:val="20"/>
          <w:szCs w:val="20"/>
          <w:color w:val="auto"/>
        </w:rPr>
      </w:pPr>
    </w:p>
    <w:p>
      <w:pPr>
        <w:ind w:left="1300" w:hanging="644"/>
        <w:spacing w:after="0" w:line="214" w:lineRule="auto"/>
        <w:tabs>
          <w:tab w:leader="none" w:pos="1294" w:val="left"/>
        </w:tabs>
        <w:numPr>
          <w:ilvl w:val="0"/>
          <w:numId w:val="438"/>
        </w:numPr>
        <w:rPr>
          <w:rFonts w:ascii="Calibri" w:cs="Calibri" w:eastAsia="Calibri" w:hAnsi="Calibri"/>
          <w:sz w:val="20"/>
          <w:szCs w:val="20"/>
          <w:color w:val="auto"/>
        </w:rPr>
      </w:pPr>
      <w:r>
        <w:rPr>
          <w:rFonts w:ascii="Calibri" w:cs="Calibri" w:eastAsia="Calibri" w:hAnsi="Calibri"/>
          <w:sz w:val="20"/>
          <w:szCs w:val="20"/>
          <w:color w:val="auto"/>
        </w:rPr>
        <w:t>no Event of Default or Potental Event of Default shall exist as of the Project Completon Date or would result from the occurrence of the Project Completon Date;</w:t>
      </w:r>
    </w:p>
    <w:p>
      <w:pPr>
        <w:spacing w:after="0" w:line="185" w:lineRule="exact"/>
        <w:rPr>
          <w:rFonts w:ascii="Calibri" w:cs="Calibri" w:eastAsia="Calibri" w:hAnsi="Calibri"/>
          <w:sz w:val="20"/>
          <w:szCs w:val="20"/>
          <w:color w:val="auto"/>
        </w:rPr>
      </w:pPr>
    </w:p>
    <w:p>
      <w:pPr>
        <w:jc w:val="both"/>
        <w:ind w:left="1300" w:hanging="644"/>
        <w:spacing w:after="0" w:line="200" w:lineRule="auto"/>
        <w:tabs>
          <w:tab w:leader="none" w:pos="1302" w:val="left"/>
        </w:tabs>
        <w:numPr>
          <w:ilvl w:val="0"/>
          <w:numId w:val="438"/>
        </w:numPr>
        <w:rPr>
          <w:rFonts w:ascii="Calibri" w:cs="Calibri" w:eastAsia="Calibri" w:hAnsi="Calibri"/>
          <w:sz w:val="20"/>
          <w:szCs w:val="20"/>
          <w:color w:val="auto"/>
        </w:rPr>
      </w:pPr>
      <w:r>
        <w:rPr>
          <w:rFonts w:ascii="Calibri" w:cs="Calibri" w:eastAsia="Calibri" w:hAnsi="Calibri"/>
          <w:sz w:val="20"/>
          <w:szCs w:val="20"/>
          <w:color w:val="auto"/>
        </w:rPr>
        <w:t>each of the representatons and warrantes made (or deemed made) by any Recipient Party in any Award Document shall be true and correct in all material respects (except to the extent any such representaton and warranty itself is qualifed by “materiality,” “material adverse efect” or a similar qualifer, in which case it shall be true and correct in all respects) as of such date, except to the extent such representaton or warranty is made only as of a specifc date or tme (in which event such representaton or warranty shall be true and correct as of such date or tme); and</w:t>
      </w:r>
    </w:p>
    <w:p>
      <w:pPr>
        <w:spacing w:after="0" w:line="184" w:lineRule="exact"/>
        <w:rPr>
          <w:rFonts w:ascii="Calibri" w:cs="Calibri" w:eastAsia="Calibri" w:hAnsi="Calibri"/>
          <w:sz w:val="20"/>
          <w:szCs w:val="20"/>
          <w:color w:val="auto"/>
        </w:rPr>
      </w:pPr>
    </w:p>
    <w:p>
      <w:pPr>
        <w:jc w:val="both"/>
        <w:ind w:left="1300" w:hanging="644"/>
        <w:spacing w:after="0" w:line="205" w:lineRule="auto"/>
        <w:tabs>
          <w:tab w:leader="none" w:pos="1299" w:val="left"/>
        </w:tabs>
        <w:numPr>
          <w:ilvl w:val="0"/>
          <w:numId w:val="438"/>
        </w:numPr>
        <w:rPr>
          <w:rFonts w:ascii="Calibri" w:cs="Calibri" w:eastAsia="Calibri" w:hAnsi="Calibri"/>
          <w:sz w:val="20"/>
          <w:szCs w:val="20"/>
          <w:color w:val="auto"/>
        </w:rPr>
      </w:pPr>
      <w:r>
        <w:rPr>
          <w:rFonts w:ascii="Calibri" w:cs="Calibri" w:eastAsia="Calibri" w:hAnsi="Calibri"/>
          <w:sz w:val="20"/>
          <w:szCs w:val="20"/>
          <w:color w:val="auto"/>
        </w:rPr>
        <w:t>the Recipient has delivered to the Department a project completon certfcate executed by an Authorized Ofcer of the Recipient, substantally in the form atached as Exhibit E (</w:t>
      </w:r>
      <w:r>
        <w:rPr>
          <w:rFonts w:ascii="Calibri" w:cs="Calibri" w:eastAsia="Calibri" w:hAnsi="Calibri"/>
          <w:sz w:val="20"/>
          <w:szCs w:val="20"/>
          <w:b w:val="1"/>
          <w:bCs w:val="1"/>
          <w:color w:val="auto"/>
        </w:rPr>
        <w:t>Form of Project Completon Certfcate</w:t>
      </w:r>
      <w:r>
        <w:rPr>
          <w:rFonts w:ascii="Calibri" w:cs="Calibri" w:eastAsia="Calibri" w:hAnsi="Calibri"/>
          <w:sz w:val="20"/>
          <w:szCs w:val="20"/>
          <w:color w:val="auto"/>
        </w:rPr>
        <w:t>), certfying that each of the requirements set forth in clauses (a) through (d) has been satsfed as of the date of such certfcate.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Costs</w:t>
      </w:r>
      <w:r>
        <w:rPr>
          <w:rFonts w:ascii="Calibri" w:cs="Calibri" w:eastAsia="Calibri" w:hAnsi="Calibri"/>
          <w:sz w:val="20"/>
          <w:szCs w:val="20"/>
          <w:color w:val="auto"/>
        </w:rPr>
        <w:t>” means all costs that have been incurred or are projected to be incurred by the Recipient, or on behalf of the Recipient and incurred by the Sponsor Guarantor in connecton with the constructon of the Project through the Project Completon Date, including:</w:t>
      </w:r>
    </w:p>
    <w:p>
      <w:pPr>
        <w:spacing w:after="0" w:line="175" w:lineRule="exact"/>
        <w:rPr>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amounts payable under the Constructon Contracts entered into in connecton with the Project;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fees and expenses payable under the Financing Documents prior to the end of the Direct Funding Disbursement Period;</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costs to acquire ttle or use rights to the Project Site, necessary easements and other real property interests;</w:t>
      </w:r>
    </w:p>
    <w:p>
      <w:pPr>
        <w:spacing w:after="0" w:line="184" w:lineRule="exact"/>
        <w:rPr>
          <w:rFonts w:ascii="Calibri" w:cs="Calibri" w:eastAsia="Calibri" w:hAnsi="Calibri"/>
          <w:sz w:val="20"/>
          <w:szCs w:val="20"/>
          <w:color w:val="auto"/>
        </w:rPr>
      </w:pPr>
    </w:p>
    <w:p>
      <w:pPr>
        <w:ind w:left="1300" w:hanging="644"/>
        <w:spacing w:after="0" w:line="208" w:lineRule="auto"/>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costs and expenses of legal, engineering, accountng, constructon management and other advisors or Consultants incurred in connecton with the Project;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fees, commissions and expenses payable to the Department;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development costs to the extent permited to be paid under the Financing Documents;</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insurance premiums in connecton with the Project obtained prior to the Project Completon Date;</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the Recipient’s labor costs and general and administraton costs;</w:t>
      </w:r>
    </w:p>
    <w:p>
      <w:pPr>
        <w:spacing w:after="0" w:line="184" w:lineRule="exact"/>
        <w:rPr>
          <w:rFonts w:ascii="Calibri" w:cs="Calibri" w:eastAsia="Calibri" w:hAnsi="Calibri"/>
          <w:sz w:val="20"/>
          <w:szCs w:val="20"/>
          <w:color w:val="auto"/>
        </w:rPr>
      </w:pPr>
    </w:p>
    <w:p>
      <w:pPr>
        <w:ind w:left="1300" w:right="20" w:hanging="644"/>
        <w:spacing w:after="0" w:line="208" w:lineRule="auto"/>
        <w:tabs>
          <w:tab w:leader="none" w:pos="1301"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costs incurred under the relevant operatons and management agreement and mobilizaton costs included in the Base Case Financial Model;</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operatng losses through the Breakeven Date; and</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39"/>
        </w:numPr>
        <w:rPr>
          <w:rFonts w:ascii="Calibri" w:cs="Calibri" w:eastAsia="Calibri" w:hAnsi="Calibri"/>
          <w:sz w:val="20"/>
          <w:szCs w:val="20"/>
          <w:color w:val="auto"/>
        </w:rPr>
      </w:pPr>
      <w:r>
        <w:rPr>
          <w:rFonts w:ascii="Calibri" w:cs="Calibri" w:eastAsia="Calibri" w:hAnsi="Calibri"/>
          <w:sz w:val="20"/>
          <w:szCs w:val="20"/>
          <w:color w:val="auto"/>
        </w:rPr>
        <w:t>such other costs or expenses approved by the Department.</w:t>
      </w:r>
    </w:p>
    <w:p>
      <w:pPr>
        <w:spacing w:after="0" w:line="171" w:lineRule="exact"/>
        <w:rPr>
          <w:sz w:val="20"/>
          <w:szCs w:val="20"/>
          <w:color w:val="auto"/>
        </w:rPr>
      </w:pPr>
    </w:p>
    <w:p>
      <w:pPr>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Document</w:t>
      </w:r>
      <w:r>
        <w:rPr>
          <w:rFonts w:ascii="Calibri" w:cs="Calibri" w:eastAsia="Calibri" w:hAnsi="Calibri"/>
          <w:sz w:val="20"/>
          <w:szCs w:val="20"/>
          <w:color w:val="auto"/>
        </w:rPr>
        <w:t>” means each contract entered into by the Recipient that is necessary for or material to the constructon and operaton of the Project.</w:t>
      </w:r>
    </w:p>
    <w:p>
      <w:pPr>
        <w:spacing w:after="0" w:line="186" w:lineRule="exact"/>
        <w:rPr>
          <w:sz w:val="20"/>
          <w:szCs w:val="20"/>
          <w:color w:val="auto"/>
        </w:rPr>
      </w:pPr>
    </w:p>
    <w:p>
      <w:pPr>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Initaton Date</w:t>
      </w:r>
      <w:r>
        <w:rPr>
          <w:rFonts w:ascii="Calibri" w:cs="Calibri" w:eastAsia="Calibri" w:hAnsi="Calibri"/>
          <w:sz w:val="20"/>
          <w:szCs w:val="20"/>
          <w:color w:val="auto"/>
        </w:rPr>
        <w:t>” means, with respect to the Project, the frst date on which any Recipient Party or any afliate of the Recipient made expenditures related to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ectPr>
          <w:pgSz w:w="11900" w:h="16838" w:orient="portrait"/>
          <w:cols w:equalWidth="0" w:num="1">
            <w:col w:w="11240"/>
          </w:cols>
          <w:pgMar w:left="320" w:top="1384" w:right="339" w:bottom="1440" w:gutter="0" w:footer="0" w:header="0"/>
        </w:sectPr>
      </w:pPr>
    </w:p>
    <w:bookmarkStart w:id="406" w:name="page407"/>
    <w:bookmarkEnd w:id="406"/>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IP</w:t>
      </w:r>
      <w:r>
        <w:rPr>
          <w:rFonts w:ascii="Calibri" w:cs="Calibri" w:eastAsia="Calibri" w:hAnsi="Calibri"/>
          <w:sz w:val="20"/>
          <w:szCs w:val="20"/>
          <w:color w:val="auto"/>
        </w:rPr>
        <w:t>” means, all Technology and Intellectual Property, excluding patents, that are: (a) necessary for, or arising from, the achievement of any Disbursement Milestone by the respectve Milestone Completon Longstop Date; or (c) necessary to exercise the Recipient’s rights and perform its obligatons under the Project Documents for the Project, as applicable at the relevant tme, but excluding any Sofware or equipment that: (i) has not been modifed or customized for the Recipient; (ii) is readily commercially available; and (iii) is licensed or procured under standard terms and conditons. For clarity, the Recipient’s or the Sponsor Guarantor’s research and development of Semiconductor processes and related product designs are independent of the Project, and accordingly, the Department does not take any security interest in the Project IP except to the extent expressly provided for in the Award Documents.</w:t>
      </w:r>
    </w:p>
    <w:p>
      <w:pPr>
        <w:spacing w:after="0" w:line="190"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IP Agreement</w:t>
      </w:r>
      <w:r>
        <w:rPr>
          <w:rFonts w:ascii="Calibri" w:cs="Calibri" w:eastAsia="Calibri" w:hAnsi="Calibri"/>
          <w:sz w:val="20"/>
          <w:szCs w:val="20"/>
          <w:color w:val="auto"/>
        </w:rPr>
        <w:t>” means, with respect to the Project, each agreement grantng or document evidencing the Recipient’s exclusive ownership of or rights to use Project IP (including assignment agreements) for the Project.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Site</w:t>
      </w:r>
      <w:r>
        <w:rPr>
          <w:rFonts w:ascii="Calibri" w:cs="Calibri" w:eastAsia="Calibri" w:hAnsi="Calibri"/>
          <w:sz w:val="20"/>
          <w:szCs w:val="20"/>
          <w:color w:val="auto"/>
        </w:rPr>
        <w:t>” means the Real Property described in Schedule D (</w:t>
      </w:r>
      <w:r>
        <w:rPr>
          <w:rFonts w:ascii="Calibri" w:cs="Calibri" w:eastAsia="Calibri" w:hAnsi="Calibri"/>
          <w:sz w:val="20"/>
          <w:szCs w:val="20"/>
          <w:b w:val="1"/>
          <w:bCs w:val="1"/>
          <w:color w:val="auto"/>
        </w:rPr>
        <w:t>Project Site</w:t>
      </w:r>
      <w:r>
        <w:rPr>
          <w:rFonts w:ascii="Calibri" w:cs="Calibri" w:eastAsia="Calibri" w:hAnsi="Calibri"/>
          <w:sz w:val="20"/>
          <w:szCs w:val="20"/>
          <w:color w:val="auto"/>
        </w:rPr>
        <w:t>)).</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Projected Cumulatve Unlevered Free Cash Flow</w:t>
      </w:r>
      <w:r>
        <w:rPr>
          <w:rFonts w:ascii="Calibri" w:cs="Calibri" w:eastAsia="Calibri" w:hAnsi="Calibri"/>
          <w:sz w:val="20"/>
          <w:szCs w:val="20"/>
          <w:color w:val="auto"/>
        </w:rPr>
        <w:t>” means, with respect to the Project and for any Relevant Period, the cumulatve total of all projected cumulatve unlevered free cash fow for the Project from the Project Initaton Date for the Project through the end of such Relevant Period, as set forth in and as calculated in accordance with the Base Case Financial Model for the Project and set forth in the “Upside Sharing Baseline FCF” tab in the Base Case Financial Model.</w:t>
      </w:r>
    </w:p>
    <w:p>
      <w:pPr>
        <w:spacing w:after="0" w:line="173"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Property</w:t>
      </w:r>
      <w:r>
        <w:rPr>
          <w:rFonts w:ascii="Calibri" w:cs="Calibri" w:eastAsia="Calibri" w:hAnsi="Calibri"/>
          <w:sz w:val="20"/>
          <w:szCs w:val="20"/>
          <w:color w:val="auto"/>
        </w:rPr>
        <w:t>” means, unless otherwise specifcally limited, real or personal property of any kind, tangible or intangible, choate or inchoate.</w:t>
      </w:r>
    </w:p>
    <w:p>
      <w:pPr>
        <w:spacing w:after="0" w:line="186"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Prudent Industry Practce</w:t>
      </w:r>
      <w:r>
        <w:rPr>
          <w:rFonts w:ascii="Calibri" w:cs="Calibri" w:eastAsia="Calibri" w:hAnsi="Calibri"/>
          <w:sz w:val="20"/>
          <w:szCs w:val="20"/>
          <w:color w:val="auto"/>
        </w:rPr>
        <w:t>” shall mean that range of practces, methods, equipment, specifcatons, and standards of safety and performance, as are commonly accepted in the Semiconductor industry as good, safe, prudent and commercial practces in connecton with the design, constructon, operaton, maintenance, repair and use of the Project; provided that the standard operatng practces of the Sponsor Guarantor as of the Award Date shall be deemed to be Prudent Industry Practce.</w:t>
      </w:r>
    </w:p>
    <w:p>
      <w:pPr>
        <w:spacing w:after="0" w:line="185"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Real Property</w:t>
      </w:r>
      <w:r>
        <w:rPr>
          <w:rFonts w:ascii="Calibri" w:cs="Calibri" w:eastAsia="Calibri" w:hAnsi="Calibri"/>
          <w:sz w:val="20"/>
          <w:szCs w:val="20"/>
          <w:color w:val="auto"/>
        </w:rPr>
        <w:t>” means, with respect to any Person, all right, ttle and interest of such Person in and to any and all parcels of real property owned, leased or encumbered by such Person, together with all improvements and appurtenant fxtures, equipment, easements, mineral rights and other property and rights incidental to the ownership, lease or operaton thereof.</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 Party</w:t>
      </w:r>
      <w:r>
        <w:rPr>
          <w:rFonts w:ascii="Calibri" w:cs="Calibri" w:eastAsia="Calibri" w:hAnsi="Calibri"/>
          <w:sz w:val="20"/>
          <w:szCs w:val="20"/>
          <w:color w:val="auto"/>
        </w:rPr>
        <w:t>” means each of (a) the Recipient; and (b) the Sponsor Guarantor</w:t>
      </w:r>
    </w:p>
    <w:p>
      <w:pPr>
        <w:spacing w:after="0" w:line="184"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means PricewaterhouseCoopers LLP, or such other frm of independent certfed public accountants of natonally recognized standing as may be appointed by the Recipient from tme to tme.</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has the meaning set forth in the preamble hereto.</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Referral</w:t>
      </w:r>
      <w:r>
        <w:rPr>
          <w:rFonts w:ascii="Calibri" w:cs="Calibri" w:eastAsia="Calibri" w:hAnsi="Calibri"/>
          <w:sz w:val="20"/>
          <w:szCs w:val="20"/>
          <w:color w:val="auto"/>
        </w:rPr>
        <w:t>” has the meaning set forth in Secton 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Related Entty</w:t>
      </w:r>
      <w:r>
        <w:rPr>
          <w:rFonts w:ascii="Calibri" w:cs="Calibri" w:eastAsia="Calibri" w:hAnsi="Calibri"/>
          <w:sz w:val="20"/>
          <w:szCs w:val="20"/>
          <w:color w:val="auto"/>
        </w:rPr>
        <w:t>” has the meaning set forth in the Guardrail Provisions.</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Release</w:t>
      </w:r>
      <w:r>
        <w:rPr>
          <w:rFonts w:ascii="Calibri" w:cs="Calibri" w:eastAsia="Calibri" w:hAnsi="Calibri"/>
          <w:sz w:val="20"/>
          <w:szCs w:val="20"/>
          <w:color w:val="auto"/>
        </w:rPr>
        <w:t>” means disposing, discharging, injectng, spilling, leaking, leaching, dumping, pumping, pouring, emitng, escaping, emptying, depositng or seeping into the environment, and the term “Released” and similar constructons have correlatve meanings.</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Event</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w:t>
      </w:r>
      <w:r>
        <w:rPr>
          <w:rFonts w:ascii="Calibri" w:cs="Calibri" w:eastAsia="Calibri" w:hAnsi="Calibri"/>
          <w:sz w:val="20"/>
          <w:szCs w:val="20"/>
          <w:color w:val="auto"/>
        </w:rPr>
        <w:t>” means (a) Relevant Period 1; and (b) Relevant Period 2,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240"/>
          </w:cols>
          <w:pgMar w:left="320" w:top="1384" w:right="339" w:bottom="1440" w:gutter="0" w:footer="0" w:header="0"/>
        </w:sectPr>
      </w:pPr>
    </w:p>
    <w:bookmarkStart w:id="407" w:name="page408"/>
    <w:bookmarkEnd w:id="407"/>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 1</w:t>
      </w:r>
      <w:r>
        <w:rPr>
          <w:rFonts w:ascii="Calibri" w:cs="Calibri" w:eastAsia="Calibri" w:hAnsi="Calibri"/>
          <w:sz w:val="20"/>
          <w:szCs w:val="20"/>
          <w:color w:val="auto"/>
        </w:rPr>
        <w:t>” means, the fve (5) Fiscal Year period commencing with the frst (1st) Fiscal Year afer the Fiscal Year in which the Breakeven Date occurs.</w:t>
      </w:r>
    </w:p>
    <w:p>
      <w:pPr>
        <w:spacing w:after="0" w:line="172"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 2</w:t>
      </w:r>
      <w:r>
        <w:rPr>
          <w:rFonts w:ascii="Calibri" w:cs="Calibri" w:eastAsia="Calibri" w:hAnsi="Calibri"/>
          <w:sz w:val="20"/>
          <w:szCs w:val="20"/>
          <w:color w:val="auto"/>
        </w:rPr>
        <w:t>” means, the ten (10) Fiscal Year period commencing with the frst (1st) Fiscal Year afer the Fiscal Year in which the Breakeven Date occurs for the Project (it being understood that such Relevant Period 2 and any calculatons of the Upside Sharing Amount for such Relevant Period 2 is applicable commencing with sixth (6th) Fiscal Year afer the Fiscal Year in which the Breakeven Date occurs).</w:t>
      </w:r>
    </w:p>
    <w:p>
      <w:pPr>
        <w:spacing w:after="0" w:line="17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Responding Party</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means all material Governmental Approvals and other consents and approvals of third partes necessary or required by any Recipient Party (or with respect to its respectve Propertes) under Applicable Law, the Program Requirements, the Financing Documents or any contractual obligaton including: (a) the due executon, delivery recordaton, fling or performance by any Recipient Party of any Financing Document to which such Recipient Party or is or is to be a party; (b) the grant by any Recipient Party of any Liens granted by such Person pursuant to the Financing Documents; (c) the exercise by the Department of its rights under any of the Financing Documents; (d) the development, constructon, operaton or maintenance of the Project; and (e) the Recipient’s ownership of the Project, other than those that are of a routne nature and can be obtained in the ordinary course of business.</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S&amp;P</w:t>
      </w:r>
      <w:r>
        <w:rPr>
          <w:rFonts w:ascii="Calibri" w:cs="Calibri" w:eastAsia="Calibri" w:hAnsi="Calibri"/>
          <w:sz w:val="20"/>
          <w:szCs w:val="20"/>
          <w:color w:val="auto"/>
        </w:rPr>
        <w:t>” means Standard &amp; Poor’s Financial Services LLC, so long as it is a ratng agency.</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SAM</w:t>
      </w:r>
      <w:r>
        <w:rPr>
          <w:rFonts w:ascii="Calibri" w:cs="Calibri" w:eastAsia="Calibri" w:hAnsi="Calibri"/>
          <w:sz w:val="20"/>
          <w:szCs w:val="20"/>
          <w:color w:val="auto"/>
        </w:rPr>
        <w:t xml:space="preserve">” means the System for Award Management electronic database administered by the United States General Services Administraton, found at </w:t>
      </w:r>
      <w:r>
        <w:rPr>
          <w:rFonts w:ascii="Calibri" w:cs="Calibri" w:eastAsia="Calibri" w:hAnsi="Calibri"/>
          <w:sz w:val="20"/>
          <w:szCs w:val="20"/>
          <w:i w:val="1"/>
          <w:iCs w:val="1"/>
          <w:u w:val="single" w:color="auto"/>
          <w:color w:val="0563C1"/>
        </w:rPr>
        <w:t>www.sam.gov</w:t>
      </w:r>
      <w:r>
        <w:rPr>
          <w:rFonts w:ascii="Calibri" w:cs="Calibri" w:eastAsia="Calibri" w:hAnsi="Calibri"/>
          <w:sz w:val="20"/>
          <w:szCs w:val="20"/>
          <w:color w:val="auto"/>
        </w:rPr>
        <w:t>.</w:t>
      </w:r>
    </w:p>
    <w:p>
      <w:pPr>
        <w:spacing w:after="0" w:line="17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Sanctoned Country</w:t>
      </w:r>
      <w:r>
        <w:rPr>
          <w:rFonts w:ascii="Calibri" w:cs="Calibri" w:eastAsia="Calibri" w:hAnsi="Calibri"/>
          <w:sz w:val="20"/>
          <w:szCs w:val="20"/>
          <w:color w:val="auto"/>
        </w:rPr>
        <w:t>” means, at any tme, a country, region or territory which is itself the subject or target of comprehensive country-wide or territory-wide Sanctons.</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Sanctoned Person</w:t>
      </w:r>
      <w:r>
        <w:rPr>
          <w:rFonts w:ascii="Calibri" w:cs="Calibri" w:eastAsia="Calibri" w:hAnsi="Calibri"/>
          <w:sz w:val="20"/>
          <w:szCs w:val="20"/>
          <w:color w:val="auto"/>
        </w:rPr>
        <w:t>” means, at any tme, (a) any Person identfed on any Sanctons List; (b) any Person located, organized or resident in a Sanctoned Country; (c) any Person owned ffy percent (50%) or more or controlled by any such Person or Persons described in the foregoing clauses (a) or (b); or (d) any Person that is otherwise the subject or target of any Sanctons.</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w:t>
      </w:r>
      <w:r>
        <w:rPr>
          <w:rFonts w:ascii="Calibri" w:cs="Calibri" w:eastAsia="Calibri" w:hAnsi="Calibri"/>
          <w:sz w:val="20"/>
          <w:szCs w:val="20"/>
          <w:color w:val="auto"/>
        </w:rPr>
        <w:t>” means any and all laws concerning or relatng to economic, fnancial or trade sanctons, embargoes, or similar restrictve measures imposed, administered, enacted or enforced by a Sanctons Authority.</w:t>
      </w:r>
    </w:p>
    <w:p>
      <w:pPr>
        <w:spacing w:after="0" w:line="186"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 Authority</w:t>
      </w:r>
      <w:r>
        <w:rPr>
          <w:rFonts w:ascii="Calibri" w:cs="Calibri" w:eastAsia="Calibri" w:hAnsi="Calibri"/>
          <w:sz w:val="20"/>
          <w:szCs w:val="20"/>
          <w:color w:val="auto"/>
        </w:rPr>
        <w:t>” means any agency, department, division or instrumentality of the United States federal government, including OFAC, the U.S. Department of State, and BIS.</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 List</w:t>
      </w:r>
      <w:r>
        <w:rPr>
          <w:rFonts w:ascii="Calibri" w:cs="Calibri" w:eastAsia="Calibri" w:hAnsi="Calibri"/>
          <w:sz w:val="20"/>
          <w:szCs w:val="20"/>
          <w:color w:val="auto"/>
        </w:rPr>
        <w:t>” means any list of designated Persons maintained by any Sanctons Authority, including, without limitaton, the “Specially Designated Natonals and Blocked Persons” list, “Sectoral Sanctons Identfcatons List,” and “Non-SDN Chinese Military-Industrial Complex Companies List” maintained by OFAC and the “Denied Persons List,” “Entty List,” “Unverifed List,” and “Military End-User List” maintained by BIS.</w:t>
      </w:r>
    </w:p>
    <w:p>
      <w:pPr>
        <w:spacing w:after="0" w:line="187"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Capex Amount</w:t>
      </w:r>
      <w:r>
        <w:rPr>
          <w:rFonts w:ascii="Calibri" w:cs="Calibri" w:eastAsia="Calibri" w:hAnsi="Calibri"/>
          <w:sz w:val="20"/>
          <w:szCs w:val="20"/>
          <w:color w:val="auto"/>
        </w:rPr>
        <w:t>” means, with respect to any Disbursement Milestone for the Project, the scheduled amount of Capital Expenditures to be paid or incurred by the Recipient for such Disbursement Milestone as set forth in the Disbursement Milestone Schedule under the column enttled “Scheduled Capex Amount.”</w:t>
      </w:r>
    </w:p>
    <w:p>
      <w:pPr>
        <w:spacing w:after="0" w:line="184"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Capex Amount</w:t>
      </w:r>
      <w:r>
        <w:rPr>
          <w:rFonts w:ascii="Calibri" w:cs="Calibri" w:eastAsia="Calibri" w:hAnsi="Calibri"/>
          <w:sz w:val="20"/>
          <w:szCs w:val="20"/>
          <w:color w:val="auto"/>
        </w:rPr>
        <w:t>” means, with respect to any Disbursement Milestone and as of any date of determinaton, the aggregate Scheduled Capex Amount for all Disbursement Milestones as of such date, including the then-current Disbursement Milestone, as set forth in the Disbursement Milestone Schedule under the column enttled “Scheduled Cumulatve Capex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ectPr>
          <w:pgSz w:w="11900" w:h="16838" w:orient="portrait"/>
          <w:cols w:equalWidth="0" w:num="1">
            <w:col w:w="11240"/>
          </w:cols>
          <w:pgMar w:left="320" w:top="1384" w:right="339" w:bottom="1440" w:gutter="0" w:footer="0" w:header="0"/>
        </w:sectPr>
      </w:pPr>
    </w:p>
    <w:bookmarkStart w:id="408" w:name="page409"/>
    <w:bookmarkEnd w:id="408"/>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Disbursement Amount</w:t>
      </w:r>
      <w:r>
        <w:rPr>
          <w:rFonts w:ascii="Calibri" w:cs="Calibri" w:eastAsia="Calibri" w:hAnsi="Calibri"/>
          <w:sz w:val="20"/>
          <w:szCs w:val="20"/>
          <w:color w:val="auto"/>
        </w:rPr>
        <w:t>” means, as of any date of determinaton, an amount equal to the aggregate Scheduled Disbursement Amount for all Disbursement Milestones as of such date, including the then-current Disbursement Milestone, as set forth in the Disbursement Milestone Schedule under the column enttled “Scheduled Disbursement Amount.”</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Disbursement Rato</w:t>
      </w:r>
      <w:r>
        <w:rPr>
          <w:rFonts w:ascii="Calibri" w:cs="Calibri" w:eastAsia="Calibri" w:hAnsi="Calibri"/>
          <w:sz w:val="20"/>
          <w:szCs w:val="20"/>
          <w:color w:val="auto"/>
        </w:rPr>
        <w:t>” means, as of any date of determinaton, the rato, expressed as a percentage, equal to (a) the Scheduled Cumulatve Disbursement Amount as of such date divided by (b) the Scheduled Cumulatve Capex Amount as of such date.</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Disbursement Amount</w:t>
      </w:r>
      <w:r>
        <w:rPr>
          <w:rFonts w:ascii="Calibri" w:cs="Calibri" w:eastAsia="Calibri" w:hAnsi="Calibri"/>
          <w:sz w:val="20"/>
          <w:szCs w:val="20"/>
          <w:color w:val="auto"/>
        </w:rPr>
        <w:t>” means, with respect to any Disbursement Milestone, the scheduled amount of the Maximum Direct Funding Award Amount to be made by the Department for such Disbursement Milestone, as set forth in the Disbursement Milestone Schedule under the column enttled “Scheduled Disbursement Amount.</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Secretary</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w:t>
      </w:r>
      <w:r>
        <w:rPr>
          <w:rFonts w:ascii="Calibri" w:cs="Calibri" w:eastAsia="Calibri" w:hAnsi="Calibri"/>
          <w:sz w:val="20"/>
          <w:szCs w:val="20"/>
          <w:color w:val="auto"/>
        </w:rPr>
        <w:t>” has the meaning set forth in Secton 7(h)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 Capacity</w:t>
      </w:r>
      <w:r>
        <w:rPr>
          <w:rFonts w:ascii="Calibri" w:cs="Calibri" w:eastAsia="Calibri" w:hAnsi="Calibri"/>
          <w:sz w:val="20"/>
          <w:szCs w:val="20"/>
          <w:color w:val="auto"/>
        </w:rPr>
        <w:t>” has the meaning set forth in the Guardrail Provisions.</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Sensitve Informaton</w:t>
      </w:r>
      <w:r>
        <w:rPr>
          <w:rFonts w:ascii="Calibri" w:cs="Calibri" w:eastAsia="Calibri" w:hAnsi="Calibri"/>
          <w:sz w:val="20"/>
          <w:szCs w:val="20"/>
          <w:color w:val="auto"/>
        </w:rPr>
        <w:t>” means: (a) any informaton that is subject to Data Protecton Laws; (b) Trade Secrets, or any other informaton in which any Recipient Party has confdental Intellectual Property (including any relevant Project IP owned by any Recipient Party); and (c) any informaton with respect to which any Recipient Party has contractual non-disclosure obligatons owed to any Person.</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Transacton</w:t>
      </w:r>
      <w:r>
        <w:rPr>
          <w:rFonts w:ascii="Calibri" w:cs="Calibri" w:eastAsia="Calibri" w:hAnsi="Calibri"/>
          <w:sz w:val="20"/>
          <w:szCs w:val="20"/>
          <w:color w:val="auto"/>
        </w:rPr>
        <w:t>” has the meaning set forth in the Guardrail Provisions.</w:t>
      </w:r>
    </w:p>
    <w:p>
      <w:pPr>
        <w:spacing w:after="0" w:line="184"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Sofware</w:t>
      </w:r>
      <w:r>
        <w:rPr>
          <w:rFonts w:ascii="Calibri" w:cs="Calibri" w:eastAsia="Calibri" w:hAnsi="Calibri"/>
          <w:sz w:val="20"/>
          <w:szCs w:val="20"/>
          <w:color w:val="auto"/>
        </w:rPr>
        <w:t>” means any and all: (a) computer programs and sofware implementatons of algorithms, models and methodologies, in each case, whether in source code, object code or any other form; (b) descriptons, fow charts and other work product used to design, plan, organize and develop any of the foregoing, frmware, development tools, confguratons, interfaces, platorms and applicatons; (c) data, databases and compilatons; and (d) documentaton supportng or related to any of the foregoing (including training materials). Sofware shall include “sofware” as such term is defned in the UCC and computer programs that may be construed as included in the defniton of “goods” in the UCC, including any licensed rights to Sofware, and all media that may contain Sofware or recorded data of any kind.</w:t>
      </w:r>
    </w:p>
    <w:p>
      <w:pPr>
        <w:spacing w:after="0" w:line="18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Source Code</w:t>
      </w:r>
      <w:r>
        <w:rPr>
          <w:rFonts w:ascii="Calibri" w:cs="Calibri" w:eastAsia="Calibri" w:hAnsi="Calibri"/>
          <w:sz w:val="20"/>
          <w:szCs w:val="20"/>
          <w:color w:val="auto"/>
        </w:rPr>
        <w:t>” means, with respect to any Sofware, the human-readable form of such Sofware.</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Sources and Uses Plan</w:t>
      </w:r>
      <w:r>
        <w:rPr>
          <w:rFonts w:ascii="Calibri" w:cs="Calibri" w:eastAsia="Calibri" w:hAnsi="Calibri"/>
          <w:sz w:val="20"/>
          <w:szCs w:val="20"/>
          <w:color w:val="auto"/>
        </w:rPr>
        <w:t>” means the detailed descripton of the overall fnancing plan for the Project, including expected sources and uses of funding associated with the Project (including specifc line items for each material component, phase or element of the Project); and refectng Capital Expenditures and operatng losses for the Project through the Breakeven Date, delivered by the Recipient to the Department pursuant to Secton 4.3 (</w:t>
      </w:r>
      <w:r>
        <w:rPr>
          <w:rFonts w:ascii="Calibri" w:cs="Calibri" w:eastAsia="Calibri" w:hAnsi="Calibri"/>
          <w:sz w:val="20"/>
          <w:szCs w:val="20"/>
          <w:b w:val="1"/>
          <w:bCs w:val="1"/>
          <w:color w:val="auto"/>
        </w:rPr>
        <w:t>Sources and Uses Plan</w:t>
      </w:r>
      <w:r>
        <w:rPr>
          <w:rFonts w:ascii="Calibri" w:cs="Calibri" w:eastAsia="Calibri" w:hAnsi="Calibri"/>
          <w:sz w:val="20"/>
          <w:szCs w:val="20"/>
          <w:color w:val="auto"/>
        </w:rPr>
        <w:t>).</w:t>
      </w:r>
    </w:p>
    <w:p>
      <w:pPr>
        <w:spacing w:after="0" w:line="173"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Guarantee</w:t>
      </w:r>
      <w:r>
        <w:rPr>
          <w:rFonts w:ascii="Calibri" w:cs="Calibri" w:eastAsia="Calibri" w:hAnsi="Calibri"/>
          <w:sz w:val="20"/>
          <w:szCs w:val="20"/>
          <w:color w:val="auto"/>
        </w:rPr>
        <w:t>” means that certain Sponsor Guarantee and Equity Contributon Agreement in favor of the Department entered into by and between the Sponsor Guarantor and the Department as of the Award Date.</w:t>
      </w:r>
    </w:p>
    <w:p>
      <w:pPr>
        <w:spacing w:after="0" w:line="186"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Guarantor</w:t>
      </w:r>
      <w:r>
        <w:rPr>
          <w:rFonts w:ascii="Calibri" w:cs="Calibri" w:eastAsia="Calibri" w:hAnsi="Calibri"/>
          <w:sz w:val="20"/>
          <w:szCs w:val="20"/>
          <w:color w:val="auto"/>
        </w:rPr>
        <w:t>” means Micron Technology, Inc., a corporaton organized and existng under the laws of Delaware, in its capacity as guarantor under the Sponsor Guarantee.</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Guarantor’s Accountant</w:t>
      </w:r>
      <w:r>
        <w:rPr>
          <w:rFonts w:ascii="Calibri" w:cs="Calibri" w:eastAsia="Calibri" w:hAnsi="Calibri"/>
          <w:sz w:val="20"/>
          <w:szCs w:val="20"/>
          <w:color w:val="auto"/>
        </w:rPr>
        <w:t>” means PricewaterhouseCoopers LLP, or such other frm of independent certfed public accountants of natonally recognized standing as may be appointed by the Sponsor from tme to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ectPr>
          <w:pgSz w:w="11900" w:h="16838" w:orient="portrait"/>
          <w:cols w:equalWidth="0" w:num="1">
            <w:col w:w="11240"/>
          </w:cols>
          <w:pgMar w:left="320" w:top="1384" w:right="339" w:bottom="1440" w:gutter="0" w:footer="0" w:header="0"/>
        </w:sectPr>
      </w:pPr>
    </w:p>
    <w:bookmarkStart w:id="409" w:name="page410"/>
    <w:bookmarkEnd w:id="409"/>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Start of Constructon Milestone</w:t>
      </w:r>
      <w:r>
        <w:rPr>
          <w:rFonts w:ascii="Calibri" w:cs="Calibri" w:eastAsia="Calibri" w:hAnsi="Calibri"/>
          <w:sz w:val="20"/>
          <w:szCs w:val="20"/>
          <w:color w:val="auto"/>
        </w:rPr>
        <w:t>” means the commencement of vertcal constructon of the NY Fab 1 Project, which may include case in place walls, setng of precast concrete, or structural steel for the main fab building.</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Subaward</w:t>
      </w:r>
      <w:r>
        <w:rPr>
          <w:rFonts w:ascii="Calibri" w:cs="Calibri" w:eastAsia="Calibri" w:hAnsi="Calibri"/>
          <w:sz w:val="20"/>
          <w:szCs w:val="20"/>
          <w:color w:val="auto"/>
        </w:rPr>
        <w:t>” means an award to carry out the Authorized Purpose that is not a contract for goods or services.</w:t>
      </w:r>
    </w:p>
    <w:p>
      <w:pPr>
        <w:spacing w:after="0" w:line="184"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Subsidiary</w:t>
      </w:r>
      <w:r>
        <w:rPr>
          <w:rFonts w:ascii="Calibri" w:cs="Calibri" w:eastAsia="Calibri" w:hAnsi="Calibri"/>
          <w:sz w:val="20"/>
          <w:szCs w:val="20"/>
          <w:color w:val="auto"/>
        </w:rPr>
        <w:t>” means, with respect to any Person, any corporaton, partnership, limited liability company, associaton, joint venture or other business entty the accounts of which would be consolidated with those of such Person in such Person’s consolidated fnancial statements if such fnancial statements were prepared in accordance with the Applicable Accountng Requirements as of such date, as well as any other corporaton, partnership, limited liability company, associaton, joint venture or other business entty of which more than ffy percent (50%) of the total votng power of shares of stock or other ownership interests enttled (without regard to the occurrence of any contngency) to vote in the electon of the Person or Persons (whether directors, managers, trustees or other Persons performing similar functons) having the power to direct or cause the directon of the management and policies thereof is at the tme owned or controlled, directly or indirectly, by that Person or one or more of the other Subsidiaries of that Person or a combinaton thereof.</w:t>
      </w:r>
    </w:p>
    <w:p>
      <w:pPr>
        <w:spacing w:after="0" w:line="19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Taxes</w:t>
      </w:r>
      <w:r>
        <w:rPr>
          <w:rFonts w:ascii="Calibri" w:cs="Calibri" w:eastAsia="Calibri" w:hAnsi="Calibri"/>
          <w:sz w:val="20"/>
          <w:szCs w:val="20"/>
          <w:color w:val="auto"/>
        </w:rPr>
        <w:t>” means all taxes, levies, imposts, dutes, deductons, charges or withholdings imposed by any Governmental Authority, including any interest, penaltes or additons thereto imposed in respect thereof.</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w:t>
      </w:r>
      <w:r>
        <w:rPr>
          <w:rFonts w:ascii="Calibri" w:cs="Calibri" w:eastAsia="Calibri" w:hAnsi="Calibri"/>
          <w:sz w:val="20"/>
          <w:szCs w:val="20"/>
          <w:color w:val="auto"/>
        </w:rPr>
        <w:t>” means regardless of form, any inventon (whether or not patentable or reduced to Practce), discovery, informaton, work of authorship, artcles of manufacture, machines, methods, processes, models, procedures, protocols, designs, diagrams, drawings, documentaton, fow charts, network confguratons and architectures, schematcs, specifcatons, concepts, data, databases and data collectons, algorithms, formulas, know-how, and techniques, Sofware code, including all Source Code, object code, frmware, development tools and applicaton programming interfaces, tools, materials, marketng and development plans, and other forms of technology and all media on which any of the foregoing is recorded.</w:t>
      </w:r>
    </w:p>
    <w:p>
      <w:pPr>
        <w:spacing w:after="0" w:line="189"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Clawback Term</w:t>
      </w:r>
      <w:r>
        <w:rPr>
          <w:rFonts w:ascii="Calibri" w:cs="Calibri" w:eastAsia="Calibri" w:hAnsi="Calibri"/>
          <w:sz w:val="20"/>
          <w:szCs w:val="20"/>
          <w:color w:val="auto"/>
        </w:rPr>
        <w:t>” means the period commencing on the Award Date and ending on to the last day of the Period of Performance.</w:t>
      </w:r>
    </w:p>
    <w:p>
      <w:pPr>
        <w:spacing w:after="0" w:line="184"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Licensing</w:t>
      </w:r>
      <w:r>
        <w:rPr>
          <w:rFonts w:ascii="Calibri" w:cs="Calibri" w:eastAsia="Calibri" w:hAnsi="Calibri"/>
          <w:sz w:val="20"/>
          <w:szCs w:val="20"/>
          <w:color w:val="auto"/>
        </w:rPr>
        <w:t>” has the meaning set forth in Secton 7(c)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the Guardrail Provisions.</w:t>
      </w:r>
    </w:p>
    <w:p>
      <w:pPr>
        <w:spacing w:after="0" w:line="363"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Terminaton Date</w:t>
      </w:r>
      <w:r>
        <w:rPr>
          <w:rFonts w:ascii="Calibri" w:cs="Calibri" w:eastAsia="Calibri" w:hAnsi="Calibri"/>
          <w:sz w:val="20"/>
          <w:szCs w:val="20"/>
          <w:color w:val="auto"/>
        </w:rPr>
        <w:t>” means the date that is the later of (a) the last day of the Upside Sharing Term; and (b) the tenth (10th) anniversary from the Award Date.</w:t>
      </w:r>
    </w:p>
    <w:p>
      <w:pPr>
        <w:spacing w:after="0" w:line="186"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Third Party Debt Funding Documents</w:t>
      </w:r>
      <w:r>
        <w:rPr>
          <w:rFonts w:ascii="Calibri" w:cs="Calibri" w:eastAsia="Calibri" w:hAnsi="Calibri"/>
          <w:sz w:val="20"/>
          <w:szCs w:val="20"/>
          <w:color w:val="auto"/>
        </w:rPr>
        <w:t>” any debt fnancing received by the Recipient from third partes used to fund Eligible Uses of Funds.</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Threshold</w:t>
      </w:r>
      <w:r>
        <w:rPr>
          <w:rFonts w:ascii="Calibri" w:cs="Calibri" w:eastAsia="Calibri" w:hAnsi="Calibri"/>
          <w:sz w:val="20"/>
          <w:szCs w:val="20"/>
          <w:color w:val="auto"/>
        </w:rPr>
        <w:t>” means, with respect to each Relevant Period, the amount equal to the product of:</w:t>
      </w:r>
    </w:p>
    <w:p>
      <w:pPr>
        <w:spacing w:after="0" w:line="174" w:lineRule="exact"/>
        <w:rPr>
          <w:sz w:val="20"/>
          <w:szCs w:val="20"/>
          <w:color w:val="auto"/>
        </w:rPr>
      </w:pPr>
    </w:p>
    <w:p>
      <w:pPr>
        <w:ind w:left="660"/>
        <w:spacing w:after="0"/>
        <w:tabs>
          <w:tab w:leader="none" w:pos="1040" w:val="left"/>
        </w:tabs>
        <w:rPr>
          <w:sz w:val="20"/>
          <w:szCs w:val="20"/>
          <w:color w:val="auto"/>
        </w:rPr>
      </w:pPr>
      <w:r>
        <w:rPr>
          <w:rFonts w:ascii="Calibri" w:cs="Calibri" w:eastAsia="Calibri" w:hAnsi="Calibri"/>
          <w:sz w:val="20"/>
          <w:szCs w:val="20"/>
          <w:color w:val="auto"/>
        </w:rPr>
        <w:t>(1)</w:t>
        <w:tab/>
        <w:t>the applicable percentage set forth in the table below for the Project and Relevant Period:</w:t>
      </w:r>
    </w:p>
    <w:p>
      <w:pPr>
        <w:spacing w:after="0" w:line="229" w:lineRule="exact"/>
        <w:rPr>
          <w:sz w:val="20"/>
          <w:szCs w:val="20"/>
          <w:color w:val="auto"/>
        </w:rPr>
      </w:pPr>
    </w:p>
    <w:tbl>
      <w:tblPr>
        <w:tblLayout w:type="fixed"/>
        <w:tblInd w:w="670" w:type="dxa"/>
        <w:tblCellMar>
          <w:top w:w="0" w:type="dxa"/>
          <w:left w:w="0" w:type="dxa"/>
          <w:bottom w:w="0" w:type="dxa"/>
          <w:right w:w="0" w:type="dxa"/>
        </w:tblCellMar>
      </w:tblPr>
      <w:tr>
        <w:trPr>
          <w:trHeight w:val="275"/>
        </w:trPr>
        <w:tc>
          <w:tcPr>
            <w:tcW w:w="480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Calibri" w:cs="Calibri" w:eastAsia="Calibri" w:hAnsi="Calibri"/>
                <w:sz w:val="20"/>
                <w:szCs w:val="20"/>
                <w:b w:val="1"/>
                <w:bCs w:val="1"/>
                <w:color w:val="auto"/>
                <w:w w:val="99"/>
              </w:rPr>
              <w:t>Relevant Period</w:t>
            </w:r>
          </w:p>
        </w:tc>
        <w:tc>
          <w:tcPr>
            <w:tcW w:w="49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Calibri" w:cs="Calibri" w:eastAsia="Calibri" w:hAnsi="Calibri"/>
                <w:sz w:val="20"/>
                <w:szCs w:val="20"/>
                <w:b w:val="1"/>
                <w:bCs w:val="1"/>
                <w:color w:val="auto"/>
              </w:rPr>
              <w:t>Threshold</w:t>
            </w:r>
          </w:p>
        </w:tc>
      </w:tr>
      <w:tr>
        <w:trPr>
          <w:trHeight w:val="230"/>
        </w:trPr>
        <w:tc>
          <w:tcPr>
            <w:tcW w:w="4800" w:type="dxa"/>
            <w:vAlign w:val="bottom"/>
            <w:tcBorders>
              <w:top w:val="single" w:sz="8" w:color="auto"/>
              <w:left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Relevant Period 1</w:t>
            </w:r>
          </w:p>
        </w:tc>
        <w:tc>
          <w:tcPr>
            <w:tcW w:w="4980" w:type="dxa"/>
            <w:vAlign w:val="bottom"/>
            <w:tcBorders>
              <w:top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r>
      <w:tr>
        <w:trPr>
          <w:trHeight w:val="276"/>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4980" w:type="dxa"/>
            <w:vAlign w:val="bottom"/>
            <w:tcBorders>
              <w:bottom w:val="single" w:sz="8" w:color="auto"/>
              <w:right w:val="single" w:sz="8" w:color="auto"/>
            </w:tcBorders>
          </w:tcPr>
          <w:p>
            <w:pPr>
              <w:spacing w:after="0"/>
              <w:rPr>
                <w:sz w:val="24"/>
                <w:szCs w:val="24"/>
                <w:color w:val="auto"/>
              </w:rPr>
            </w:pPr>
          </w:p>
        </w:tc>
      </w:tr>
      <w:tr>
        <w:trPr>
          <w:trHeight w:val="230"/>
        </w:trPr>
        <w:tc>
          <w:tcPr>
            <w:tcW w:w="4800" w:type="dxa"/>
            <w:vAlign w:val="bottom"/>
            <w:tcBorders>
              <w:left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Relevant Period 2</w:t>
            </w:r>
          </w:p>
        </w:tc>
        <w:tc>
          <w:tcPr>
            <w:tcW w:w="49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r>
      <w:tr>
        <w:trPr>
          <w:trHeight w:val="276"/>
        </w:trPr>
        <w:tc>
          <w:tcPr>
            <w:tcW w:w="4800" w:type="dxa"/>
            <w:vAlign w:val="bottom"/>
            <w:tcBorders>
              <w:left w:val="single" w:sz="8" w:color="auto"/>
              <w:bottom w:val="single" w:sz="8" w:color="auto"/>
              <w:right w:val="single" w:sz="8" w:color="auto"/>
            </w:tcBorders>
          </w:tcPr>
          <w:p>
            <w:pPr>
              <w:spacing w:after="0"/>
              <w:rPr>
                <w:sz w:val="24"/>
                <w:szCs w:val="24"/>
                <w:color w:val="auto"/>
              </w:rPr>
            </w:pPr>
          </w:p>
        </w:tc>
        <w:tc>
          <w:tcPr>
            <w:tcW w:w="49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1">
            <w:col w:w="11240"/>
          </w:cols>
          <w:pgMar w:left="320" w:top="1384" w:right="339" w:bottom="1440" w:gutter="0" w:footer="0" w:header="0"/>
        </w:sectPr>
      </w:pPr>
    </w:p>
    <w:bookmarkStart w:id="410" w:name="page411"/>
    <w:bookmarkEnd w:id="410"/>
    <w:p>
      <w:pPr>
        <w:ind w:left="660"/>
        <w:spacing w:after="0"/>
        <w:rPr>
          <w:sz w:val="20"/>
          <w:szCs w:val="20"/>
          <w:color w:val="auto"/>
        </w:rPr>
      </w:pPr>
      <w:r>
        <w:rPr>
          <w:rFonts w:ascii="Calibri" w:cs="Calibri" w:eastAsia="Calibri" w:hAnsi="Calibri"/>
          <w:sz w:val="20"/>
          <w:szCs w:val="20"/>
          <w:u w:val="single" w:color="auto"/>
          <w:color w:val="auto"/>
        </w:rPr>
        <w:t>multplied by</w:t>
      </w:r>
    </w:p>
    <w:p>
      <w:pPr>
        <w:spacing w:after="0" w:line="188" w:lineRule="exact"/>
        <w:rPr>
          <w:sz w:val="20"/>
          <w:szCs w:val="20"/>
          <w:color w:val="auto"/>
        </w:rPr>
      </w:pPr>
    </w:p>
    <w:p>
      <w:pPr>
        <w:ind w:left="660"/>
        <w:spacing w:after="0"/>
        <w:tabs>
          <w:tab w:leader="none" w:pos="1040" w:val="left"/>
        </w:tabs>
        <w:rPr>
          <w:sz w:val="20"/>
          <w:szCs w:val="20"/>
          <w:color w:val="auto"/>
        </w:rPr>
      </w:pPr>
      <w:r>
        <w:rPr>
          <w:rFonts w:ascii="Calibri" w:cs="Calibri" w:eastAsia="Calibri" w:hAnsi="Calibri"/>
          <w:sz w:val="20"/>
          <w:szCs w:val="20"/>
          <w:color w:val="auto"/>
        </w:rPr>
        <w:t>(2)</w:t>
        <w:tab/>
        <w:t>the Projected Cumulatve Unlevered Free Cash Flow for the Project for such Relevant Period.</w:t>
      </w:r>
    </w:p>
    <w:p>
      <w:pPr>
        <w:spacing w:after="0" w:line="171"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Funding Available</w:t>
      </w:r>
      <w:r>
        <w:rPr>
          <w:rFonts w:ascii="Calibri" w:cs="Calibri" w:eastAsia="Calibri" w:hAnsi="Calibri"/>
          <w:sz w:val="20"/>
          <w:szCs w:val="20"/>
          <w:color w:val="auto"/>
        </w:rPr>
        <w:t xml:space="preserve">” means, as of any date of determinaton, the sum of: (a) the unused porton of the Maximum Direct Funding Award Amount;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(b) the unused porton (if any) of the Equity Commitment;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(c) any other unused equity funding that is commited for the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(d) any debt provided under the Third Party Debt Funding Documents for the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(e) any other funding that the Department determines to be reasonably likely to become available to the Recipient for the Project afer such date of determinaton to pay all remaining Project Costs.</w:t>
      </w:r>
    </w:p>
    <w:p>
      <w:pPr>
        <w:spacing w:after="0" w:line="188"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Project Costs</w:t>
      </w:r>
      <w:r>
        <w:rPr>
          <w:rFonts w:ascii="Calibri" w:cs="Calibri" w:eastAsia="Calibri" w:hAnsi="Calibri"/>
          <w:sz w:val="20"/>
          <w:szCs w:val="20"/>
          <w:color w:val="auto"/>
        </w:rPr>
        <w:t>” means, as of any date of determinaton, the total amount of Project Costs reasonably likely to be required to be paid by the Recipient to achieve the Project Completon Date.</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Revenue</w:t>
      </w:r>
      <w:r>
        <w:rPr>
          <w:rFonts w:ascii="Calibri" w:cs="Calibri" w:eastAsia="Calibri" w:hAnsi="Calibri"/>
          <w:sz w:val="20"/>
          <w:szCs w:val="20"/>
          <w:color w:val="auto"/>
        </w:rPr>
        <w:t>” has the meaning set forth in the Applicable Accountng Requirements.</w:t>
      </w:r>
    </w:p>
    <w:p>
      <w:pPr>
        <w:spacing w:after="0" w:line="184" w:lineRule="exact"/>
        <w:rPr>
          <w:sz w:val="20"/>
          <w:szCs w:val="20"/>
          <w:color w:val="auto"/>
        </w:rPr>
      </w:pPr>
    </w:p>
    <w:p>
      <w:pPr>
        <w:jc w:val="both"/>
        <w:ind w:right="20" w:firstLine="648"/>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Trade Secrets</w:t>
      </w:r>
      <w:r>
        <w:rPr>
          <w:rFonts w:ascii="Calibri" w:cs="Calibri" w:eastAsia="Calibri" w:hAnsi="Calibri"/>
          <w:sz w:val="20"/>
          <w:szCs w:val="20"/>
          <w:color w:val="auto"/>
        </w:rPr>
        <w:t>” means any trade secrets and other confdental or proprietary informaton, including know-how, inventons, processes, procedures, algorithms, Source Code, databases, concepts, ideas, research or development informaton, techniques, technical informaton and data, specifcatons, methods, discoveries, modifcatons, extensions, and customer and supplier lists, in each case, whether or not reduced to a writen or other tangible form.</w:t>
      </w:r>
    </w:p>
    <w:p>
      <w:pPr>
        <w:spacing w:after="0" w:line="185"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Transfer</w:t>
      </w:r>
      <w:r>
        <w:rPr>
          <w:rFonts w:ascii="Calibri" w:cs="Calibri" w:eastAsia="Calibri" w:hAnsi="Calibri"/>
          <w:sz w:val="20"/>
          <w:szCs w:val="20"/>
          <w:color w:val="auto"/>
        </w:rPr>
        <w:t>” means any sale, assignment, pledge, creaton of a security interest or other transfer, regardless of whether carried out directly or indirectly.</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True-Up Amount</w:t>
      </w:r>
      <w:r>
        <w:rPr>
          <w:rFonts w:ascii="Calibri" w:cs="Calibri" w:eastAsia="Calibri" w:hAnsi="Calibri"/>
          <w:sz w:val="20"/>
          <w:szCs w:val="20"/>
          <w:color w:val="auto"/>
        </w:rPr>
        <w:t>” means, with respect to any requested Direct Funding Disbursement for any Disbursement Milestone and as of any date of determinaton, an amount equal to:</w:t>
      </w:r>
    </w:p>
    <w:p>
      <w:pPr>
        <w:spacing w:after="0" w:line="186" w:lineRule="exact"/>
        <w:rPr>
          <w:sz w:val="20"/>
          <w:szCs w:val="20"/>
          <w:color w:val="auto"/>
        </w:rPr>
      </w:pPr>
    </w:p>
    <w:p>
      <w:pPr>
        <w:jc w:val="both"/>
        <w:ind w:left="1300" w:hanging="644"/>
        <w:spacing w:after="0" w:line="205" w:lineRule="auto"/>
        <w:tabs>
          <w:tab w:leader="none" w:pos="1297" w:val="left"/>
        </w:tabs>
        <w:numPr>
          <w:ilvl w:val="0"/>
          <w:numId w:val="440"/>
        </w:numPr>
        <w:rPr>
          <w:rFonts w:ascii="Calibri" w:cs="Calibri" w:eastAsia="Calibri" w:hAnsi="Calibri"/>
          <w:sz w:val="20"/>
          <w:szCs w:val="20"/>
          <w:color w:val="auto"/>
        </w:rPr>
      </w:pPr>
      <w:r>
        <w:rPr>
          <w:rFonts w:ascii="Calibri" w:cs="Calibri" w:eastAsia="Calibri" w:hAnsi="Calibri"/>
          <w:sz w:val="20"/>
          <w:szCs w:val="20"/>
          <w:color w:val="auto"/>
        </w:rPr>
        <w:t>the lesser of (i) the product of (A) the Scheduled Cumulatve Disbursement Rato for such Disbursement Milestone multplied by (B) the Actual Cumulatve Capex Amount as of such date; and (ii) the Scheduled Cumulatve Disbursement Amount as of such date; minus</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40"/>
        </w:numPr>
        <w:rPr>
          <w:rFonts w:ascii="Calibri" w:cs="Calibri" w:eastAsia="Calibri" w:hAnsi="Calibri"/>
          <w:sz w:val="20"/>
          <w:szCs w:val="20"/>
          <w:color w:val="auto"/>
        </w:rPr>
      </w:pPr>
      <w:r>
        <w:rPr>
          <w:rFonts w:ascii="Calibri" w:cs="Calibri" w:eastAsia="Calibri" w:hAnsi="Calibri"/>
          <w:sz w:val="20"/>
          <w:szCs w:val="20"/>
          <w:color w:val="auto"/>
        </w:rPr>
        <w:t>the Actual Cumulatve Disbursement Amount as of such date.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TVPA</w:t>
      </w:r>
      <w:r>
        <w:rPr>
          <w:rFonts w:ascii="Calibri" w:cs="Calibri" w:eastAsia="Calibri" w:hAnsi="Calibri"/>
          <w:sz w:val="20"/>
          <w:szCs w:val="20"/>
          <w:color w:val="auto"/>
        </w:rPr>
        <w:t xml:space="preserve">” means the Trafcking Victms Protecton Act of 2000 (22 U.S.C. § 7101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UCC</w:t>
      </w:r>
      <w:r>
        <w:rPr>
          <w:rFonts w:ascii="Calibri" w:cs="Calibri" w:eastAsia="Calibri" w:hAnsi="Calibri"/>
          <w:sz w:val="20"/>
          <w:szCs w:val="20"/>
          <w:color w:val="auto"/>
        </w:rPr>
        <w:t>” means the Uniform Commercial Code of the applicable jurisdicton.</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United States</w:t>
      </w:r>
      <w:r>
        <w:rPr>
          <w:rFonts w:ascii="Calibri" w:cs="Calibri" w:eastAsia="Calibri" w:hAnsi="Calibri"/>
          <w:sz w:val="20"/>
          <w:szCs w:val="20"/>
          <w:color w:val="auto"/>
        </w:rPr>
        <w:t>” or “</w:t>
      </w:r>
      <w:r>
        <w:rPr>
          <w:rFonts w:ascii="Calibri" w:cs="Calibri" w:eastAsia="Calibri" w:hAnsi="Calibri"/>
          <w:sz w:val="20"/>
          <w:szCs w:val="20"/>
          <w:b w:val="1"/>
          <w:bCs w:val="1"/>
          <w:color w:val="auto"/>
        </w:rPr>
        <w:t>U.S.</w:t>
      </w:r>
      <w:r>
        <w:rPr>
          <w:rFonts w:ascii="Calibri" w:cs="Calibri" w:eastAsia="Calibri" w:hAnsi="Calibri"/>
          <w:sz w:val="20"/>
          <w:szCs w:val="20"/>
          <w:color w:val="auto"/>
        </w:rPr>
        <w:t>” means the United States of America.</w:t>
      </w:r>
    </w:p>
    <w:p>
      <w:pPr>
        <w:spacing w:after="0" w:line="171"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Amount</w:t>
      </w:r>
      <w:r>
        <w:rPr>
          <w:rFonts w:ascii="Calibri" w:cs="Calibri" w:eastAsia="Calibri" w:hAnsi="Calibri"/>
          <w:sz w:val="20"/>
          <w:szCs w:val="20"/>
          <w:color w:val="auto"/>
        </w:rPr>
        <w:t xml:space="preserve">” means, for each Relevant Period, the amount due (if any) to the Department for such Relevant Period calculated in accordance with Secton 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 has the meaning set forth in Secton 3.2.3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Percentage</w:t>
      </w:r>
      <w:r>
        <w:rPr>
          <w:rFonts w:ascii="Calibri" w:cs="Calibri" w:eastAsia="Calibri" w:hAnsi="Calibri"/>
          <w:sz w:val="20"/>
          <w:szCs w:val="20"/>
          <w:color w:val="auto"/>
        </w:rPr>
        <w:t xml:space="preserve">” means, with respect to each Relevant Period,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percent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Term</w:t>
      </w:r>
      <w:r>
        <w:rPr>
          <w:rFonts w:ascii="Calibri" w:cs="Calibri" w:eastAsia="Calibri" w:hAnsi="Calibri"/>
          <w:sz w:val="20"/>
          <w:szCs w:val="20"/>
          <w:color w:val="auto"/>
        </w:rPr>
        <w:t>” means, the period commencing on the Award Date and ending on the earlier of (a) the last day of the tenth (10th) Fiscal Year afer the Fiscal Year in which the Breakeven Date occurs; and (b) the date on which all Upside Sharing Amounts owing by the Recipient have been made by the Recipient to the Department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1240"/>
          </w:cols>
          <w:pgMar w:left="320" w:top="1401" w:right="339" w:bottom="1440" w:gutter="0" w:footer="0" w:header="0"/>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28.</w:t>
      </w:r>
    </w:p>
    <w:p>
      <w:pPr>
        <w:sectPr>
          <w:pgSz w:w="11900" w:h="16838" w:orient="portrait"/>
          <w:cols w:equalWidth="0" w:num="1">
            <w:col w:w="9019"/>
          </w:cols>
          <w:pgMar w:left="1440" w:top="1440" w:right="1440" w:bottom="1440" w:gutter="0" w:footer="0" w:header="0"/>
        </w:sectPr>
      </w:pPr>
    </w:p>
    <w:bookmarkStart w:id="412" w:name="page413"/>
    <w:bookmarkEnd w:id="412"/>
    <w:p>
      <w:pPr>
        <w:ind w:left="4980"/>
        <w:spacing w:after="0"/>
        <w:rPr>
          <w:sz w:val="20"/>
          <w:szCs w:val="20"/>
          <w:color w:val="auto"/>
        </w:rPr>
      </w:pPr>
      <w:r>
        <w:rPr>
          <w:rFonts w:ascii="Calibri" w:cs="Calibri" w:eastAsia="Calibri" w:hAnsi="Calibri"/>
          <w:sz w:val="20"/>
          <w:szCs w:val="20"/>
          <w:b w:val="1"/>
          <w:bCs w:val="1"/>
          <w:color w:val="auto"/>
        </w:rPr>
        <w:t>Annex B</w:t>
      </w:r>
    </w:p>
    <w:p>
      <w:pPr>
        <w:ind w:left="4480"/>
        <w:spacing w:after="0" w:line="199" w:lineRule="auto"/>
        <w:rPr>
          <w:sz w:val="20"/>
          <w:szCs w:val="20"/>
          <w:color w:val="auto"/>
        </w:rPr>
      </w:pPr>
      <w:r>
        <w:rPr>
          <w:rFonts w:ascii="Calibri" w:cs="Calibri" w:eastAsia="Calibri" w:hAnsi="Calibri"/>
          <w:sz w:val="20"/>
          <w:szCs w:val="20"/>
          <w:b w:val="1"/>
          <w:bCs w:val="1"/>
          <w:color w:val="auto"/>
        </w:rPr>
        <w:t>RULES OF INTERPRETATION</w:t>
      </w:r>
    </w:p>
    <w:p>
      <w:pPr>
        <w:spacing w:after="0" w:line="198"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For all purposes of this Agreement, including any Exhibits, Schedules, Annexes and Appendices hereto, unless otherwise indicated or required by the context:</w:t>
      </w:r>
    </w:p>
    <w:p>
      <w:pPr>
        <w:spacing w:after="0" w:line="199" w:lineRule="exact"/>
        <w:rPr>
          <w:sz w:val="20"/>
          <w:szCs w:val="20"/>
          <w:color w:val="auto"/>
        </w:rPr>
      </w:pPr>
    </w:p>
    <w:p>
      <w:pPr>
        <w:ind w:left="660" w:right="20" w:hanging="652"/>
        <w:spacing w:after="0" w:line="208"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Plurals and Gender</w:t>
      </w:r>
      <w:r>
        <w:rPr>
          <w:rFonts w:ascii="Calibri" w:cs="Calibri" w:eastAsia="Calibri" w:hAnsi="Calibri"/>
          <w:sz w:val="20"/>
          <w:szCs w:val="20"/>
          <w:color w:val="auto"/>
        </w:rPr>
        <w:t>. Defned terms in the singular shall include the plural and</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vice versa</w:t>
      </w:r>
      <w:r>
        <w:rPr>
          <w:rFonts w:ascii="Calibri" w:cs="Calibri" w:eastAsia="Calibri" w:hAnsi="Calibri"/>
          <w:sz w:val="20"/>
          <w:szCs w:val="20"/>
          <w:color w:val="auto"/>
        </w:rPr>
        <w:t>, and the masculine, feminine or neuter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gender shall include all genders.</w:t>
      </w:r>
    </w:p>
    <w:p>
      <w:pPr>
        <w:spacing w:after="0" w:line="174" w:lineRule="exact"/>
        <w:rPr>
          <w:rFonts w:ascii="Calibri" w:cs="Calibri" w:eastAsia="Calibri" w:hAnsi="Calibri"/>
          <w:sz w:val="20"/>
          <w:szCs w:val="20"/>
          <w:color w:val="auto"/>
        </w:rPr>
      </w:pPr>
    </w:p>
    <w:p>
      <w:pPr>
        <w:ind w:left="640" w:hanging="632"/>
        <w:spacing w:after="0"/>
        <w:tabs>
          <w:tab w:leader="none" w:pos="640"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Use of Or</w:t>
      </w:r>
      <w:r>
        <w:rPr>
          <w:rFonts w:ascii="Calibri" w:cs="Calibri" w:eastAsia="Calibri" w:hAnsi="Calibri"/>
          <w:sz w:val="20"/>
          <w:szCs w:val="20"/>
          <w:color w:val="auto"/>
        </w:rPr>
        <w:t>. The word “or” is not exclusive.</w:t>
      </w:r>
    </w:p>
    <w:p>
      <w:pPr>
        <w:spacing w:after="0" w:line="170" w:lineRule="exact"/>
        <w:rPr>
          <w:rFonts w:ascii="Calibri" w:cs="Calibri" w:eastAsia="Calibri" w:hAnsi="Calibri"/>
          <w:sz w:val="20"/>
          <w:szCs w:val="20"/>
          <w:color w:val="auto"/>
        </w:rPr>
      </w:pPr>
    </w:p>
    <w:p>
      <w:pPr>
        <w:jc w:val="both"/>
        <w:ind w:left="660" w:hanging="652"/>
        <w:spacing w:after="0"/>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Change of Law</w:t>
      </w:r>
      <w:r>
        <w:rPr>
          <w:rFonts w:ascii="Calibri" w:cs="Calibri" w:eastAsia="Calibri" w:hAnsi="Calibri"/>
          <w:sz w:val="20"/>
          <w:szCs w:val="20"/>
          <w:color w:val="auto"/>
        </w:rPr>
        <w:t>. Each reference to an Applicable Law or Environmental Law includes any amendment, supplement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modifcaton of such Applicable Law or Environmental Law, as the case may be, and all regulatons, rulings and other Applicable Laws or Environmental Laws promulgated thereunder, including with respect to any successor Applicable Law or Environmental Law.</w:t>
      </w:r>
    </w:p>
    <w:p>
      <w:pPr>
        <w:spacing w:after="0" w:line="270" w:lineRule="exact"/>
        <w:rPr>
          <w:rFonts w:ascii="Calibri" w:cs="Calibri" w:eastAsia="Calibri" w:hAnsi="Calibri"/>
          <w:sz w:val="20"/>
          <w:szCs w:val="20"/>
          <w:color w:val="auto"/>
        </w:rPr>
      </w:pPr>
    </w:p>
    <w:p>
      <w:pPr>
        <w:ind w:left="640" w:hanging="632"/>
        <w:spacing w:after="0"/>
        <w:tabs>
          <w:tab w:leader="none" w:pos="640"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Successor and Assigns</w:t>
      </w:r>
      <w:r>
        <w:rPr>
          <w:rFonts w:ascii="Calibri" w:cs="Calibri" w:eastAsia="Calibri" w:hAnsi="Calibri"/>
          <w:sz w:val="20"/>
          <w:szCs w:val="20"/>
          <w:color w:val="auto"/>
        </w:rPr>
        <w:t>. A reference to a Person includes its successors and permited assigns.</w:t>
      </w:r>
    </w:p>
    <w:p>
      <w:pPr>
        <w:spacing w:after="0" w:line="184" w:lineRule="exact"/>
        <w:rPr>
          <w:rFonts w:ascii="Calibri" w:cs="Calibri" w:eastAsia="Calibri" w:hAnsi="Calibri"/>
          <w:sz w:val="20"/>
          <w:szCs w:val="20"/>
          <w:color w:val="auto"/>
        </w:rPr>
      </w:pPr>
    </w:p>
    <w:p>
      <w:pPr>
        <w:ind w:left="660" w:right="20" w:hanging="652"/>
        <w:spacing w:after="0" w:line="208"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Including</w:t>
      </w:r>
      <w:r>
        <w:rPr>
          <w:rFonts w:ascii="Calibri" w:cs="Calibri" w:eastAsia="Calibri" w:hAnsi="Calibri"/>
          <w:sz w:val="20"/>
          <w:szCs w:val="20"/>
          <w:color w:val="auto"/>
        </w:rPr>
        <w:t>. The words “include,” “includes” and “including” are not limitng and mean include, includes and including “without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limitaton,” “without limitaton by specifcaton” and “but not limited to.”</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Hereof, Herein, Hereunder</w:t>
      </w:r>
      <w:r>
        <w:rPr>
          <w:rFonts w:ascii="Calibri" w:cs="Calibri" w:eastAsia="Calibri" w:hAnsi="Calibri"/>
          <w:sz w:val="20"/>
          <w:szCs w:val="20"/>
          <w:color w:val="auto"/>
        </w:rPr>
        <w:t>. The words “hereof,” “herein” and “hereunder” and words of similar import when used in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 shall refer to such document as a whole and not to any partcular provision of such document.</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Artcles, Sectons, Exhibits</w:t>
      </w:r>
      <w:r>
        <w:rPr>
          <w:rFonts w:ascii="Calibri" w:cs="Calibri" w:eastAsia="Calibri" w:hAnsi="Calibri"/>
          <w:sz w:val="20"/>
          <w:szCs w:val="20"/>
          <w:color w:val="auto"/>
        </w:rPr>
        <w:t>. A reference in a document to an Artcle, Secton, Exhibit, Schedule, Annex or Appendix is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Artcle, Secton, Exhibit, Schedule, Annex or Appendix of such document unless otherwise indicated.</w:t>
      </w:r>
    </w:p>
    <w:p>
      <w:pPr>
        <w:spacing w:after="0" w:line="185" w:lineRule="exact"/>
        <w:rPr>
          <w:rFonts w:ascii="Calibri" w:cs="Calibri" w:eastAsia="Calibri" w:hAnsi="Calibri"/>
          <w:sz w:val="20"/>
          <w:szCs w:val="20"/>
          <w:color w:val="auto"/>
        </w:rPr>
      </w:pPr>
    </w:p>
    <w:p>
      <w:pPr>
        <w:jc w:val="both"/>
        <w:ind w:left="660" w:hanging="652"/>
        <w:spacing w:after="0" w:line="199"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Atachments, Replacements, Amendments</w:t>
      </w:r>
      <w:r>
        <w:rPr>
          <w:rFonts w:ascii="Calibri" w:cs="Calibri" w:eastAsia="Calibri" w:hAnsi="Calibri"/>
          <w:sz w:val="20"/>
          <w:szCs w:val="20"/>
          <w:color w:val="auto"/>
        </w:rPr>
        <w:t>. References to any document, instrument or agreement (a) shall include all Exhibits,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schedules, annexes and appendices thereto, and all Exhibits, schedules, annexes or appendices to any document shall be deemed incorporated by reference in such document; (b) shall include all documents, instruments or agreements issued or executed in replacement thereof; and (c) shall mean such document, instrument or agreement, or replacement thereto, as amended, amended and restated, supplemented, or otherwise modifed from tme to tme and in efect at any given tme to the extent that any such amendment, amendment and restatement, supplement, or modifcaton is permited under the terms of such document, instrument or agreement and under the terms of the Financing Documents.</w:t>
      </w:r>
    </w:p>
    <w:p>
      <w:pPr>
        <w:spacing w:after="0" w:line="176" w:lineRule="exact"/>
        <w:rPr>
          <w:rFonts w:ascii="Calibri" w:cs="Calibri" w:eastAsia="Calibri" w:hAnsi="Calibri"/>
          <w:sz w:val="20"/>
          <w:szCs w:val="20"/>
          <w:color w:val="auto"/>
        </w:rPr>
      </w:pPr>
    </w:p>
    <w:p>
      <w:pPr>
        <w:ind w:left="660" w:right="20" w:hanging="652"/>
        <w:spacing w:after="0" w:line="214" w:lineRule="auto"/>
        <w:tabs>
          <w:tab w:leader="none" w:pos="652"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Periods and Time</w:t>
      </w:r>
      <w:r>
        <w:rPr>
          <w:rFonts w:ascii="Calibri" w:cs="Calibri" w:eastAsia="Calibri" w:hAnsi="Calibri"/>
          <w:sz w:val="20"/>
          <w:szCs w:val="20"/>
          <w:color w:val="auto"/>
        </w:rPr>
        <w:t>. Unless otherwise specifed, references to “days,” “weeks,” “months” and “years” shall mean calendar days,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weeks, months and years, respectvely. References to a tme of day shall mean such tme in Washington, D.C.</w:t>
      </w:r>
    </w:p>
    <w:p>
      <w:pPr>
        <w:spacing w:after="0" w:line="185" w:lineRule="exact"/>
        <w:rPr>
          <w:rFonts w:ascii="Calibri" w:cs="Calibri" w:eastAsia="Calibri" w:hAnsi="Calibri"/>
          <w:sz w:val="20"/>
          <w:szCs w:val="20"/>
          <w:color w:val="auto"/>
        </w:rPr>
      </w:pPr>
    </w:p>
    <w:p>
      <w:pPr>
        <w:jc w:val="both"/>
        <w:ind w:left="660" w:hanging="652"/>
        <w:spacing w:after="0" w:line="200" w:lineRule="auto"/>
        <w:tabs>
          <w:tab w:leader="none" w:pos="660"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Department Determinatons</w:t>
      </w:r>
      <w:r>
        <w:rPr>
          <w:rFonts w:ascii="Calibri" w:cs="Calibri" w:eastAsia="Calibri" w:hAnsi="Calibri"/>
          <w:sz w:val="20"/>
          <w:szCs w:val="20"/>
          <w:color w:val="auto"/>
        </w:rPr>
        <w:t>. Any determinaton made by the Department pursuant to this Agreement or any other the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 shall be determined at the discreton of the Department, provided that the Department shall not unlawfully withhold or unreasonably delay a decision, nor act in an arbitrary or capricious manner, abuse of its discreton, or otherwise act not in accordance with the law (including, for the avoidance of doubt, determinatons related to any Direct Funding Disbursement Approval Notce or regarding conditons precedent applicable to Disbursements hereunder).</w:t>
      </w:r>
    </w:p>
    <w:p>
      <w:pPr>
        <w:spacing w:after="0" w:line="184" w:lineRule="exact"/>
        <w:rPr>
          <w:rFonts w:ascii="Calibri" w:cs="Calibri" w:eastAsia="Calibri" w:hAnsi="Calibri"/>
          <w:sz w:val="20"/>
          <w:szCs w:val="20"/>
          <w:color w:val="auto"/>
        </w:rPr>
      </w:pPr>
    </w:p>
    <w:p>
      <w:pPr>
        <w:ind w:left="660" w:right="20" w:hanging="652"/>
        <w:spacing w:after="0" w:line="214" w:lineRule="auto"/>
        <w:tabs>
          <w:tab w:leader="none" w:pos="660" w:val="left"/>
        </w:tabs>
        <w:numPr>
          <w:ilvl w:val="0"/>
          <w:numId w:val="441"/>
        </w:numPr>
        <w:rPr>
          <w:rFonts w:ascii="Calibri" w:cs="Calibri" w:eastAsia="Calibri" w:hAnsi="Calibri"/>
          <w:sz w:val="20"/>
          <w:szCs w:val="20"/>
          <w:color w:val="auto"/>
        </w:rPr>
      </w:pPr>
      <w:r>
        <w:rPr>
          <w:rFonts w:ascii="Calibri" w:cs="Calibri" w:eastAsia="Calibri" w:hAnsi="Calibri"/>
          <w:sz w:val="20"/>
          <w:szCs w:val="20"/>
          <w:b w:val="1"/>
          <w:bCs w:val="1"/>
          <w:color w:val="auto"/>
        </w:rPr>
        <w:t>Ambiguites</w:t>
      </w:r>
      <w:r>
        <w:rPr>
          <w:rFonts w:ascii="Calibri" w:cs="Calibri" w:eastAsia="Calibri" w:hAnsi="Calibri"/>
          <w:sz w:val="20"/>
          <w:szCs w:val="20"/>
          <w:color w:val="auto"/>
        </w:rPr>
        <w:t>. The Financing Documents are the result of negotatons and have been reviewed by each party to the Financing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Documents and their respectve counsel. Accordingly,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374" w:right="339" w:bottom="1440" w:gutter="0" w:footer="0" w:header="0"/>
        </w:sectPr>
      </w:pPr>
    </w:p>
    <w:bookmarkStart w:id="413" w:name="page414"/>
    <w:bookmarkEnd w:id="413"/>
    <w:p>
      <w:pPr>
        <w:ind w:left="652" w:right="20"/>
        <w:spacing w:after="0" w:line="214" w:lineRule="auto"/>
        <w:rPr>
          <w:sz w:val="20"/>
          <w:szCs w:val="20"/>
          <w:color w:val="auto"/>
        </w:rPr>
      </w:pPr>
      <w:r>
        <w:rPr>
          <w:rFonts w:ascii="Calibri" w:cs="Calibri" w:eastAsia="Calibri" w:hAnsi="Calibri"/>
          <w:sz w:val="20"/>
          <w:szCs w:val="20"/>
          <w:color w:val="auto"/>
        </w:rPr>
        <w:t>Financing Documents shall be deemed to be the product of all partes thereto, and no ambiguity shall be construed in favor of or against any Person.</w:t>
      </w:r>
    </w:p>
    <w:p>
      <w:pPr>
        <w:spacing w:after="0" w:line="172" w:lineRule="exact"/>
        <w:rPr>
          <w:sz w:val="20"/>
          <w:szCs w:val="20"/>
          <w:color w:val="auto"/>
        </w:rPr>
      </w:pPr>
    </w:p>
    <w:p>
      <w:pPr>
        <w:ind w:left="652" w:right="20" w:hanging="652"/>
        <w:spacing w:after="0" w:line="214"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Contnuing Defnitons</w:t>
      </w:r>
      <w:r>
        <w:rPr>
          <w:rFonts w:ascii="Calibri" w:cs="Calibri" w:eastAsia="Calibri" w:hAnsi="Calibri"/>
          <w:sz w:val="20"/>
          <w:szCs w:val="20"/>
          <w:color w:val="auto"/>
        </w:rPr>
        <w:t>. With respect to any term that is defned by reference to any document, for purposes hereof, such term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shall contnue to have the original defniton notwithstanding any terminaton, expiraton or modifcaton of such document.</w:t>
      </w:r>
    </w:p>
    <w:p>
      <w:pPr>
        <w:spacing w:after="0" w:line="185" w:lineRule="exact"/>
        <w:rPr>
          <w:rFonts w:ascii="Calibri" w:cs="Calibri" w:eastAsia="Calibri" w:hAnsi="Calibri"/>
          <w:sz w:val="20"/>
          <w:szCs w:val="20"/>
          <w:color w:val="auto"/>
        </w:rPr>
      </w:pPr>
    </w:p>
    <w:p>
      <w:pPr>
        <w:ind w:left="652" w:hanging="652"/>
        <w:spacing w:after="0" w:line="208"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Headings</w:t>
      </w:r>
      <w:r>
        <w:rPr>
          <w:rFonts w:ascii="Calibri" w:cs="Calibri" w:eastAsia="Calibri" w:hAnsi="Calibri"/>
          <w:sz w:val="20"/>
          <w:szCs w:val="20"/>
          <w:color w:val="auto"/>
        </w:rPr>
        <w:t>. The table of contents and artcle and secton headings and other captons have been inserted as a mater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convenience for the purpose of reference only and do not limit or afect the meaning of the terms and provisions thereof.</w:t>
      </w:r>
    </w:p>
    <w:p>
      <w:pPr>
        <w:spacing w:after="0" w:line="174" w:lineRule="exact"/>
        <w:rPr>
          <w:rFonts w:ascii="Calibri" w:cs="Calibri" w:eastAsia="Calibri" w:hAnsi="Calibri"/>
          <w:sz w:val="20"/>
          <w:szCs w:val="20"/>
          <w:color w:val="auto"/>
        </w:rPr>
      </w:pPr>
    </w:p>
    <w:p>
      <w:pPr>
        <w:ind w:left="652" w:hanging="652"/>
        <w:spacing w:after="0"/>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Accountng Terms</w:t>
      </w:r>
      <w:r>
        <w:rPr>
          <w:rFonts w:ascii="Calibri" w:cs="Calibri" w:eastAsia="Calibri" w:hAnsi="Calibri"/>
          <w:sz w:val="20"/>
          <w:szCs w:val="20"/>
          <w:color w:val="auto"/>
        </w:rPr>
        <w:t>. All accountng terms not specifcally defned shall be construed in accordance with GAAP.</w:t>
      </w:r>
    </w:p>
    <w:p>
      <w:pPr>
        <w:spacing w:after="0" w:line="184" w:lineRule="exact"/>
        <w:rPr>
          <w:rFonts w:ascii="Calibri" w:cs="Calibri" w:eastAsia="Calibri" w:hAnsi="Calibri"/>
          <w:sz w:val="20"/>
          <w:szCs w:val="20"/>
          <w:color w:val="auto"/>
        </w:rPr>
      </w:pPr>
    </w:p>
    <w:p>
      <w:pPr>
        <w:jc w:val="both"/>
        <w:ind w:left="652" w:hanging="652"/>
        <w:spacing w:after="0" w:line="233"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Reasonable Eforts</w:t>
      </w:r>
      <w:r>
        <w:rPr>
          <w:rFonts w:ascii="Calibri" w:cs="Calibri" w:eastAsia="Calibri" w:hAnsi="Calibri"/>
          <w:sz w:val="20"/>
          <w:szCs w:val="20"/>
          <w:color w:val="auto"/>
        </w:rPr>
        <w:t>. The expression “reasonable eforts” and expressions of like import, when used in connecton with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obligaton of either party, means taking in good faith and with due diligence all commercially reasonable steps to achieve the objectve and to perform the obligaton, including doing all that can reasonably be done in the circumstances taking into account each party’s obligatons hereunder to mitgate delays and additonal costs to the other party, and in any event taking no less steps and eforts than those that would be taken by a commercially reasonable and prudent person in comparable circumstances, where the whole of the beneft of the obligaton and where all the results of taking such steps and eforts accrued solely to that person’s own beneft.</w:t>
      </w:r>
    </w:p>
    <w:p>
      <w:pPr>
        <w:spacing w:after="0" w:line="170" w:lineRule="exact"/>
        <w:rPr>
          <w:rFonts w:ascii="Calibri" w:cs="Calibri" w:eastAsia="Calibri" w:hAnsi="Calibri"/>
          <w:sz w:val="20"/>
          <w:szCs w:val="20"/>
          <w:color w:val="auto"/>
        </w:rPr>
      </w:pPr>
    </w:p>
    <w:p>
      <w:pPr>
        <w:jc w:val="both"/>
        <w:ind w:left="652" w:hanging="652"/>
        <w:spacing w:after="0" w:line="203"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Reasonableness</w:t>
      </w:r>
      <w:r>
        <w:rPr>
          <w:rFonts w:ascii="Calibri" w:cs="Calibri" w:eastAsia="Calibri" w:hAnsi="Calibri"/>
          <w:sz w:val="20"/>
          <w:szCs w:val="20"/>
          <w:color w:val="auto"/>
        </w:rPr>
        <w:t>. The words “reasonable”, “reasonably”, “unreasonably” and words of similar import, when applied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Department’s satsfacton, acceptance, determinaton, consent, discreton or approval, take into account any special consideraton afectng decisions of the Department in its capacity as a governmental entty or its responsibilites as such and are based on its policies, practces, and procedures, and law and regulatons applicable to it.</w:t>
      </w:r>
    </w:p>
    <w:p>
      <w:pPr>
        <w:spacing w:after="0" w:line="186" w:lineRule="exact"/>
        <w:rPr>
          <w:rFonts w:ascii="Calibri" w:cs="Calibri" w:eastAsia="Calibri" w:hAnsi="Calibri"/>
          <w:sz w:val="20"/>
          <w:szCs w:val="20"/>
          <w:color w:val="auto"/>
        </w:rPr>
      </w:pPr>
    </w:p>
    <w:p>
      <w:pPr>
        <w:jc w:val="both"/>
        <w:ind w:left="652" w:right="20" w:hanging="652"/>
        <w:spacing w:after="0" w:line="208"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Confict</w:t>
      </w:r>
      <w:r>
        <w:rPr>
          <w:rFonts w:ascii="Calibri" w:cs="Calibri" w:eastAsia="Calibri" w:hAnsi="Calibri"/>
          <w:sz w:val="20"/>
          <w:szCs w:val="20"/>
          <w:color w:val="auto"/>
        </w:rPr>
        <w:t>. Except as otherwise expressly provided for herein, in the case of any confict between the terms of this Agreement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terms of any Financing Document, the terms of this Agreement, as between the Recipient and the Department, shall prevail.</w:t>
      </w:r>
    </w:p>
    <w:p>
      <w:pPr>
        <w:spacing w:after="0" w:line="184" w:lineRule="exact"/>
        <w:rPr>
          <w:rFonts w:ascii="Calibri" w:cs="Calibri" w:eastAsia="Calibri" w:hAnsi="Calibri"/>
          <w:sz w:val="20"/>
          <w:szCs w:val="20"/>
          <w:color w:val="auto"/>
        </w:rPr>
      </w:pPr>
    </w:p>
    <w:p>
      <w:pPr>
        <w:jc w:val="both"/>
        <w:ind w:left="652" w:hanging="652"/>
        <w:spacing w:after="0" w:line="203"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Independence of Covenants</w:t>
      </w:r>
      <w:r>
        <w:rPr>
          <w:rFonts w:ascii="Calibri" w:cs="Calibri" w:eastAsia="Calibri" w:hAnsi="Calibri"/>
          <w:sz w:val="20"/>
          <w:szCs w:val="20"/>
          <w:color w:val="auto"/>
        </w:rPr>
        <w:t>. All covenants hereunder and under the other Financing Documents shall be given independent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efect so that if a partcular acton or conditon is not permited by any of such covenants, the fact that it would be permited by an excepton to, or would otherwise be within the limitatons of, another covenant shall not avoid the occurrence of a Potental Event of Default or an Event of Default if such acton is taken or conditon exists.</w:t>
      </w:r>
    </w:p>
    <w:p>
      <w:pPr>
        <w:spacing w:after="0" w:line="186" w:lineRule="exact"/>
        <w:rPr>
          <w:rFonts w:ascii="Calibri" w:cs="Calibri" w:eastAsia="Calibri" w:hAnsi="Calibri"/>
          <w:sz w:val="20"/>
          <w:szCs w:val="20"/>
          <w:color w:val="auto"/>
        </w:rPr>
      </w:pPr>
    </w:p>
    <w:p>
      <w:pPr>
        <w:jc w:val="both"/>
        <w:ind w:left="652" w:hanging="652"/>
        <w:spacing w:after="0" w:line="205" w:lineRule="auto"/>
        <w:tabs>
          <w:tab w:leader="none" w:pos="652" w:val="left"/>
        </w:tabs>
        <w:numPr>
          <w:ilvl w:val="0"/>
          <w:numId w:val="442"/>
        </w:numPr>
        <w:rPr>
          <w:rFonts w:ascii="Calibri" w:cs="Calibri" w:eastAsia="Calibri" w:hAnsi="Calibri"/>
          <w:sz w:val="20"/>
          <w:szCs w:val="20"/>
          <w:color w:val="auto"/>
        </w:rPr>
      </w:pPr>
      <w:r>
        <w:rPr>
          <w:rFonts w:ascii="Calibri" w:cs="Calibri" w:eastAsia="Calibri" w:hAnsi="Calibri"/>
          <w:sz w:val="20"/>
          <w:szCs w:val="20"/>
          <w:b w:val="1"/>
          <w:bCs w:val="1"/>
          <w:color w:val="auto"/>
        </w:rPr>
        <w:t>Order of Precedence</w:t>
      </w:r>
      <w:r>
        <w:rPr>
          <w:rFonts w:ascii="Calibri" w:cs="Calibri" w:eastAsia="Calibri" w:hAnsi="Calibri"/>
          <w:sz w:val="20"/>
          <w:szCs w:val="20"/>
          <w:color w:val="auto"/>
        </w:rPr>
        <w:t>. In the event of a confict between the terms and conditons included in the body of this Agreement,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Funding Obligaton and the terms and conditons included in any of the atachments hereto, the order of precedence shall be: (a) Funding Obligaton; (b) Annex B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(c)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(including the Defnitons set forth</w:t>
      </w:r>
    </w:p>
    <w:p>
      <w:pPr>
        <w:ind w:left="652"/>
        <w:spacing w:after="0" w:line="217" w:lineRule="auto"/>
        <w:rPr>
          <w:sz w:val="20"/>
          <w:szCs w:val="20"/>
          <w:color w:val="auto"/>
        </w:rPr>
      </w:pPr>
      <w:r>
        <w:rPr>
          <w:rFonts w:ascii="Calibri" w:cs="Calibri" w:eastAsia="Calibri" w:hAnsi="Calibri"/>
          <w:sz w:val="20"/>
          <w:szCs w:val="20"/>
          <w:color w:val="auto"/>
        </w:rPr>
        <w:t>therein); Annex E (</w:t>
      </w:r>
      <w:r>
        <w:rPr>
          <w:rFonts w:ascii="Times New Roman" w:cs="Times New Roman" w:eastAsia="Times New Roman" w:hAnsi="Times New Roman"/>
          <w:sz w:val="20"/>
          <w:szCs w:val="20"/>
          <w:b w:val="1"/>
          <w:bCs w:val="1"/>
          <w:color w:val="auto"/>
        </w:rPr>
        <w:t>Davis-Bacon Act Requirements</w:t>
      </w:r>
      <w:r>
        <w:rPr>
          <w:rFonts w:ascii="Calibri" w:cs="Calibri" w:eastAsia="Calibri" w:hAnsi="Calibri"/>
          <w:sz w:val="20"/>
          <w:szCs w:val="20"/>
          <w:color w:val="auto"/>
        </w:rPr>
        <w:t>) (including the Defnitons set forth therein);(e) the body of this Agreement;</w:t>
      </w:r>
    </w:p>
    <w:p>
      <w:pPr>
        <w:spacing w:after="0" w:line="1" w:lineRule="exact"/>
        <w:rPr>
          <w:sz w:val="20"/>
          <w:szCs w:val="20"/>
          <w:color w:val="auto"/>
        </w:rPr>
      </w:pPr>
    </w:p>
    <w:p>
      <w:pPr>
        <w:ind w:left="652" w:right="20" w:hanging="4"/>
        <w:spacing w:after="0" w:line="228" w:lineRule="auto"/>
        <w:tabs>
          <w:tab w:leader="none" w:pos="890" w:val="left"/>
        </w:tabs>
        <w:numPr>
          <w:ilvl w:val="0"/>
          <w:numId w:val="443"/>
        </w:numPr>
        <w:rPr>
          <w:rFonts w:ascii="Calibri" w:cs="Calibri" w:eastAsia="Calibri" w:hAnsi="Calibri"/>
          <w:sz w:val="20"/>
          <w:szCs w:val="20"/>
          <w:color w:val="auto"/>
        </w:rPr>
      </w:pPr>
      <w:r>
        <w:rPr>
          <w:rFonts w:ascii="Calibri" w:cs="Calibri" w:eastAsia="Calibri" w:hAnsi="Calibri"/>
          <w:sz w:val="20"/>
          <w:szCs w:val="20"/>
          <w:color w:val="auto"/>
        </w:rPr>
        <w:t>Annex A (</w:t>
      </w:r>
      <w:r>
        <w:rPr>
          <w:rFonts w:ascii="Times New Roman" w:cs="Times New Roman" w:eastAsia="Times New Roman" w:hAnsi="Times New Roman"/>
          <w:sz w:val="20"/>
          <w:szCs w:val="20"/>
          <w:b w:val="1"/>
          <w:bCs w:val="1"/>
          <w:color w:val="auto"/>
        </w:rPr>
        <w:t>Definitions</w:t>
      </w:r>
      <w:r>
        <w:rPr>
          <w:rFonts w:ascii="Calibri" w:cs="Calibri" w:eastAsia="Calibri" w:hAnsi="Calibri"/>
          <w:sz w:val="20"/>
          <w:szCs w:val="20"/>
          <w:color w:val="auto"/>
        </w:rPr>
        <w:t>) (g) Schedule B (</w:t>
      </w:r>
      <w:r>
        <w:rPr>
          <w:rFonts w:ascii="Times New Roman" w:cs="Times New Roman" w:eastAsia="Times New Roman" w:hAnsi="Times New Roman"/>
          <w:sz w:val="20"/>
          <w:szCs w:val="20"/>
          <w:b w:val="1"/>
          <w:bCs w:val="1"/>
          <w:color w:val="auto"/>
        </w:rPr>
        <w:t>Project Milestone Schedule</w:t>
      </w:r>
      <w:r>
        <w:rPr>
          <w:rFonts w:ascii="Calibri" w:cs="Calibri" w:eastAsia="Calibri" w:hAnsi="Calibri"/>
          <w:sz w:val="20"/>
          <w:szCs w:val="20"/>
          <w:color w:val="auto"/>
        </w:rPr>
        <w:t>); (h) Schedule A (</w:t>
      </w:r>
      <w:r>
        <w:rPr>
          <w:rFonts w:ascii="Times New Roman" w:cs="Times New Roman" w:eastAsia="Times New Roman" w:hAnsi="Times New Roman"/>
          <w:sz w:val="20"/>
          <w:szCs w:val="20"/>
          <w:b w:val="1"/>
          <w:bCs w:val="1"/>
          <w:color w:val="auto"/>
        </w:rPr>
        <w:t>Fiscal Year Appropriations</w:t>
      </w:r>
      <w:r>
        <w:rPr>
          <w:rFonts w:ascii="Calibri" w:cs="Calibri" w:eastAsia="Calibri" w:hAnsi="Calibri"/>
          <w:sz w:val="20"/>
          <w:szCs w:val="20"/>
          <w:color w:val="auto"/>
        </w:rPr>
        <w:t>); (i) Annex D (</w:t>
      </w:r>
      <w:r>
        <w:rPr>
          <w:rFonts w:ascii="Times New Roman" w:cs="Times New Roman" w:eastAsia="Times New Roman" w:hAnsi="Times New Roman"/>
          <w:sz w:val="20"/>
          <w:szCs w:val="20"/>
          <w:b w:val="1"/>
          <w:bCs w:val="1"/>
          <w:color w:val="auto"/>
        </w:rPr>
        <w:t>Program Requirements</w:t>
      </w:r>
      <w:r>
        <w:rPr>
          <w:rFonts w:ascii="Calibri" w:cs="Calibri" w:eastAsia="Calibri" w:hAnsi="Calibri"/>
          <w:sz w:val="20"/>
          <w:szCs w:val="20"/>
          <w:color w:val="auto"/>
        </w:rPr>
        <w:t>); and (j) Annex F (</w:t>
      </w:r>
      <w:r>
        <w:rPr>
          <w:rFonts w:ascii="Times New Roman" w:cs="Times New Roman" w:eastAsia="Times New Roman" w:hAnsi="Times New Roman"/>
          <w:sz w:val="20"/>
          <w:szCs w:val="20"/>
          <w:b w:val="1"/>
          <w:bCs w:val="1"/>
          <w:color w:val="auto"/>
        </w:rPr>
        <w:t>Reporting Covenants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32"/>
          </w:cols>
          <w:pgMar w:left="328" w:top="1384" w:right="339" w:bottom="1440" w:gutter="0" w:footer="0" w:header="0"/>
        </w:sectPr>
      </w:pPr>
    </w:p>
    <w:bookmarkStart w:id="414" w:name="page415"/>
    <w:bookmarkEnd w:id="414"/>
    <w:p>
      <w:pPr>
        <w:ind w:left="4980"/>
        <w:spacing w:after="0"/>
        <w:rPr>
          <w:sz w:val="20"/>
          <w:szCs w:val="20"/>
          <w:color w:val="auto"/>
        </w:rPr>
      </w:pPr>
      <w:r>
        <w:rPr>
          <w:rFonts w:ascii="Calibri" w:cs="Calibri" w:eastAsia="Calibri" w:hAnsi="Calibri"/>
          <w:sz w:val="20"/>
          <w:szCs w:val="20"/>
          <w:b w:val="1"/>
          <w:bCs w:val="1"/>
          <w:color w:val="auto"/>
        </w:rPr>
        <w:t>Annex C</w:t>
      </w:r>
    </w:p>
    <w:p>
      <w:pPr>
        <w:ind w:left="4580"/>
        <w:spacing w:after="0" w:line="199" w:lineRule="auto"/>
        <w:rPr>
          <w:sz w:val="20"/>
          <w:szCs w:val="20"/>
          <w:color w:val="auto"/>
        </w:rPr>
      </w:pPr>
      <w:r>
        <w:rPr>
          <w:rFonts w:ascii="Calibri" w:cs="Calibri" w:eastAsia="Calibri" w:hAnsi="Calibri"/>
          <w:sz w:val="20"/>
          <w:szCs w:val="20"/>
          <w:b w:val="1"/>
          <w:bCs w:val="1"/>
          <w:color w:val="auto"/>
        </w:rPr>
        <w:t>GUARDRAIL PROVISIONS</w:t>
      </w:r>
    </w:p>
    <w:p>
      <w:pPr>
        <w:spacing w:after="0" w:line="161"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1.</w:t>
      </w:r>
      <w:r>
        <w:rPr>
          <w:sz w:val="20"/>
          <w:szCs w:val="20"/>
          <w:color w:val="auto"/>
        </w:rPr>
        <w:tab/>
      </w:r>
      <w:r>
        <w:rPr>
          <w:rFonts w:ascii="Calibri" w:cs="Calibri" w:eastAsia="Calibri" w:hAnsi="Calibri"/>
          <w:sz w:val="20"/>
          <w:szCs w:val="20"/>
          <w:b w:val="1"/>
          <w:bCs w:val="1"/>
          <w:color w:val="auto"/>
        </w:rPr>
        <w:t>PROHIBITION ON CERTAIN EXPANSION TRANSACTIONS</w:t>
      </w:r>
    </w:p>
    <w:p>
      <w:pPr>
        <w:spacing w:after="0" w:line="21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During the Expansion Clawback Term, the Recipient and Members of the Afliated Group may not engage in any Signifcant Transacton involving the Material Expansion of Semiconductor Manufacturing Capacity in a Foreign Country of Concern; provided that, this prohibiton will not apply to:</w:t>
      </w:r>
    </w:p>
    <w:p>
      <w:pPr>
        <w:spacing w:after="0" w:line="200" w:lineRule="exact"/>
        <w:rPr>
          <w:sz w:val="20"/>
          <w:szCs w:val="20"/>
          <w:color w:val="auto"/>
        </w:rPr>
      </w:pPr>
    </w:p>
    <w:p>
      <w:pPr>
        <w:ind w:left="1300" w:right="20" w:hanging="644"/>
        <w:spacing w:after="0" w:line="208" w:lineRule="auto"/>
        <w:tabs>
          <w:tab w:leader="none" w:pos="1304" w:val="left"/>
        </w:tabs>
        <w:numPr>
          <w:ilvl w:val="0"/>
          <w:numId w:val="444"/>
        </w:numPr>
        <w:rPr>
          <w:rFonts w:ascii="Calibri" w:cs="Calibri" w:eastAsia="Calibri" w:hAnsi="Calibri"/>
          <w:sz w:val="20"/>
          <w:szCs w:val="20"/>
          <w:color w:val="auto"/>
        </w:rPr>
      </w:pPr>
      <w:r>
        <w:rPr>
          <w:rFonts w:ascii="Calibri" w:cs="Calibri" w:eastAsia="Calibri" w:hAnsi="Calibri"/>
          <w:sz w:val="20"/>
          <w:szCs w:val="20"/>
          <w:color w:val="auto"/>
        </w:rPr>
        <w:t>Existng Facilites or equipment of a Recipient or any Member of the Afliated Group for manufacturing Legacy Semiconductors;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0"/>
          <w:numId w:val="444"/>
        </w:numPr>
        <w:rPr>
          <w:rFonts w:ascii="Calibri" w:cs="Calibri" w:eastAsia="Calibri" w:hAnsi="Calibri"/>
          <w:sz w:val="20"/>
          <w:szCs w:val="20"/>
          <w:color w:val="auto"/>
        </w:rPr>
      </w:pPr>
      <w:r>
        <w:rPr>
          <w:rFonts w:ascii="Calibri" w:cs="Calibri" w:eastAsia="Calibri" w:hAnsi="Calibri"/>
          <w:sz w:val="20"/>
          <w:szCs w:val="20"/>
          <w:color w:val="auto"/>
        </w:rPr>
        <w:t>Signifcant Transactons involving Material Expansion of Semiconductor Manufacturing Capacity that:</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1"/>
          <w:numId w:val="444"/>
        </w:numPr>
        <w:rPr>
          <w:rFonts w:ascii="Calibri" w:cs="Calibri" w:eastAsia="Calibri" w:hAnsi="Calibri"/>
          <w:sz w:val="20"/>
          <w:szCs w:val="20"/>
          <w:color w:val="auto"/>
        </w:rPr>
      </w:pPr>
      <w:r>
        <w:rPr>
          <w:rFonts w:ascii="Calibri" w:cs="Calibri" w:eastAsia="Calibri" w:hAnsi="Calibri"/>
          <w:sz w:val="20"/>
          <w:szCs w:val="20"/>
          <w:color w:val="auto"/>
        </w:rPr>
        <w:t>produce Legacy Semiconductors; and</w:t>
      </w:r>
    </w:p>
    <w:p>
      <w:pPr>
        <w:spacing w:after="0" w:line="160" w:lineRule="exact"/>
        <w:rPr>
          <w:rFonts w:ascii="Calibri" w:cs="Calibri" w:eastAsia="Calibri" w:hAnsi="Calibri"/>
          <w:sz w:val="20"/>
          <w:szCs w:val="20"/>
          <w:color w:val="auto"/>
        </w:rPr>
      </w:pPr>
    </w:p>
    <w:p>
      <w:pPr>
        <w:ind w:left="1960" w:hanging="656"/>
        <w:spacing w:after="0"/>
        <w:tabs>
          <w:tab w:leader="none" w:pos="1960" w:val="left"/>
        </w:tabs>
        <w:numPr>
          <w:ilvl w:val="1"/>
          <w:numId w:val="444"/>
        </w:numPr>
        <w:rPr>
          <w:rFonts w:ascii="Calibri" w:cs="Calibri" w:eastAsia="Calibri" w:hAnsi="Calibri"/>
          <w:sz w:val="20"/>
          <w:szCs w:val="20"/>
          <w:color w:val="auto"/>
        </w:rPr>
      </w:pPr>
      <w:r>
        <w:rPr>
          <w:rFonts w:ascii="Calibri" w:cs="Calibri" w:eastAsia="Calibri" w:hAnsi="Calibri"/>
          <w:sz w:val="20"/>
          <w:szCs w:val="20"/>
          <w:color w:val="auto"/>
        </w:rPr>
        <w:t>Predominately Serve the Market of a Foreign Country of Concern.</w:t>
      </w:r>
    </w:p>
    <w:p>
      <w:pPr>
        <w:spacing w:after="0" w:line="174"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2.</w:t>
      </w:r>
      <w:r>
        <w:rPr>
          <w:sz w:val="20"/>
          <w:szCs w:val="20"/>
          <w:color w:val="auto"/>
        </w:rPr>
        <w:tab/>
      </w:r>
      <w:r>
        <w:rPr>
          <w:rFonts w:ascii="Calibri" w:cs="Calibri" w:eastAsia="Calibri" w:hAnsi="Calibri"/>
          <w:sz w:val="20"/>
          <w:szCs w:val="20"/>
          <w:b w:val="1"/>
          <w:bCs w:val="1"/>
          <w:color w:val="auto"/>
        </w:rPr>
        <w:t>PROHIBITION ON CERTAIN JOINT RESEARCH OR TECHNOLOGY LICENSING</w:t>
      </w:r>
    </w:p>
    <w:p>
      <w:pPr>
        <w:spacing w:after="0" w:line="184" w:lineRule="exact"/>
        <w:rPr>
          <w:sz w:val="20"/>
          <w:szCs w:val="20"/>
          <w:color w:val="auto"/>
        </w:rPr>
      </w:pPr>
    </w:p>
    <w:p>
      <w:pPr>
        <w:jc w:val="both"/>
        <w:ind w:left="1300" w:hanging="644"/>
        <w:spacing w:after="0" w:line="208" w:lineRule="auto"/>
        <w:tabs>
          <w:tab w:leader="none" w:pos="1304" w:val="left"/>
        </w:tabs>
        <w:numPr>
          <w:ilvl w:val="0"/>
          <w:numId w:val="445"/>
        </w:numPr>
        <w:rPr>
          <w:rFonts w:ascii="Calibri" w:cs="Calibri" w:eastAsia="Calibri" w:hAnsi="Calibri"/>
          <w:sz w:val="20"/>
          <w:szCs w:val="20"/>
          <w:color w:val="auto"/>
        </w:rPr>
      </w:pPr>
      <w:r>
        <w:rPr>
          <w:rFonts w:ascii="Calibri" w:cs="Calibri" w:eastAsia="Calibri" w:hAnsi="Calibri"/>
          <w:sz w:val="20"/>
          <w:szCs w:val="20"/>
          <w:color w:val="auto"/>
        </w:rPr>
        <w:t>During the Technology Clawback Term, the Recipient may not Knowingly engage in any Joint Research or Technology Licensing with a Foreign Entty of Concern that relates to a Technology or Product that Raises Natonal Security Concerns.</w:t>
      </w:r>
    </w:p>
    <w:p>
      <w:pPr>
        <w:spacing w:after="0" w:line="184" w:lineRule="exact"/>
        <w:rPr>
          <w:rFonts w:ascii="Calibri" w:cs="Calibri" w:eastAsia="Calibri" w:hAnsi="Calibri"/>
          <w:sz w:val="20"/>
          <w:szCs w:val="20"/>
          <w:color w:val="auto"/>
        </w:rPr>
      </w:pPr>
    </w:p>
    <w:p>
      <w:pPr>
        <w:jc w:val="both"/>
        <w:ind w:left="1300" w:hanging="644"/>
        <w:spacing w:after="0" w:line="198" w:lineRule="auto"/>
        <w:tabs>
          <w:tab w:leader="none" w:pos="1300" w:val="left"/>
        </w:tabs>
        <w:numPr>
          <w:ilvl w:val="0"/>
          <w:numId w:val="445"/>
        </w:numPr>
        <w:rPr>
          <w:rFonts w:ascii="Calibri" w:cs="Calibri" w:eastAsia="Calibri" w:hAnsi="Calibri"/>
          <w:sz w:val="20"/>
          <w:szCs w:val="20"/>
          <w:color w:val="auto"/>
        </w:rPr>
      </w:pPr>
      <w:r>
        <w:rPr>
          <w:rFonts w:ascii="Calibri" w:cs="Calibri" w:eastAsia="Calibri" w:hAnsi="Calibri"/>
          <w:sz w:val="20"/>
          <w:szCs w:val="20"/>
          <w:color w:val="auto"/>
        </w:rPr>
        <w:t>Notwithstanding paragraph (a) of this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this prohibiton will not apply to Joint Research or Technology Licensing with a Foreign Entty of Concern that relates to a Technology or Product that Raises Natonal Security Concerns that was ongoing prior to (i) being listed as a Technology or Product that Raises Natonal Security Concerns in 68 Fed. Reg. 65600 (September 25, 2023), or (ii) an announcement by the Secretary identfying such technology or product as a Technology or Product that Raises Natonal Security Concerns as set forth in part (c) of the defniton of such term. All ongoing Joint Research or Technology Licensing that the Recipient has with a Foreign Entty of Concern that relates to a Technology or Product that Raises Natonal Security Concerns that was ongoing as of September 25, 2023 is set forth in Part 2 (</w:t>
      </w:r>
      <w:r>
        <w:rPr>
          <w:rFonts w:ascii="Calibri" w:cs="Calibri" w:eastAsia="Calibri" w:hAnsi="Calibri"/>
          <w:sz w:val="20"/>
          <w:szCs w:val="20"/>
          <w:b w:val="1"/>
          <w:bCs w:val="1"/>
          <w:color w:val="auto"/>
        </w:rPr>
        <w:t>Joint Research or Technology Licensing of</w:t>
      </w:r>
      <w:r>
        <w:rPr>
          <w:rFonts w:ascii="Calibri" w:cs="Calibri" w:eastAsia="Calibri" w:hAnsi="Calibri"/>
          <w:sz w:val="20"/>
          <w:szCs w:val="20"/>
          <w:color w:val="auto"/>
        </w:rPr>
        <w:t xml:space="preserve"> Recipient) of Appendix 1 hereto, which Appendix will be amended by the Recipient in connecton with any public determinatons by the Secretary of Technologies or Products that Raise Natonal Security Concerns to memorialize that such technology or product was ongoing as of the date of such announcement.</w:t>
      </w:r>
    </w:p>
    <w:p>
      <w:pPr>
        <w:spacing w:after="0" w:line="164"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3.</w:t>
      </w:r>
      <w:r>
        <w:rPr>
          <w:sz w:val="20"/>
          <w:szCs w:val="20"/>
          <w:color w:val="auto"/>
        </w:rPr>
        <w:tab/>
      </w:r>
      <w:r>
        <w:rPr>
          <w:rFonts w:ascii="Calibri" w:cs="Calibri" w:eastAsia="Calibri" w:hAnsi="Calibri"/>
          <w:sz w:val="20"/>
          <w:szCs w:val="20"/>
          <w:b w:val="1"/>
          <w:bCs w:val="1"/>
          <w:color w:val="auto"/>
        </w:rPr>
        <w:t>ADDITIONAL CONDITIONS ON CERTAIN JOINT RESEARCH OR TECHNOLOGY LICENSING</w:t>
      </w:r>
    </w:p>
    <w:p>
      <w:pPr>
        <w:spacing w:after="0" w:line="184" w:lineRule="exact"/>
        <w:rPr>
          <w:sz w:val="20"/>
          <w:szCs w:val="20"/>
          <w:color w:val="auto"/>
        </w:rPr>
      </w:pPr>
    </w:p>
    <w:p>
      <w:pPr>
        <w:jc w:val="both"/>
        <w:ind w:left="1300" w:hanging="644"/>
        <w:spacing w:after="0" w:line="222" w:lineRule="auto"/>
        <w:tabs>
          <w:tab w:leader="none" w:pos="1304" w:val="left"/>
        </w:tabs>
        <w:numPr>
          <w:ilvl w:val="0"/>
          <w:numId w:val="446"/>
        </w:numPr>
        <w:rPr>
          <w:rFonts w:ascii="Calibri" w:cs="Calibri" w:eastAsia="Calibri" w:hAnsi="Calibri"/>
          <w:sz w:val="20"/>
          <w:szCs w:val="20"/>
          <w:color w:val="auto"/>
        </w:rPr>
      </w:pPr>
      <w:r>
        <w:rPr>
          <w:rFonts w:ascii="Calibri" w:cs="Calibri" w:eastAsia="Calibri" w:hAnsi="Calibri"/>
          <w:sz w:val="20"/>
          <w:szCs w:val="20"/>
          <w:color w:val="auto"/>
        </w:rPr>
        <w:t>If, during the Technology Clawback Term, the Business Unit of any Related Entty that designs, manufactures or packages a Specifed Technology or Product (or any other technology or product substantally the same thereto) engages in Joint Research or Technology Licensing with a Foreign Entty of Concern with respect to the Specifed Technology or Product (or any other technology or product substantally the same thereto), then the Secretary may take any measures to mitgate the risk to natonal security, which measures may include, but are not limited to, recovering up to the full amount of any Award made to the Recipient that is within the Technology Clawback Term for such Award (which recovery may be pursuant to Secton 7(d)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negotatng an amendment to this Agreement, or exercising any other remedy available to the Secretary at equity or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374" w:right="339" w:bottom="1440" w:gutter="0" w:footer="0" w:header="0"/>
        </w:sectPr>
      </w:pPr>
    </w:p>
    <w:bookmarkStart w:id="415" w:name="page416"/>
    <w:bookmarkEnd w:id="415"/>
    <w:p>
      <w:pPr>
        <w:jc w:val="both"/>
        <w:ind w:left="1300" w:hanging="644"/>
        <w:spacing w:after="0" w:line="218" w:lineRule="auto"/>
        <w:tabs>
          <w:tab w:leader="none" w:pos="1300" w:val="left"/>
        </w:tabs>
        <w:numPr>
          <w:ilvl w:val="0"/>
          <w:numId w:val="447"/>
        </w:numPr>
        <w:rPr>
          <w:rFonts w:ascii="Calibri" w:cs="Calibri" w:eastAsia="Calibri" w:hAnsi="Calibri"/>
          <w:sz w:val="20"/>
          <w:szCs w:val="20"/>
          <w:color w:val="auto"/>
        </w:rPr>
      </w:pPr>
      <w:r>
        <w:rPr>
          <w:rFonts w:ascii="Calibri" w:cs="Calibri" w:eastAsia="Calibri" w:hAnsi="Calibri"/>
          <w:sz w:val="20"/>
          <w:szCs w:val="20"/>
          <w:color w:val="auto"/>
        </w:rPr>
        <w:t>Notwithstanding paragraph (a) of this Secton 3 (</w:t>
      </w:r>
      <w:r>
        <w:rPr>
          <w:rFonts w:ascii="Calibri" w:cs="Calibri" w:eastAsia="Calibri" w:hAnsi="Calibri"/>
          <w:sz w:val="20"/>
          <w:szCs w:val="20"/>
          <w:b w:val="1"/>
          <w:bCs w:val="1"/>
          <w:color w:val="auto"/>
        </w:rPr>
        <w:t>Additonal Conditons on Certain Joint Research or Technology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Licensing</w:t>
      </w:r>
      <w:r>
        <w:rPr>
          <w:rFonts w:ascii="Calibri" w:cs="Calibri" w:eastAsia="Calibri" w:hAnsi="Calibri"/>
          <w:sz w:val="20"/>
          <w:szCs w:val="20"/>
          <w:color w:val="auto"/>
        </w:rPr>
        <w:t>), this conditon will not apply to Joint Research or Technology Licensing with a Foreign Entty of Concern that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relates to a Technology or Product that Raises Natonal Security Concerns that was ongoing prior to (i) being listed as a Technology or Product that Raises Natonal Security Concerns in 68 Fed. Reg. 65600 (September 25, 2023), or (ii) an announcement by the Secretary identfying such technology or product as a Technology or Product that Raises Natonal Security Concerns as set forth in part (c) of the defniton of such term. All such ongoing Joint Research or Technology Licensing that would otherwise be prohibited by paragraph (a) that was ongoing as of September 25, 2023 is set forth in Part 3 (</w:t>
      </w:r>
      <w:r>
        <w:rPr>
          <w:rFonts w:ascii="Calibri" w:cs="Calibri" w:eastAsia="Calibri" w:hAnsi="Calibri"/>
          <w:sz w:val="20"/>
          <w:szCs w:val="20"/>
          <w:b w:val="1"/>
          <w:bCs w:val="1"/>
          <w:color w:val="auto"/>
        </w:rPr>
        <w:t>Joint Research or Technology Licensing of Related Enttes</w:t>
      </w:r>
      <w:r>
        <w:rPr>
          <w:rFonts w:ascii="Calibri" w:cs="Calibri" w:eastAsia="Calibri" w:hAnsi="Calibri"/>
          <w:sz w:val="20"/>
          <w:szCs w:val="20"/>
          <w:color w:val="auto"/>
        </w:rPr>
        <w:t>) of Appendix 1, which Schedule will be amended by the Recipient in connecton with any public determinatons by the Secretary of Technologies or Products that Raise Natonal Security Concerns to memorialize that such technology or product was ongoing as of the date of such announcement.</w:t>
      </w:r>
    </w:p>
    <w:p>
      <w:pPr>
        <w:spacing w:after="0" w:line="162"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4.</w:t>
      </w:r>
      <w:r>
        <w:rPr>
          <w:sz w:val="20"/>
          <w:szCs w:val="20"/>
          <w:color w:val="auto"/>
        </w:rPr>
        <w:tab/>
      </w:r>
      <w:r>
        <w:rPr>
          <w:rFonts w:ascii="Calibri" w:cs="Calibri" w:eastAsia="Calibri" w:hAnsi="Calibri"/>
          <w:sz w:val="20"/>
          <w:szCs w:val="20"/>
          <w:b w:val="1"/>
          <w:bCs w:val="1"/>
          <w:color w:val="auto"/>
        </w:rPr>
        <w:t>RETENTION OF RECORDS.</w:t>
      </w:r>
    </w:p>
    <w:p>
      <w:pPr>
        <w:spacing w:after="0" w:line="184" w:lineRule="exact"/>
        <w:rPr>
          <w:sz w:val="20"/>
          <w:szCs w:val="20"/>
          <w:color w:val="auto"/>
        </w:rPr>
      </w:pPr>
    </w:p>
    <w:p>
      <w:pPr>
        <w:jc w:val="both"/>
        <w:ind w:left="1300" w:hanging="644"/>
        <w:spacing w:after="0" w:line="199" w:lineRule="auto"/>
        <w:tabs>
          <w:tab w:leader="none" w:pos="1304" w:val="left"/>
        </w:tabs>
        <w:numPr>
          <w:ilvl w:val="0"/>
          <w:numId w:val="448"/>
        </w:numPr>
        <w:rPr>
          <w:rFonts w:ascii="Calibri" w:cs="Calibri" w:eastAsia="Calibri" w:hAnsi="Calibri"/>
          <w:sz w:val="20"/>
          <w:szCs w:val="20"/>
          <w:color w:val="auto"/>
        </w:rPr>
      </w:pPr>
      <w:r>
        <w:rPr>
          <w:rFonts w:ascii="Calibri" w:cs="Calibri" w:eastAsia="Calibri" w:hAnsi="Calibri"/>
          <w:sz w:val="20"/>
          <w:szCs w:val="20"/>
          <w:color w:val="auto"/>
        </w:rPr>
        <w:t>During the Expansion Clawback Term and for a period of seven (7) years following any Signifcant Transacton involving the Material Expansion of Semiconductor Manufacturing Capacity in a Foreign Country of Concern, a Recipient or Member of the Afliated Group planning or engaging in any such Signifcant Transacton involving the Material Expansion of Semiconductor Manufacturing Capacity in a Foreign Country of Concern will maintain records related to the Signifcant Transacton in a manner consistent with the recordkeeping practces used in their ordinary course of business for such transactons.</w:t>
      </w:r>
    </w:p>
    <w:p>
      <w:pPr>
        <w:spacing w:after="0" w:line="189" w:lineRule="exact"/>
        <w:rPr>
          <w:rFonts w:ascii="Calibri" w:cs="Calibri" w:eastAsia="Calibri" w:hAnsi="Calibri"/>
          <w:sz w:val="20"/>
          <w:szCs w:val="20"/>
          <w:color w:val="auto"/>
        </w:rPr>
      </w:pPr>
    </w:p>
    <w:p>
      <w:pPr>
        <w:jc w:val="both"/>
        <w:ind w:left="1300" w:hanging="644"/>
        <w:spacing w:after="0" w:line="203" w:lineRule="auto"/>
        <w:tabs>
          <w:tab w:leader="none" w:pos="1300" w:val="left"/>
        </w:tabs>
        <w:numPr>
          <w:ilvl w:val="0"/>
          <w:numId w:val="448"/>
        </w:numPr>
        <w:rPr>
          <w:rFonts w:ascii="Calibri" w:cs="Calibri" w:eastAsia="Calibri" w:hAnsi="Calibri"/>
          <w:sz w:val="20"/>
          <w:szCs w:val="20"/>
          <w:color w:val="auto"/>
        </w:rPr>
      </w:pPr>
      <w:r>
        <w:rPr>
          <w:rFonts w:ascii="Calibri" w:cs="Calibri" w:eastAsia="Calibri" w:hAnsi="Calibri"/>
          <w:sz w:val="20"/>
          <w:szCs w:val="20"/>
          <w:color w:val="auto"/>
        </w:rPr>
        <w:t>A Recipient that is notfed that a transacton is being reviewed by the Secretary in accordance with the Guardrail Regulatons will immediately take steps to retain all records relatng to such transacton, including if those records are maintained by a Member of the Afliated Group or by Related Enttes. Any failure to maintain such records will be an adverse inference regarding compliance with the provisions of this Annex.</w:t>
      </w:r>
    </w:p>
    <w:p>
      <w:pPr>
        <w:spacing w:after="0" w:line="163"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5.</w:t>
      </w:r>
      <w:r>
        <w:rPr>
          <w:sz w:val="20"/>
          <w:szCs w:val="20"/>
          <w:color w:val="auto"/>
        </w:rPr>
        <w:tab/>
      </w:r>
      <w:r>
        <w:rPr>
          <w:rFonts w:ascii="Calibri" w:cs="Calibri" w:eastAsia="Calibri" w:hAnsi="Calibri"/>
          <w:sz w:val="20"/>
          <w:szCs w:val="20"/>
          <w:b w:val="1"/>
          <w:bCs w:val="1"/>
          <w:color w:val="auto"/>
        </w:rPr>
        <w:t>PROCEDURES FOR NOTIFYING THE SECRETARY OF SIGNIFICANT TRANSACTIONS</w:t>
      </w:r>
    </w:p>
    <w:p>
      <w:pPr>
        <w:spacing w:after="0" w:line="21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During the Expansion Clawback Term, the Recipient will submit writen notfcaton to the Secretary regarding any planned Signifcant Transactons of the Recipient or Members of the Afliated Group that may involve the Material Expansion of Semiconductor Manufacturing Capacity in a Foreign Country of Concern, regardless of whether the Recipient believes the transacton falls within an</w:t>
      </w:r>
    </w:p>
    <w:p>
      <w:pPr>
        <w:spacing w:after="0" w:line="11"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excepton stated in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Each notfcaton must include the informaton set forth in Secton 6 (</w:t>
      </w:r>
      <w:r>
        <w:rPr>
          <w:rFonts w:ascii="Calibri" w:cs="Calibri" w:eastAsia="Calibri" w:hAnsi="Calibri"/>
          <w:sz w:val="20"/>
          <w:szCs w:val="20"/>
          <w:b w:val="1"/>
          <w:bCs w:val="1"/>
          <w:color w:val="auto"/>
        </w:rPr>
        <w:t>Contents Of Notfcatons; Certfcatons; Additonal Informaton</w:t>
      </w:r>
      <w:r>
        <w:rPr>
          <w:rFonts w:ascii="Calibri" w:cs="Calibri" w:eastAsia="Calibri" w:hAnsi="Calibri"/>
          <w:sz w:val="20"/>
          <w:szCs w:val="20"/>
          <w:color w:val="auto"/>
        </w:rPr>
        <w:t>) and be submited</w:t>
      </w:r>
    </w:p>
    <w:p>
      <w:pPr>
        <w:spacing w:after="0" w:line="238" w:lineRule="auto"/>
        <w:rPr>
          <w:sz w:val="20"/>
          <w:szCs w:val="20"/>
          <w:color w:val="auto"/>
        </w:rPr>
      </w:pPr>
      <w:r>
        <w:rPr>
          <w:rFonts w:ascii="Calibri" w:cs="Calibri" w:eastAsia="Calibri" w:hAnsi="Calibri"/>
          <w:sz w:val="20"/>
          <w:szCs w:val="20"/>
          <w:color w:val="auto"/>
        </w:rPr>
        <w:t>to the Secretary in accordance with the notce provisions of this Agreement and to notfcatons@chips.gov.</w:t>
      </w:r>
    </w:p>
    <w:p>
      <w:pPr>
        <w:spacing w:after="0" w:line="189"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6.</w:t>
      </w:r>
      <w:r>
        <w:rPr>
          <w:sz w:val="20"/>
          <w:szCs w:val="20"/>
          <w:color w:val="auto"/>
        </w:rPr>
        <w:tab/>
      </w:r>
      <w:r>
        <w:rPr>
          <w:rFonts w:ascii="Calibri" w:cs="Calibri" w:eastAsia="Calibri" w:hAnsi="Calibri"/>
          <w:sz w:val="20"/>
          <w:szCs w:val="20"/>
          <w:b w:val="1"/>
          <w:bCs w:val="1"/>
          <w:color w:val="auto"/>
        </w:rPr>
        <w:t>CONTENTS OF NOTIFICATIONS; CERTIFICATIONS; ADDITIONAL INFORMATION</w:t>
      </w:r>
    </w:p>
    <w:p>
      <w:pPr>
        <w:spacing w:after="0" w:line="171" w:lineRule="exact"/>
        <w:rPr>
          <w:sz w:val="20"/>
          <w:szCs w:val="20"/>
          <w:color w:val="auto"/>
        </w:rPr>
      </w:pPr>
    </w:p>
    <w:p>
      <w:pPr>
        <w:jc w:val="both"/>
        <w:ind w:left="1300" w:hanging="644"/>
        <w:spacing w:after="0"/>
        <w:tabs>
          <w:tab w:leader="none" w:pos="1304" w:val="left"/>
        </w:tabs>
        <w:numPr>
          <w:ilvl w:val="0"/>
          <w:numId w:val="449"/>
        </w:numPr>
        <w:rPr>
          <w:rFonts w:ascii="Calibri" w:cs="Calibri" w:eastAsia="Calibri" w:hAnsi="Calibri"/>
          <w:sz w:val="20"/>
          <w:szCs w:val="20"/>
          <w:color w:val="auto"/>
        </w:rPr>
      </w:pPr>
      <w:r>
        <w:rPr>
          <w:rFonts w:ascii="Calibri" w:cs="Calibri" w:eastAsia="Calibri" w:hAnsi="Calibri"/>
          <w:sz w:val="20"/>
          <w:szCs w:val="20"/>
          <w:color w:val="auto"/>
        </w:rPr>
        <w:t>The notfcaton required by Secton 5 (</w:t>
      </w:r>
      <w:r>
        <w:rPr>
          <w:rFonts w:ascii="Calibri" w:cs="Calibri" w:eastAsia="Calibri" w:hAnsi="Calibri"/>
          <w:sz w:val="20"/>
          <w:szCs w:val="20"/>
          <w:b w:val="1"/>
          <w:bCs w:val="1"/>
          <w:color w:val="auto"/>
        </w:rPr>
        <w:t>Procedures For Notfying The Secretary Of Signifcant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will be certfed by the Recipient’s chief executve ofcer, president, or equivalent corporate ofcer, and will contain the following informaton about the partes and the transacton, which must be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84" w:right="339" w:bottom="1440" w:gutter="0" w:footer="0" w:header="0"/>
        </w:sectPr>
      </w:pPr>
    </w:p>
    <w:bookmarkStart w:id="416" w:name="page417"/>
    <w:bookmarkEnd w:id="416"/>
    <w:p>
      <w:pPr>
        <w:ind w:left="1960" w:hanging="656"/>
        <w:spacing w:after="0" w:line="214" w:lineRule="auto"/>
        <w:tabs>
          <w:tab w:leader="none" w:pos="1954"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the Recipient and any Member of the Afliated Group that is party to any Award Document, including for each a primary point of contact, telephone number, and email address;</w:t>
      </w:r>
    </w:p>
    <w:p>
      <w:pPr>
        <w:spacing w:after="0" w:line="162" w:lineRule="exact"/>
        <w:rPr>
          <w:rFonts w:ascii="Calibri" w:cs="Calibri" w:eastAsia="Calibri" w:hAnsi="Calibri"/>
          <w:sz w:val="20"/>
          <w:szCs w:val="20"/>
          <w:color w:val="auto"/>
        </w:rPr>
      </w:pPr>
    </w:p>
    <w:p>
      <w:pPr>
        <w:ind w:left="1960" w:hanging="656"/>
        <w:spacing w:after="0"/>
        <w:tabs>
          <w:tab w:leader="none" w:pos="1960"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the identty and locaton(s) of all other partes to the transacton;</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informaton, including organizatonal chart(s), on the ownership structure of partes to the transactons;</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a descripton of any other signifcant foreign involvement, e.g., through fnancing, in the transacton;</w:t>
      </w:r>
    </w:p>
    <w:p>
      <w:pPr>
        <w:spacing w:after="0" w:line="170" w:lineRule="exact"/>
        <w:rPr>
          <w:rFonts w:ascii="Calibri" w:cs="Calibri" w:eastAsia="Calibri" w:hAnsi="Calibri"/>
          <w:sz w:val="20"/>
          <w:szCs w:val="20"/>
          <w:color w:val="auto"/>
        </w:rPr>
      </w:pPr>
    </w:p>
    <w:p>
      <w:pPr>
        <w:ind w:left="1960" w:right="20" w:hanging="656"/>
        <w:spacing w:after="0" w:line="214" w:lineRule="auto"/>
        <w:tabs>
          <w:tab w:leader="none" w:pos="1958"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the name(s) and locaton(s) of any entty in a Foreign Country of Concern where or at which Semiconductor Manufacturing Capacity may be Materially Expanded by the transacton;</w:t>
      </w:r>
    </w:p>
    <w:p>
      <w:pPr>
        <w:spacing w:after="0" w:line="185" w:lineRule="exact"/>
        <w:rPr>
          <w:rFonts w:ascii="Calibri" w:cs="Calibri" w:eastAsia="Calibri" w:hAnsi="Calibri"/>
          <w:sz w:val="20"/>
          <w:szCs w:val="20"/>
          <w:color w:val="auto"/>
        </w:rPr>
      </w:pPr>
    </w:p>
    <w:p>
      <w:pPr>
        <w:jc w:val="both"/>
        <w:ind w:left="1960" w:hanging="656"/>
        <w:spacing w:after="0" w:line="203" w:lineRule="auto"/>
        <w:tabs>
          <w:tab w:leader="none" w:pos="1964"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a descripton of the transacton, including the specifc types of Semiconductors currently produced at the facility planned for expansion, the current producton technology node (or equivalent informaton) and Semiconductor Manufacturing Capacity, as well as the specifc types of Semiconductors planned for manufacture, the planned producton technology node, and planned Semiconductor Manufacturing Capacity;</w:t>
      </w:r>
    </w:p>
    <w:p>
      <w:pPr>
        <w:spacing w:after="0" w:line="173" w:lineRule="exact"/>
        <w:rPr>
          <w:rFonts w:ascii="Calibri" w:cs="Calibri" w:eastAsia="Calibri" w:hAnsi="Calibri"/>
          <w:sz w:val="20"/>
          <w:szCs w:val="20"/>
          <w:color w:val="auto"/>
        </w:rPr>
      </w:pPr>
    </w:p>
    <w:p>
      <w:pPr>
        <w:jc w:val="both"/>
        <w:ind w:left="1960" w:hanging="656"/>
        <w:spacing w:after="0" w:line="202" w:lineRule="auto"/>
        <w:tabs>
          <w:tab w:leader="none" w:pos="1957"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if the Recipient asserts that the transacton involves the Material Expansion of Semiconductor Manufacturing Capacity that produces Legacy Semiconductors that will Predominately Serve the Market of a Foreign Country of Concern, documentaton as to where the fnal products incorporatng the Legacy Semiconductors are to be used or consumed, including the percent of Semiconductor Manufacturing Capacity or percent of sales revenue that will be accounted for by use or consumpton of the fnal goods in the Foreign Country of Concern; and</w:t>
      </w:r>
    </w:p>
    <w:p>
      <w:pPr>
        <w:spacing w:after="0" w:line="187" w:lineRule="exact"/>
        <w:rPr>
          <w:rFonts w:ascii="Calibri" w:cs="Calibri" w:eastAsia="Calibri" w:hAnsi="Calibri"/>
          <w:sz w:val="20"/>
          <w:szCs w:val="20"/>
          <w:color w:val="auto"/>
        </w:rPr>
      </w:pPr>
    </w:p>
    <w:p>
      <w:pPr>
        <w:jc w:val="both"/>
        <w:ind w:left="1960" w:hanging="656"/>
        <w:spacing w:after="0" w:line="200" w:lineRule="auto"/>
        <w:tabs>
          <w:tab w:leader="none" w:pos="1963" w:val="left"/>
        </w:tabs>
        <w:numPr>
          <w:ilvl w:val="1"/>
          <w:numId w:val="450"/>
        </w:numPr>
        <w:rPr>
          <w:rFonts w:ascii="Calibri" w:cs="Calibri" w:eastAsia="Calibri" w:hAnsi="Calibri"/>
          <w:sz w:val="20"/>
          <w:szCs w:val="20"/>
          <w:color w:val="auto"/>
        </w:rPr>
      </w:pPr>
      <w:r>
        <w:rPr>
          <w:rFonts w:ascii="Calibri" w:cs="Calibri" w:eastAsia="Calibri" w:hAnsi="Calibri"/>
          <w:sz w:val="20"/>
          <w:szCs w:val="20"/>
          <w:color w:val="auto"/>
        </w:rPr>
        <w:t>If applicable, an explanaton of how the transacton meets the exemptons set forth in Secton 1 (</w:t>
      </w:r>
      <w:r>
        <w:rPr>
          <w:rFonts w:ascii="Calibri" w:cs="Calibri" w:eastAsia="Calibri" w:hAnsi="Calibri"/>
          <w:sz w:val="20"/>
          <w:szCs w:val="20"/>
          <w:b w:val="1"/>
          <w:bCs w:val="1"/>
          <w:color w:val="auto"/>
        </w:rPr>
        <w:t>Prohibiton 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including details on the calculatons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Semiconductor Manufacturing Capacity and/or sales revenue by the market in which the fnal goods will be consumed.</w:t>
      </w:r>
    </w:p>
    <w:p>
      <w:pPr>
        <w:spacing w:after="0" w:line="185" w:lineRule="exact"/>
        <w:rPr>
          <w:rFonts w:ascii="Calibri" w:cs="Calibri" w:eastAsia="Calibri" w:hAnsi="Calibri"/>
          <w:sz w:val="20"/>
          <w:szCs w:val="20"/>
          <w:color w:val="auto"/>
        </w:rPr>
      </w:pPr>
    </w:p>
    <w:p>
      <w:pPr>
        <w:jc w:val="both"/>
        <w:ind w:left="1300" w:hanging="644"/>
        <w:spacing w:after="0" w:line="205" w:lineRule="auto"/>
        <w:tabs>
          <w:tab w:leader="none" w:pos="1300" w:val="left"/>
        </w:tabs>
        <w:numPr>
          <w:ilvl w:val="0"/>
          <w:numId w:val="451"/>
        </w:numPr>
        <w:rPr>
          <w:rFonts w:ascii="Calibri" w:cs="Calibri" w:eastAsia="Calibri" w:hAnsi="Calibri"/>
          <w:sz w:val="20"/>
          <w:szCs w:val="20"/>
          <w:color w:val="auto"/>
        </w:rPr>
      </w:pPr>
      <w:r>
        <w:rPr>
          <w:rFonts w:ascii="Calibri" w:cs="Calibri" w:eastAsia="Calibri" w:hAnsi="Calibri"/>
          <w:sz w:val="20"/>
          <w:szCs w:val="20"/>
          <w:color w:val="auto"/>
        </w:rPr>
        <w:t>If during the review of the notfcaton specifed in Secton 5 (</w:t>
      </w:r>
      <w:r>
        <w:rPr>
          <w:rFonts w:ascii="Calibri" w:cs="Calibri" w:eastAsia="Calibri" w:hAnsi="Calibri"/>
          <w:sz w:val="20"/>
          <w:szCs w:val="20"/>
          <w:b w:val="1"/>
          <w:bCs w:val="1"/>
          <w:color w:val="auto"/>
        </w:rPr>
        <w:t>Procedures For Notfying The Secretary Of Signifcant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requests additonal informaton from the Recipient,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Recipient will promptly provide any additonal informaton.</w:t>
      </w:r>
    </w:p>
    <w:p>
      <w:pPr>
        <w:spacing w:after="0" w:line="175"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7.</w:t>
      </w:r>
      <w:r>
        <w:rPr>
          <w:sz w:val="20"/>
          <w:szCs w:val="20"/>
          <w:color w:val="auto"/>
        </w:rPr>
        <w:tab/>
      </w:r>
      <w:r>
        <w:rPr>
          <w:rFonts w:ascii="Calibri" w:cs="Calibri" w:eastAsia="Calibri" w:hAnsi="Calibri"/>
          <w:sz w:val="20"/>
          <w:szCs w:val="20"/>
          <w:b w:val="1"/>
          <w:bCs w:val="1"/>
          <w:color w:val="auto"/>
        </w:rPr>
        <w:t>REMEDIES, MITIGATION AND CLAWBACKS</w:t>
      </w:r>
    </w:p>
    <w:p>
      <w:pPr>
        <w:spacing w:after="0" w:line="184" w:lineRule="exact"/>
        <w:rPr>
          <w:sz w:val="20"/>
          <w:szCs w:val="20"/>
          <w:color w:val="auto"/>
        </w:rPr>
      </w:pPr>
    </w:p>
    <w:p>
      <w:pPr>
        <w:jc w:val="both"/>
        <w:ind w:left="1300" w:hanging="644"/>
        <w:spacing w:after="0" w:line="198" w:lineRule="auto"/>
        <w:tabs>
          <w:tab w:leader="none" w:pos="1304" w:val="left"/>
        </w:tabs>
        <w:numPr>
          <w:ilvl w:val="0"/>
          <w:numId w:val="452"/>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a transacton would violate Secton 1 (</w:t>
      </w:r>
      <w:r>
        <w:rPr>
          <w:rFonts w:ascii="Calibri" w:cs="Calibri" w:eastAsia="Calibri" w:hAnsi="Calibri"/>
          <w:sz w:val="20"/>
          <w:szCs w:val="20"/>
          <w:b w:val="1"/>
          <w:bCs w:val="1"/>
          <w:color w:val="auto"/>
        </w:rPr>
        <w:t>Prohibiton on Certain Expansion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or that the Recipient or a Member of the Afliated Group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violated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by engaging in a prohibited Signifcant Transacton, the Recipient must cease or abandon the transacton (or, if applicable, ensure that the Member of the Afliated Group ceases or abandons the transacton), and the Recipient’s chief executve ofcer, president, or equivalent corporate ofcial, must submit electronically a signed leter in accordance with the notce provisions of this Agreement to notfcatons@chips.gov within forty-fve (45) days of the fnal determinaton certfying that the transacton has ceased or been abandoned. Such leter must certfy, under the penaltes provided in the False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4" w:right="339" w:bottom="1440" w:gutter="0" w:footer="0" w:header="0"/>
        </w:sectPr>
      </w:pPr>
    </w:p>
    <w:bookmarkStart w:id="417" w:name="page418"/>
    <w:bookmarkEnd w:id="417"/>
    <w:p>
      <w:pPr>
        <w:ind w:left="644" w:right="20"/>
        <w:spacing w:after="0" w:line="214" w:lineRule="auto"/>
        <w:rPr>
          <w:sz w:val="20"/>
          <w:szCs w:val="20"/>
          <w:color w:val="auto"/>
        </w:rPr>
      </w:pPr>
      <w:r>
        <w:rPr>
          <w:rFonts w:ascii="Calibri" w:cs="Calibri" w:eastAsia="Calibri" w:hAnsi="Calibri"/>
          <w:sz w:val="20"/>
          <w:szCs w:val="20"/>
          <w:color w:val="auto"/>
        </w:rPr>
        <w:t>Statements Accountability Act of 1996, as amended (18 U.S.C. § 1001), that the informaton in the leter is accurate and complete.</w:t>
      </w:r>
    </w:p>
    <w:p>
      <w:pPr>
        <w:spacing w:after="0" w:line="172" w:lineRule="exact"/>
        <w:rPr>
          <w:sz w:val="20"/>
          <w:szCs w:val="20"/>
          <w:color w:val="auto"/>
        </w:rPr>
      </w:pPr>
    </w:p>
    <w:p>
      <w:pPr>
        <w:jc w:val="both"/>
        <w:ind w:left="644" w:hanging="644"/>
        <w:spacing w:after="0" w:line="199" w:lineRule="auto"/>
        <w:tabs>
          <w:tab w:leader="none" w:pos="644"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Unless recovery is waived by the Secretary, a violaton of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for engaging in a prohibited Signifcant Transacton or failing to cease or abandon a planned Signifcant Transacton that the Secretary has determined would be in violaton of Secton 1 (</w:t>
      </w:r>
      <w:r>
        <w:rPr>
          <w:rFonts w:ascii="Calibri" w:cs="Calibri" w:eastAsia="Calibri" w:hAnsi="Calibri"/>
          <w:sz w:val="20"/>
          <w:szCs w:val="20"/>
          <w:b w:val="1"/>
          <w:bCs w:val="1"/>
          <w:color w:val="auto"/>
        </w:rPr>
        <w:t>Prohibiton 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will result in the recovery of the full amount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any Award made to the Recipient that is within the Expansion Clawback Term for such Award. If the means of recovery is not otherwise specifed in this Agreement, the amount of any Award to be recovered will be treated as a debt owed to the U.S. Government which is immediately due and payable.</w:t>
      </w:r>
    </w:p>
    <w:p>
      <w:pPr>
        <w:spacing w:after="0" w:line="189" w:lineRule="exact"/>
        <w:rPr>
          <w:rFonts w:ascii="Calibri" w:cs="Calibri" w:eastAsia="Calibri" w:hAnsi="Calibri"/>
          <w:sz w:val="20"/>
          <w:szCs w:val="20"/>
          <w:color w:val="auto"/>
        </w:rPr>
      </w:pPr>
    </w:p>
    <w:p>
      <w:pPr>
        <w:jc w:val="both"/>
        <w:ind w:left="644" w:hanging="644"/>
        <w:spacing w:after="0" w:line="198" w:lineRule="auto"/>
        <w:tabs>
          <w:tab w:leader="none" w:pos="636"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If the Secretary determines that a Recipient or Member of the Afliated Group is planning to undertake or has undertaken a Signifcant Transacton that violates or would violate Secton 1 (</w:t>
      </w:r>
      <w:r>
        <w:rPr>
          <w:rFonts w:ascii="Calibri" w:cs="Calibri" w:eastAsia="Calibri" w:hAnsi="Calibri"/>
          <w:sz w:val="20"/>
          <w:szCs w:val="20"/>
          <w:b w:val="1"/>
          <w:bCs w:val="1"/>
          <w:color w:val="auto"/>
        </w:rPr>
        <w:t>Prohibiton on Certain Expansion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may seek to take measures in connecton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transacton to mitgate the risk to natonal security. Such measures may include negotaton with the Recipient of an amendment to this Agreement to mitgate the risk to natonal security in connecton with the transacton (a “</w:t>
      </w:r>
      <w:r>
        <w:rPr>
          <w:rFonts w:ascii="Calibri" w:cs="Calibri" w:eastAsia="Calibri" w:hAnsi="Calibri"/>
          <w:sz w:val="20"/>
          <w:szCs w:val="20"/>
          <w:b w:val="1"/>
          <w:bCs w:val="1"/>
          <w:color w:val="auto"/>
        </w:rPr>
        <w:t>Mitgaton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In such a Mitgaton Agreement, the Secretary may (but is not required to) waive the recovery of funds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violaton of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If a Recipient fails to comply with the Mitgaton Agreement or if other conditons in the Mitgaton Agreement are violated, the Secretary may recover the full amount of any Award made to the Recipient that is within the Expansion Clawback Term for such Award, in accordance with paragraph (b) of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w:t>
      </w:r>
    </w:p>
    <w:p>
      <w:pPr>
        <w:spacing w:after="0" w:line="172" w:lineRule="exact"/>
        <w:rPr>
          <w:rFonts w:ascii="Calibri" w:cs="Calibri" w:eastAsia="Calibri" w:hAnsi="Calibri"/>
          <w:sz w:val="20"/>
          <w:szCs w:val="20"/>
          <w:color w:val="auto"/>
        </w:rPr>
      </w:pPr>
    </w:p>
    <w:p>
      <w:pPr>
        <w:jc w:val="both"/>
        <w:ind w:left="644" w:hanging="644"/>
        <w:spacing w:after="0" w:line="202" w:lineRule="auto"/>
        <w:tabs>
          <w:tab w:leader="none" w:pos="644"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the Recipient is not in compliance with Secton 2 (</w:t>
      </w:r>
      <w:r>
        <w:rPr>
          <w:rFonts w:ascii="Calibri" w:cs="Calibri" w:eastAsia="Calibri" w:hAnsi="Calibri"/>
          <w:sz w:val="20"/>
          <w:szCs w:val="20"/>
          <w:b w:val="1"/>
          <w:bCs w:val="1"/>
          <w:color w:val="auto"/>
        </w:rPr>
        <w:t>Prohibiton 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will recover the full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amount of any Award made to the Recipient that is within the Technology Clawback Term for such Award. If the means of recovery is not otherwise specifed in this Agreement, the amount of any Award to be recovered will be treated as a debt owed to the U.S. Government which is immediately due and payable.</w:t>
      </w:r>
    </w:p>
    <w:p>
      <w:pPr>
        <w:spacing w:after="0" w:line="187" w:lineRule="exact"/>
        <w:rPr>
          <w:rFonts w:ascii="Calibri" w:cs="Calibri" w:eastAsia="Calibri" w:hAnsi="Calibri"/>
          <w:sz w:val="20"/>
          <w:szCs w:val="20"/>
          <w:color w:val="auto"/>
        </w:rPr>
      </w:pPr>
    </w:p>
    <w:p>
      <w:pPr>
        <w:jc w:val="both"/>
        <w:ind w:left="644" w:hanging="644"/>
        <w:spacing w:after="0" w:line="198" w:lineRule="auto"/>
        <w:tabs>
          <w:tab w:leader="none" w:pos="638"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a Related Entty has engaged in actvity that would violate the conditons in Secton 3 (</w:t>
      </w:r>
      <w:r>
        <w:rPr>
          <w:rFonts w:ascii="Calibri" w:cs="Calibri" w:eastAsia="Calibri" w:hAnsi="Calibri"/>
          <w:sz w:val="20"/>
          <w:szCs w:val="20"/>
          <w:b w:val="1"/>
          <w:bCs w:val="1"/>
          <w:color w:val="auto"/>
        </w:rPr>
        <w:t>Additonal Conditons on 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may take measures to mitgate the risk to natonal security, which measures may include, but are not limited to, recovering up to the full amount of any Award made to the Recipient that is within the Technology Clawback Term for such Award to the Recipient, negotatng an amendment to this Agreement, as necessary, or exercising any other remedy available to the Secretary at equity or in law. If the means of recovery is not otherwise specifed in this Agreement, the amount of any Award to be recovered will be treated as a debt owed to the U.S. Government which is immediately due and payable.</w:t>
      </w:r>
    </w:p>
    <w:p>
      <w:pPr>
        <w:spacing w:after="0" w:line="184" w:lineRule="exact"/>
        <w:rPr>
          <w:rFonts w:ascii="Calibri" w:cs="Calibri" w:eastAsia="Calibri" w:hAnsi="Calibri"/>
          <w:sz w:val="20"/>
          <w:szCs w:val="20"/>
          <w:color w:val="auto"/>
        </w:rPr>
      </w:pPr>
    </w:p>
    <w:p>
      <w:pPr>
        <w:jc w:val="both"/>
        <w:ind w:left="644" w:hanging="644"/>
        <w:spacing w:after="0" w:line="202" w:lineRule="auto"/>
        <w:tabs>
          <w:tab w:leader="none" w:pos="642"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Interest on a debt owed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Provisions</w:t>
      </w:r>
      <w:r>
        <w:rPr>
          <w:rFonts w:ascii="Calibri" w:cs="Calibri" w:eastAsia="Calibri" w:hAnsi="Calibri"/>
          <w:sz w:val="20"/>
          <w:szCs w:val="20"/>
          <w:color w:val="auto"/>
        </w:rPr>
        <w:t>) will be calculated from the date on which the Secretary provides a fnal notfcaton to the Recipient that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acton violated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Secton 2 (</w:t>
      </w:r>
      <w:r>
        <w:rPr>
          <w:rFonts w:ascii="Calibri" w:cs="Calibri" w:eastAsia="Calibri" w:hAnsi="Calibri"/>
          <w:sz w:val="20"/>
          <w:szCs w:val="20"/>
          <w:b w:val="1"/>
          <w:bCs w:val="1"/>
          <w:color w:val="auto"/>
        </w:rPr>
        <w:t>Prohibiton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or Secton 3 (</w:t>
      </w:r>
      <w:r>
        <w:rPr>
          <w:rFonts w:ascii="Calibri" w:cs="Calibri" w:eastAsia="Calibri" w:hAnsi="Calibri"/>
          <w:sz w:val="20"/>
          <w:szCs w:val="20"/>
          <w:b w:val="1"/>
          <w:bCs w:val="1"/>
          <w:color w:val="auto"/>
        </w:rPr>
        <w:t>Additonal Conditons on 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644" w:hanging="644"/>
        <w:spacing w:after="0" w:line="214" w:lineRule="auto"/>
        <w:tabs>
          <w:tab w:leader="none" w:pos="647" w:val="left"/>
        </w:tabs>
        <w:numPr>
          <w:ilvl w:val="0"/>
          <w:numId w:val="453"/>
        </w:numPr>
        <w:rPr>
          <w:rFonts w:ascii="Calibri" w:cs="Calibri" w:eastAsia="Calibri" w:hAnsi="Calibri"/>
          <w:sz w:val="20"/>
          <w:szCs w:val="20"/>
          <w:color w:val="auto"/>
        </w:rPr>
      </w:pPr>
      <w:r>
        <w:rPr>
          <w:rFonts w:ascii="Calibri" w:cs="Calibri" w:eastAsia="Calibri" w:hAnsi="Calibri"/>
          <w:sz w:val="20"/>
          <w:szCs w:val="20"/>
          <w:color w:val="auto"/>
        </w:rPr>
        <w:t>The Secretary may take acton to collect a debt due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if such debt is not paid within the tme prescribed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4"/>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0584"/>
          </w:cols>
          <w:pgMar w:left="976" w:top="1384" w:right="339" w:bottom="1440" w:gutter="0" w:footer="0" w:header="0"/>
        </w:sectPr>
      </w:pPr>
    </w:p>
    <w:bookmarkStart w:id="418" w:name="page419"/>
    <w:bookmarkEnd w:id="418"/>
    <w:p>
      <w:pPr>
        <w:ind w:left="644"/>
        <w:spacing w:after="0" w:line="214" w:lineRule="auto"/>
        <w:rPr>
          <w:sz w:val="20"/>
          <w:szCs w:val="20"/>
          <w:color w:val="auto"/>
        </w:rPr>
      </w:pPr>
      <w:r>
        <w:rPr>
          <w:rFonts w:ascii="Calibri" w:cs="Calibri" w:eastAsia="Calibri" w:hAnsi="Calibri"/>
          <w:sz w:val="20"/>
          <w:szCs w:val="20"/>
          <w:color w:val="auto"/>
        </w:rPr>
        <w:t>Agreement or Mitgaton Agreement. In additon, the Secretary may refer the unpaid debt to the Department of Justce for appropriate acton.</w:t>
      </w:r>
    </w:p>
    <w:p>
      <w:pPr>
        <w:spacing w:after="0" w:line="172" w:lineRule="exact"/>
        <w:rPr>
          <w:sz w:val="20"/>
          <w:szCs w:val="20"/>
          <w:color w:val="auto"/>
        </w:rPr>
      </w:pPr>
    </w:p>
    <w:p>
      <w:pPr>
        <w:jc w:val="both"/>
        <w:ind w:left="644" w:hanging="644"/>
        <w:spacing w:after="0" w:line="203" w:lineRule="auto"/>
        <w:tabs>
          <w:tab w:leader="none" w:pos="644" w:val="left"/>
        </w:tabs>
        <w:numPr>
          <w:ilvl w:val="0"/>
          <w:numId w:val="454"/>
        </w:numPr>
        <w:rPr>
          <w:rFonts w:ascii="Calibri" w:cs="Calibri" w:eastAsia="Calibri" w:hAnsi="Calibri"/>
          <w:sz w:val="20"/>
          <w:szCs w:val="20"/>
          <w:color w:val="auto"/>
        </w:rPr>
      </w:pPr>
      <w:r>
        <w:rPr>
          <w:rFonts w:ascii="Calibri" w:cs="Calibri" w:eastAsia="Calibri" w:hAnsi="Calibri"/>
          <w:sz w:val="20"/>
          <w:szCs w:val="20"/>
          <w:color w:val="auto"/>
        </w:rPr>
        <w:t>If the Secretary makes an inital determinaton that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or Secton 3 (</w:t>
      </w:r>
      <w:r>
        <w:rPr>
          <w:rFonts w:ascii="Calibri" w:cs="Calibri" w:eastAsia="Calibri" w:hAnsi="Calibri"/>
          <w:sz w:val="20"/>
          <w:szCs w:val="20"/>
          <w:b w:val="1"/>
          <w:bCs w:val="1"/>
          <w:color w:val="auto"/>
        </w:rPr>
        <w:t>Additonal Conditons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has been violated, the Secretary may,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additon to the other remedies specifed herein, suspend further disbursement of Award amounts to the Recipient.</w:t>
      </w:r>
    </w:p>
    <w:p>
      <w:pPr>
        <w:spacing w:after="0" w:line="186" w:lineRule="exact"/>
        <w:rPr>
          <w:rFonts w:ascii="Calibri" w:cs="Calibri" w:eastAsia="Calibri" w:hAnsi="Calibri"/>
          <w:sz w:val="20"/>
          <w:szCs w:val="20"/>
          <w:color w:val="auto"/>
        </w:rPr>
      </w:pPr>
    </w:p>
    <w:p>
      <w:pPr>
        <w:ind w:left="644" w:right="20" w:hanging="644"/>
        <w:spacing w:after="0" w:line="214" w:lineRule="auto"/>
        <w:tabs>
          <w:tab w:leader="none" w:pos="638" w:val="left"/>
        </w:tabs>
        <w:numPr>
          <w:ilvl w:val="0"/>
          <w:numId w:val="454"/>
        </w:numPr>
        <w:rPr>
          <w:rFonts w:ascii="Calibri" w:cs="Calibri" w:eastAsia="Calibri" w:hAnsi="Calibri"/>
          <w:sz w:val="20"/>
          <w:szCs w:val="20"/>
          <w:color w:val="auto"/>
        </w:rPr>
      </w:pPr>
      <w:r>
        <w:rPr>
          <w:rFonts w:ascii="Calibri" w:cs="Calibri" w:eastAsia="Calibri" w:hAnsi="Calibri"/>
          <w:sz w:val="20"/>
          <w:szCs w:val="20"/>
          <w:color w:val="auto"/>
        </w:rPr>
        <w:t>The recoveries and remedies available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are without prejudice to other available remedies, including other remedies provided in this Agreement and civil or criminal penaltes.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4"/>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0584"/>
          </w:cols>
          <w:pgMar w:left="976" w:top="1384" w:right="339" w:bottom="1440" w:gutter="0" w:footer="0" w:header="0"/>
        </w:sectPr>
      </w:pPr>
    </w:p>
    <w:bookmarkStart w:id="419" w:name="page420"/>
    <w:bookmarkEnd w:id="419"/>
    <w:p>
      <w:pPr>
        <w:jc w:val="center"/>
        <w:spacing w:after="0"/>
        <w:rPr>
          <w:sz w:val="20"/>
          <w:szCs w:val="20"/>
          <w:color w:val="auto"/>
        </w:rPr>
      </w:pPr>
      <w:r>
        <w:rPr>
          <w:rFonts w:ascii="Calibri" w:cs="Calibri" w:eastAsia="Calibri" w:hAnsi="Calibri"/>
          <w:sz w:val="20"/>
          <w:szCs w:val="20"/>
          <w:b w:val="1"/>
          <w:bCs w:val="1"/>
          <w:color w:val="auto"/>
        </w:rPr>
        <w:t>Defnitons</w:t>
      </w:r>
    </w:p>
    <w:p>
      <w:pPr>
        <w:spacing w:after="0" w:line="225"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Capitalized terms used in this Agreement and Appendix 1 will have the meanings set forth below, and the rules of interpretaton set forth in Annex B Rules of Interpretaton will apply, except, in each case, as otherwise expressly provided therein.</w:t>
      </w:r>
    </w:p>
    <w:p>
      <w:pPr>
        <w:spacing w:after="0" w:line="198"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Business Unit</w:t>
      </w:r>
      <w:r>
        <w:rPr>
          <w:rFonts w:ascii="Calibri" w:cs="Calibri" w:eastAsia="Calibri" w:hAnsi="Calibri"/>
          <w:sz w:val="20"/>
          <w:szCs w:val="20"/>
          <w:color w:val="auto"/>
        </w:rPr>
        <w:t>” means any division, department, functon, or a segment of an entty, the business purpose of which is (a) the design of Semiconductors (other than the design of custom parts or components for the Recipient’s or Related Entty’s own procurement) or (b) the manufacture or packaging of Semiconductors.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Existng Facility</w:t>
      </w:r>
      <w:r>
        <w:rPr>
          <w:rFonts w:ascii="Calibri" w:cs="Calibri" w:eastAsia="Calibri" w:hAnsi="Calibri"/>
          <w:sz w:val="20"/>
          <w:szCs w:val="20"/>
          <w:color w:val="auto"/>
        </w:rPr>
        <w:t>” means:</w:t>
      </w:r>
    </w:p>
    <w:p>
      <w:pPr>
        <w:spacing w:after="0" w:line="171" w:lineRule="exact"/>
        <w:rPr>
          <w:sz w:val="20"/>
          <w:szCs w:val="20"/>
          <w:color w:val="auto"/>
        </w:rPr>
      </w:pPr>
    </w:p>
    <w:p>
      <w:pPr>
        <w:jc w:val="both"/>
        <w:ind w:left="660" w:hanging="652"/>
        <w:spacing w:after="0" w:line="203" w:lineRule="auto"/>
        <w:tabs>
          <w:tab w:leader="none" w:pos="664" w:val="left"/>
        </w:tabs>
        <w:numPr>
          <w:ilvl w:val="0"/>
          <w:numId w:val="455"/>
        </w:numPr>
        <w:rPr>
          <w:rFonts w:ascii="Calibri" w:cs="Calibri" w:eastAsia="Calibri" w:hAnsi="Calibri"/>
          <w:sz w:val="20"/>
          <w:szCs w:val="20"/>
          <w:color w:val="auto"/>
        </w:rPr>
      </w:pPr>
      <w:r>
        <w:rPr>
          <w:rFonts w:ascii="Calibri" w:cs="Calibri" w:eastAsia="Calibri" w:hAnsi="Calibri"/>
          <w:sz w:val="20"/>
          <w:szCs w:val="20"/>
          <w:color w:val="auto"/>
        </w:rPr>
        <w:t>any facility, the current status of which, including its Semiconductor Manufacturing Capacity, is memorialized in Part 1 (</w:t>
      </w:r>
      <w:r>
        <w:rPr>
          <w:rFonts w:ascii="Calibri" w:cs="Calibri" w:eastAsia="Calibri" w:hAnsi="Calibri"/>
          <w:sz w:val="20"/>
          <w:szCs w:val="20"/>
          <w:b w:val="1"/>
          <w:bCs w:val="1"/>
          <w:color w:val="auto"/>
        </w:rPr>
        <w:t>Existng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Facilites</w:t>
      </w:r>
      <w:r>
        <w:rPr>
          <w:rFonts w:ascii="Calibri" w:cs="Calibri" w:eastAsia="Calibri" w:hAnsi="Calibri"/>
          <w:sz w:val="20"/>
          <w:szCs w:val="20"/>
          <w:color w:val="auto"/>
        </w:rPr>
        <w:t>) of Appendix 1 hereto, based on the Secretary’s assessments of historical capacity measurements. Only facilites built,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equipped, and operatng prior to entering into this Agreement are considered to be Existng Facilites. A facility that undergoes Signifcant Renovatons will no longer qualify as an Existng Facility;</w:t>
      </w:r>
    </w:p>
    <w:p>
      <w:pPr>
        <w:spacing w:after="0" w:line="186" w:lineRule="exact"/>
        <w:rPr>
          <w:rFonts w:ascii="Calibri" w:cs="Calibri" w:eastAsia="Calibri" w:hAnsi="Calibri"/>
          <w:sz w:val="20"/>
          <w:szCs w:val="20"/>
          <w:color w:val="auto"/>
        </w:rPr>
      </w:pPr>
    </w:p>
    <w:p>
      <w:pPr>
        <w:jc w:val="both"/>
        <w:ind w:left="660" w:right="20" w:hanging="652"/>
        <w:spacing w:after="0" w:line="205" w:lineRule="auto"/>
        <w:tabs>
          <w:tab w:leader="none" w:pos="660" w:val="left"/>
        </w:tabs>
        <w:numPr>
          <w:ilvl w:val="0"/>
          <w:numId w:val="455"/>
        </w:numPr>
        <w:rPr>
          <w:rFonts w:ascii="Calibri" w:cs="Calibri" w:eastAsia="Calibri" w:hAnsi="Calibri"/>
          <w:sz w:val="20"/>
          <w:szCs w:val="20"/>
          <w:color w:val="auto"/>
        </w:rPr>
      </w:pPr>
      <w:r>
        <w:rPr>
          <w:rFonts w:ascii="Calibri" w:cs="Calibri" w:eastAsia="Calibri" w:hAnsi="Calibri"/>
          <w:sz w:val="20"/>
          <w:szCs w:val="20"/>
          <w:color w:val="auto"/>
        </w:rPr>
        <w:t>notwithstanding paragraph (a), an Existng Facility is a facility that is in the process of being equipped, expanded or modernized as of the date of executon of this Agreement, and for which the Secretary has exercised his or her discreton to determine that such facility is an Existng Facility; and</w:t>
      </w:r>
    </w:p>
    <w:p>
      <w:pPr>
        <w:spacing w:after="0" w:line="174" w:lineRule="exact"/>
        <w:rPr>
          <w:rFonts w:ascii="Calibri" w:cs="Calibri" w:eastAsia="Calibri" w:hAnsi="Calibri"/>
          <w:sz w:val="20"/>
          <w:szCs w:val="20"/>
          <w:color w:val="auto"/>
        </w:rPr>
      </w:pPr>
    </w:p>
    <w:p>
      <w:pPr>
        <w:ind w:left="640" w:hanging="632"/>
        <w:spacing w:after="0"/>
        <w:tabs>
          <w:tab w:leader="none" w:pos="640" w:val="left"/>
        </w:tabs>
        <w:numPr>
          <w:ilvl w:val="0"/>
          <w:numId w:val="455"/>
        </w:numPr>
        <w:rPr>
          <w:rFonts w:ascii="Calibri" w:cs="Calibri" w:eastAsia="Calibri" w:hAnsi="Calibri"/>
          <w:sz w:val="20"/>
          <w:szCs w:val="20"/>
          <w:color w:val="auto"/>
        </w:rPr>
      </w:pPr>
      <w:r>
        <w:rPr>
          <w:rFonts w:ascii="Calibri" w:cs="Calibri" w:eastAsia="Calibri" w:hAnsi="Calibri"/>
          <w:sz w:val="20"/>
          <w:szCs w:val="20"/>
          <w:color w:val="auto"/>
        </w:rPr>
        <w:t>each Existng Facility for the purpose of this Agreement, is specifed in Part 1 (</w:t>
      </w:r>
      <w:r>
        <w:rPr>
          <w:rFonts w:ascii="Calibri" w:cs="Calibri" w:eastAsia="Calibri" w:hAnsi="Calibri"/>
          <w:sz w:val="20"/>
          <w:szCs w:val="20"/>
          <w:b w:val="1"/>
          <w:bCs w:val="1"/>
          <w:color w:val="auto"/>
        </w:rPr>
        <w:t>Existng Facilites</w:t>
      </w:r>
      <w:r>
        <w:rPr>
          <w:rFonts w:ascii="Calibri" w:cs="Calibri" w:eastAsia="Calibri" w:hAnsi="Calibri"/>
          <w:sz w:val="20"/>
          <w:szCs w:val="20"/>
          <w:color w:val="auto"/>
        </w:rPr>
        <w:t>) of Appendix 1.</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Country of Concern</w:t>
      </w:r>
      <w:r>
        <w:rPr>
          <w:rFonts w:ascii="Calibri" w:cs="Calibri" w:eastAsia="Calibri" w:hAnsi="Calibri"/>
          <w:sz w:val="20"/>
          <w:szCs w:val="20"/>
          <w:color w:val="auto"/>
        </w:rPr>
        <w:t>” means:</w:t>
      </w:r>
    </w:p>
    <w:p>
      <w:pPr>
        <w:spacing w:after="0" w:line="161" w:lineRule="exact"/>
        <w:rPr>
          <w:sz w:val="20"/>
          <w:szCs w:val="20"/>
          <w:color w:val="auto"/>
        </w:rPr>
      </w:pPr>
    </w:p>
    <w:p>
      <w:pPr>
        <w:ind w:left="660" w:hanging="652"/>
        <w:spacing w:after="0"/>
        <w:tabs>
          <w:tab w:leader="none" w:pos="660" w:val="left"/>
        </w:tabs>
        <w:numPr>
          <w:ilvl w:val="0"/>
          <w:numId w:val="456"/>
        </w:numPr>
        <w:rPr>
          <w:rFonts w:ascii="Calibri" w:cs="Calibri" w:eastAsia="Calibri" w:hAnsi="Calibri"/>
          <w:sz w:val="20"/>
          <w:szCs w:val="20"/>
          <w:color w:val="auto"/>
        </w:rPr>
      </w:pPr>
      <w:r>
        <w:rPr>
          <w:rFonts w:ascii="Calibri" w:cs="Calibri" w:eastAsia="Calibri" w:hAnsi="Calibri"/>
          <w:sz w:val="20"/>
          <w:szCs w:val="20"/>
          <w:color w:val="auto"/>
        </w:rPr>
        <w:t>a country that is a covered naton (as defned in 10 U.S.C. § 4872(d)); and</w:t>
      </w:r>
    </w:p>
    <w:p>
      <w:pPr>
        <w:spacing w:after="0" w:line="184" w:lineRule="exact"/>
        <w:rPr>
          <w:rFonts w:ascii="Calibri" w:cs="Calibri" w:eastAsia="Calibri" w:hAnsi="Calibri"/>
          <w:sz w:val="20"/>
          <w:szCs w:val="20"/>
          <w:color w:val="auto"/>
        </w:rPr>
      </w:pPr>
    </w:p>
    <w:p>
      <w:pPr>
        <w:jc w:val="both"/>
        <w:ind w:left="660" w:hanging="652"/>
        <w:spacing w:after="0" w:line="205" w:lineRule="auto"/>
        <w:tabs>
          <w:tab w:leader="none" w:pos="654" w:val="left"/>
        </w:tabs>
        <w:numPr>
          <w:ilvl w:val="0"/>
          <w:numId w:val="456"/>
        </w:numPr>
        <w:rPr>
          <w:rFonts w:ascii="Calibri" w:cs="Calibri" w:eastAsia="Calibri" w:hAnsi="Calibri"/>
          <w:sz w:val="20"/>
          <w:szCs w:val="20"/>
          <w:color w:val="auto"/>
        </w:rPr>
      </w:pPr>
      <w:r>
        <w:rPr>
          <w:rFonts w:ascii="Calibri" w:cs="Calibri" w:eastAsia="Calibri" w:hAnsi="Calibri"/>
          <w:sz w:val="20"/>
          <w:szCs w:val="20"/>
          <w:color w:val="auto"/>
        </w:rPr>
        <w:t>any country that the Secretary, in consultaton with the Secretary of Defense, the Secretary of State, and the Director of Natonal Intelligence, determines to be engaged in conduct that is detrimental to the natonal security or foreign policy of the United States and provides notce of the same in the Federal Register.</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457"/>
        </w:numPr>
        <w:rPr>
          <w:rFonts w:ascii="Calibri" w:cs="Calibri" w:eastAsia="Calibri" w:hAnsi="Calibri"/>
          <w:sz w:val="20"/>
          <w:szCs w:val="20"/>
          <w:color w:val="auto"/>
        </w:rPr>
      </w:pPr>
      <w:r>
        <w:rPr>
          <w:rFonts w:ascii="Calibri" w:cs="Calibri" w:eastAsia="Calibri" w:hAnsi="Calibri"/>
          <w:sz w:val="20"/>
          <w:szCs w:val="20"/>
          <w:color w:val="auto"/>
        </w:rPr>
        <w:t>a government of a foreign country or a foreign politcal party;</w:t>
      </w:r>
    </w:p>
    <w:p>
      <w:pPr>
        <w:spacing w:after="0" w:line="170" w:lineRule="exact"/>
        <w:rPr>
          <w:rFonts w:ascii="Calibri" w:cs="Calibri" w:eastAsia="Calibri" w:hAnsi="Calibri"/>
          <w:sz w:val="20"/>
          <w:szCs w:val="20"/>
          <w:color w:val="auto"/>
        </w:rPr>
      </w:pPr>
    </w:p>
    <w:p>
      <w:pPr>
        <w:ind w:left="660" w:hanging="652"/>
        <w:spacing w:after="0" w:line="214" w:lineRule="auto"/>
        <w:tabs>
          <w:tab w:leader="none" w:pos="663" w:val="left"/>
        </w:tabs>
        <w:numPr>
          <w:ilvl w:val="0"/>
          <w:numId w:val="457"/>
        </w:numPr>
        <w:rPr>
          <w:rFonts w:ascii="Calibri" w:cs="Calibri" w:eastAsia="Calibri" w:hAnsi="Calibri"/>
          <w:sz w:val="20"/>
          <w:szCs w:val="20"/>
          <w:color w:val="auto"/>
        </w:rPr>
      </w:pPr>
      <w:r>
        <w:rPr>
          <w:rFonts w:ascii="Calibri" w:cs="Calibri" w:eastAsia="Calibri" w:hAnsi="Calibri"/>
          <w:sz w:val="20"/>
          <w:szCs w:val="20"/>
          <w:color w:val="auto"/>
        </w:rPr>
        <w:t>a natural person who is not a lawful permanent resident of the United States, citzen of the United States, or any other protected individual (as such term is defned in secton 8 U.S.C. § 1324b(a)(3)); or</w:t>
      </w:r>
    </w:p>
    <w:p>
      <w:pPr>
        <w:spacing w:after="0" w:line="185" w:lineRule="exact"/>
        <w:rPr>
          <w:rFonts w:ascii="Calibri" w:cs="Calibri" w:eastAsia="Calibri" w:hAnsi="Calibri"/>
          <w:sz w:val="20"/>
          <w:szCs w:val="20"/>
          <w:color w:val="auto"/>
        </w:rPr>
      </w:pPr>
    </w:p>
    <w:p>
      <w:pPr>
        <w:ind w:left="660" w:hanging="652"/>
        <w:spacing w:after="0" w:line="208" w:lineRule="auto"/>
        <w:tabs>
          <w:tab w:leader="none" w:pos="660" w:val="left"/>
        </w:tabs>
        <w:numPr>
          <w:ilvl w:val="0"/>
          <w:numId w:val="457"/>
        </w:numPr>
        <w:rPr>
          <w:rFonts w:ascii="Calibri" w:cs="Calibri" w:eastAsia="Calibri" w:hAnsi="Calibri"/>
          <w:sz w:val="20"/>
          <w:szCs w:val="20"/>
          <w:color w:val="auto"/>
        </w:rPr>
      </w:pPr>
      <w:r>
        <w:rPr>
          <w:rFonts w:ascii="Calibri" w:cs="Calibri" w:eastAsia="Calibri" w:hAnsi="Calibri"/>
          <w:sz w:val="20"/>
          <w:szCs w:val="20"/>
          <w:color w:val="auto"/>
        </w:rPr>
        <w:t>a partnership, associaton, corporaton, organizaton, or other combinaton of persons organized under the laws of or having its principal place of business in a foreign country; and</w:t>
      </w:r>
    </w:p>
    <w:p>
      <w:pPr>
        <w:spacing w:after="0" w:line="174" w:lineRule="exact"/>
        <w:rPr>
          <w:rFonts w:ascii="Calibri" w:cs="Calibri" w:eastAsia="Calibri" w:hAnsi="Calibri"/>
          <w:sz w:val="20"/>
          <w:szCs w:val="20"/>
          <w:color w:val="auto"/>
        </w:rPr>
      </w:pPr>
    </w:p>
    <w:p>
      <w:pPr>
        <w:ind w:left="640" w:hanging="632"/>
        <w:spacing w:after="0"/>
        <w:tabs>
          <w:tab w:leader="none" w:pos="640" w:val="left"/>
        </w:tabs>
        <w:numPr>
          <w:ilvl w:val="0"/>
          <w:numId w:val="457"/>
        </w:numPr>
        <w:rPr>
          <w:rFonts w:ascii="Calibri" w:cs="Calibri" w:eastAsia="Calibri" w:hAnsi="Calibri"/>
          <w:sz w:val="20"/>
          <w:szCs w:val="20"/>
          <w:color w:val="auto"/>
        </w:rPr>
      </w:pPr>
      <w:r>
        <w:rPr>
          <w:rFonts w:ascii="Calibri" w:cs="Calibri" w:eastAsia="Calibri" w:hAnsi="Calibri"/>
          <w:sz w:val="20"/>
          <w:szCs w:val="20"/>
          <w:color w:val="auto"/>
        </w:rPr>
        <w:t>includes:</w:t>
      </w:r>
    </w:p>
    <w:p>
      <w:pPr>
        <w:spacing w:after="0" w:line="184" w:lineRule="exact"/>
        <w:rPr>
          <w:rFonts w:ascii="Calibri" w:cs="Calibri" w:eastAsia="Calibri" w:hAnsi="Calibri"/>
          <w:sz w:val="20"/>
          <w:szCs w:val="20"/>
          <w:color w:val="auto"/>
        </w:rPr>
      </w:pPr>
    </w:p>
    <w:p>
      <w:pPr>
        <w:ind w:left="1300" w:right="20" w:hanging="644"/>
        <w:spacing w:after="0" w:line="208" w:lineRule="auto"/>
        <w:tabs>
          <w:tab w:leader="none" w:pos="1294" w:val="left"/>
        </w:tabs>
        <w:numPr>
          <w:ilvl w:val="1"/>
          <w:numId w:val="457"/>
        </w:numPr>
        <w:rPr>
          <w:rFonts w:ascii="Calibri" w:cs="Calibri" w:eastAsia="Calibri" w:hAnsi="Calibri"/>
          <w:sz w:val="20"/>
          <w:szCs w:val="20"/>
          <w:color w:val="auto"/>
        </w:rPr>
      </w:pPr>
      <w:r>
        <w:rPr>
          <w:rFonts w:ascii="Calibri" w:cs="Calibri" w:eastAsia="Calibri" w:hAnsi="Calibri"/>
          <w:sz w:val="20"/>
          <w:szCs w:val="20"/>
          <w:color w:val="auto"/>
        </w:rPr>
        <w:t>any Person owned by, controlled by, or subject to the jurisdicton or directon of an entty listed in paragraph (a) of this defniton;</w:t>
      </w:r>
    </w:p>
    <w:p>
      <w:pPr>
        <w:spacing w:after="0" w:line="184" w:lineRule="exact"/>
        <w:rPr>
          <w:rFonts w:ascii="Calibri" w:cs="Calibri" w:eastAsia="Calibri" w:hAnsi="Calibri"/>
          <w:sz w:val="20"/>
          <w:szCs w:val="20"/>
          <w:color w:val="auto"/>
        </w:rPr>
      </w:pPr>
    </w:p>
    <w:p>
      <w:pPr>
        <w:ind w:left="1300" w:right="20" w:hanging="644"/>
        <w:spacing w:after="0" w:line="214" w:lineRule="auto"/>
        <w:tabs>
          <w:tab w:leader="none" w:pos="1300" w:val="left"/>
        </w:tabs>
        <w:numPr>
          <w:ilvl w:val="1"/>
          <w:numId w:val="457"/>
        </w:numPr>
        <w:rPr>
          <w:rFonts w:ascii="Calibri" w:cs="Calibri" w:eastAsia="Calibri" w:hAnsi="Calibri"/>
          <w:sz w:val="20"/>
          <w:szCs w:val="20"/>
          <w:color w:val="auto"/>
        </w:rPr>
      </w:pPr>
      <w:r>
        <w:rPr>
          <w:rFonts w:ascii="Calibri" w:cs="Calibri" w:eastAsia="Calibri" w:hAnsi="Calibri"/>
          <w:sz w:val="20"/>
          <w:szCs w:val="20"/>
          <w:color w:val="auto"/>
        </w:rPr>
        <w:t>any Person, wherever located, who acts as an agent, representatve, or employee of an entty listed in paragraph (a) of this defniton;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401" w:right="339" w:bottom="1440" w:gutter="0" w:footer="0" w:header="0"/>
        </w:sectPr>
      </w:pPr>
    </w:p>
    <w:bookmarkStart w:id="420" w:name="page421"/>
    <w:bookmarkEnd w:id="420"/>
    <w:p>
      <w:pPr>
        <w:jc w:val="both"/>
        <w:ind w:left="1300" w:hanging="644"/>
        <w:spacing w:after="0" w:line="205" w:lineRule="auto"/>
        <w:tabs>
          <w:tab w:leader="none" w:pos="1306" w:val="left"/>
        </w:tabs>
        <w:numPr>
          <w:ilvl w:val="0"/>
          <w:numId w:val="458"/>
        </w:numPr>
        <w:rPr>
          <w:rFonts w:ascii="Calibri" w:cs="Calibri" w:eastAsia="Calibri" w:hAnsi="Calibri"/>
          <w:sz w:val="20"/>
          <w:szCs w:val="20"/>
          <w:color w:val="auto"/>
        </w:rPr>
      </w:pPr>
      <w:r>
        <w:rPr>
          <w:rFonts w:ascii="Calibri" w:cs="Calibri" w:eastAsia="Calibri" w:hAnsi="Calibri"/>
          <w:sz w:val="20"/>
          <w:szCs w:val="20"/>
          <w:color w:val="auto"/>
        </w:rPr>
        <w:t>any Person who acts in any other capacity at the order, request, or under the directon or control of an entty listed in paragraph (a) of this defniton, or of a Person whose actvites are directly or indirectly supervised, directed, controlled, fnanced, or subsidized in whole or in majority part by an entty listed in paragraph (a) of this defniton;</w:t>
      </w:r>
    </w:p>
    <w:p>
      <w:pPr>
        <w:spacing w:after="0" w:line="184" w:lineRule="exact"/>
        <w:rPr>
          <w:rFonts w:ascii="Calibri" w:cs="Calibri" w:eastAsia="Calibri" w:hAnsi="Calibri"/>
          <w:sz w:val="20"/>
          <w:szCs w:val="20"/>
          <w:color w:val="auto"/>
        </w:rPr>
      </w:pPr>
    </w:p>
    <w:p>
      <w:pPr>
        <w:ind w:left="1300" w:right="20" w:hanging="644"/>
        <w:spacing w:after="0" w:line="214" w:lineRule="auto"/>
        <w:tabs>
          <w:tab w:leader="none" w:pos="1304" w:val="left"/>
        </w:tabs>
        <w:numPr>
          <w:ilvl w:val="0"/>
          <w:numId w:val="458"/>
        </w:numPr>
        <w:rPr>
          <w:rFonts w:ascii="Calibri" w:cs="Calibri" w:eastAsia="Calibri" w:hAnsi="Calibri"/>
          <w:sz w:val="20"/>
          <w:szCs w:val="20"/>
          <w:color w:val="auto"/>
        </w:rPr>
      </w:pPr>
      <w:r>
        <w:rPr>
          <w:rFonts w:ascii="Calibri" w:cs="Calibri" w:eastAsia="Calibri" w:hAnsi="Calibri"/>
          <w:sz w:val="20"/>
          <w:szCs w:val="20"/>
          <w:color w:val="auto"/>
        </w:rPr>
        <w:t>any Person who directly or indirectly through any contract, arrangement, understanding, relatonship, or otherwise, owns twenty-fve percent (25%) or more of the equity interests of an entty listed in paragraph (a) of this defniton;</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458"/>
        </w:numPr>
        <w:rPr>
          <w:rFonts w:ascii="Calibri" w:cs="Calibri" w:eastAsia="Calibri" w:hAnsi="Calibri"/>
          <w:sz w:val="20"/>
          <w:szCs w:val="20"/>
          <w:color w:val="auto"/>
        </w:rPr>
      </w:pPr>
      <w:r>
        <w:rPr>
          <w:rFonts w:ascii="Calibri" w:cs="Calibri" w:eastAsia="Calibri" w:hAnsi="Calibri"/>
          <w:sz w:val="20"/>
          <w:szCs w:val="20"/>
          <w:color w:val="auto"/>
        </w:rPr>
        <w:t>any Person with signifcant responsibility to control, manage, or direct an entty listed in paragraph (a) of this defniton;</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304" w:val="left"/>
        </w:tabs>
        <w:numPr>
          <w:ilvl w:val="0"/>
          <w:numId w:val="458"/>
        </w:numPr>
        <w:rPr>
          <w:rFonts w:ascii="Calibri" w:cs="Calibri" w:eastAsia="Calibri" w:hAnsi="Calibri"/>
          <w:sz w:val="20"/>
          <w:szCs w:val="20"/>
          <w:color w:val="auto"/>
        </w:rPr>
      </w:pPr>
      <w:r>
        <w:rPr>
          <w:rFonts w:ascii="Calibri" w:cs="Calibri" w:eastAsia="Calibri" w:hAnsi="Calibri"/>
          <w:sz w:val="20"/>
          <w:szCs w:val="20"/>
          <w:color w:val="auto"/>
        </w:rPr>
        <w:t>any Person, wherever located, who is a citzen or resident of a country controlled by an entty listed in paragraph (a) of this defniton; or</w:t>
      </w:r>
    </w:p>
    <w:p>
      <w:pPr>
        <w:spacing w:after="0" w:line="172" w:lineRule="exact"/>
        <w:rPr>
          <w:rFonts w:ascii="Calibri" w:cs="Calibri" w:eastAsia="Calibri" w:hAnsi="Calibri"/>
          <w:sz w:val="20"/>
          <w:szCs w:val="20"/>
          <w:color w:val="auto"/>
        </w:rPr>
      </w:pPr>
    </w:p>
    <w:p>
      <w:pPr>
        <w:ind w:left="1300" w:hanging="644"/>
        <w:spacing w:after="0" w:line="214" w:lineRule="auto"/>
        <w:tabs>
          <w:tab w:leader="none" w:pos="1297" w:val="left"/>
        </w:tabs>
        <w:numPr>
          <w:ilvl w:val="0"/>
          <w:numId w:val="458"/>
        </w:numPr>
        <w:rPr>
          <w:rFonts w:ascii="Calibri" w:cs="Calibri" w:eastAsia="Calibri" w:hAnsi="Calibri"/>
          <w:sz w:val="20"/>
          <w:szCs w:val="20"/>
          <w:color w:val="auto"/>
        </w:rPr>
      </w:pPr>
      <w:r>
        <w:rPr>
          <w:rFonts w:ascii="Calibri" w:cs="Calibri" w:eastAsia="Calibri" w:hAnsi="Calibri"/>
          <w:sz w:val="20"/>
          <w:szCs w:val="20"/>
          <w:color w:val="auto"/>
        </w:rPr>
        <w:t>any corporaton, partnership, associaton, or other organizaton organized under the laws of a country controlled by an entty listed in paragraph (a) of this defniton.</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 of Concern</w:t>
      </w:r>
      <w:r>
        <w:rPr>
          <w:rFonts w:ascii="Calibri" w:cs="Calibri" w:eastAsia="Calibri" w:hAnsi="Calibri"/>
          <w:sz w:val="20"/>
          <w:szCs w:val="20"/>
          <w:color w:val="auto"/>
        </w:rPr>
        <w:t>” means any Foreign Entty that is:</w:t>
      </w:r>
    </w:p>
    <w:p>
      <w:pPr>
        <w:spacing w:after="0" w:line="161" w:lineRule="exact"/>
        <w:rPr>
          <w:sz w:val="20"/>
          <w:szCs w:val="20"/>
          <w:color w:val="auto"/>
        </w:rPr>
      </w:pPr>
    </w:p>
    <w:p>
      <w:pPr>
        <w:ind w:left="660" w:hanging="652"/>
        <w:spacing w:after="0"/>
        <w:tabs>
          <w:tab w:leader="none" w:pos="660" w:val="left"/>
        </w:tabs>
        <w:numPr>
          <w:ilvl w:val="0"/>
          <w:numId w:val="459"/>
        </w:numPr>
        <w:rPr>
          <w:rFonts w:ascii="Calibri" w:cs="Calibri" w:eastAsia="Calibri" w:hAnsi="Calibri"/>
          <w:sz w:val="20"/>
          <w:szCs w:val="20"/>
          <w:color w:val="auto"/>
        </w:rPr>
      </w:pPr>
      <w:r>
        <w:rPr>
          <w:rFonts w:ascii="Calibri" w:cs="Calibri" w:eastAsia="Calibri" w:hAnsi="Calibri"/>
          <w:sz w:val="20"/>
          <w:szCs w:val="20"/>
          <w:color w:val="auto"/>
        </w:rPr>
        <w:t>designated as a foreign terrorist organizaton by the Secretary of State under 8 U.S.C. § 1189;</w:t>
      </w:r>
    </w:p>
    <w:p>
      <w:pPr>
        <w:spacing w:after="0" w:line="184" w:lineRule="exact"/>
        <w:rPr>
          <w:rFonts w:ascii="Calibri" w:cs="Calibri" w:eastAsia="Calibri" w:hAnsi="Calibri"/>
          <w:sz w:val="20"/>
          <w:szCs w:val="20"/>
          <w:color w:val="auto"/>
        </w:rPr>
      </w:pPr>
    </w:p>
    <w:p>
      <w:pPr>
        <w:jc w:val="both"/>
        <w:ind w:left="660" w:hanging="652"/>
        <w:spacing w:after="0" w:line="205" w:lineRule="auto"/>
        <w:tabs>
          <w:tab w:leader="none" w:pos="660" w:val="left"/>
        </w:tabs>
        <w:numPr>
          <w:ilvl w:val="0"/>
          <w:numId w:val="459"/>
        </w:numPr>
        <w:rPr>
          <w:rFonts w:ascii="Calibri" w:cs="Calibri" w:eastAsia="Calibri" w:hAnsi="Calibri"/>
          <w:sz w:val="20"/>
          <w:szCs w:val="20"/>
          <w:color w:val="auto"/>
        </w:rPr>
      </w:pPr>
      <w:r>
        <w:rPr>
          <w:rFonts w:ascii="Calibri" w:cs="Calibri" w:eastAsia="Calibri" w:hAnsi="Calibri"/>
          <w:sz w:val="20"/>
          <w:szCs w:val="20"/>
          <w:color w:val="auto"/>
        </w:rPr>
        <w:t>included on the Department of Treasury’s list of Specially Designated Natonals and Blocked Persons (SDN List), or for which one or more individuals or enttes included on the SDN list, individually or in the aggregate, directly or indirectly, hold at least ffy percent (50%) of the outstanding votng interest;</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52" w:val="left"/>
        </w:tabs>
        <w:numPr>
          <w:ilvl w:val="0"/>
          <w:numId w:val="459"/>
        </w:numPr>
        <w:rPr>
          <w:rFonts w:ascii="Calibri" w:cs="Calibri" w:eastAsia="Calibri" w:hAnsi="Calibri"/>
          <w:sz w:val="20"/>
          <w:szCs w:val="20"/>
          <w:color w:val="auto"/>
        </w:rPr>
      </w:pPr>
      <w:r>
        <w:rPr>
          <w:rFonts w:ascii="Calibri" w:cs="Calibri" w:eastAsia="Calibri" w:hAnsi="Calibri"/>
          <w:sz w:val="20"/>
          <w:szCs w:val="20"/>
          <w:color w:val="auto"/>
        </w:rPr>
        <w:t>owned by, controlled by, or subject to the jurisdicton or directon of a government of a foreign country that is a covered naton (as defned in 10 U.S.C. § 4872(d));</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459"/>
        </w:numPr>
        <w:rPr>
          <w:rFonts w:ascii="Calibri" w:cs="Calibri" w:eastAsia="Calibri" w:hAnsi="Calibri"/>
          <w:sz w:val="20"/>
          <w:szCs w:val="20"/>
          <w:color w:val="auto"/>
        </w:rPr>
      </w:pPr>
      <w:r>
        <w:rPr>
          <w:rFonts w:ascii="Calibri" w:cs="Calibri" w:eastAsia="Calibri" w:hAnsi="Calibri"/>
          <w:sz w:val="20"/>
          <w:szCs w:val="20"/>
          <w:color w:val="auto"/>
        </w:rPr>
        <w:t>a Person that is owned by, controlled by, or subject to the jurisdicton of a government of a foreign country listed in 10 U.S.C. § 4872(d) where:</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1"/>
          <w:numId w:val="459"/>
        </w:numPr>
        <w:rPr>
          <w:rFonts w:ascii="Calibri" w:cs="Calibri" w:eastAsia="Calibri" w:hAnsi="Calibri"/>
          <w:sz w:val="20"/>
          <w:szCs w:val="20"/>
          <w:color w:val="auto"/>
        </w:rPr>
      </w:pPr>
      <w:r>
        <w:rPr>
          <w:rFonts w:ascii="Calibri" w:cs="Calibri" w:eastAsia="Calibri" w:hAnsi="Calibri"/>
          <w:sz w:val="20"/>
          <w:szCs w:val="20"/>
          <w:color w:val="auto"/>
        </w:rPr>
        <w:t>the Person is:</w:t>
      </w:r>
    </w:p>
    <w:p>
      <w:pPr>
        <w:spacing w:after="0" w:line="174" w:lineRule="exact"/>
        <w:rPr>
          <w:rFonts w:ascii="Calibri" w:cs="Calibri" w:eastAsia="Calibri" w:hAnsi="Calibri"/>
          <w:sz w:val="20"/>
          <w:szCs w:val="20"/>
          <w:color w:val="auto"/>
        </w:rPr>
      </w:pPr>
    </w:p>
    <w:p>
      <w:pPr>
        <w:ind w:left="1940" w:hanging="636"/>
        <w:spacing w:after="0"/>
        <w:tabs>
          <w:tab w:leader="none" w:pos="1940" w:val="left"/>
        </w:tabs>
        <w:numPr>
          <w:ilvl w:val="2"/>
          <w:numId w:val="459"/>
        </w:numPr>
        <w:rPr>
          <w:rFonts w:ascii="Calibri" w:cs="Calibri" w:eastAsia="Calibri" w:hAnsi="Calibri"/>
          <w:sz w:val="20"/>
          <w:szCs w:val="20"/>
          <w:color w:val="auto"/>
        </w:rPr>
      </w:pPr>
      <w:r>
        <w:rPr>
          <w:rFonts w:ascii="Calibri" w:cs="Calibri" w:eastAsia="Calibri" w:hAnsi="Calibri"/>
          <w:sz w:val="20"/>
          <w:szCs w:val="20"/>
          <w:color w:val="auto"/>
        </w:rPr>
        <w:t>a citzen, natonal, or resident of a foreign country listed in 10 U.S.C. § 4872(d); and</w:t>
      </w:r>
    </w:p>
    <w:p>
      <w:pPr>
        <w:spacing w:after="0" w:line="174" w:lineRule="exact"/>
        <w:rPr>
          <w:rFonts w:ascii="Calibri" w:cs="Calibri" w:eastAsia="Calibri" w:hAnsi="Calibri"/>
          <w:sz w:val="20"/>
          <w:szCs w:val="20"/>
          <w:color w:val="auto"/>
        </w:rPr>
      </w:pPr>
    </w:p>
    <w:p>
      <w:pPr>
        <w:ind w:left="1960" w:hanging="656"/>
        <w:spacing w:after="0"/>
        <w:tabs>
          <w:tab w:leader="none" w:pos="1960" w:val="left"/>
        </w:tabs>
        <w:numPr>
          <w:ilvl w:val="2"/>
          <w:numId w:val="459"/>
        </w:numPr>
        <w:rPr>
          <w:rFonts w:ascii="Calibri" w:cs="Calibri" w:eastAsia="Calibri" w:hAnsi="Calibri"/>
          <w:sz w:val="20"/>
          <w:szCs w:val="20"/>
          <w:color w:val="auto"/>
        </w:rPr>
      </w:pPr>
      <w:r>
        <w:rPr>
          <w:rFonts w:ascii="Calibri" w:cs="Calibri" w:eastAsia="Calibri" w:hAnsi="Calibri"/>
          <w:sz w:val="20"/>
          <w:szCs w:val="20"/>
          <w:color w:val="auto"/>
        </w:rPr>
        <w:t>located in a foreign country listed in 10 U.S.C. § 4872(d);</w:t>
      </w:r>
    </w:p>
    <w:p>
      <w:pPr>
        <w:spacing w:after="0" w:line="170" w:lineRule="exact"/>
        <w:rPr>
          <w:rFonts w:ascii="Calibri" w:cs="Calibri" w:eastAsia="Calibri" w:hAnsi="Calibri"/>
          <w:sz w:val="20"/>
          <w:szCs w:val="20"/>
          <w:color w:val="auto"/>
        </w:rPr>
      </w:pPr>
    </w:p>
    <w:p>
      <w:pPr>
        <w:ind w:left="1300" w:right="20" w:hanging="644"/>
        <w:spacing w:after="0" w:line="214" w:lineRule="auto"/>
        <w:tabs>
          <w:tab w:leader="none" w:pos="1300" w:val="left"/>
        </w:tabs>
        <w:numPr>
          <w:ilvl w:val="1"/>
          <w:numId w:val="459"/>
        </w:numPr>
        <w:rPr>
          <w:rFonts w:ascii="Calibri" w:cs="Calibri" w:eastAsia="Calibri" w:hAnsi="Calibri"/>
          <w:sz w:val="20"/>
          <w:szCs w:val="20"/>
          <w:color w:val="auto"/>
        </w:rPr>
      </w:pPr>
      <w:r>
        <w:rPr>
          <w:rFonts w:ascii="Calibri" w:cs="Calibri" w:eastAsia="Calibri" w:hAnsi="Calibri"/>
          <w:sz w:val="20"/>
          <w:szCs w:val="20"/>
          <w:color w:val="auto"/>
        </w:rPr>
        <w:t>the Person is organized under the laws of or has its principal place of business in a foreign country listed in 10 U.S.C. § 4872(d);</w:t>
      </w:r>
    </w:p>
    <w:p>
      <w:pPr>
        <w:spacing w:after="0" w:line="185" w:lineRule="exact"/>
        <w:rPr>
          <w:rFonts w:ascii="Calibri" w:cs="Calibri" w:eastAsia="Calibri" w:hAnsi="Calibri"/>
          <w:sz w:val="20"/>
          <w:szCs w:val="20"/>
          <w:color w:val="auto"/>
        </w:rPr>
      </w:pPr>
    </w:p>
    <w:p>
      <w:pPr>
        <w:ind w:left="1300" w:hanging="644"/>
        <w:spacing w:after="0" w:line="208" w:lineRule="auto"/>
        <w:tabs>
          <w:tab w:leader="none" w:pos="1306" w:val="left"/>
        </w:tabs>
        <w:numPr>
          <w:ilvl w:val="1"/>
          <w:numId w:val="459"/>
        </w:numPr>
        <w:rPr>
          <w:rFonts w:ascii="Calibri" w:cs="Calibri" w:eastAsia="Calibri" w:hAnsi="Calibri"/>
          <w:sz w:val="20"/>
          <w:szCs w:val="20"/>
          <w:color w:val="auto"/>
        </w:rPr>
      </w:pPr>
      <w:r>
        <w:rPr>
          <w:rFonts w:ascii="Calibri" w:cs="Calibri" w:eastAsia="Calibri" w:hAnsi="Calibri"/>
          <w:sz w:val="20"/>
          <w:szCs w:val="20"/>
          <w:color w:val="auto"/>
        </w:rPr>
        <w:t>twenty-fve percent (25%) or more of the Person’s outstanding votng interest, board seats, or equity interest is held directly or indirectly by the government of a foreign country listed in 10 U.S.C. § 4872(d); or</w:t>
      </w:r>
    </w:p>
    <w:p>
      <w:pPr>
        <w:spacing w:after="0" w:line="184" w:lineRule="exact"/>
        <w:rPr>
          <w:rFonts w:ascii="Calibri" w:cs="Calibri" w:eastAsia="Calibri" w:hAnsi="Calibri"/>
          <w:sz w:val="20"/>
          <w:szCs w:val="20"/>
          <w:color w:val="auto"/>
        </w:rPr>
      </w:pPr>
    </w:p>
    <w:p>
      <w:pPr>
        <w:ind w:left="1300" w:right="20" w:hanging="644"/>
        <w:spacing w:after="0" w:line="214" w:lineRule="auto"/>
        <w:tabs>
          <w:tab w:leader="none" w:pos="1304" w:val="left"/>
        </w:tabs>
        <w:numPr>
          <w:ilvl w:val="1"/>
          <w:numId w:val="459"/>
        </w:numPr>
        <w:rPr>
          <w:rFonts w:ascii="Calibri" w:cs="Calibri" w:eastAsia="Calibri" w:hAnsi="Calibri"/>
          <w:sz w:val="20"/>
          <w:szCs w:val="20"/>
          <w:color w:val="auto"/>
        </w:rPr>
      </w:pPr>
      <w:r>
        <w:rPr>
          <w:rFonts w:ascii="Calibri" w:cs="Calibri" w:eastAsia="Calibri" w:hAnsi="Calibri"/>
          <w:sz w:val="20"/>
          <w:szCs w:val="20"/>
          <w:color w:val="auto"/>
        </w:rPr>
        <w:t>twenty-fve percent (25%) or more of the Person’s outstanding votng interest is held directly or indirectly by any combinaton of the persons who fall within clauses (i)-(iii), above;</w:t>
      </w:r>
    </w:p>
    <w:p>
      <w:pPr>
        <w:spacing w:after="0" w:line="162" w:lineRule="exact"/>
        <w:rPr>
          <w:rFonts w:ascii="Calibri" w:cs="Calibri" w:eastAsia="Calibri" w:hAnsi="Calibri"/>
          <w:sz w:val="20"/>
          <w:szCs w:val="20"/>
          <w:color w:val="auto"/>
        </w:rPr>
      </w:pPr>
    </w:p>
    <w:p>
      <w:pPr>
        <w:ind w:left="640" w:hanging="632"/>
        <w:spacing w:after="0"/>
        <w:tabs>
          <w:tab w:leader="none" w:pos="640" w:val="left"/>
        </w:tabs>
        <w:numPr>
          <w:ilvl w:val="0"/>
          <w:numId w:val="459"/>
        </w:numPr>
        <w:rPr>
          <w:rFonts w:ascii="Calibri" w:cs="Calibri" w:eastAsia="Calibri" w:hAnsi="Calibri"/>
          <w:sz w:val="20"/>
          <w:szCs w:val="20"/>
          <w:color w:val="auto"/>
        </w:rPr>
      </w:pPr>
      <w:r>
        <w:rPr>
          <w:rFonts w:ascii="Calibri" w:cs="Calibri" w:eastAsia="Calibri" w:hAnsi="Calibri"/>
          <w:sz w:val="20"/>
          <w:szCs w:val="20"/>
          <w:color w:val="auto"/>
        </w:rPr>
        <w:t>alleged by the Atorney General to have been involved in actvites for which a convicton was obtained under: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59"/>
        </w:numPr>
        <w:rPr>
          <w:rFonts w:ascii="Calibri" w:cs="Calibri" w:eastAsia="Calibri" w:hAnsi="Calibri"/>
          <w:sz w:val="20"/>
          <w:szCs w:val="20"/>
          <w:color w:val="auto"/>
        </w:rPr>
      </w:pPr>
      <w:r>
        <w:rPr>
          <w:rFonts w:ascii="Calibri" w:cs="Calibri" w:eastAsia="Calibri" w:hAnsi="Calibri"/>
          <w:sz w:val="20"/>
          <w:szCs w:val="20"/>
          <w:color w:val="auto"/>
        </w:rPr>
        <w:t xml:space="preserve">The Espionage Act, 18 U.S.C. § 792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384" w:right="339" w:bottom="1440" w:gutter="0" w:footer="0" w:header="0"/>
        </w:sectPr>
      </w:pPr>
    </w:p>
    <w:bookmarkStart w:id="421" w:name="page422"/>
    <w:bookmarkEnd w:id="421"/>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18 U.S.C. § 951;</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 xml:space="preserve">The Economic Espionage Act of 1996, 18 U.S.C. § 1831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 xml:space="preserve">The Arms Export Control Act, 22 U.S.C. § 2751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The Atomic Energy Act, 42 U.S.C. § 2274, 2275, 2276, 2277, or 2284;</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 xml:space="preserve">The Export Control Reform Act of 2018, 50 U.S.C. § 4801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 xml:space="preserve">The Internatonal Economic Emergency Powers Act, 50 U.S.C. § 1701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0"/>
        </w:numPr>
        <w:rPr>
          <w:rFonts w:ascii="Calibri" w:cs="Calibri" w:eastAsia="Calibri" w:hAnsi="Calibri"/>
          <w:sz w:val="20"/>
          <w:szCs w:val="20"/>
          <w:color w:val="auto"/>
        </w:rPr>
      </w:pPr>
      <w:r>
        <w:rPr>
          <w:rFonts w:ascii="Calibri" w:cs="Calibri" w:eastAsia="Calibri" w:hAnsi="Calibri"/>
          <w:sz w:val="20"/>
          <w:szCs w:val="20"/>
          <w:color w:val="auto"/>
        </w:rPr>
        <w:t>Title 18 U.S.C. § 1030;</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61"/>
        </w:numPr>
        <w:rPr>
          <w:rFonts w:ascii="Calibri" w:cs="Calibri" w:eastAsia="Calibri" w:hAnsi="Calibri"/>
          <w:sz w:val="20"/>
          <w:szCs w:val="20"/>
          <w:color w:val="auto"/>
        </w:rPr>
      </w:pPr>
      <w:r>
        <w:rPr>
          <w:rFonts w:ascii="Calibri" w:cs="Calibri" w:eastAsia="Calibri" w:hAnsi="Calibri"/>
          <w:sz w:val="20"/>
          <w:szCs w:val="20"/>
          <w:color w:val="auto"/>
        </w:rPr>
        <w:t>included on the BIS Entty List (15 CFR Part 744, supplement no. 4);</w:t>
      </w:r>
    </w:p>
    <w:p>
      <w:pPr>
        <w:spacing w:after="0" w:line="170" w:lineRule="exact"/>
        <w:rPr>
          <w:rFonts w:ascii="Calibri" w:cs="Calibri" w:eastAsia="Calibri" w:hAnsi="Calibri"/>
          <w:sz w:val="20"/>
          <w:szCs w:val="20"/>
          <w:color w:val="auto"/>
        </w:rPr>
      </w:pPr>
    </w:p>
    <w:p>
      <w:pPr>
        <w:jc w:val="both"/>
        <w:ind w:left="660" w:hanging="652"/>
        <w:spacing w:after="0" w:line="209" w:lineRule="auto"/>
        <w:tabs>
          <w:tab w:leader="none" w:pos="663" w:val="left"/>
        </w:tabs>
        <w:numPr>
          <w:ilvl w:val="0"/>
          <w:numId w:val="461"/>
        </w:numPr>
        <w:rPr>
          <w:rFonts w:ascii="Calibri" w:cs="Calibri" w:eastAsia="Calibri" w:hAnsi="Calibri"/>
          <w:sz w:val="20"/>
          <w:szCs w:val="20"/>
          <w:color w:val="auto"/>
        </w:rPr>
      </w:pPr>
      <w:r>
        <w:rPr>
          <w:rFonts w:ascii="Calibri" w:cs="Calibri" w:eastAsia="Calibri" w:hAnsi="Calibri"/>
          <w:sz w:val="20"/>
          <w:szCs w:val="20"/>
          <w:color w:val="auto"/>
        </w:rPr>
        <w:t>included on the Department of the Treasury’s list of Non-SDN Chinese Military-Industrial Complex Companies (NS-CMIC List), or for which one or more individuals or enttes included on the NS-CMIC list, individually or in the aggregate, directly or indirectly, hold at least ffy percent (50%) of the outstanding votng interest; or</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461"/>
        </w:numPr>
        <w:rPr>
          <w:rFonts w:ascii="Calibri" w:cs="Calibri" w:eastAsia="Calibri" w:hAnsi="Calibri"/>
          <w:sz w:val="20"/>
          <w:szCs w:val="20"/>
          <w:color w:val="auto"/>
        </w:rPr>
      </w:pPr>
      <w:r>
        <w:rPr>
          <w:rFonts w:ascii="Calibri" w:cs="Calibri" w:eastAsia="Calibri" w:hAnsi="Calibri"/>
          <w:sz w:val="20"/>
          <w:szCs w:val="20"/>
          <w:color w:val="auto"/>
        </w:rPr>
        <w:t>determined by the Secretary, in consultaton with the Secretary of Defense and the Director of Natonal Intelligence, to be engaged in unauthorized conduct that is detrimental to the natonal security or foreign policy of the United States.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“Guardrail Regulatons” </w:t>
      </w:r>
      <w:r>
        <w:rPr>
          <w:rFonts w:ascii="Calibri" w:cs="Calibri" w:eastAsia="Calibri" w:hAnsi="Calibri"/>
          <w:sz w:val="20"/>
          <w:szCs w:val="20"/>
          <w:color w:val="auto"/>
        </w:rPr>
        <w:t>means those regulatons set forth at 15 CFR Part 231.</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Joint Research</w:t>
      </w:r>
      <w:r>
        <w:rPr>
          <w:rFonts w:ascii="Calibri" w:cs="Calibri" w:eastAsia="Calibri" w:hAnsi="Calibri"/>
          <w:sz w:val="20"/>
          <w:szCs w:val="20"/>
          <w:color w:val="auto"/>
        </w:rPr>
        <w:t>” means any Research and Development actvity that is jointly undertaken by two or more partes, including any Research and Development actvites undertaken as part of a joint venture as defned at 15 U.S.C. § 4301(a)(6), provided, that, the following will not be considered Joint Research:</w:t>
      </w:r>
    </w:p>
    <w:p>
      <w:pPr>
        <w:spacing w:after="0" w:line="162" w:lineRule="exact"/>
        <w:rPr>
          <w:sz w:val="20"/>
          <w:szCs w:val="20"/>
          <w:color w:val="auto"/>
        </w:rPr>
      </w:pPr>
    </w:p>
    <w:p>
      <w:pPr>
        <w:ind w:left="640" w:hanging="632"/>
        <w:spacing w:after="0"/>
        <w:tabs>
          <w:tab w:leader="none" w:pos="640" w:val="left"/>
        </w:tabs>
        <w:numPr>
          <w:ilvl w:val="0"/>
          <w:numId w:val="462"/>
        </w:numPr>
        <w:rPr>
          <w:rFonts w:ascii="Calibri" w:cs="Calibri" w:eastAsia="Calibri" w:hAnsi="Calibri"/>
          <w:sz w:val="20"/>
          <w:szCs w:val="20"/>
          <w:color w:val="auto"/>
        </w:rPr>
      </w:pPr>
      <w:r>
        <w:rPr>
          <w:rFonts w:ascii="Calibri" w:cs="Calibri" w:eastAsia="Calibri" w:hAnsi="Calibri"/>
          <w:sz w:val="20"/>
          <w:szCs w:val="20"/>
          <w:color w:val="auto"/>
        </w:rPr>
        <w:t>a standards-related actvity (as such term is defned in 15 CFR Part 772);</w:t>
      </w:r>
    </w:p>
    <w:p>
      <w:pPr>
        <w:spacing w:after="0" w:line="184" w:lineRule="exact"/>
        <w:rPr>
          <w:rFonts w:ascii="Calibri" w:cs="Calibri" w:eastAsia="Calibri" w:hAnsi="Calibri"/>
          <w:sz w:val="20"/>
          <w:szCs w:val="20"/>
          <w:color w:val="auto"/>
        </w:rPr>
      </w:pPr>
    </w:p>
    <w:p>
      <w:pPr>
        <w:ind w:left="660" w:right="20" w:hanging="652"/>
        <w:spacing w:after="0" w:line="208" w:lineRule="auto"/>
        <w:tabs>
          <w:tab w:leader="none" w:pos="662" w:val="left"/>
        </w:tabs>
        <w:numPr>
          <w:ilvl w:val="0"/>
          <w:numId w:val="462"/>
        </w:numPr>
        <w:rPr>
          <w:rFonts w:ascii="Calibri" w:cs="Calibri" w:eastAsia="Calibri" w:hAnsi="Calibri"/>
          <w:sz w:val="20"/>
          <w:szCs w:val="20"/>
          <w:color w:val="auto"/>
        </w:rPr>
      </w:pPr>
      <w:r>
        <w:rPr>
          <w:rFonts w:ascii="Calibri" w:cs="Calibri" w:eastAsia="Calibri" w:hAnsi="Calibri"/>
          <w:sz w:val="20"/>
          <w:szCs w:val="20"/>
          <w:color w:val="auto"/>
        </w:rPr>
        <w:t>Research and development conducted exclusively between and among employees of a Recipient or between and among enttes that are Related Enttes to the Recipient;</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59" w:val="left"/>
        </w:tabs>
        <w:numPr>
          <w:ilvl w:val="0"/>
          <w:numId w:val="462"/>
        </w:numPr>
        <w:rPr>
          <w:rFonts w:ascii="Calibri" w:cs="Calibri" w:eastAsia="Calibri" w:hAnsi="Calibri"/>
          <w:sz w:val="20"/>
          <w:szCs w:val="20"/>
          <w:color w:val="auto"/>
        </w:rPr>
      </w:pPr>
      <w:r>
        <w:rPr>
          <w:rFonts w:ascii="Calibri" w:cs="Calibri" w:eastAsia="Calibri" w:hAnsi="Calibri"/>
          <w:sz w:val="20"/>
          <w:szCs w:val="20"/>
          <w:color w:val="auto"/>
        </w:rPr>
        <w:t>research, development, or engineering related to a manufacturing process for an existng product solely to enable use of foundry, assembly, test, or packaging services for integrated circuits;</w:t>
      </w:r>
    </w:p>
    <w:p>
      <w:pPr>
        <w:spacing w:after="0" w:line="172" w:lineRule="exact"/>
        <w:rPr>
          <w:rFonts w:ascii="Calibri" w:cs="Calibri" w:eastAsia="Calibri" w:hAnsi="Calibri"/>
          <w:sz w:val="20"/>
          <w:szCs w:val="20"/>
          <w:color w:val="auto"/>
        </w:rPr>
      </w:pPr>
    </w:p>
    <w:p>
      <w:pPr>
        <w:ind w:left="660" w:right="20" w:hanging="652"/>
        <w:spacing w:after="0" w:line="214" w:lineRule="auto"/>
        <w:tabs>
          <w:tab w:leader="none" w:pos="654" w:val="left"/>
        </w:tabs>
        <w:numPr>
          <w:ilvl w:val="0"/>
          <w:numId w:val="462"/>
        </w:numPr>
        <w:rPr>
          <w:rFonts w:ascii="Calibri" w:cs="Calibri" w:eastAsia="Calibri" w:hAnsi="Calibri"/>
          <w:sz w:val="20"/>
          <w:szCs w:val="20"/>
          <w:color w:val="auto"/>
        </w:rPr>
      </w:pPr>
      <w:r>
        <w:rPr>
          <w:rFonts w:ascii="Calibri" w:cs="Calibri" w:eastAsia="Calibri" w:hAnsi="Calibri"/>
          <w:sz w:val="20"/>
          <w:szCs w:val="20"/>
          <w:color w:val="auto"/>
        </w:rPr>
        <w:t>research, development, or engineering involving two or more enttes to establish or apply a drawing, design, or related specifcaton for a product to be purchased and sold between or among such enttes; and</w:t>
      </w:r>
    </w:p>
    <w:p>
      <w:pPr>
        <w:spacing w:after="0" w:line="175" w:lineRule="exact"/>
        <w:rPr>
          <w:rFonts w:ascii="Calibri" w:cs="Calibri" w:eastAsia="Calibri" w:hAnsi="Calibri"/>
          <w:sz w:val="20"/>
          <w:szCs w:val="20"/>
          <w:color w:val="auto"/>
        </w:rPr>
      </w:pPr>
    </w:p>
    <w:p>
      <w:pPr>
        <w:ind w:left="660" w:hanging="652"/>
        <w:spacing w:after="0"/>
        <w:tabs>
          <w:tab w:leader="none" w:pos="660" w:val="left"/>
        </w:tabs>
        <w:numPr>
          <w:ilvl w:val="0"/>
          <w:numId w:val="462"/>
        </w:numPr>
        <w:rPr>
          <w:rFonts w:ascii="Calibri" w:cs="Calibri" w:eastAsia="Calibri" w:hAnsi="Calibri"/>
          <w:sz w:val="20"/>
          <w:szCs w:val="20"/>
          <w:color w:val="auto"/>
        </w:rPr>
      </w:pPr>
      <w:r>
        <w:rPr>
          <w:rFonts w:ascii="Calibri" w:cs="Calibri" w:eastAsia="Calibri" w:hAnsi="Calibri"/>
          <w:sz w:val="20"/>
          <w:szCs w:val="20"/>
          <w:color w:val="auto"/>
        </w:rPr>
        <w:t>warranty, service, and customer support performed by a Recipient or an entty that is a Related Entty of a Recipient.</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Knowingly</w:t>
      </w:r>
      <w:r>
        <w:rPr>
          <w:rFonts w:ascii="Calibri" w:cs="Calibri" w:eastAsia="Calibri" w:hAnsi="Calibri"/>
          <w:sz w:val="20"/>
          <w:szCs w:val="20"/>
          <w:color w:val="auto"/>
        </w:rPr>
        <w:t>” means actng with knowledge that a circumstance exists or is substantally certain to occur, or with an awareness of a high probability of its existence or future occurrence. Such awareness can be inferred from evidence of the conscious disregard of facts known to a Person or of a Person’s wilful avoidance of facts.</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Legacy Semiconductor</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463"/>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wafer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1374" w:right="339" w:bottom="1440" w:gutter="0" w:footer="0" w:header="0"/>
        </w:sectPr>
      </w:pPr>
    </w:p>
    <w:bookmarkStart w:id="422" w:name="page423"/>
    <w:bookmarkEnd w:id="422"/>
    <w:p>
      <w:pPr>
        <w:ind w:left="1300" w:hanging="644"/>
        <w:spacing w:after="0"/>
        <w:tabs>
          <w:tab w:leader="none" w:pos="1300" w:val="left"/>
        </w:tabs>
        <w:numPr>
          <w:ilvl w:val="1"/>
          <w:numId w:val="464"/>
        </w:numPr>
        <w:rPr>
          <w:rFonts w:ascii="Calibri" w:cs="Calibri" w:eastAsia="Calibri" w:hAnsi="Calibri"/>
          <w:sz w:val="20"/>
          <w:szCs w:val="20"/>
          <w:color w:val="auto"/>
        </w:rPr>
      </w:pPr>
      <w:r>
        <w:rPr>
          <w:rFonts w:ascii="Calibri" w:cs="Calibri" w:eastAsia="Calibri" w:hAnsi="Calibri"/>
          <w:sz w:val="20"/>
          <w:szCs w:val="20"/>
          <w:color w:val="auto"/>
        </w:rPr>
        <w:t>a silicon wafer measuring 8 inches (or 200 millimeters) or smaller in diameter;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4"/>
        </w:numPr>
        <w:rPr>
          <w:rFonts w:ascii="Calibri" w:cs="Calibri" w:eastAsia="Calibri" w:hAnsi="Calibri"/>
          <w:sz w:val="20"/>
          <w:szCs w:val="20"/>
          <w:color w:val="auto"/>
        </w:rPr>
      </w:pPr>
      <w:r>
        <w:rPr>
          <w:rFonts w:ascii="Calibri" w:cs="Calibri" w:eastAsia="Calibri" w:hAnsi="Calibri"/>
          <w:sz w:val="20"/>
          <w:szCs w:val="20"/>
          <w:color w:val="auto"/>
        </w:rPr>
        <w:t>a compound wafer measuring 6 inches (or 150 millimeters) or smaller in diameter;</w:t>
      </w:r>
    </w:p>
    <w:p>
      <w:pPr>
        <w:spacing w:after="0" w:line="160" w:lineRule="exact"/>
        <w:rPr>
          <w:rFonts w:ascii="Calibri" w:cs="Calibri" w:eastAsia="Calibri" w:hAnsi="Calibri"/>
          <w:sz w:val="20"/>
          <w:szCs w:val="20"/>
          <w:color w:val="auto"/>
        </w:rPr>
      </w:pPr>
    </w:p>
    <w:p>
      <w:pPr>
        <w:ind w:left="660" w:hanging="652"/>
        <w:spacing w:after="0"/>
        <w:tabs>
          <w:tab w:leader="none" w:pos="660" w:val="left"/>
        </w:tabs>
        <w:numPr>
          <w:ilvl w:val="0"/>
          <w:numId w:val="465"/>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fabricaton facility:</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294" w:val="left"/>
        </w:tabs>
        <w:numPr>
          <w:ilvl w:val="1"/>
          <w:numId w:val="465"/>
        </w:numPr>
        <w:rPr>
          <w:rFonts w:ascii="Calibri" w:cs="Calibri" w:eastAsia="Calibri" w:hAnsi="Calibri"/>
          <w:sz w:val="20"/>
          <w:szCs w:val="20"/>
          <w:color w:val="auto"/>
        </w:rPr>
      </w:pPr>
      <w:r>
        <w:rPr>
          <w:rFonts w:ascii="Calibri" w:cs="Calibri" w:eastAsia="Calibri" w:hAnsi="Calibri"/>
          <w:sz w:val="20"/>
          <w:szCs w:val="20"/>
          <w:color w:val="auto"/>
        </w:rPr>
        <w:t>a digital or analog logic semiconductor that is of the 28-nanometer generaton or older (i.e., has a gate length of 28 nanometers or more for a planar transistor);</w:t>
      </w:r>
    </w:p>
    <w:p>
      <w:pPr>
        <w:spacing w:after="0" w:line="172" w:lineRule="exact"/>
        <w:rPr>
          <w:rFonts w:ascii="Calibri" w:cs="Calibri" w:eastAsia="Calibri" w:hAnsi="Calibri"/>
          <w:sz w:val="20"/>
          <w:szCs w:val="20"/>
          <w:color w:val="auto"/>
        </w:rPr>
      </w:pPr>
    </w:p>
    <w:p>
      <w:pPr>
        <w:jc w:val="both"/>
        <w:ind w:left="1300" w:right="20" w:hanging="644"/>
        <w:spacing w:after="0" w:line="209" w:lineRule="auto"/>
        <w:tabs>
          <w:tab w:leader="none" w:pos="1300" w:val="left"/>
        </w:tabs>
        <w:numPr>
          <w:ilvl w:val="1"/>
          <w:numId w:val="465"/>
        </w:numPr>
        <w:rPr>
          <w:rFonts w:ascii="Calibri" w:cs="Calibri" w:eastAsia="Calibri" w:hAnsi="Calibri"/>
          <w:sz w:val="20"/>
          <w:szCs w:val="20"/>
          <w:color w:val="auto"/>
        </w:rPr>
      </w:pPr>
      <w:r>
        <w:rPr>
          <w:rFonts w:ascii="Calibri" w:cs="Calibri" w:eastAsia="Calibri" w:hAnsi="Calibri"/>
          <w:sz w:val="20"/>
          <w:szCs w:val="20"/>
          <w:color w:val="auto"/>
        </w:rPr>
        <w:t>a memory Semiconductor with a half-pitch greater than 18 nanometers for DRAM or less than 128 layers for Not AND (NAND) fash that does not utlize emerging memory technologies, such as transiton metal oxides, phase-change memory, perovskites, or ferromagnetcs relevant to advanced memory fabricaton; or</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1"/>
          <w:numId w:val="465"/>
        </w:numPr>
        <w:rPr>
          <w:rFonts w:ascii="Calibri" w:cs="Calibri" w:eastAsia="Calibri" w:hAnsi="Calibri"/>
          <w:sz w:val="20"/>
          <w:szCs w:val="20"/>
          <w:color w:val="auto"/>
        </w:rPr>
      </w:pPr>
      <w:r>
        <w:rPr>
          <w:rFonts w:ascii="Calibri" w:cs="Calibri" w:eastAsia="Calibri" w:hAnsi="Calibri"/>
          <w:sz w:val="20"/>
          <w:szCs w:val="20"/>
          <w:color w:val="auto"/>
        </w:rPr>
        <w:t>a Semiconductor identfed by the Secretary in a public notce issued under 15 U.S.C. § 4652(a)(6)(A)(ii); and</w:t>
      </w:r>
    </w:p>
    <w:p>
      <w:pPr>
        <w:spacing w:after="0" w:line="184" w:lineRule="exact"/>
        <w:rPr>
          <w:rFonts w:ascii="Calibri" w:cs="Calibri" w:eastAsia="Calibri" w:hAnsi="Calibri"/>
          <w:sz w:val="20"/>
          <w:szCs w:val="20"/>
          <w:color w:val="auto"/>
        </w:rPr>
      </w:pPr>
    </w:p>
    <w:p>
      <w:pPr>
        <w:ind w:left="660" w:right="20" w:hanging="652"/>
        <w:spacing w:after="0" w:line="214" w:lineRule="auto"/>
        <w:tabs>
          <w:tab w:leader="none" w:pos="660" w:val="left"/>
        </w:tabs>
        <w:numPr>
          <w:ilvl w:val="0"/>
          <w:numId w:val="465"/>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packaging facility, a Semiconductor that does not utlize advanced three-dimensional (3D) integraton packaging, under clause (z) below,</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color w:val="auto"/>
        </w:rPr>
        <w:t>provided that, notwithstanding the above, the following will not be considered Legacy Semiconductors:</w:t>
      </w:r>
    </w:p>
    <w:p>
      <w:pPr>
        <w:spacing w:after="0" w:line="188" w:lineRule="exact"/>
        <w:rPr>
          <w:sz w:val="20"/>
          <w:szCs w:val="20"/>
          <w:color w:val="auto"/>
        </w:rPr>
      </w:pPr>
    </w:p>
    <w:p>
      <w:pPr>
        <w:ind w:left="660" w:hanging="652"/>
        <w:spacing w:after="0"/>
        <w:tabs>
          <w:tab w:leader="none" w:pos="660" w:val="left"/>
        </w:tabs>
        <w:numPr>
          <w:ilvl w:val="0"/>
          <w:numId w:val="466"/>
        </w:numPr>
        <w:rPr>
          <w:rFonts w:ascii="Calibri" w:cs="Calibri" w:eastAsia="Calibri" w:hAnsi="Calibri"/>
          <w:sz w:val="20"/>
          <w:szCs w:val="20"/>
          <w:color w:val="auto"/>
        </w:rPr>
      </w:pPr>
      <w:r>
        <w:rPr>
          <w:rFonts w:ascii="Calibri" w:cs="Calibri" w:eastAsia="Calibri" w:hAnsi="Calibri"/>
          <w:sz w:val="20"/>
          <w:szCs w:val="20"/>
          <w:color w:val="auto"/>
        </w:rPr>
        <w:t>Semiconductors Critcal to Natonal Security;</w:t>
      </w:r>
    </w:p>
    <w:p>
      <w:pPr>
        <w:spacing w:after="0" w:line="170" w:lineRule="exact"/>
        <w:rPr>
          <w:rFonts w:ascii="Calibri" w:cs="Calibri" w:eastAsia="Calibri" w:hAnsi="Calibri"/>
          <w:sz w:val="20"/>
          <w:szCs w:val="20"/>
          <w:color w:val="auto"/>
        </w:rPr>
      </w:pPr>
    </w:p>
    <w:p>
      <w:pPr>
        <w:ind w:left="660" w:right="20" w:hanging="652"/>
        <w:spacing w:after="0" w:line="214" w:lineRule="auto"/>
        <w:tabs>
          <w:tab w:leader="none" w:pos="658" w:val="left"/>
        </w:tabs>
        <w:numPr>
          <w:ilvl w:val="0"/>
          <w:numId w:val="466"/>
        </w:numPr>
        <w:rPr>
          <w:rFonts w:ascii="Calibri" w:cs="Calibri" w:eastAsia="Calibri" w:hAnsi="Calibri"/>
          <w:sz w:val="20"/>
          <w:szCs w:val="20"/>
          <w:color w:val="auto"/>
        </w:rPr>
      </w:pPr>
      <w:r>
        <w:rPr>
          <w:rFonts w:ascii="Calibri" w:cs="Calibri" w:eastAsia="Calibri" w:hAnsi="Calibri"/>
          <w:sz w:val="20"/>
          <w:szCs w:val="20"/>
          <w:color w:val="auto"/>
        </w:rPr>
        <w:t>Semiconductors with a post-planar transistor architecture (such as three-dimensional fn feld-efect (FinFET) transistors or gate-all-around (GAA) transistors); and</w:t>
      </w:r>
    </w:p>
    <w:p>
      <w:pPr>
        <w:spacing w:after="0" w:line="185" w:lineRule="exact"/>
        <w:rPr>
          <w:rFonts w:ascii="Calibri" w:cs="Calibri" w:eastAsia="Calibri" w:hAnsi="Calibri"/>
          <w:sz w:val="20"/>
          <w:szCs w:val="20"/>
          <w:color w:val="auto"/>
        </w:rPr>
      </w:pPr>
    </w:p>
    <w:p>
      <w:pPr>
        <w:ind w:left="660" w:hanging="652"/>
        <w:spacing w:after="0" w:line="208" w:lineRule="auto"/>
        <w:tabs>
          <w:tab w:leader="none" w:pos="660" w:val="left"/>
        </w:tabs>
        <w:numPr>
          <w:ilvl w:val="0"/>
          <w:numId w:val="466"/>
        </w:numPr>
        <w:rPr>
          <w:rFonts w:ascii="Calibri" w:cs="Calibri" w:eastAsia="Calibri" w:hAnsi="Calibri"/>
          <w:sz w:val="20"/>
          <w:szCs w:val="20"/>
          <w:color w:val="auto"/>
        </w:rPr>
      </w:pPr>
      <w:r>
        <w:rPr>
          <w:rFonts w:ascii="Calibri" w:cs="Calibri" w:eastAsia="Calibri" w:hAnsi="Calibri"/>
          <w:sz w:val="20"/>
          <w:szCs w:val="20"/>
          <w:color w:val="auto"/>
        </w:rPr>
        <w:t>Semiconductors utlizing advanced three-dimensional (3D) integraton packaging, such as by directly ataching one or more dies or wafers, through silicon vias, through mold vias, or other advanced methods.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Expansion</w:t>
      </w:r>
      <w:r>
        <w:rPr>
          <w:rFonts w:ascii="Calibri" w:cs="Calibri" w:eastAsia="Calibri" w:hAnsi="Calibri"/>
          <w:sz w:val="20"/>
          <w:szCs w:val="20"/>
          <w:color w:val="auto"/>
        </w:rPr>
        <w:t>” means:</w:t>
      </w:r>
    </w:p>
    <w:p>
      <w:pPr>
        <w:spacing w:after="0" w:line="184" w:lineRule="exact"/>
        <w:rPr>
          <w:sz w:val="20"/>
          <w:szCs w:val="20"/>
          <w:color w:val="auto"/>
        </w:rPr>
      </w:pPr>
    </w:p>
    <w:p>
      <w:pPr>
        <w:jc w:val="both"/>
        <w:ind w:left="660" w:hanging="652"/>
        <w:spacing w:after="0" w:line="205" w:lineRule="auto"/>
        <w:tabs>
          <w:tab w:leader="none" w:pos="664" w:val="left"/>
        </w:tabs>
        <w:numPr>
          <w:ilvl w:val="0"/>
          <w:numId w:val="467"/>
        </w:numPr>
        <w:rPr>
          <w:rFonts w:ascii="Calibri" w:cs="Calibri" w:eastAsia="Calibri" w:hAnsi="Calibri"/>
          <w:sz w:val="20"/>
          <w:szCs w:val="20"/>
          <w:color w:val="auto"/>
        </w:rPr>
      </w:pPr>
      <w:r>
        <w:rPr>
          <w:rFonts w:ascii="Calibri" w:cs="Calibri" w:eastAsia="Calibri" w:hAnsi="Calibri"/>
          <w:sz w:val="20"/>
          <w:szCs w:val="20"/>
          <w:color w:val="auto"/>
        </w:rPr>
        <w:t>with respect to an Existng Facility, the increase of the Semiconductor Manufacturing Capacity of an Existng Facility by more than fve percent (5%) of the capacity memorialized in Part 1 (</w:t>
      </w:r>
      <w:r>
        <w:rPr>
          <w:rFonts w:ascii="Calibri" w:cs="Calibri" w:eastAsia="Calibri" w:hAnsi="Calibri"/>
          <w:sz w:val="20"/>
          <w:szCs w:val="20"/>
          <w:b w:val="1"/>
          <w:bCs w:val="1"/>
          <w:color w:val="auto"/>
        </w:rPr>
        <w:t>Existng Facilites</w:t>
      </w:r>
      <w:r>
        <w:rPr>
          <w:rFonts w:ascii="Calibri" w:cs="Calibri" w:eastAsia="Calibri" w:hAnsi="Calibri"/>
          <w:sz w:val="20"/>
          <w:szCs w:val="20"/>
          <w:color w:val="auto"/>
        </w:rPr>
        <w:t>) of Appendix 1, due to the additon of a cleanroom, producton line or other physical space, or a series of such additons; or</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67"/>
        </w:numPr>
        <w:rPr>
          <w:rFonts w:ascii="Calibri" w:cs="Calibri" w:eastAsia="Calibri" w:hAnsi="Calibri"/>
          <w:sz w:val="20"/>
          <w:szCs w:val="20"/>
          <w:color w:val="auto"/>
        </w:rPr>
      </w:pPr>
      <w:r>
        <w:rPr>
          <w:rFonts w:ascii="Calibri" w:cs="Calibri" w:eastAsia="Calibri" w:hAnsi="Calibri"/>
          <w:sz w:val="20"/>
          <w:szCs w:val="20"/>
          <w:color w:val="auto"/>
        </w:rPr>
        <w:t>any new constructon of a facility for Semiconductor Manufacturing.</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means any entty that is or becomes a member of the Recipient’s “Afliated Group,” as such term is defned under 26 U.S.C. § 1504(a), without regard to 26 U.S.C. § 1504(b)(3), including the Members of the Afliated Group identfed in Part 4 (</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of Appendix 1.</w:t>
      </w:r>
    </w:p>
    <w:p>
      <w:pPr>
        <w:spacing w:after="0" w:line="172"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Mitgaton Agreement</w:t>
      </w:r>
      <w:r>
        <w:rPr>
          <w:rFonts w:ascii="Calibri" w:cs="Calibri" w:eastAsia="Calibri" w:hAnsi="Calibri"/>
          <w:sz w:val="20"/>
          <w:szCs w:val="20"/>
          <w:color w:val="auto"/>
        </w:rPr>
        <w:t>” has the meaning set forth in Secton 7(c)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Provisions</w:t>
      </w:r>
      <w:r>
        <w:rPr>
          <w:rFonts w:ascii="Calibri" w:cs="Calibri" w:eastAsia="Calibri" w:hAnsi="Calibri"/>
          <w:sz w:val="20"/>
          <w:szCs w:val="20"/>
          <w:color w:val="auto"/>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Person</w:t>
      </w:r>
      <w:r>
        <w:rPr>
          <w:rFonts w:ascii="Calibri" w:cs="Calibri" w:eastAsia="Calibri" w:hAnsi="Calibri"/>
          <w:sz w:val="20"/>
          <w:szCs w:val="20"/>
          <w:color w:val="auto"/>
        </w:rPr>
        <w:t>” means an individual, partnership, associaton, corporaton, organizaton, or any other combinaton of individuals.</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Predominately Serves the Market</w:t>
      </w:r>
      <w:r>
        <w:rPr>
          <w:rFonts w:ascii="Calibri" w:cs="Calibri" w:eastAsia="Calibri" w:hAnsi="Calibri"/>
          <w:sz w:val="20"/>
          <w:szCs w:val="20"/>
          <w:color w:val="auto"/>
        </w:rPr>
        <w:t>” means that at least eighty-fve percent (85%) of the output of the Semiconductor Manufacturing facility (e.g., wafers, Semiconductor devices, or packages) by value is incorporated into fnal products (i.e., not an intermediate product that is used as factor inputs for producing other goods) that are used or consumed in that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374" w:right="339" w:bottom="1440" w:gutter="0" w:footer="0" w:header="0"/>
        </w:sectPr>
      </w:pPr>
    </w:p>
    <w:bookmarkStart w:id="423" w:name="page424"/>
    <w:bookmarkEnd w:id="423"/>
    <w:p>
      <w:pPr>
        <w:jc w:val="both"/>
        <w:ind w:right="20"/>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Related Entty</w:t>
      </w:r>
      <w:r>
        <w:rPr>
          <w:rFonts w:ascii="Calibri" w:cs="Calibri" w:eastAsia="Calibri" w:hAnsi="Calibri"/>
          <w:sz w:val="20"/>
          <w:szCs w:val="20"/>
          <w:color w:val="auto"/>
        </w:rPr>
        <w:t>” means any entty that directly, or indirectly through one or more intermediaries, controls or is controlled by, or is under common control with, the Recipient.</w:t>
      </w:r>
    </w:p>
    <w:p>
      <w:pPr>
        <w:spacing w:after="0" w:line="172"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Research and Development</w:t>
      </w:r>
      <w:r>
        <w:rPr>
          <w:rFonts w:ascii="Calibri" w:cs="Calibri" w:eastAsia="Calibri" w:hAnsi="Calibri"/>
          <w:sz w:val="20"/>
          <w:szCs w:val="20"/>
          <w:color w:val="auto"/>
        </w:rPr>
        <w:t>” means theoretcal analysis, exploraton, or experimentaton; or the extension of investgatve fndings and theories of a scientfc or technical nature into practcal applicaton, including the experimental producton and testng of models, devices, equipment, materials, and processes.</w:t>
      </w:r>
    </w:p>
    <w:p>
      <w:pPr>
        <w:spacing w:after="0" w:line="163"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Secretary</w:t>
      </w:r>
      <w:r>
        <w:rPr>
          <w:rFonts w:ascii="Calibri" w:cs="Calibri" w:eastAsia="Calibri" w:hAnsi="Calibri"/>
          <w:sz w:val="20"/>
          <w:szCs w:val="20"/>
          <w:color w:val="auto"/>
        </w:rPr>
        <w:t>” means the Secretary of Commerce or the Secretary’s designee.</w:t>
      </w:r>
    </w:p>
    <w:p>
      <w:pPr>
        <w:spacing w:after="0" w:line="184"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w:t>
      </w:r>
      <w:r>
        <w:rPr>
          <w:rFonts w:ascii="Calibri" w:cs="Calibri" w:eastAsia="Calibri" w:hAnsi="Calibri"/>
          <w:sz w:val="20"/>
          <w:szCs w:val="20"/>
          <w:color w:val="auto"/>
        </w:rPr>
        <w:t>” means an integrated electronic device or system most commonly manufactured using materials such as, but not limited to, silicon, silicon carbide, or III-V compounds, and processes such as, but not limited to, lithography, depositon, and etching. Such devices and systems include but are not limited to analog and digital electronics, power electronics, and photonics, for memory, processing, sensing, actuaton, and communicatons applicatons.</w:t>
      </w:r>
    </w:p>
    <w:p>
      <w:pPr>
        <w:spacing w:after="0" w:line="187"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w:t>
      </w:r>
      <w:r>
        <w:rPr>
          <w:rFonts w:ascii="Calibri" w:cs="Calibri" w:eastAsia="Calibri" w:hAnsi="Calibri"/>
          <w:sz w:val="20"/>
          <w:szCs w:val="20"/>
          <w:color w:val="auto"/>
        </w:rPr>
        <w:t>” means Semiconductor wafer producton, Semiconductor fabricaton or Semiconductor packaging. Semiconductor wafer producton includes the processes of wafer slicing, polishing, cleaning, epitaxial depositon, and metrology. Semiconductor fabricaton includes the process of forming devices such as transistors, poly capacitors, non-metal resistors, and diodes on a wafer of semiconductor material. Semiconductor packaging means the process of enclosing a Semiconductor in a protectve container (package) and providing external power and signal connectvity for the assembled integrated circuit.</w:t>
      </w:r>
    </w:p>
    <w:p>
      <w:pPr>
        <w:spacing w:after="0" w:line="184"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 Capacity</w:t>
      </w:r>
      <w:r>
        <w:rPr>
          <w:rFonts w:ascii="Calibri" w:cs="Calibri" w:eastAsia="Calibri" w:hAnsi="Calibri"/>
          <w:sz w:val="20"/>
          <w:szCs w:val="20"/>
          <w:color w:val="auto"/>
        </w:rPr>
        <w:t>” means the productve capacity of a facility for Semiconductor Manufacturing. In the case of a wafer producton facility, Semiconductor Manufacturing Capacity is measured in wafers per year. In the case of a Semiconductor fabricaton facility, Semiconductor Manufacturing Capacity is measured in wafer starts per year. In the case of a Semiconductor fabricaton facility for wafers designed for wafer-to-wafer bonding structure, Semiconductor Manufacturing Capacity is measured in stacked wafers per year. In the case of a packaging facility, Semiconductor Manufacturing Capacity is measured in packages per year.</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Semiconductors Critcal to Natonal Security</w:t>
      </w:r>
      <w:r>
        <w:rPr>
          <w:rFonts w:ascii="Calibri" w:cs="Calibri" w:eastAsia="Calibri" w:hAnsi="Calibri"/>
          <w:sz w:val="20"/>
          <w:szCs w:val="20"/>
          <w:color w:val="auto"/>
        </w:rPr>
        <w:t>” means:</w:t>
      </w:r>
    </w:p>
    <w:p>
      <w:pPr>
        <w:spacing w:after="0" w:line="174" w:lineRule="exact"/>
        <w:rPr>
          <w:sz w:val="20"/>
          <w:szCs w:val="20"/>
          <w:color w:val="auto"/>
        </w:rPr>
      </w:pPr>
    </w:p>
    <w:p>
      <w:pPr>
        <w:ind w:left="640" w:hanging="632"/>
        <w:spacing w:after="0"/>
        <w:tabs>
          <w:tab w:leader="none" w:pos="64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Semiconductors utlizing nanomaterials, including 1D and 2D carbon allotropes such as graphene and carbon nanotubes;</w:t>
      </w:r>
    </w:p>
    <w:p>
      <w:pPr>
        <w:spacing w:after="0" w:line="160" w:lineRule="exact"/>
        <w:rPr>
          <w:rFonts w:ascii="Calibri" w:cs="Calibri" w:eastAsia="Calibri" w:hAnsi="Calibri"/>
          <w:sz w:val="20"/>
          <w:szCs w:val="20"/>
          <w:color w:val="auto"/>
        </w:rPr>
      </w:pPr>
    </w:p>
    <w:p>
      <w:pPr>
        <w:ind w:left="660" w:hanging="652"/>
        <w:spacing w:after="0"/>
        <w:tabs>
          <w:tab w:leader="none" w:pos="66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compound and wide- and ultra-wide bandgap Semiconductors;</w:t>
      </w:r>
    </w:p>
    <w:p>
      <w:pPr>
        <w:spacing w:after="0" w:line="174" w:lineRule="exact"/>
        <w:rPr>
          <w:rFonts w:ascii="Calibri" w:cs="Calibri" w:eastAsia="Calibri" w:hAnsi="Calibri"/>
          <w:sz w:val="20"/>
          <w:szCs w:val="20"/>
          <w:color w:val="auto"/>
        </w:rPr>
      </w:pPr>
    </w:p>
    <w:p>
      <w:pPr>
        <w:ind w:left="640" w:hanging="632"/>
        <w:spacing w:after="0"/>
        <w:tabs>
          <w:tab w:leader="none" w:pos="64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radiaton-hardened by process (“</w:t>
      </w:r>
      <w:r>
        <w:rPr>
          <w:rFonts w:ascii="Calibri" w:cs="Calibri" w:eastAsia="Calibri" w:hAnsi="Calibri"/>
          <w:sz w:val="20"/>
          <w:szCs w:val="20"/>
          <w:b w:val="1"/>
          <w:bCs w:val="1"/>
          <w:color w:val="auto"/>
        </w:rPr>
        <w:t>RHBP</w:t>
      </w:r>
      <w:r>
        <w:rPr>
          <w:rFonts w:ascii="Calibri" w:cs="Calibri" w:eastAsia="Calibri" w:hAnsi="Calibri"/>
          <w:sz w:val="20"/>
          <w:szCs w:val="20"/>
          <w:color w:val="auto"/>
        </w:rPr>
        <w:t>”) Semiconductors;</w:t>
      </w:r>
    </w:p>
    <w:p>
      <w:pPr>
        <w:spacing w:after="0" w:line="184" w:lineRule="exact"/>
        <w:rPr>
          <w:rFonts w:ascii="Calibri" w:cs="Calibri" w:eastAsia="Calibri" w:hAnsi="Calibri"/>
          <w:sz w:val="20"/>
          <w:szCs w:val="20"/>
          <w:color w:val="auto"/>
        </w:rPr>
      </w:pPr>
    </w:p>
    <w:p>
      <w:pPr>
        <w:ind w:left="660" w:hanging="652"/>
        <w:spacing w:after="0" w:line="208" w:lineRule="auto"/>
        <w:tabs>
          <w:tab w:leader="none" w:pos="658"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fully depleted silicon on insulator (“</w:t>
      </w:r>
      <w:r>
        <w:rPr>
          <w:rFonts w:ascii="Calibri" w:cs="Calibri" w:eastAsia="Calibri" w:hAnsi="Calibri"/>
          <w:sz w:val="20"/>
          <w:szCs w:val="20"/>
          <w:b w:val="1"/>
          <w:bCs w:val="1"/>
          <w:color w:val="auto"/>
        </w:rPr>
        <w:t>FD-SOI</w:t>
      </w:r>
      <w:r>
        <w:rPr>
          <w:rFonts w:ascii="Calibri" w:cs="Calibri" w:eastAsia="Calibri" w:hAnsi="Calibri"/>
          <w:sz w:val="20"/>
          <w:szCs w:val="20"/>
          <w:color w:val="auto"/>
        </w:rPr>
        <w:t>”) Semiconductors, other than with regard to Semiconductor packaging operatons with respect to such Semiconductors of a 28-nanometerer generaton or older;</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silicon photonic Semiconductors;</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Semiconductors designed for quantum informaton systems;</w:t>
      </w:r>
    </w:p>
    <w:p>
      <w:pPr>
        <w:spacing w:after="0" w:line="160" w:lineRule="exact"/>
        <w:rPr>
          <w:rFonts w:ascii="Calibri" w:cs="Calibri" w:eastAsia="Calibri" w:hAnsi="Calibri"/>
          <w:sz w:val="20"/>
          <w:szCs w:val="20"/>
          <w:color w:val="auto"/>
        </w:rPr>
      </w:pPr>
    </w:p>
    <w:p>
      <w:pPr>
        <w:ind w:left="640" w:hanging="632"/>
        <w:spacing w:after="0"/>
        <w:tabs>
          <w:tab w:leader="none" w:pos="640"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Semiconductors designed for operaton in cryogenic environments (at or below 77° Kelvin); and</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62" w:val="left"/>
        </w:tabs>
        <w:numPr>
          <w:ilvl w:val="0"/>
          <w:numId w:val="468"/>
        </w:numPr>
        <w:rPr>
          <w:rFonts w:ascii="Calibri" w:cs="Calibri" w:eastAsia="Calibri" w:hAnsi="Calibri"/>
          <w:sz w:val="20"/>
          <w:szCs w:val="20"/>
          <w:color w:val="auto"/>
        </w:rPr>
      </w:pPr>
      <w:r>
        <w:rPr>
          <w:rFonts w:ascii="Calibri" w:cs="Calibri" w:eastAsia="Calibri" w:hAnsi="Calibri"/>
          <w:sz w:val="20"/>
          <w:szCs w:val="20"/>
          <w:color w:val="auto"/>
        </w:rPr>
        <w:t>any other Semiconductors that the Secretary, in consultaton with the Secretary of Defense and the Director of Natonal Intelligence, determines is a Semiconductor Critcal to Natonal Security and issues a public notce of that determinaton.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384" w:right="339" w:bottom="1440" w:gutter="0" w:footer="0" w:header="0"/>
        </w:sectPr>
      </w:pPr>
    </w:p>
    <w:bookmarkStart w:id="424" w:name="page425"/>
    <w:bookmarkEnd w:id="424"/>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Renovatons</w:t>
      </w:r>
      <w:r>
        <w:rPr>
          <w:rFonts w:ascii="Calibri" w:cs="Calibri" w:eastAsia="Calibri" w:hAnsi="Calibri"/>
          <w:sz w:val="20"/>
          <w:szCs w:val="20"/>
          <w:color w:val="auto"/>
        </w:rPr>
        <w:t>” means building new cleanroom space or adding a producton line or other physical space to an Existng Facility that, in the aggregate during the applicable term of the required agreement, increases semiconductor manufacturing capacity by ten percent (10%) or more of the capacity memorialized in the Agreement.</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Transacton</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469"/>
        </w:numPr>
        <w:rPr>
          <w:rFonts w:ascii="Calibri" w:cs="Calibri" w:eastAsia="Calibri" w:hAnsi="Calibri"/>
          <w:sz w:val="20"/>
          <w:szCs w:val="20"/>
          <w:color w:val="auto"/>
        </w:rPr>
      </w:pPr>
      <w:r>
        <w:rPr>
          <w:rFonts w:ascii="Calibri" w:cs="Calibri" w:eastAsia="Calibri" w:hAnsi="Calibri"/>
          <w:sz w:val="20"/>
          <w:szCs w:val="20"/>
          <w:color w:val="auto"/>
        </w:rPr>
        <w:t>an investment, whether proposed, pending or completed, including any capital expenditure, loan, or gif;</w:t>
      </w:r>
    </w:p>
    <w:p>
      <w:pPr>
        <w:spacing w:after="0" w:line="160" w:lineRule="exact"/>
        <w:rPr>
          <w:rFonts w:ascii="Calibri" w:cs="Calibri" w:eastAsia="Calibri" w:hAnsi="Calibri"/>
          <w:sz w:val="20"/>
          <w:szCs w:val="20"/>
          <w:color w:val="auto"/>
        </w:rPr>
      </w:pPr>
    </w:p>
    <w:p>
      <w:pPr>
        <w:ind w:left="640" w:hanging="632"/>
        <w:spacing w:after="0"/>
        <w:tabs>
          <w:tab w:leader="none" w:pos="640" w:val="left"/>
        </w:tabs>
        <w:numPr>
          <w:ilvl w:val="0"/>
          <w:numId w:val="469"/>
        </w:numPr>
        <w:rPr>
          <w:rFonts w:ascii="Calibri" w:cs="Calibri" w:eastAsia="Calibri" w:hAnsi="Calibri"/>
          <w:sz w:val="20"/>
          <w:szCs w:val="20"/>
          <w:color w:val="auto"/>
        </w:rPr>
      </w:pPr>
      <w:r>
        <w:rPr>
          <w:rFonts w:ascii="Calibri" w:cs="Calibri" w:eastAsia="Calibri" w:hAnsi="Calibri"/>
          <w:sz w:val="20"/>
          <w:szCs w:val="20"/>
          <w:color w:val="auto"/>
        </w:rPr>
        <w:t>the formaton of a subsidiary;</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69"/>
        </w:numPr>
        <w:rPr>
          <w:rFonts w:ascii="Calibri" w:cs="Calibri" w:eastAsia="Calibri" w:hAnsi="Calibri"/>
          <w:sz w:val="20"/>
          <w:szCs w:val="20"/>
          <w:color w:val="auto"/>
        </w:rPr>
      </w:pPr>
      <w:r>
        <w:rPr>
          <w:rFonts w:ascii="Calibri" w:cs="Calibri" w:eastAsia="Calibri" w:hAnsi="Calibri"/>
          <w:sz w:val="20"/>
          <w:szCs w:val="20"/>
          <w:color w:val="auto"/>
        </w:rPr>
        <w:t>a merger, acquisiton, or takeover, including:</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9"/>
        </w:numPr>
        <w:rPr>
          <w:rFonts w:ascii="Calibri" w:cs="Calibri" w:eastAsia="Calibri" w:hAnsi="Calibri"/>
          <w:sz w:val="20"/>
          <w:szCs w:val="20"/>
          <w:color w:val="auto"/>
        </w:rPr>
      </w:pPr>
      <w:r>
        <w:rPr>
          <w:rFonts w:ascii="Calibri" w:cs="Calibri" w:eastAsia="Calibri" w:hAnsi="Calibri"/>
          <w:sz w:val="20"/>
          <w:szCs w:val="20"/>
          <w:color w:val="auto"/>
        </w:rPr>
        <w:t>the acquisiton of a new or additonal ownership interest in an entty;</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469"/>
        </w:numPr>
        <w:rPr>
          <w:rFonts w:ascii="Calibri" w:cs="Calibri" w:eastAsia="Calibri" w:hAnsi="Calibri"/>
          <w:sz w:val="20"/>
          <w:szCs w:val="20"/>
          <w:color w:val="auto"/>
        </w:rPr>
      </w:pPr>
      <w:r>
        <w:rPr>
          <w:rFonts w:ascii="Calibri" w:cs="Calibri" w:eastAsia="Calibri" w:hAnsi="Calibri"/>
          <w:sz w:val="20"/>
          <w:szCs w:val="20"/>
          <w:color w:val="auto"/>
        </w:rPr>
        <w:t>the acquisiton of a material porton of the assets of an entty;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69"/>
        </w:numPr>
        <w:rPr>
          <w:rFonts w:ascii="Calibri" w:cs="Calibri" w:eastAsia="Calibri" w:hAnsi="Calibri"/>
          <w:sz w:val="20"/>
          <w:szCs w:val="20"/>
          <w:color w:val="auto"/>
        </w:rPr>
      </w:pPr>
      <w:r>
        <w:rPr>
          <w:rFonts w:ascii="Calibri" w:cs="Calibri" w:eastAsia="Calibri" w:hAnsi="Calibri"/>
          <w:sz w:val="20"/>
          <w:szCs w:val="20"/>
          <w:color w:val="auto"/>
        </w:rPr>
        <w:t>a consolidaton; or</w:t>
      </w:r>
    </w:p>
    <w:p>
      <w:pPr>
        <w:spacing w:after="0" w:line="184" w:lineRule="exact"/>
        <w:rPr>
          <w:rFonts w:ascii="Calibri" w:cs="Calibri" w:eastAsia="Calibri" w:hAnsi="Calibri"/>
          <w:sz w:val="20"/>
          <w:szCs w:val="20"/>
          <w:color w:val="auto"/>
        </w:rPr>
      </w:pPr>
    </w:p>
    <w:p>
      <w:pPr>
        <w:ind w:left="660" w:hanging="652"/>
        <w:spacing w:after="0" w:line="208" w:lineRule="auto"/>
        <w:tabs>
          <w:tab w:leader="none" w:pos="660" w:val="left"/>
        </w:tabs>
        <w:numPr>
          <w:ilvl w:val="0"/>
          <w:numId w:val="469"/>
        </w:numPr>
        <w:rPr>
          <w:rFonts w:ascii="Calibri" w:cs="Calibri" w:eastAsia="Calibri" w:hAnsi="Calibri"/>
          <w:sz w:val="20"/>
          <w:szCs w:val="20"/>
          <w:color w:val="auto"/>
        </w:rPr>
      </w:pPr>
      <w:r>
        <w:rPr>
          <w:rFonts w:ascii="Calibri" w:cs="Calibri" w:eastAsia="Calibri" w:hAnsi="Calibri"/>
          <w:sz w:val="20"/>
          <w:szCs w:val="20"/>
          <w:color w:val="auto"/>
        </w:rPr>
        <w:t>the formaton of a joint venture; including a long-term lease or concession arrangement under which a lessee (or equivalent) makes substantally all business decisions concerning the operaton of a leased entty (or equivalent), as if it were the owner;</w:t>
      </w:r>
    </w:p>
    <w:p>
      <w:pPr>
        <w:spacing w:after="0" w:line="184" w:lineRule="exact"/>
        <w:rPr>
          <w:rFonts w:ascii="Calibri" w:cs="Calibri" w:eastAsia="Calibri" w:hAnsi="Calibri"/>
          <w:sz w:val="20"/>
          <w:szCs w:val="20"/>
          <w:color w:val="auto"/>
        </w:rPr>
      </w:pPr>
    </w:p>
    <w:p>
      <w:pPr>
        <w:jc w:val="both"/>
        <w:ind w:left="660" w:right="20" w:hanging="652"/>
        <w:spacing w:after="0" w:line="205" w:lineRule="auto"/>
        <w:tabs>
          <w:tab w:leader="none" w:pos="660" w:val="left"/>
        </w:tabs>
        <w:numPr>
          <w:ilvl w:val="0"/>
          <w:numId w:val="469"/>
        </w:numPr>
        <w:rPr>
          <w:rFonts w:ascii="Calibri" w:cs="Calibri" w:eastAsia="Calibri" w:hAnsi="Calibri"/>
          <w:sz w:val="20"/>
          <w:szCs w:val="20"/>
          <w:color w:val="auto"/>
        </w:rPr>
      </w:pPr>
      <w:r>
        <w:rPr>
          <w:rFonts w:ascii="Calibri" w:cs="Calibri" w:eastAsia="Calibri" w:hAnsi="Calibri"/>
          <w:sz w:val="20"/>
          <w:szCs w:val="20"/>
          <w:color w:val="auto"/>
        </w:rPr>
        <w:t>provided, however, that for any facility listed in Part 1 of Appendix 1 that has been designated pursuant to 15 C.F.R. § 231.101(b) as an “Existng Facility”, “signifcant transacton” shall mean only those actvites or investments set forth in paragraphs (a)-(d) above that occur afer such facility has been built, equipped, and is operatng.</w:t>
      </w:r>
    </w:p>
    <w:p>
      <w:pPr>
        <w:spacing w:after="0" w:line="184" w:lineRule="exact"/>
        <w:rPr>
          <w:sz w:val="20"/>
          <w:szCs w:val="20"/>
          <w:color w:val="auto"/>
        </w:rPr>
      </w:pPr>
    </w:p>
    <w:p>
      <w:pPr>
        <w:ind w:right="20"/>
        <w:spacing w:after="0" w:line="214" w:lineRule="auto"/>
        <w:rPr>
          <w:sz w:val="20"/>
          <w:szCs w:val="20"/>
          <w:color w:val="auto"/>
        </w:rPr>
      </w:pPr>
      <w:r>
        <w:rPr>
          <w:rFonts w:ascii="Calibri" w:cs="Calibri" w:eastAsia="Calibri" w:hAnsi="Calibri"/>
          <w:sz w:val="20"/>
          <w:szCs w:val="20"/>
          <w:b w:val="1"/>
          <w:bCs w:val="1"/>
          <w:color w:val="auto"/>
        </w:rPr>
        <w:t xml:space="preserve">"Specifed Technology or Product” </w:t>
      </w:r>
      <w:r>
        <w:rPr>
          <w:rFonts w:ascii="Calibri" w:cs="Calibri" w:eastAsia="Calibri" w:hAnsi="Calibri"/>
          <w:sz w:val="20"/>
          <w:szCs w:val="20"/>
          <w:color w:val="auto"/>
        </w:rPr>
        <w:t>means any Technology or Product that Raises Natonal Security Concerns that is designed,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manufactured or assembled at the Project.</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Licensing</w:t>
      </w:r>
      <w:r>
        <w:rPr>
          <w:rFonts w:ascii="Calibri" w:cs="Calibri" w:eastAsia="Calibri" w:hAnsi="Calibri"/>
          <w:sz w:val="20"/>
          <w:szCs w:val="20"/>
          <w:color w:val="auto"/>
        </w:rPr>
        <w:t>” means:</w:t>
      </w:r>
    </w:p>
    <w:p>
      <w:pPr>
        <w:spacing w:after="0" w:line="184" w:lineRule="exact"/>
        <w:rPr>
          <w:sz w:val="20"/>
          <w:szCs w:val="20"/>
          <w:color w:val="auto"/>
        </w:rPr>
      </w:pPr>
    </w:p>
    <w:p>
      <w:pPr>
        <w:ind w:left="660" w:right="20" w:hanging="652"/>
        <w:spacing w:after="0" w:line="208" w:lineRule="auto"/>
        <w:tabs>
          <w:tab w:leader="none" w:pos="660" w:val="left"/>
        </w:tabs>
        <w:numPr>
          <w:ilvl w:val="0"/>
          <w:numId w:val="470"/>
        </w:numPr>
        <w:rPr>
          <w:rFonts w:ascii="Calibri" w:cs="Calibri" w:eastAsia="Calibri" w:hAnsi="Calibri"/>
          <w:sz w:val="20"/>
          <w:szCs w:val="20"/>
          <w:color w:val="auto"/>
        </w:rPr>
      </w:pPr>
      <w:r>
        <w:rPr>
          <w:rFonts w:ascii="Calibri" w:cs="Calibri" w:eastAsia="Calibri" w:hAnsi="Calibri"/>
          <w:sz w:val="20"/>
          <w:szCs w:val="20"/>
          <w:color w:val="auto"/>
        </w:rPr>
        <w:t>An express or implied contractual agreement in which the rights owned by, licensed to or otherwise lawfully available to one party in any, trade secrets or knowhow are sold, licensed or otherwise made available to another party.</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470"/>
        </w:numPr>
        <w:rPr>
          <w:rFonts w:ascii="Calibri" w:cs="Calibri" w:eastAsia="Calibri" w:hAnsi="Calibri"/>
          <w:sz w:val="20"/>
          <w:szCs w:val="20"/>
          <w:color w:val="auto"/>
        </w:rPr>
      </w:pPr>
      <w:r>
        <w:rPr>
          <w:rFonts w:ascii="Calibri" w:cs="Calibri" w:eastAsia="Calibri" w:hAnsi="Calibri"/>
          <w:sz w:val="20"/>
          <w:szCs w:val="20"/>
          <w:color w:val="auto"/>
        </w:rPr>
        <w:t>Notwithstanding paragraph (a), the following is not Technology Licensing:</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licensing of patents, including licenses related to standard essental patents or cross licensing actvites;</w:t>
      </w:r>
    </w:p>
    <w:p>
      <w:pPr>
        <w:spacing w:after="0" w:line="170" w:lineRule="exact"/>
        <w:rPr>
          <w:rFonts w:ascii="Calibri" w:cs="Calibri" w:eastAsia="Calibri" w:hAnsi="Calibri"/>
          <w:sz w:val="20"/>
          <w:szCs w:val="20"/>
          <w:color w:val="auto"/>
        </w:rPr>
      </w:pPr>
    </w:p>
    <w:p>
      <w:pPr>
        <w:ind w:left="1300" w:right="20" w:hanging="644"/>
        <w:spacing w:after="0" w:line="214" w:lineRule="auto"/>
        <w:tabs>
          <w:tab w:leader="none" w:pos="1300"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licensing or transfer agreements conducted exclusively between a Recipient and Related Enttes, or between or among Related Enttes of the Recipient;</w:t>
      </w:r>
    </w:p>
    <w:p>
      <w:pPr>
        <w:spacing w:after="0" w:line="175" w:lineRule="exact"/>
        <w:rPr>
          <w:rFonts w:ascii="Calibri" w:cs="Calibri" w:eastAsia="Calibri" w:hAnsi="Calibri"/>
          <w:sz w:val="20"/>
          <w:szCs w:val="20"/>
          <w:color w:val="auto"/>
        </w:rPr>
      </w:pPr>
    </w:p>
    <w:p>
      <w:pPr>
        <w:ind w:left="1300" w:hanging="644"/>
        <w:spacing w:after="0"/>
        <w:tabs>
          <w:tab w:leader="none" w:pos="1300"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a standards-related actvity (as such term is defned in 15 CFR Part 772);</w:t>
      </w:r>
    </w:p>
    <w:p>
      <w:pPr>
        <w:spacing w:after="0" w:line="170" w:lineRule="exact"/>
        <w:rPr>
          <w:rFonts w:ascii="Calibri" w:cs="Calibri" w:eastAsia="Calibri" w:hAnsi="Calibri"/>
          <w:sz w:val="20"/>
          <w:szCs w:val="20"/>
          <w:color w:val="auto"/>
        </w:rPr>
      </w:pPr>
    </w:p>
    <w:p>
      <w:pPr>
        <w:ind w:left="1300" w:hanging="644"/>
        <w:spacing w:after="0"/>
        <w:tabs>
          <w:tab w:leader="none" w:pos="1304"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agreements that grant patent rights only with respect to “published informaton” and no proprietary informaton is shared;</w:t>
      </w:r>
    </w:p>
    <w:p>
      <w:pPr>
        <w:spacing w:after="0" w:line="376" w:lineRule="exact"/>
        <w:rPr>
          <w:rFonts w:ascii="Calibri" w:cs="Calibri" w:eastAsia="Calibri" w:hAnsi="Calibri"/>
          <w:sz w:val="20"/>
          <w:szCs w:val="20"/>
          <w:color w:val="auto"/>
        </w:rPr>
      </w:pPr>
    </w:p>
    <w:p>
      <w:pPr>
        <w:ind w:left="1300" w:right="20" w:hanging="644"/>
        <w:spacing w:after="0" w:line="208" w:lineRule="auto"/>
        <w:tabs>
          <w:tab w:leader="none" w:pos="1298"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an implied or general intellectual property license relatng to the use of a product that is sold by a Recipient or Related Enttes;</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304" w:val="left"/>
        </w:tabs>
        <w:numPr>
          <w:ilvl w:val="1"/>
          <w:numId w:val="470"/>
        </w:numPr>
        <w:rPr>
          <w:rFonts w:ascii="Calibri" w:cs="Calibri" w:eastAsia="Calibri" w:hAnsi="Calibri"/>
          <w:sz w:val="20"/>
          <w:szCs w:val="20"/>
          <w:color w:val="auto"/>
        </w:rPr>
      </w:pPr>
      <w:r>
        <w:rPr>
          <w:rFonts w:ascii="Calibri" w:cs="Calibri" w:eastAsia="Calibri" w:hAnsi="Calibri"/>
          <w:sz w:val="20"/>
          <w:szCs w:val="20"/>
          <w:color w:val="auto"/>
        </w:rPr>
        <w:t>Technology Licensing related to a manufacturing process for an existng product solely to enable use of assembly, test, or packaging services for integrated circuits;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384" w:right="339" w:bottom="1440" w:gutter="0" w:footer="0" w:header="0"/>
        </w:sectPr>
      </w:pPr>
    </w:p>
    <w:bookmarkStart w:id="425" w:name="page426"/>
    <w:bookmarkEnd w:id="425"/>
    <w:p>
      <w:pPr>
        <w:ind w:left="1300" w:right="20" w:hanging="644"/>
        <w:spacing w:after="0" w:line="214" w:lineRule="auto"/>
        <w:tabs>
          <w:tab w:leader="none" w:pos="1297" w:val="left"/>
        </w:tabs>
        <w:numPr>
          <w:ilvl w:val="0"/>
          <w:numId w:val="471"/>
        </w:numPr>
        <w:rPr>
          <w:rFonts w:ascii="Calibri" w:cs="Calibri" w:eastAsia="Calibri" w:hAnsi="Calibri"/>
          <w:sz w:val="20"/>
          <w:szCs w:val="20"/>
          <w:color w:val="auto"/>
        </w:rPr>
      </w:pPr>
      <w:r>
        <w:rPr>
          <w:rFonts w:ascii="Calibri" w:cs="Calibri" w:eastAsia="Calibri" w:hAnsi="Calibri"/>
          <w:sz w:val="20"/>
          <w:szCs w:val="20"/>
          <w:color w:val="auto"/>
        </w:rPr>
        <w:t>Technology Licensing involving two or more enttes to establish or apply a drawing, design, or related specifcaton for a product to be purchased and sold between or among such enttes;</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471"/>
        </w:numPr>
        <w:rPr>
          <w:rFonts w:ascii="Calibri" w:cs="Calibri" w:eastAsia="Calibri" w:hAnsi="Calibri"/>
          <w:sz w:val="20"/>
          <w:szCs w:val="20"/>
          <w:color w:val="auto"/>
        </w:rPr>
      </w:pPr>
      <w:r>
        <w:rPr>
          <w:rFonts w:ascii="Calibri" w:cs="Calibri" w:eastAsia="Calibri" w:hAnsi="Calibri"/>
          <w:sz w:val="20"/>
          <w:szCs w:val="20"/>
          <w:color w:val="auto"/>
        </w:rPr>
        <w:t>warranty, service, and customer support performed by a Recipient or an entty that is a Related Entty of a Recipient; and</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300" w:val="left"/>
        </w:tabs>
        <w:numPr>
          <w:ilvl w:val="0"/>
          <w:numId w:val="471"/>
        </w:numPr>
        <w:rPr>
          <w:rFonts w:ascii="Calibri" w:cs="Calibri" w:eastAsia="Calibri" w:hAnsi="Calibri"/>
          <w:sz w:val="20"/>
          <w:szCs w:val="20"/>
          <w:color w:val="auto"/>
        </w:rPr>
      </w:pPr>
      <w:r>
        <w:rPr>
          <w:rFonts w:ascii="Calibri" w:cs="Calibri" w:eastAsia="Calibri" w:hAnsi="Calibri"/>
          <w:sz w:val="20"/>
          <w:szCs w:val="20"/>
          <w:color w:val="auto"/>
        </w:rPr>
        <w:t>disclosures of technical informaton to a customer solely for the design of integrated circuits to be manufactured by the funding recipient for that customer.</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or Product that Raises Natonal Security Concerns</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472"/>
        </w:numPr>
        <w:rPr>
          <w:rFonts w:ascii="Calibri" w:cs="Calibri" w:eastAsia="Calibri" w:hAnsi="Calibri"/>
          <w:sz w:val="20"/>
          <w:szCs w:val="20"/>
          <w:color w:val="auto"/>
        </w:rPr>
      </w:pPr>
      <w:r>
        <w:rPr>
          <w:rFonts w:ascii="Calibri" w:cs="Calibri" w:eastAsia="Calibri" w:hAnsi="Calibri"/>
          <w:sz w:val="20"/>
          <w:szCs w:val="20"/>
          <w:color w:val="auto"/>
        </w:rPr>
        <w:t>any Semiconductor Critcal to Natonal Security;</w:t>
      </w:r>
    </w:p>
    <w:p>
      <w:pPr>
        <w:spacing w:after="0" w:line="184" w:lineRule="exact"/>
        <w:rPr>
          <w:rFonts w:ascii="Calibri" w:cs="Calibri" w:eastAsia="Calibri" w:hAnsi="Calibri"/>
          <w:sz w:val="20"/>
          <w:szCs w:val="20"/>
          <w:color w:val="auto"/>
        </w:rPr>
      </w:pPr>
    </w:p>
    <w:p>
      <w:pPr>
        <w:jc w:val="both"/>
        <w:ind w:left="660" w:hanging="652"/>
        <w:spacing w:after="0" w:line="205" w:lineRule="auto"/>
        <w:tabs>
          <w:tab w:leader="none" w:pos="660" w:val="left"/>
        </w:tabs>
        <w:numPr>
          <w:ilvl w:val="0"/>
          <w:numId w:val="472"/>
        </w:numPr>
        <w:rPr>
          <w:rFonts w:ascii="Calibri" w:cs="Calibri" w:eastAsia="Calibri" w:hAnsi="Calibri"/>
          <w:sz w:val="20"/>
          <w:szCs w:val="20"/>
          <w:color w:val="auto"/>
        </w:rPr>
      </w:pPr>
      <w:r>
        <w:rPr>
          <w:rFonts w:ascii="Calibri" w:cs="Calibri" w:eastAsia="Calibri" w:hAnsi="Calibri"/>
          <w:sz w:val="20"/>
          <w:szCs w:val="20"/>
          <w:color w:val="auto"/>
        </w:rPr>
        <w:t>any item listed in Category 3 of the Commerce Control List (supplement no. 1 to Part 774 of the Export Administraton Regulatons, 15 CFR § 774) that is controlled for Natonal Security (“</w:t>
      </w:r>
      <w:r>
        <w:rPr>
          <w:rFonts w:ascii="Calibri" w:cs="Calibri" w:eastAsia="Calibri" w:hAnsi="Calibri"/>
          <w:sz w:val="20"/>
          <w:szCs w:val="20"/>
          <w:b w:val="1"/>
          <w:bCs w:val="1"/>
          <w:color w:val="auto"/>
        </w:rPr>
        <w:t>NS</w:t>
      </w:r>
      <w:r>
        <w:rPr>
          <w:rFonts w:ascii="Calibri" w:cs="Calibri" w:eastAsia="Calibri" w:hAnsi="Calibri"/>
          <w:sz w:val="20"/>
          <w:szCs w:val="20"/>
          <w:color w:val="auto"/>
        </w:rPr>
        <w:t>”) reasons, as described in 15 CFR § 742.4, or Regional Stability (“</w:t>
      </w:r>
      <w:r>
        <w:rPr>
          <w:rFonts w:ascii="Calibri" w:cs="Calibri" w:eastAsia="Calibri" w:hAnsi="Calibri"/>
          <w:sz w:val="20"/>
          <w:szCs w:val="20"/>
          <w:b w:val="1"/>
          <w:bCs w:val="1"/>
          <w:color w:val="auto"/>
        </w:rPr>
        <w:t>RS</w:t>
      </w:r>
      <w:r>
        <w:rPr>
          <w:rFonts w:ascii="Calibri" w:cs="Calibri" w:eastAsia="Calibri" w:hAnsi="Calibri"/>
          <w:sz w:val="20"/>
          <w:szCs w:val="20"/>
          <w:color w:val="auto"/>
        </w:rPr>
        <w:t>”) reasons, as described in 15 CFR § 742.6; and</w:t>
      </w:r>
    </w:p>
    <w:p>
      <w:pPr>
        <w:spacing w:after="0" w:line="184" w:lineRule="exact"/>
        <w:rPr>
          <w:rFonts w:ascii="Calibri" w:cs="Calibri" w:eastAsia="Calibri" w:hAnsi="Calibri"/>
          <w:sz w:val="20"/>
          <w:szCs w:val="20"/>
          <w:color w:val="auto"/>
        </w:rPr>
      </w:pPr>
    </w:p>
    <w:p>
      <w:pPr>
        <w:ind w:left="660" w:hanging="652"/>
        <w:spacing w:after="0" w:line="208" w:lineRule="auto"/>
        <w:tabs>
          <w:tab w:leader="none" w:pos="652" w:val="left"/>
        </w:tabs>
        <w:numPr>
          <w:ilvl w:val="0"/>
          <w:numId w:val="472"/>
        </w:numPr>
        <w:rPr>
          <w:rFonts w:ascii="Calibri" w:cs="Calibri" w:eastAsia="Calibri" w:hAnsi="Calibri"/>
          <w:sz w:val="20"/>
          <w:szCs w:val="20"/>
          <w:color w:val="auto"/>
        </w:rPr>
      </w:pPr>
      <w:r>
        <w:rPr>
          <w:rFonts w:ascii="Calibri" w:cs="Calibri" w:eastAsia="Calibri" w:hAnsi="Calibri"/>
          <w:sz w:val="20"/>
          <w:szCs w:val="20"/>
          <w:color w:val="auto"/>
        </w:rPr>
        <w:t>any other technology or product that the Secretary determines raises natonal security concerns and provides notce of the same in the Federal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40"/>
          </w:cols>
          <w:pgMar w:left="320" w:top="1384" w:right="339" w:bottom="1440" w:gutter="0" w:footer="0" w:header="0"/>
        </w:sectPr>
      </w:pPr>
    </w:p>
    <w:bookmarkStart w:id="426" w:name="page427"/>
    <w:bookmarkEnd w:id="426"/>
    <w:p>
      <w:pPr>
        <w:jc w:val="center"/>
        <w:spacing w:after="0"/>
        <w:rPr>
          <w:sz w:val="20"/>
          <w:szCs w:val="20"/>
          <w:color w:val="auto"/>
        </w:rPr>
      </w:pPr>
      <w:r>
        <w:rPr>
          <w:rFonts w:ascii="Calibri" w:cs="Calibri" w:eastAsia="Calibri" w:hAnsi="Calibri"/>
          <w:sz w:val="20"/>
          <w:szCs w:val="20"/>
          <w:b w:val="1"/>
          <w:bCs w:val="1"/>
          <w:color w:val="auto"/>
        </w:rPr>
        <w:t>Appendix 1</w:t>
      </w:r>
    </w:p>
    <w:p>
      <w:pPr>
        <w:spacing w:after="0" w:line="103"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The Recipient hereby represents and warrants that the informaton provided to the Department in connecton with this Appendix 1 is true, accurate and complete as of the date hereof.</w:t>
      </w:r>
    </w:p>
    <w:p>
      <w:pPr>
        <w:spacing w:after="0" w:line="188"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20"/>
          <w:szCs w:val="20"/>
          <w:b w:val="1"/>
          <w:bCs w:val="1"/>
          <w:color w:val="auto"/>
        </w:rPr>
        <w:t>Part 1</w:t>
        <w:tab/>
        <w:t>- Existng Facilites.</w:t>
      </w:r>
    </w:p>
    <w:p>
      <w:pPr>
        <w:spacing w:after="0" w:line="211"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 xml:space="preserve">The Department has identfed the following Existng Facilites based on informaton disclosed by the Recipient and relied upon by the Department: </w:t>
      </w:r>
      <w:r>
        <w:rPr>
          <w:rFonts w:ascii="Calibri" w:cs="Calibri" w:eastAsia="Calibri" w:hAnsi="Calibri"/>
          <w:sz w:val="20"/>
          <w:szCs w:val="20"/>
          <w:b w:val="1"/>
          <w:bCs w:val="1"/>
          <w:color w:val="auto"/>
        </w:rPr>
        <w:t>[***].</w:t>
      </w:r>
    </w:p>
    <w:p>
      <w:pPr>
        <w:spacing w:after="0" w:line="188"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20"/>
          <w:szCs w:val="20"/>
          <w:b w:val="1"/>
          <w:bCs w:val="1"/>
          <w:color w:val="auto"/>
        </w:rPr>
        <w:t>Part 2</w:t>
        <w:tab/>
        <w:t>- Joint Research or Technology Licensing of Recipient.</w:t>
      </w:r>
    </w:p>
    <w:p>
      <w:pPr>
        <w:spacing w:after="0" w:line="198"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Department has identfed the following Joint Research or Technology Licensing of the Recipient based on informaton disclosed by the Recipient and relied upon by the Department as of the date hereof:</w:t>
      </w:r>
    </w:p>
    <w:p>
      <w:pPr>
        <w:spacing w:after="0" w:line="189"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20"/>
          <w:szCs w:val="20"/>
          <w:b w:val="1"/>
          <w:bCs w:val="1"/>
          <w:color w:val="auto"/>
        </w:rPr>
        <w:t>Part 3</w:t>
        <w:tab/>
        <w:t>[***] - Joint Research or Technology Licensing of Related Enttes.</w:t>
      </w:r>
    </w:p>
    <w:p>
      <w:pPr>
        <w:spacing w:after="0" w:line="19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Department has identfed the following Joint Research or Technology Licensing of the Related Enttes based on informaton disclosed by the Recipient and relied upon by the Department as of the date hereof:</w:t>
      </w:r>
    </w:p>
    <w:p>
      <w:pPr>
        <w:spacing w:after="0" w:line="176"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20"/>
          <w:szCs w:val="20"/>
          <w:b w:val="1"/>
          <w:bCs w:val="1"/>
          <w:color w:val="auto"/>
        </w:rPr>
        <w:t>Part 4</w:t>
        <w:tab/>
        <w:t>[***] - Members of the Afliated Group.</w:t>
      </w:r>
    </w:p>
    <w:p>
      <w:pPr>
        <w:spacing w:after="0" w:line="211"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 xml:space="preserve">The Department has identfed the following Members of the Afliated Group, based on informaton disclosed by the Recipient and relied upon by the Department as of the date hereof: </w:t>
      </w:r>
      <w:r>
        <w:rPr>
          <w:rFonts w:ascii="Calibri" w:cs="Calibri" w:eastAsia="Calibri" w:hAnsi="Calibri"/>
          <w:sz w:val="20"/>
          <w:szCs w:val="20"/>
          <w:b w:val="1"/>
          <w:bCs w:val="1"/>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b w:val="1"/>
          <w:bCs w:val="1"/>
          <w:color w:val="auto"/>
        </w:rPr>
        <w:t>Part 5</w:t>
        <w:tab/>
        <w:t>- Related Enttes Subject to Secton 3 of Annex C (Guardrail Provisions).</w:t>
      </w:r>
    </w:p>
    <w:p>
      <w:pPr>
        <w:spacing w:after="0" w:line="211"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The Department has determined that the following Related Enttes are subject to Secton 3 of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based on informaton disclosed by the Recipient and relied upon by the Department as of the date hereof:</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374" w:right="339" w:bottom="1440" w:gutter="0" w:footer="0" w:header="0"/>
        </w:sectPr>
      </w:pPr>
    </w:p>
    <w:bookmarkStart w:id="427" w:name="page428"/>
    <w:bookmarkEnd w:id="427"/>
    <w:p>
      <w:pPr>
        <w:ind w:left="4980"/>
        <w:spacing w:after="0"/>
        <w:rPr>
          <w:sz w:val="20"/>
          <w:szCs w:val="20"/>
          <w:color w:val="auto"/>
        </w:rPr>
      </w:pPr>
      <w:r>
        <w:rPr>
          <w:rFonts w:ascii="Calibri" w:cs="Calibri" w:eastAsia="Calibri" w:hAnsi="Calibri"/>
          <w:sz w:val="20"/>
          <w:szCs w:val="20"/>
          <w:b w:val="1"/>
          <w:bCs w:val="1"/>
          <w:color w:val="auto"/>
        </w:rPr>
        <w:t>Annex D</w:t>
      </w:r>
    </w:p>
    <w:p>
      <w:pPr>
        <w:ind w:left="4480"/>
        <w:spacing w:after="0" w:line="199" w:lineRule="auto"/>
        <w:rPr>
          <w:sz w:val="20"/>
          <w:szCs w:val="20"/>
          <w:color w:val="auto"/>
        </w:rPr>
      </w:pPr>
      <w:r>
        <w:rPr>
          <w:rFonts w:ascii="Calibri" w:cs="Calibri" w:eastAsia="Calibri" w:hAnsi="Calibri"/>
          <w:sz w:val="20"/>
          <w:szCs w:val="20"/>
          <w:b w:val="1"/>
          <w:bCs w:val="1"/>
          <w:color w:val="auto"/>
        </w:rPr>
        <w:t>PROGRAM REQUIREMENTS</w:t>
      </w:r>
    </w:p>
    <w:p>
      <w:pPr>
        <w:spacing w:after="0" w:line="198"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The Program Requirements shall apply through the applicable Period of Performance, unless otherwise specifed. The Program Requirements set forth in Secton 2 (</w:t>
      </w:r>
      <w:r>
        <w:rPr>
          <w:rFonts w:ascii="Calibri" w:cs="Calibri" w:eastAsia="Calibri" w:hAnsi="Calibri"/>
          <w:sz w:val="20"/>
          <w:szCs w:val="20"/>
          <w:b w:val="1"/>
          <w:bCs w:val="1"/>
          <w:color w:val="auto"/>
        </w:rPr>
        <w:t>Program Requirements Not Subject to Cure Period</w:t>
      </w:r>
      <w:r>
        <w:rPr>
          <w:rFonts w:ascii="Calibri" w:cs="Calibri" w:eastAsia="Calibri" w:hAnsi="Calibri"/>
          <w:sz w:val="20"/>
          <w:szCs w:val="20"/>
          <w:color w:val="auto"/>
        </w:rPr>
        <w:t>) shall not be subject to a cure period. The Program Requirements set forth in Secton 3 (</w:t>
      </w:r>
      <w:r>
        <w:rPr>
          <w:rFonts w:ascii="Calibri" w:cs="Calibri" w:eastAsia="Calibri" w:hAnsi="Calibri"/>
          <w:sz w:val="20"/>
          <w:szCs w:val="20"/>
          <w:b w:val="1"/>
          <w:bCs w:val="1"/>
          <w:color w:val="auto"/>
        </w:rPr>
        <w:t>Program Requirements Subject to Cure Period</w:t>
      </w:r>
      <w:r>
        <w:rPr>
          <w:rFonts w:ascii="Calibri" w:cs="Calibri" w:eastAsia="Calibri" w:hAnsi="Calibri"/>
          <w:sz w:val="20"/>
          <w:szCs w:val="20"/>
          <w:color w:val="auto"/>
        </w:rPr>
        <w:t>) shall be subject to a forty-fve (45) day cure period. Any waiver of a breach of any such Program Requirement shall be subject to the prior writen consent of the Department. The applicable Recipient may request such a waiver upon submission of a proposed correctve acton plan to the Department.</w:t>
      </w:r>
    </w:p>
    <w:p>
      <w:pPr>
        <w:spacing w:after="0" w:line="5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DEFINED TERMS</w:t>
      </w:r>
    </w:p>
    <w:p>
      <w:pPr>
        <w:spacing w:after="0" w:line="198"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DRAM Wafer Expansion Capital Expenditures</w:t>
      </w:r>
      <w:r>
        <w:rPr>
          <w:rFonts w:ascii="Calibri" w:cs="Calibri" w:eastAsia="Calibri" w:hAnsi="Calibri"/>
          <w:sz w:val="20"/>
          <w:szCs w:val="20"/>
          <w:color w:val="auto"/>
        </w:rPr>
        <w:t>” means the Sponsor Guarantor and its Consolidated Subsidiaries’ capital expenditures to build and equip new front-end cleanroom space that is built or acquired afer the Award Date (untl such cleanroom space is fully ramped) to increase DRAM Semiconductor Manufacturing Capacity in terms of wafer starts or stacked wafers per year; provided, that DRAM Wafer Expansion Capital Expenditures shall exclude capital expenditures related to capacity expansion due to technology node transitons.</w:t>
      </w:r>
    </w:p>
    <w:p>
      <w:pPr>
        <w:spacing w:after="0" w:line="94"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EBITDA</w:t>
      </w:r>
      <w:r>
        <w:rPr>
          <w:rFonts w:ascii="Calibri" w:cs="Calibri" w:eastAsia="Calibri" w:hAnsi="Calibri"/>
          <w:sz w:val="20"/>
          <w:szCs w:val="20"/>
          <w:color w:val="auto"/>
        </w:rPr>
        <w:t>” means, for any Measurement Period, (a) Consolidated EBITDA minus (b) any direct government incentves provided by the U.S. federal government under the CHIPS Incentves Program and similar U.S. government programs commenced afer the Award Date to the extent added to consolidated net income in Consolidated EBITDA.</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“Facility Stafng Targets</w:t>
      </w:r>
      <w:r>
        <w:rPr>
          <w:rFonts w:ascii="Calibri" w:cs="Calibri" w:eastAsia="Calibri" w:hAnsi="Calibri"/>
          <w:sz w:val="20"/>
          <w:szCs w:val="20"/>
          <w:color w:val="auto"/>
        </w:rPr>
        <w:t>” has the meaning set forth in Secton 2.2 (</w:t>
      </w:r>
      <w:r>
        <w:rPr>
          <w:rFonts w:ascii="Calibri" w:cs="Calibri" w:eastAsia="Calibri" w:hAnsi="Calibri"/>
          <w:sz w:val="20"/>
          <w:szCs w:val="20"/>
          <w:b w:val="1"/>
          <w:bCs w:val="1"/>
          <w:color w:val="auto"/>
        </w:rPr>
        <w:t>Workforce</w:t>
      </w:r>
      <w:r>
        <w:rPr>
          <w:rFonts w:ascii="Calibri" w:cs="Calibri" w:eastAsia="Calibri" w:hAnsi="Calibri"/>
          <w:sz w:val="20"/>
          <w:szCs w:val="20"/>
          <w:color w:val="auto"/>
        </w:rPr>
        <w:t>) of this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90"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b w:val="1"/>
          <w:bCs w:val="1"/>
          <w:color w:val="auto"/>
        </w:rPr>
        <w:t>“Facility Workforce</w:t>
      </w:r>
      <w:r>
        <w:rPr>
          <w:rFonts w:ascii="Calibri" w:cs="Calibri" w:eastAsia="Calibri" w:hAnsi="Calibri"/>
          <w:sz w:val="20"/>
          <w:szCs w:val="20"/>
          <w:color w:val="auto"/>
        </w:rPr>
        <w:t>” means all full-tme and part-tme staf employees that are directly employed by the applicable Recipient to perform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work at an Eligible Facility, including (a) producton workers and technicians who operate machines and other equipment to assemble goods or distribute energy (e.g., including operators and machinists), and (b) non-technicians who perform other roles at the Eligible Facility, including engineering, administratve, support (e.g., fnance, procurement) and managerial staf.</w:t>
      </w:r>
    </w:p>
    <w:p>
      <w:pPr>
        <w:spacing w:after="0" w:line="91"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Free Cash Flow</w:t>
      </w:r>
      <w:r>
        <w:rPr>
          <w:rFonts w:ascii="Calibri" w:cs="Calibri" w:eastAsia="Calibri" w:hAnsi="Calibri"/>
          <w:sz w:val="20"/>
          <w:szCs w:val="20"/>
          <w:color w:val="auto"/>
        </w:rPr>
        <w:t>” means, for any Measurement Period, the sum of (a) net cash provided by operatng actvites, minus (b) expenditures for property, plant and equipment and payments on equipment purchase contracts net of (i) without duplicaton of any amount otherwise deducted from expenditures in this clause (b) , proceeds from government incentves (except as provided below) and, net of</w:t>
      </w:r>
    </w:p>
    <w:p>
      <w:pPr>
        <w:spacing w:after="0" w:line="11" w:lineRule="exact"/>
        <w:rPr>
          <w:sz w:val="20"/>
          <w:szCs w:val="20"/>
          <w:color w:val="auto"/>
        </w:rPr>
      </w:pPr>
    </w:p>
    <w:p>
      <w:pPr>
        <w:ind w:right="280" w:firstLine="8"/>
        <w:spacing w:after="0" w:line="231" w:lineRule="auto"/>
        <w:tabs>
          <w:tab w:leader="none" w:pos="262" w:val="left"/>
        </w:tabs>
        <w:numPr>
          <w:ilvl w:val="0"/>
          <w:numId w:val="473"/>
        </w:numPr>
        <w:rPr>
          <w:rFonts w:ascii="Calibri" w:cs="Calibri" w:eastAsia="Calibri" w:hAnsi="Calibri"/>
          <w:sz w:val="20"/>
          <w:szCs w:val="20"/>
          <w:color w:val="auto"/>
        </w:rPr>
      </w:pPr>
      <w:r>
        <w:rPr>
          <w:rFonts w:ascii="Calibri" w:cs="Calibri" w:eastAsia="Calibri" w:hAnsi="Calibri"/>
          <w:sz w:val="20"/>
          <w:szCs w:val="20"/>
          <w:color w:val="auto"/>
        </w:rPr>
        <w:t xml:space="preserve">proceeds from sales of property, plant, and equipment;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that for the purpose of such calculaton each of the amounts set forth in clause (a) and (b) above shall exclude any direct government incentves provided by the U.S. federal government under the CHIPS Incentves Program and similar programs commenced afer the Award Date.</w:t>
      </w:r>
    </w:p>
    <w:p>
      <w:pPr>
        <w:spacing w:after="0" w:line="92"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Good Jobs Principles</w:t>
      </w:r>
      <w:r>
        <w:rPr>
          <w:rFonts w:ascii="Calibri" w:cs="Calibri" w:eastAsia="Calibri" w:hAnsi="Calibri"/>
          <w:sz w:val="20"/>
          <w:szCs w:val="20"/>
          <w:color w:val="auto"/>
        </w:rPr>
        <w:t xml:space="preserve">” means the framework principles adopted by the Department and DOL of what comprises a good job described at </w:t>
      </w:r>
      <w:r>
        <w:rPr>
          <w:rFonts w:ascii="Calibri" w:cs="Calibri" w:eastAsia="Calibri" w:hAnsi="Calibri"/>
          <w:sz w:val="20"/>
          <w:szCs w:val="20"/>
          <w:u w:val="single" w:color="auto"/>
          <w:color w:val="0563C1"/>
        </w:rPr>
        <w:t>htps://www.dol.gov/sites/dolgov/fles/goodjobs/Good-Jobs-Summit-Principles-Factsheet.pdf</w:t>
      </w:r>
      <w:r>
        <w:rPr>
          <w:rFonts w:ascii="Calibri" w:cs="Calibri" w:eastAsia="Calibri" w:hAnsi="Calibri"/>
          <w:sz w:val="20"/>
          <w:szCs w:val="20"/>
          <w:color w:val="000000"/>
        </w:rPr>
        <w:t>.</w:t>
      </w:r>
    </w:p>
    <w:p>
      <w:pPr>
        <w:spacing w:after="0" w:line="91" w:lineRule="exact"/>
        <w:rPr>
          <w:sz w:val="20"/>
          <w:szCs w:val="20"/>
          <w:color w:val="auto"/>
        </w:rPr>
      </w:pPr>
    </w:p>
    <w:p>
      <w:pPr>
        <w:ind w:right="56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Mega Constructon Project Program</w:t>
      </w:r>
      <w:r>
        <w:rPr>
          <w:rFonts w:ascii="Calibri" w:cs="Calibri" w:eastAsia="Calibri" w:hAnsi="Calibri"/>
          <w:sz w:val="20"/>
          <w:szCs w:val="20"/>
          <w:color w:val="auto"/>
        </w:rPr>
        <w:t>” means DOL’s Ofce of Federal Contract Compliance Programs for large federal constructon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Schedule G-14</w:t>
      </w:r>
    </w:p>
    <w:p>
      <w:pPr>
        <w:sectPr>
          <w:pgSz w:w="11900" w:h="16838" w:orient="portrait"/>
          <w:cols w:equalWidth="0" w:num="1">
            <w:col w:w="11220"/>
          </w:cols>
          <w:pgMar w:left="320" w:top="1374" w:right="359" w:bottom="1440" w:gutter="0" w:footer="0" w:header="0"/>
        </w:sectPr>
      </w:pPr>
    </w:p>
    <w:bookmarkStart w:id="428" w:name="page429"/>
    <w:bookmarkEnd w:id="428"/>
    <w:p>
      <w:pPr>
        <w:spacing w:after="0" w:line="66" w:lineRule="exact"/>
        <w:rPr>
          <w:sz w:val="20"/>
          <w:szCs w:val="20"/>
          <w:color w:val="auto"/>
        </w:rPr>
      </w:pPr>
    </w:p>
    <w:p>
      <w:pPr>
        <w:ind w:right="460"/>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Net Debt Rato</w:t>
      </w:r>
      <w:r>
        <w:rPr>
          <w:rFonts w:ascii="Calibri" w:cs="Calibri" w:eastAsia="Calibri" w:hAnsi="Calibri"/>
          <w:sz w:val="20"/>
          <w:szCs w:val="20"/>
          <w:color w:val="auto"/>
        </w:rPr>
        <w:t>” means the rato of (a) the sum of (i) Indebtedness for Borrowed Money (and similar obligatons under debt like securites) minus (ii) the Unrestricted Cash, Cash Equivalent and Marketable Securites Amount and minus (iii) restricted cash, to (b)</w:t>
      </w:r>
    </w:p>
    <w:p>
      <w:pPr>
        <w:spacing w:after="0" w:line="238" w:lineRule="auto"/>
        <w:rPr>
          <w:sz w:val="20"/>
          <w:szCs w:val="20"/>
          <w:color w:val="auto"/>
        </w:rPr>
      </w:pPr>
      <w:r>
        <w:rPr>
          <w:rFonts w:ascii="Calibri" w:cs="Calibri" w:eastAsia="Calibri" w:hAnsi="Calibri"/>
          <w:sz w:val="20"/>
          <w:szCs w:val="20"/>
          <w:color w:val="auto"/>
        </w:rPr>
        <w:t>EBITDA.</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NSTC</w:t>
      </w:r>
      <w:r>
        <w:rPr>
          <w:rFonts w:ascii="Calibri" w:cs="Calibri" w:eastAsia="Calibri" w:hAnsi="Calibri"/>
          <w:sz w:val="20"/>
          <w:szCs w:val="20"/>
          <w:color w:val="auto"/>
        </w:rPr>
        <w:t>” means the Natonal Semiconductor Technology Center.</w:t>
      </w:r>
    </w:p>
    <w:p>
      <w:pPr>
        <w:spacing w:after="0" w:line="90"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b w:val="1"/>
          <w:bCs w:val="1"/>
          <w:color w:val="auto"/>
        </w:rPr>
        <w:t xml:space="preserve">“NY Project” </w:t>
      </w:r>
      <w:r>
        <w:rPr>
          <w:rFonts w:ascii="Calibri" w:cs="Calibri" w:eastAsia="Calibri" w:hAnsi="Calibri"/>
          <w:sz w:val="20"/>
          <w:szCs w:val="20"/>
          <w:color w:val="auto"/>
        </w:rPr>
        <w:t>means, collectvely, each “Project” as such term is defned in that certain Direct Funding Agreement, dated as of the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Date entered into by and between the NY Recipient and the Department.</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“NY RECIPIENT” </w:t>
      </w:r>
      <w:r>
        <w:rPr>
          <w:rFonts w:ascii="Calibri" w:cs="Calibri" w:eastAsia="Calibri" w:hAnsi="Calibri"/>
          <w:sz w:val="20"/>
          <w:szCs w:val="20"/>
          <w:color w:val="auto"/>
        </w:rPr>
        <w:t>means MICRON NEW YORK SEMICONDUCTOR MANUFACTURING LLC.</w:t>
      </w:r>
    </w:p>
    <w:p>
      <w:pPr>
        <w:spacing w:after="0" w:line="90"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Dividends</w:t>
      </w:r>
      <w:r>
        <w:rPr>
          <w:rFonts w:ascii="Calibri" w:cs="Calibri" w:eastAsia="Calibri" w:hAnsi="Calibri"/>
          <w:sz w:val="20"/>
          <w:szCs w:val="20"/>
          <w:color w:val="auto"/>
        </w:rPr>
        <w:t>” means customary and ordinary course recurring dividends (and reasonably ordinary course increases thereof) consistent with the Sponsor Guarantor’s past practce, but excluding any special or one-tme dividends.</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Stock Buybacks</w:t>
      </w:r>
      <w:r>
        <w:rPr>
          <w:rFonts w:ascii="Calibri" w:cs="Calibri" w:eastAsia="Calibri" w:hAnsi="Calibri"/>
          <w:sz w:val="20"/>
          <w:szCs w:val="20"/>
          <w:color w:val="auto"/>
        </w:rPr>
        <w:t>” means:</w:t>
      </w:r>
    </w:p>
    <w:p>
      <w:pPr>
        <w:spacing w:after="0" w:line="225" w:lineRule="exact"/>
        <w:rPr>
          <w:sz w:val="20"/>
          <w:szCs w:val="20"/>
          <w:color w:val="auto"/>
        </w:rPr>
      </w:pPr>
    </w:p>
    <w:p>
      <w:pPr>
        <w:jc w:val="both"/>
        <w:ind w:left="660" w:hanging="328"/>
        <w:spacing w:after="0" w:line="231" w:lineRule="auto"/>
        <w:tabs>
          <w:tab w:leader="none" w:pos="664" w:val="left"/>
        </w:tabs>
        <w:numPr>
          <w:ilvl w:val="0"/>
          <w:numId w:val="474"/>
        </w:numPr>
        <w:rPr>
          <w:rFonts w:ascii="Calibri" w:cs="Calibri" w:eastAsia="Calibri" w:hAnsi="Calibri"/>
          <w:sz w:val="20"/>
          <w:szCs w:val="20"/>
          <w:color w:val="auto"/>
        </w:rPr>
      </w:pPr>
      <w:r>
        <w:rPr>
          <w:rFonts w:ascii="Calibri" w:cs="Calibri" w:eastAsia="Calibri" w:hAnsi="Calibri"/>
          <w:sz w:val="20"/>
          <w:szCs w:val="20"/>
          <w:color w:val="auto"/>
        </w:rPr>
        <w:t>shares of common stock of Sponsor Guarantor withheld as payment of withholding taxes and exercise prices in connecton with the vestng or exercise of equity awards under Sponsor Guarantor’s existng equity plans in efect on the Award Date and any subsequent similar equity plans that are treated as repurchases of Sponsor Guarantor’s common stock under GAAP.</w:t>
      </w:r>
    </w:p>
    <w:p>
      <w:pPr>
        <w:spacing w:after="0" w:line="225" w:lineRule="exact"/>
        <w:rPr>
          <w:rFonts w:ascii="Calibri" w:cs="Calibri" w:eastAsia="Calibri" w:hAnsi="Calibri"/>
          <w:sz w:val="20"/>
          <w:szCs w:val="20"/>
          <w:color w:val="auto"/>
        </w:rPr>
      </w:pPr>
    </w:p>
    <w:p>
      <w:pPr>
        <w:jc w:val="both"/>
        <w:ind w:left="660" w:hanging="328"/>
        <w:spacing w:after="0" w:line="214" w:lineRule="auto"/>
        <w:tabs>
          <w:tab w:leader="none" w:pos="660" w:val="left"/>
        </w:tabs>
        <w:numPr>
          <w:ilvl w:val="0"/>
          <w:numId w:val="474"/>
        </w:numPr>
        <w:rPr>
          <w:rFonts w:ascii="Calibri" w:cs="Calibri" w:eastAsia="Calibri" w:hAnsi="Calibri"/>
          <w:sz w:val="20"/>
          <w:szCs w:val="20"/>
          <w:color w:val="auto"/>
        </w:rPr>
      </w:pPr>
      <w:r>
        <w:rPr>
          <w:rFonts w:ascii="Calibri" w:cs="Calibri" w:eastAsia="Calibri" w:hAnsi="Calibri"/>
          <w:sz w:val="20"/>
          <w:szCs w:val="20"/>
          <w:color w:val="auto"/>
        </w:rPr>
        <w:t>for the period beginning on the Award Date and ending on the frst (1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xml:space="preserve">) anniversary of the Award Date, stock buybacks to ofset the dilutve efect of Sponsor Guarantor’s existng equity plans in efect on the Award Date and any subsequent similar equity plans during the applicable Measurement Period, not to exceed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per year during such Measurement Period;</w:t>
      </w:r>
    </w:p>
    <w:p>
      <w:pPr>
        <w:spacing w:after="0" w:line="210" w:lineRule="exact"/>
        <w:rPr>
          <w:rFonts w:ascii="Calibri" w:cs="Calibri" w:eastAsia="Calibri" w:hAnsi="Calibri"/>
          <w:sz w:val="20"/>
          <w:szCs w:val="20"/>
          <w:color w:val="auto"/>
        </w:rPr>
      </w:pPr>
    </w:p>
    <w:p>
      <w:pPr>
        <w:jc w:val="both"/>
        <w:ind w:left="660" w:hanging="328"/>
        <w:spacing w:after="0" w:line="220" w:lineRule="auto"/>
        <w:tabs>
          <w:tab w:leader="none" w:pos="652" w:val="left"/>
        </w:tabs>
        <w:numPr>
          <w:ilvl w:val="0"/>
          <w:numId w:val="474"/>
        </w:numPr>
        <w:rPr>
          <w:rFonts w:ascii="Calibri" w:cs="Calibri" w:eastAsia="Calibri" w:hAnsi="Calibri"/>
          <w:sz w:val="20"/>
          <w:szCs w:val="20"/>
          <w:color w:val="auto"/>
        </w:rPr>
      </w:pPr>
      <w:r>
        <w:rPr>
          <w:rFonts w:ascii="Calibri" w:cs="Calibri" w:eastAsia="Calibri" w:hAnsi="Calibri"/>
          <w:sz w:val="20"/>
          <w:szCs w:val="20"/>
          <w:color w:val="auto"/>
        </w:rPr>
        <w:t>for the period beginning on the frst (1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anniversary of the Award Date and ending on the second (2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xml:space="preserve">) anniversary of the Award Date, stock buybacks to ofset the dilutve efect of Sponsor Guarantor’s existng equity plans in efect on the Award Date and any subsequent similar equity plans during the applicable Measurement Period, not to exceed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per year during such Measurement Period;</w:t>
      </w:r>
    </w:p>
    <w:p>
      <w:pPr>
        <w:spacing w:after="0" w:line="223" w:lineRule="exact"/>
        <w:rPr>
          <w:rFonts w:ascii="Calibri" w:cs="Calibri" w:eastAsia="Calibri" w:hAnsi="Calibri"/>
          <w:sz w:val="20"/>
          <w:szCs w:val="20"/>
          <w:color w:val="auto"/>
        </w:rPr>
      </w:pPr>
    </w:p>
    <w:p>
      <w:pPr>
        <w:jc w:val="both"/>
        <w:ind w:left="660" w:hanging="328"/>
        <w:spacing w:after="0"/>
        <w:tabs>
          <w:tab w:leader="none" w:pos="660" w:val="left"/>
        </w:tabs>
        <w:numPr>
          <w:ilvl w:val="0"/>
          <w:numId w:val="474"/>
        </w:numPr>
        <w:rPr>
          <w:rFonts w:ascii="Calibri" w:cs="Calibri" w:eastAsia="Calibri" w:hAnsi="Calibri"/>
          <w:sz w:val="20"/>
          <w:szCs w:val="20"/>
          <w:color w:val="auto"/>
        </w:rPr>
      </w:pPr>
      <w:r>
        <w:rPr>
          <w:rFonts w:ascii="Calibri" w:cs="Calibri" w:eastAsia="Calibri" w:hAnsi="Calibri"/>
          <w:sz w:val="20"/>
          <w:szCs w:val="20"/>
          <w:color w:val="auto"/>
        </w:rPr>
        <w:t>for each fscal quarter of the Sponsor Guarantor during the period beginning on the second (2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anniversary of the Award Date and ending on the ffh (5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anniversary of the Award Date, additonal stock buybacks which, when taken together with all other Permited Stock Buybacks and Permited Dividends during the applicable Measurement Period, are not in excess of the Free Cash Flow of the Sponsor Guarantor and its Consolidated Subsidiaries during the most recent Measurement Period ended prior to such fscal quarter so long as the following conditons are met: (i) afer giving pro forma efect for such stock buyback as if made as of the end of the applicable Measurement Period, the Sponsor Guarantor and its Consolidated Subsidiaries would have have a Net Debt Rato not in excess of 1.75: 1.00 as of the end of such Measurement Period, (ii) as of the date of such stock buyback, the Sponsor Guarantor is Investment Grade, (iii) the Sponsor Guarantor and its Consolidated Subsidiaries research and development expenditures during the applicable Measurement Period are in excess of $3 billion, (iv) the amount of the Sponsor Guarantor and its Consolidated Subsidiaries' total capital expenditures determined in accordance with GAAP during such Measurement Period are greater than four tmes the amount of Direct Funding received by the Recipients during such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G-15</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87" w:lineRule="exact"/>
        <w:rPr>
          <w:sz w:val="20"/>
          <w:szCs w:val="20"/>
          <w:color w:val="auto"/>
        </w:rPr>
      </w:pPr>
    </w:p>
    <w:p>
      <w:pPr>
        <w:ind w:left="660" w:right="100"/>
        <w:spacing w:after="0" w:line="234" w:lineRule="auto"/>
        <w:rPr>
          <w:sz w:val="20"/>
          <w:szCs w:val="20"/>
          <w:color w:val="auto"/>
        </w:rPr>
      </w:pPr>
      <w:r>
        <w:rPr>
          <w:rFonts w:ascii="Calibri" w:cs="Calibri" w:eastAsia="Calibri" w:hAnsi="Calibri"/>
          <w:sz w:val="20"/>
          <w:szCs w:val="20"/>
          <w:color w:val="auto"/>
        </w:rPr>
        <w:t>It is understood that the Recipient shall be enttled to request an amendment or waiver under the Agreement’s Secton 10.12 (Dispute Resoluton) to allow the Sponsor Guarantor to engage in stock buybacks at higher amounts than as specifed by clauses</w:t>
      </w:r>
    </w:p>
    <w:p>
      <w:pPr>
        <w:ind w:left="660"/>
        <w:spacing w:after="0" w:line="226" w:lineRule="auto"/>
        <w:rPr>
          <w:sz w:val="20"/>
          <w:szCs w:val="20"/>
          <w:color w:val="auto"/>
        </w:rPr>
      </w:pPr>
      <w:r>
        <w:rPr>
          <w:rFonts w:ascii="Calibri" w:cs="Calibri" w:eastAsia="Calibri" w:hAnsi="Calibri"/>
          <w:sz w:val="20"/>
          <w:szCs w:val="20"/>
          <w:color w:val="auto"/>
        </w:rPr>
        <w:t>(b) and (c) above.</w:t>
      </w:r>
    </w:p>
    <w:p>
      <w:pPr>
        <w:spacing w:after="0" w:line="9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Prohibited Equipment</w:t>
      </w:r>
      <w:r>
        <w:rPr>
          <w:rFonts w:ascii="Calibri" w:cs="Calibri" w:eastAsia="Calibri" w:hAnsi="Calibri"/>
          <w:sz w:val="20"/>
          <w:szCs w:val="20"/>
          <w:color w:val="auto"/>
        </w:rPr>
        <w:t>” means any of the following types of equipment manufactured or assembled by any Foreign Entty of Concern that is used or installed by the Recipient for the fabricaton, assembly, testng, advanced packaging, producton, or research and development of semiconductors: (i) depositon equipment; (ii) etching equipment; (iii) lithography equipment; (iv) inspecton and measuring equipment; (v) wafer slicing equipment; (vi) wafer dicing equipment; (vii) wire bonders; (viii) ion implantaton equipment; and</w:t>
      </w:r>
    </w:p>
    <w:p>
      <w:pPr>
        <w:spacing w:after="0" w:line="10" w:lineRule="exact"/>
        <w:rPr>
          <w:sz w:val="20"/>
          <w:szCs w:val="20"/>
          <w:color w:val="auto"/>
        </w:rPr>
      </w:pPr>
    </w:p>
    <w:p>
      <w:pPr>
        <w:ind w:right="100" w:firstLine="8"/>
        <w:spacing w:after="0" w:line="231" w:lineRule="auto"/>
        <w:tabs>
          <w:tab w:leader="none" w:pos="303" w:val="left"/>
        </w:tabs>
        <w:numPr>
          <w:ilvl w:val="0"/>
          <w:numId w:val="475"/>
        </w:numPr>
        <w:rPr>
          <w:rFonts w:ascii="Calibri" w:cs="Calibri" w:eastAsia="Calibri" w:hAnsi="Calibri"/>
          <w:sz w:val="20"/>
          <w:szCs w:val="20"/>
          <w:color w:val="auto"/>
        </w:rPr>
      </w:pPr>
      <w:r>
        <w:rPr>
          <w:rFonts w:ascii="Calibri" w:cs="Calibri" w:eastAsia="Calibri" w:hAnsi="Calibri"/>
          <w:sz w:val="20"/>
          <w:szCs w:val="20"/>
          <w:color w:val="auto"/>
        </w:rPr>
        <w:t>difusion/oxidaton furnaces; but does not, in each case, include any subsystem or subcomponent that enables, or is incorporated into, any such equipment, except that “Prohibited Equipment” does not include any of the following: (x) certain equipment specifed to the Department in writng that is used or installed exclusively for internal tool evaluaton and (y) with respect to which a waiver is provided by the Department afer consideraton of whether there are no available market alternatves in reasonably available quanttes or of a satsfactory quality to support a Project that present a reasonable substtute for such equipment.</w:t>
      </w:r>
    </w:p>
    <w:p>
      <w:pPr>
        <w:spacing w:after="0" w:line="94"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Registered Apprentceship Program</w:t>
      </w:r>
      <w:r>
        <w:rPr>
          <w:rFonts w:ascii="Calibri" w:cs="Calibri" w:eastAsia="Calibri" w:hAnsi="Calibri"/>
          <w:sz w:val="20"/>
          <w:szCs w:val="20"/>
          <w:color w:val="auto"/>
        </w:rPr>
        <w:t>” means an apprentceship program that is registered with DOL under the Act of August 16, 1937 (commonly known as the “Natonal Apprentceship Act”; 50 Stat. 664, chapter 663; 29 U.S.C. § 50 et seq.).</w:t>
      </w:r>
    </w:p>
    <w:p>
      <w:pPr>
        <w:spacing w:after="0" w:line="9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Revolving Credit Agreement</w:t>
      </w:r>
      <w:r>
        <w:rPr>
          <w:rFonts w:ascii="Calibri" w:cs="Calibri" w:eastAsia="Calibri" w:hAnsi="Calibri"/>
          <w:sz w:val="20"/>
          <w:szCs w:val="20"/>
          <w:color w:val="auto"/>
        </w:rPr>
        <w:t>” means that certain Credit Agreement, dated as of May 14, 2021, among the Sponsor Guarantor, HSBC Bank USA, Natonal Associaton, as administratve agent, and certain fnancial insttutons from tme to tme party thereto, as amended and in efect as of the Award Date.</w:t>
      </w:r>
    </w:p>
    <w:p>
      <w:pPr>
        <w:spacing w:after="0" w:line="22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following capitalized terms shall have the meaning set forth in the Revolving Credit Agreement (as in efect on the Award Date): (a) Consolidated Subsidiaries; (b) Measurement Period; (c) the Unrestricted Cash, Cash Equivalent and Marketable Securites Amount and</w:t>
      </w:r>
    </w:p>
    <w:p>
      <w:pPr>
        <w:spacing w:after="0" w:line="226" w:lineRule="auto"/>
        <w:rPr>
          <w:sz w:val="20"/>
          <w:szCs w:val="20"/>
          <w:color w:val="auto"/>
        </w:rPr>
      </w:pPr>
      <w:r>
        <w:rPr>
          <w:rFonts w:ascii="Calibri" w:cs="Calibri" w:eastAsia="Calibri" w:hAnsi="Calibri"/>
          <w:sz w:val="20"/>
          <w:szCs w:val="20"/>
          <w:color w:val="auto"/>
        </w:rPr>
        <w:t>(d) Consolidated EBITDA.</w:t>
      </w:r>
    </w:p>
    <w:p>
      <w:pPr>
        <w:spacing w:after="0" w:line="226"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For the purposes of this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(i) Recipient shall refer to any of the Recipient (also referred herein as the “ID Recipient”), and the NY Recipient, as the context requires, and (ii) Project shall refer to any of the Project (also referred herein as the “</w:t>
      </w:r>
      <w:r>
        <w:rPr>
          <w:rFonts w:ascii="Calibri" w:cs="Calibri" w:eastAsia="Calibri" w:hAnsi="Calibri"/>
          <w:sz w:val="20"/>
          <w:szCs w:val="20"/>
          <w:b w:val="1"/>
          <w:bCs w:val="1"/>
          <w:color w:val="auto"/>
        </w:rPr>
        <w:t>ID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Project</w:t>
      </w:r>
      <w:r>
        <w:rPr>
          <w:rFonts w:ascii="Calibri" w:cs="Calibri" w:eastAsia="Calibri" w:hAnsi="Calibri"/>
          <w:sz w:val="20"/>
          <w:szCs w:val="20"/>
          <w:color w:val="auto"/>
        </w:rPr>
        <w:t>”), and the NY Projects, as the context requires.</w:t>
      </w:r>
    </w:p>
    <w:p>
      <w:pPr>
        <w:spacing w:after="0" w:line="190"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47" w:lineRule="exact"/>
        <w:rPr>
          <w:sz w:val="20"/>
          <w:szCs w:val="20"/>
          <w:color w:val="auto"/>
        </w:rPr>
      </w:pPr>
    </w:p>
    <w:p>
      <w:pPr>
        <w:ind w:left="3160"/>
        <w:spacing w:after="0"/>
        <w:rPr>
          <w:sz w:val="20"/>
          <w:szCs w:val="20"/>
          <w:color w:val="auto"/>
        </w:rPr>
      </w:pPr>
      <w:r>
        <w:rPr>
          <w:rFonts w:ascii="Calibri" w:cs="Calibri" w:eastAsia="Calibri" w:hAnsi="Calibri"/>
          <w:sz w:val="20"/>
          <w:szCs w:val="20"/>
          <w:b w:val="1"/>
          <w:bCs w:val="1"/>
          <w:color w:val="auto"/>
        </w:rPr>
        <w:t>PROGRAM REQUIREMENTS NOT SUBJECT TO CURE PERIOD</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2.1.</w:t>
      </w:r>
      <w:r>
        <w:rPr>
          <w:sz w:val="20"/>
          <w:szCs w:val="20"/>
          <w:color w:val="auto"/>
        </w:rPr>
        <w:tab/>
      </w:r>
      <w:r>
        <w:rPr>
          <w:rFonts w:ascii="Calibri" w:cs="Calibri" w:eastAsia="Calibri" w:hAnsi="Calibri"/>
          <w:sz w:val="20"/>
          <w:szCs w:val="20"/>
          <w:b w:val="1"/>
          <w:bCs w:val="1"/>
          <w:color w:val="auto"/>
        </w:rPr>
        <w:t>Economic and Natonal Security Objectves.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2.1.1</w:t>
      </w:r>
      <w:r>
        <w:rPr>
          <w:sz w:val="20"/>
          <w:szCs w:val="20"/>
          <w:color w:val="auto"/>
        </w:rPr>
        <w:tab/>
      </w:r>
      <w:r>
        <w:rPr>
          <w:rFonts w:ascii="Calibri" w:cs="Calibri" w:eastAsia="Calibri" w:hAnsi="Calibri"/>
          <w:sz w:val="20"/>
          <w:szCs w:val="20"/>
          <w:b w:val="1"/>
          <w:bCs w:val="1"/>
          <w:color w:val="auto"/>
        </w:rPr>
        <w:t>Resilience.</w:t>
      </w:r>
    </w:p>
    <w:p>
      <w:pPr>
        <w:spacing w:after="0" w:line="157" w:lineRule="exact"/>
        <w:rPr>
          <w:sz w:val="20"/>
          <w:szCs w:val="20"/>
          <w:color w:val="auto"/>
        </w:rPr>
      </w:pPr>
    </w:p>
    <w:p>
      <w:pPr>
        <w:jc w:val="both"/>
        <w:ind w:firstLine="1952"/>
        <w:spacing w:after="0" w:line="205" w:lineRule="auto"/>
        <w:tabs>
          <w:tab w:leader="none" w:pos="2596" w:val="left"/>
        </w:tabs>
        <w:numPr>
          <w:ilvl w:val="0"/>
          <w:numId w:val="476"/>
        </w:numPr>
        <w:rPr>
          <w:rFonts w:ascii="Calibri" w:cs="Calibri" w:eastAsia="Calibri" w:hAnsi="Calibri"/>
          <w:sz w:val="20"/>
          <w:szCs w:val="20"/>
          <w:color w:val="auto"/>
        </w:rPr>
      </w:pPr>
      <w:r>
        <w:rPr>
          <w:rFonts w:ascii="Calibri" w:cs="Calibri" w:eastAsia="Calibri" w:hAnsi="Calibri"/>
          <w:sz w:val="20"/>
          <w:szCs w:val="20"/>
          <w:color w:val="auto"/>
        </w:rPr>
        <w:t>Each Recipient will use commercially reasonable eforts to work with the Department, subject to compliance with U.S. and other relevant regulatons, to accelerate supply chain resilience with domestc materials suppliers where practcable.</w:t>
      </w:r>
    </w:p>
    <w:p>
      <w:pPr>
        <w:spacing w:after="0" w:line="170"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476"/>
        </w:numPr>
        <w:rPr>
          <w:rFonts w:ascii="Calibri" w:cs="Calibri" w:eastAsia="Calibri" w:hAnsi="Calibri"/>
          <w:sz w:val="20"/>
          <w:szCs w:val="20"/>
          <w:color w:val="auto"/>
        </w:rPr>
      </w:pPr>
      <w:r>
        <w:rPr>
          <w:rFonts w:ascii="Calibri" w:cs="Calibri" w:eastAsia="Calibri" w:hAnsi="Calibri"/>
          <w:sz w:val="20"/>
          <w:szCs w:val="20"/>
          <w:color w:val="auto"/>
        </w:rPr>
        <w:t>The NY Recipient shall use commercially reasonable eforts to ensure that the agreements with the general contractor for the NY Projects contain terms relatng to physical and non-physical security substantally similar to, or greater in scope than, those contained in the agreements with the general contractor for the ID Project, or are otherwise reasonably satsfactory to the Department.</w:t>
      </w:r>
    </w:p>
    <w:p>
      <w:pPr>
        <w:spacing w:after="0" w:line="172" w:lineRule="exact"/>
        <w:rPr>
          <w:sz w:val="20"/>
          <w:szCs w:val="20"/>
          <w:color w:val="auto"/>
        </w:rPr>
      </w:pPr>
    </w:p>
    <w:p>
      <w:pPr>
        <w:ind w:firstLine="1296"/>
        <w:spacing w:after="0" w:line="208" w:lineRule="auto"/>
        <w:rPr>
          <w:sz w:val="20"/>
          <w:szCs w:val="20"/>
          <w:color w:val="auto"/>
        </w:rPr>
      </w:pPr>
      <w:r>
        <w:rPr>
          <w:rFonts w:ascii="Calibri" w:cs="Calibri" w:eastAsia="Calibri" w:hAnsi="Calibri"/>
          <w:sz w:val="20"/>
          <w:szCs w:val="20"/>
          <w:color w:val="auto"/>
        </w:rPr>
        <w:t xml:space="preserve">2.1.2 </w:t>
      </w:r>
      <w:r>
        <w:rPr>
          <w:rFonts w:ascii="Calibri" w:cs="Calibri" w:eastAsia="Calibri" w:hAnsi="Calibri"/>
          <w:sz w:val="20"/>
          <w:szCs w:val="20"/>
          <w:b w:val="1"/>
          <w:bCs w:val="1"/>
          <w:color w:val="auto"/>
        </w:rPr>
        <w:t>Prohibited Equipment.</w:t>
      </w:r>
      <w:r>
        <w:rPr>
          <w:rFonts w:ascii="Calibri" w:cs="Calibri" w:eastAsia="Calibri" w:hAnsi="Calibri"/>
          <w:sz w:val="20"/>
          <w:szCs w:val="20"/>
          <w:color w:val="auto"/>
        </w:rPr>
        <w:t xml:space="preserve"> Each Recipient shall not knowingly use or install in any Project completed, fully assembled Prohibited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G-16</w:t>
      </w:r>
    </w:p>
    <w:p>
      <w:pPr>
        <w:sectPr>
          <w:pgSz w:w="11900" w:h="16838" w:orient="portrait"/>
          <w:cols w:equalWidth="0" w:num="1">
            <w:col w:w="11240"/>
          </w:cols>
          <w:pgMar w:left="320" w:top="1440" w:right="339" w:bottom="1440" w:gutter="0" w:footer="0" w:header="0"/>
        </w:sectPr>
      </w:pPr>
    </w:p>
    <w:bookmarkStart w:id="430" w:name="page431"/>
    <w:bookmarkEnd w:id="430"/>
    <w:p>
      <w:pPr>
        <w:jc w:val="both"/>
        <w:ind w:firstLine="1296"/>
        <w:spacing w:after="0" w:line="199" w:lineRule="auto"/>
        <w:rPr>
          <w:sz w:val="20"/>
          <w:szCs w:val="20"/>
          <w:color w:val="auto"/>
        </w:rPr>
      </w:pPr>
      <w:r>
        <w:rPr>
          <w:rFonts w:ascii="Calibri" w:cs="Calibri" w:eastAsia="Calibri" w:hAnsi="Calibri"/>
          <w:sz w:val="20"/>
          <w:szCs w:val="20"/>
          <w:color w:val="auto"/>
        </w:rPr>
        <w:t xml:space="preserve">2.1.3 </w:t>
      </w:r>
      <w:r>
        <w:rPr>
          <w:rFonts w:ascii="Calibri" w:cs="Calibri" w:eastAsia="Calibri" w:hAnsi="Calibri"/>
          <w:sz w:val="20"/>
          <w:szCs w:val="20"/>
          <w:b w:val="1"/>
          <w:bCs w:val="1"/>
          <w:color w:val="auto"/>
        </w:rPr>
        <w:t>Due Diligence Mitgaton.</w:t>
      </w:r>
      <w:r>
        <w:rPr>
          <w:rFonts w:ascii="Calibri" w:cs="Calibri" w:eastAsia="Calibri" w:hAnsi="Calibri"/>
          <w:sz w:val="20"/>
          <w:szCs w:val="20"/>
          <w:color w:val="auto"/>
        </w:rPr>
        <w:t xml:space="preserve"> Each Recipient shall use commercially reasonable eforts to ensure that its suppliers will notfy such Recipient with respect to any change of control and/or ownership, and that its supplier agreements entered into, renegotated or subject to a material amendment or amendment and restatement afer the date of Award contain notfcaton provisions with respect to any change of control and/or ownership. It is acknowledged and agreed that commercially reasonable eforts with respect to the foregoing (i) shall require that each Recipient request that its suppliers notfy it in writng with respect to any change of control and/or ownership in a manner consistent with its form supplier agreement, and (ii) shall not require amendments or amendment and restatements of all of the Recipients supplier agreements.</w:t>
      </w:r>
    </w:p>
    <w:p>
      <w:pPr>
        <w:spacing w:after="0" w:line="15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2.2.</w:t>
      </w:r>
      <w:r>
        <w:rPr>
          <w:sz w:val="20"/>
          <w:szCs w:val="20"/>
          <w:color w:val="auto"/>
        </w:rPr>
        <w:tab/>
      </w:r>
      <w:r>
        <w:rPr>
          <w:rFonts w:ascii="Calibri" w:cs="Calibri" w:eastAsia="Calibri" w:hAnsi="Calibri"/>
          <w:sz w:val="19"/>
          <w:szCs w:val="19"/>
          <w:b w:val="1"/>
          <w:bCs w:val="1"/>
          <w:color w:val="auto"/>
        </w:rPr>
        <w:t>Workforce.</w:t>
      </w:r>
    </w:p>
    <w:p>
      <w:pPr>
        <w:spacing w:after="0" w:line="153" w:lineRule="exact"/>
        <w:rPr>
          <w:sz w:val="20"/>
          <w:szCs w:val="20"/>
          <w:color w:val="auto"/>
        </w:rPr>
      </w:pPr>
    </w:p>
    <w:p>
      <w:pPr>
        <w:ind w:left="2660" w:hanging="708"/>
        <w:spacing w:after="0"/>
        <w:tabs>
          <w:tab w:leader="none" w:pos="2660" w:val="left"/>
        </w:tabs>
        <w:numPr>
          <w:ilvl w:val="0"/>
          <w:numId w:val="477"/>
        </w:numPr>
        <w:rPr>
          <w:rFonts w:ascii="Calibri" w:cs="Calibri" w:eastAsia="Calibri" w:hAnsi="Calibri"/>
          <w:sz w:val="20"/>
          <w:szCs w:val="20"/>
          <w:color w:val="auto"/>
        </w:rPr>
      </w:pPr>
      <w:r>
        <w:rPr>
          <w:rFonts w:ascii="Calibri" w:cs="Calibri" w:eastAsia="Calibri" w:hAnsi="Calibri"/>
          <w:sz w:val="20"/>
          <w:szCs w:val="20"/>
          <w:color w:val="auto"/>
        </w:rPr>
        <w:t>The Recipients shall achieve the following facility stafng targets (“</w:t>
      </w:r>
      <w:r>
        <w:rPr>
          <w:rFonts w:ascii="Calibri" w:cs="Calibri" w:eastAsia="Calibri" w:hAnsi="Calibri"/>
          <w:sz w:val="20"/>
          <w:szCs w:val="20"/>
          <w:b w:val="1"/>
          <w:bCs w:val="1"/>
          <w:color w:val="auto"/>
        </w:rPr>
        <w:t>Facility Stafng Targets</w:t>
      </w:r>
      <w:r>
        <w:rPr>
          <w:rFonts w:ascii="Calibri" w:cs="Calibri" w:eastAsia="Calibri" w:hAnsi="Calibri"/>
          <w:sz w:val="20"/>
          <w:szCs w:val="20"/>
          <w:color w:val="auto"/>
        </w:rPr>
        <w:t>”) by the date</w:t>
      </w:r>
    </w:p>
    <w:p>
      <w:pPr>
        <w:spacing w:after="0" w:line="193" w:lineRule="auto"/>
        <w:rPr>
          <w:sz w:val="20"/>
          <w:szCs w:val="20"/>
          <w:color w:val="auto"/>
        </w:rPr>
      </w:pPr>
      <w:r>
        <w:rPr>
          <w:rFonts w:ascii="Calibri" w:cs="Calibri" w:eastAsia="Calibri" w:hAnsi="Calibri"/>
          <w:sz w:val="20"/>
          <w:szCs w:val="20"/>
          <w:color w:val="auto"/>
        </w:rPr>
        <w:t>specifed below:</w:t>
      </w:r>
    </w:p>
    <w:p>
      <w:pPr>
        <w:spacing w:after="0" w:line="171" w:lineRule="exact"/>
        <w:rPr>
          <w:sz w:val="20"/>
          <w:szCs w:val="20"/>
          <w:color w:val="auto"/>
        </w:rPr>
      </w:pPr>
    </w:p>
    <w:p>
      <w:pPr>
        <w:jc w:val="both"/>
        <w:ind w:firstLine="2600"/>
        <w:spacing w:after="0" w:line="197" w:lineRule="auto"/>
        <w:tabs>
          <w:tab w:leader="none" w:pos="3234" w:val="left"/>
        </w:tabs>
        <w:numPr>
          <w:ilvl w:val="1"/>
          <w:numId w:val="478"/>
        </w:numPr>
        <w:rPr>
          <w:rFonts w:ascii="Calibri" w:cs="Calibri" w:eastAsia="Calibri" w:hAnsi="Calibri"/>
          <w:sz w:val="20"/>
          <w:szCs w:val="20"/>
          <w:color w:val="auto"/>
        </w:rPr>
      </w:pPr>
      <w:r>
        <w:rPr>
          <w:rFonts w:ascii="Calibri" w:cs="Calibri" w:eastAsia="Calibri" w:hAnsi="Calibri"/>
          <w:sz w:val="20"/>
          <w:szCs w:val="20"/>
          <w:color w:val="auto"/>
        </w:rPr>
        <w:t xml:space="preserve">for the NY Projects, (A) by the Project Completon Longstop Date for NY Fab 1 Project (as such date may be extended in accordance with a waiver granted pursuant to the Award Document), a Facility Workforce of (1)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(2) subject to the Department’s review and approval, a lesser amount based on the projected stafng needs of the NY Projects which projected stafng needs are expected to be shared annually with the Department, and (B) by the Project Completon Longstop Date for NY Fab 2 Project (as such date may be extended in accordance with a waiver granted pursuant to the Award Documents), a Facility Workforce of (1)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(2) subject to the Department’s review and approval, a lesser amount based on the projected stafng needs of the NY Projects which projected stafng needs are expected to be shared annually with the Department; and</w:t>
      </w:r>
    </w:p>
    <w:p>
      <w:pPr>
        <w:spacing w:after="0" w:line="176"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1"/>
          <w:numId w:val="478"/>
        </w:numPr>
        <w:rPr>
          <w:rFonts w:ascii="Calibri" w:cs="Calibri" w:eastAsia="Calibri" w:hAnsi="Calibri"/>
          <w:sz w:val="20"/>
          <w:szCs w:val="20"/>
          <w:color w:val="auto"/>
        </w:rPr>
      </w:pPr>
      <w:r>
        <w:rPr>
          <w:rFonts w:ascii="Calibri" w:cs="Calibri" w:eastAsia="Calibri" w:hAnsi="Calibri"/>
          <w:sz w:val="20"/>
          <w:szCs w:val="20"/>
          <w:color w:val="auto"/>
        </w:rPr>
        <w:t xml:space="preserve">for the ID Project, by the Project Completon Longstop Date for the ID Project (as such date may be extended in accordance with a waiver granted pursuant to the Award Documents), a Facility Workforce of (i)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(ii) subject to the Department’s review and approval, a lesser amount based on the projected stafng needs of the ID Project which projected stafng needs are expected to be shared annually with the Department.</w:t>
      </w:r>
    </w:p>
    <w:p>
      <w:pPr>
        <w:spacing w:after="0" w:line="159"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479"/>
        </w:numPr>
        <w:rPr>
          <w:rFonts w:ascii="Calibri" w:cs="Calibri" w:eastAsia="Calibri" w:hAnsi="Calibri"/>
          <w:sz w:val="20"/>
          <w:szCs w:val="20"/>
          <w:color w:val="auto"/>
        </w:rPr>
      </w:pPr>
      <w:r>
        <w:rPr>
          <w:rFonts w:ascii="Calibri" w:cs="Calibri" w:eastAsia="Calibri" w:hAnsi="Calibri"/>
          <w:sz w:val="20"/>
          <w:szCs w:val="20"/>
          <w:color w:val="auto"/>
        </w:rPr>
        <w:t>The Department recognizes that each Recipient will operate under project labor agreements for the constructon of each Project, and that such project labor agreements may be amended, modifed or superseded by a successor project labor agreement from tme to tme by mutually agreement of the respectve partes thereto.</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2.2.1</w:t>
      </w:r>
      <w:r>
        <w:rPr>
          <w:sz w:val="20"/>
          <w:szCs w:val="20"/>
          <w:color w:val="auto"/>
        </w:rPr>
        <w:tab/>
      </w:r>
      <w:r>
        <w:rPr>
          <w:rFonts w:ascii="Calibri" w:cs="Calibri" w:eastAsia="Calibri" w:hAnsi="Calibri"/>
          <w:sz w:val="20"/>
          <w:szCs w:val="20"/>
          <w:b w:val="1"/>
          <w:bCs w:val="1"/>
          <w:color w:val="auto"/>
        </w:rPr>
        <w:t>Broader Impacts.</w:t>
      </w:r>
    </w:p>
    <w:p>
      <w:pPr>
        <w:spacing w:after="0" w:line="156" w:lineRule="exact"/>
        <w:rPr>
          <w:sz w:val="20"/>
          <w:szCs w:val="20"/>
          <w:color w:val="auto"/>
        </w:rPr>
      </w:pPr>
    </w:p>
    <w:p>
      <w:pPr>
        <w:jc w:val="both"/>
        <w:ind w:firstLine="1952"/>
        <w:spacing w:after="0" w:line="189" w:lineRule="auto"/>
        <w:tabs>
          <w:tab w:leader="none" w:pos="2596" w:val="left"/>
        </w:tabs>
        <w:numPr>
          <w:ilvl w:val="0"/>
          <w:numId w:val="480"/>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Stock Buybacks and Dividends. </w:t>
      </w:r>
      <w:r>
        <w:rPr>
          <w:rFonts w:ascii="Calibri" w:cs="Calibri" w:eastAsia="Calibri" w:hAnsi="Calibri"/>
          <w:sz w:val="20"/>
          <w:szCs w:val="20"/>
          <w:color w:val="auto"/>
        </w:rPr>
        <w:t>For the period beginning on the Award Date and ending on the ffh (5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anniversary of the Award Date, each Recipient and each Recipient Entty shall not (i) engage in any stock buybacks, except for Permited Stock Buybacks and (ii) make any dividends to Sponsor Guarantor’s shareholders, except for Permited Dividends.</w:t>
      </w:r>
    </w:p>
    <w:p>
      <w:pPr>
        <w:spacing w:after="0" w:line="164"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ind w:left="3360"/>
        <w:spacing w:after="0"/>
        <w:rPr>
          <w:sz w:val="20"/>
          <w:szCs w:val="20"/>
          <w:color w:val="auto"/>
        </w:rPr>
      </w:pPr>
      <w:r>
        <w:rPr>
          <w:rFonts w:ascii="Calibri" w:cs="Calibri" w:eastAsia="Calibri" w:hAnsi="Calibri"/>
          <w:sz w:val="20"/>
          <w:szCs w:val="20"/>
          <w:b w:val="1"/>
          <w:bCs w:val="1"/>
          <w:color w:val="auto"/>
        </w:rPr>
        <w:t>PROGRAM REQUIREMENTS SUBJECT TO CURE PERIOD</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3.1.</w:t>
      </w:r>
      <w:r>
        <w:rPr>
          <w:sz w:val="20"/>
          <w:szCs w:val="20"/>
          <w:color w:val="auto"/>
        </w:rPr>
        <w:tab/>
      </w:r>
      <w:r>
        <w:rPr>
          <w:rFonts w:ascii="Calibri" w:cs="Calibri" w:eastAsia="Calibri" w:hAnsi="Calibri"/>
          <w:sz w:val="20"/>
          <w:szCs w:val="20"/>
          <w:b w:val="1"/>
          <w:bCs w:val="1"/>
          <w:color w:val="auto"/>
        </w:rPr>
        <w:t>Economic and Natonal Security Objectves.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3.1.1</w:t>
      </w:r>
      <w:r>
        <w:rPr>
          <w:sz w:val="20"/>
          <w:szCs w:val="20"/>
          <w:color w:val="auto"/>
        </w:rPr>
        <w:tab/>
      </w:r>
      <w:r>
        <w:rPr>
          <w:rFonts w:ascii="Calibri" w:cs="Calibri" w:eastAsia="Calibri" w:hAnsi="Calibri"/>
          <w:sz w:val="19"/>
          <w:szCs w:val="19"/>
          <w:b w:val="1"/>
          <w:bCs w:val="1"/>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3.1.2</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3.1.3</w:t>
      </w:r>
      <w:r>
        <w:rPr>
          <w:sz w:val="20"/>
          <w:szCs w:val="20"/>
          <w:color w:val="auto"/>
        </w:rPr>
        <w:tab/>
      </w:r>
      <w:r>
        <w:rPr>
          <w:rFonts w:ascii="Calibri" w:cs="Calibri" w:eastAsia="Calibri" w:hAnsi="Calibri"/>
          <w:sz w:val="19"/>
          <w:szCs w:val="19"/>
          <w:b w:val="1"/>
          <w:bCs w:val="1"/>
          <w:color w:val="auto"/>
        </w:rPr>
        <w:t>Supply Chain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G-17</w:t>
      </w:r>
    </w:p>
    <w:p>
      <w:pPr>
        <w:sectPr>
          <w:pgSz w:w="11900" w:h="16838" w:orient="portrait"/>
          <w:cols w:equalWidth="0" w:num="1">
            <w:col w:w="11240"/>
          </w:cols>
          <w:pgMar w:left="320" w:top="1384" w:right="339" w:bottom="1440" w:gutter="0" w:footer="0" w:header="0"/>
        </w:sectPr>
      </w:pPr>
    </w:p>
    <w:bookmarkStart w:id="431" w:name="page432"/>
    <w:bookmarkEnd w:id="431"/>
    <w:p>
      <w:pPr>
        <w:jc w:val="both"/>
        <w:ind w:firstLine="1952"/>
        <w:spacing w:after="0" w:line="205" w:lineRule="auto"/>
        <w:tabs>
          <w:tab w:leader="none" w:pos="2596" w:val="left"/>
        </w:tabs>
        <w:numPr>
          <w:ilvl w:val="0"/>
          <w:numId w:val="481"/>
        </w:numPr>
        <w:rPr>
          <w:rFonts w:ascii="Calibri" w:cs="Calibri" w:eastAsia="Calibri" w:hAnsi="Calibri"/>
          <w:sz w:val="20"/>
          <w:szCs w:val="20"/>
          <w:color w:val="auto"/>
        </w:rPr>
      </w:pPr>
      <w:r>
        <w:rPr>
          <w:rFonts w:ascii="Calibri" w:cs="Calibri" w:eastAsia="Calibri" w:hAnsi="Calibri"/>
          <w:sz w:val="20"/>
          <w:szCs w:val="20"/>
          <w:color w:val="auto"/>
        </w:rPr>
        <w:t>Each Recipient shall implement and comply with (including through the provision of adequate resources and stafng) supply chain risk management plans, policies and procedures for each Project, which shall include, at a minimum, the following elements:</w:t>
      </w:r>
    </w:p>
    <w:p>
      <w:pPr>
        <w:spacing w:after="0" w:line="161" w:lineRule="exact"/>
        <w:rPr>
          <w:rFonts w:ascii="Calibri" w:cs="Calibri" w:eastAsia="Calibri" w:hAnsi="Calibri"/>
          <w:sz w:val="20"/>
          <w:szCs w:val="20"/>
          <w:color w:val="auto"/>
        </w:rPr>
      </w:pPr>
    </w:p>
    <w:p>
      <w:pPr>
        <w:ind w:left="3240" w:hanging="640"/>
        <w:spacing w:after="0"/>
        <w:tabs>
          <w:tab w:leader="none" w:pos="3240"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requirements to identfy geographic concentraton risks;</w:t>
      </w:r>
    </w:p>
    <w:p>
      <w:pPr>
        <w:spacing w:after="0" w:line="157"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requirements to identfy the name, locaton, and ownership, to the extent reasonably available, for (A) all frst-ter suppliers and service providers, and (B) original sources of critcal suppliers of front end raw materials and equipment supportng the identfcaton of supply chain risks; and</w:t>
      </w:r>
    </w:p>
    <w:p>
      <w:pPr>
        <w:spacing w:after="0" w:line="170" w:lineRule="exact"/>
        <w:rPr>
          <w:rFonts w:ascii="Calibri" w:cs="Calibri" w:eastAsia="Calibri" w:hAnsi="Calibri"/>
          <w:sz w:val="20"/>
          <w:szCs w:val="20"/>
          <w:color w:val="auto"/>
        </w:rPr>
      </w:pPr>
    </w:p>
    <w:p>
      <w:pPr>
        <w:ind w:firstLine="2600"/>
        <w:spacing w:after="0" w:line="208" w:lineRule="auto"/>
        <w:tabs>
          <w:tab w:leader="none" w:pos="3246"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requirements for supplier and distributor qualifcaton and monitoring for quality, integrity, ownership/control, access, and availability risks.</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0"/>
          <w:numId w:val="481"/>
        </w:numPr>
        <w:rPr>
          <w:rFonts w:ascii="Calibri" w:cs="Calibri" w:eastAsia="Calibri" w:hAnsi="Calibri"/>
          <w:sz w:val="20"/>
          <w:szCs w:val="20"/>
          <w:color w:val="auto"/>
        </w:rPr>
      </w:pPr>
      <w:r>
        <w:rPr>
          <w:rFonts w:ascii="Calibri" w:cs="Calibri" w:eastAsia="Calibri" w:hAnsi="Calibri"/>
          <w:sz w:val="20"/>
          <w:szCs w:val="20"/>
          <w:color w:val="auto"/>
        </w:rPr>
        <w:t>Each Recipient shall use commercially reasonable eforts to:</w:t>
      </w:r>
    </w:p>
    <w:p>
      <w:pPr>
        <w:spacing w:after="0" w:line="157" w:lineRule="exact"/>
        <w:rPr>
          <w:rFonts w:ascii="Calibri" w:cs="Calibri" w:eastAsia="Calibri" w:hAnsi="Calibri"/>
          <w:sz w:val="20"/>
          <w:szCs w:val="20"/>
          <w:color w:val="auto"/>
        </w:rPr>
      </w:pPr>
    </w:p>
    <w:p>
      <w:pPr>
        <w:ind w:firstLine="2600"/>
        <w:spacing w:after="0" w:line="214" w:lineRule="auto"/>
        <w:tabs>
          <w:tab w:leader="none" w:pos="3234"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implement bill-of-material requirements in any new or renegotated agreements with suppliers of equipment for the fabricaton and producton of semiconductors;</w:t>
      </w:r>
    </w:p>
    <w:p>
      <w:pPr>
        <w:spacing w:after="0" w:line="158" w:lineRule="exact"/>
        <w:rPr>
          <w:rFonts w:ascii="Calibri" w:cs="Calibri" w:eastAsia="Calibri" w:hAnsi="Calibri"/>
          <w:sz w:val="20"/>
          <w:szCs w:val="20"/>
          <w:color w:val="auto"/>
        </w:rPr>
      </w:pPr>
    </w:p>
    <w:p>
      <w:pPr>
        <w:ind w:firstLine="2600"/>
        <w:spacing w:after="0" w:line="208" w:lineRule="auto"/>
        <w:tabs>
          <w:tab w:leader="none" w:pos="3240"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conduct security audits or receive security atestatons of 20% of frst-ter suppliers of front end raw materials and equipment (in each case for Semiconductor Manufacturing) per year; and</w:t>
      </w:r>
    </w:p>
    <w:p>
      <w:pPr>
        <w:spacing w:after="0" w:line="170" w:lineRule="exact"/>
        <w:rPr>
          <w:rFonts w:ascii="Calibri" w:cs="Calibri" w:eastAsia="Calibri" w:hAnsi="Calibri"/>
          <w:sz w:val="20"/>
          <w:szCs w:val="20"/>
          <w:color w:val="auto"/>
        </w:rPr>
      </w:pPr>
    </w:p>
    <w:p>
      <w:pPr>
        <w:ind w:right="20" w:firstLine="2600"/>
        <w:spacing w:after="0" w:line="208" w:lineRule="auto"/>
        <w:tabs>
          <w:tab w:leader="none" w:pos="3246"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partcipate in industry and government eforts towards achieving viable PFAS (per- and polyfuoroalkyl substances) substtutons and emissions controls.</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481"/>
        </w:numPr>
        <w:rPr>
          <w:rFonts w:ascii="Calibri" w:cs="Calibri" w:eastAsia="Calibri" w:hAnsi="Calibri"/>
          <w:sz w:val="20"/>
          <w:szCs w:val="20"/>
          <w:color w:val="auto"/>
        </w:rPr>
      </w:pPr>
      <w:r>
        <w:rPr>
          <w:rFonts w:ascii="Calibri" w:cs="Calibri" w:eastAsia="Calibri" w:hAnsi="Calibri"/>
          <w:sz w:val="20"/>
          <w:szCs w:val="20"/>
          <w:color w:val="auto"/>
        </w:rPr>
        <w:t>Each Recipient shall use commercially reasonable eforts to mitgate supply chain resilience risks related to importng into the United States qualifed specialty chemicals, including photoresist materials and materials containing PFAS, which eforts may include:</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decreasing use of PFAS in such Recipient’s facilites, material handling, and producton, as well as</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in consorta programs;</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qualifying redundant suppliers and distributors;</w:t>
      </w:r>
    </w:p>
    <w:p>
      <w:pPr>
        <w:spacing w:after="0" w:line="170" w:lineRule="exact"/>
        <w:rPr>
          <w:rFonts w:ascii="Calibri" w:cs="Calibri" w:eastAsia="Calibri" w:hAnsi="Calibri"/>
          <w:sz w:val="20"/>
          <w:szCs w:val="20"/>
          <w:color w:val="auto"/>
        </w:rPr>
      </w:pPr>
    </w:p>
    <w:p>
      <w:pPr>
        <w:ind w:firstLine="2600"/>
        <w:spacing w:after="0" w:line="208" w:lineRule="auto"/>
        <w:tabs>
          <w:tab w:leader="none" w:pos="3246" w:val="left"/>
        </w:tabs>
        <w:numPr>
          <w:ilvl w:val="1"/>
          <w:numId w:val="481"/>
        </w:numPr>
        <w:rPr>
          <w:rFonts w:ascii="Calibri" w:cs="Calibri" w:eastAsia="Calibri" w:hAnsi="Calibri"/>
          <w:sz w:val="20"/>
          <w:szCs w:val="20"/>
          <w:color w:val="auto"/>
        </w:rPr>
      </w:pPr>
      <w:r>
        <w:rPr>
          <w:rFonts w:ascii="Calibri" w:cs="Calibri" w:eastAsia="Calibri" w:hAnsi="Calibri"/>
          <w:sz w:val="20"/>
          <w:szCs w:val="20"/>
          <w:color w:val="auto"/>
        </w:rPr>
        <w:t>encouraging suppliers to partcipate in government programs to address supply chain resilience risks, including programs identfed by the Department; and</w:t>
      </w:r>
    </w:p>
    <w:p>
      <w:pPr>
        <w:spacing w:after="0" w:line="161" w:lineRule="exact"/>
        <w:rPr>
          <w:rFonts w:ascii="Calibri" w:cs="Calibri" w:eastAsia="Calibri" w:hAnsi="Calibri"/>
          <w:sz w:val="20"/>
          <w:szCs w:val="20"/>
          <w:color w:val="auto"/>
        </w:rPr>
      </w:pPr>
    </w:p>
    <w:p>
      <w:pPr>
        <w:ind w:left="3260" w:hanging="660"/>
        <w:spacing w:after="0"/>
        <w:tabs>
          <w:tab w:leader="none" w:pos="3260" w:val="left"/>
        </w:tabs>
        <w:numPr>
          <w:ilvl w:val="1"/>
          <w:numId w:val="481"/>
        </w:numPr>
        <w:rPr>
          <w:rFonts w:ascii="Calibri" w:cs="Calibri" w:eastAsia="Calibri" w:hAnsi="Calibri"/>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3.2.</w:t>
      </w:r>
      <w:r>
        <w:rPr>
          <w:sz w:val="20"/>
          <w:szCs w:val="20"/>
          <w:color w:val="auto"/>
        </w:rPr>
        <w:tab/>
      </w:r>
      <w:r>
        <w:rPr>
          <w:rFonts w:ascii="Calibri" w:cs="Calibri" w:eastAsia="Calibri" w:hAnsi="Calibri"/>
          <w:sz w:val="20"/>
          <w:szCs w:val="20"/>
          <w:b w:val="1"/>
          <w:bCs w:val="1"/>
          <w:color w:val="auto"/>
        </w:rPr>
        <w:t>Natonal Security Objectves</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3.2.1</w:t>
      </w:r>
      <w:r>
        <w:rPr>
          <w:sz w:val="20"/>
          <w:szCs w:val="20"/>
          <w:color w:val="auto"/>
        </w:rPr>
        <w:tab/>
      </w:r>
      <w:r>
        <w:rPr>
          <w:rFonts w:ascii="Calibri" w:cs="Calibri" w:eastAsia="Calibri" w:hAnsi="Calibri"/>
          <w:sz w:val="19"/>
          <w:szCs w:val="19"/>
          <w:b w:val="1"/>
          <w:bCs w:val="1"/>
          <w:color w:val="auto"/>
        </w:rPr>
        <w:t>Cybersecurity.</w:t>
      </w:r>
    </w:p>
    <w:p>
      <w:pPr>
        <w:spacing w:after="0" w:line="171" w:lineRule="exact"/>
        <w:rPr>
          <w:sz w:val="20"/>
          <w:szCs w:val="20"/>
          <w:color w:val="auto"/>
        </w:rPr>
      </w:pPr>
    </w:p>
    <w:p>
      <w:pPr>
        <w:ind w:firstLine="1952"/>
        <w:spacing w:after="0" w:line="208" w:lineRule="auto"/>
        <w:tabs>
          <w:tab w:leader="none" w:pos="2596" w:val="left"/>
        </w:tabs>
        <w:numPr>
          <w:ilvl w:val="0"/>
          <w:numId w:val="482"/>
        </w:numPr>
        <w:rPr>
          <w:rFonts w:ascii="Calibri" w:cs="Calibri" w:eastAsia="Calibri" w:hAnsi="Calibri"/>
          <w:sz w:val="20"/>
          <w:szCs w:val="20"/>
          <w:color w:val="auto"/>
        </w:rPr>
      </w:pPr>
      <w:r>
        <w:rPr>
          <w:rFonts w:ascii="Calibri" w:cs="Calibri" w:eastAsia="Calibri" w:hAnsi="Calibri"/>
          <w:sz w:val="20"/>
          <w:szCs w:val="20"/>
          <w:color w:val="auto"/>
        </w:rPr>
        <w:t>Each Recipient shall implement and comply with (including through the provision of adequate resources and stafng) cybersecurity plans, policies and procedures for each Project which shall include, at a minimum, the following elements:</w:t>
      </w:r>
    </w:p>
    <w:p>
      <w:pPr>
        <w:spacing w:after="0" w:line="161" w:lineRule="exact"/>
        <w:rPr>
          <w:rFonts w:ascii="Calibri" w:cs="Calibri" w:eastAsia="Calibri" w:hAnsi="Calibri"/>
          <w:sz w:val="20"/>
          <w:szCs w:val="20"/>
          <w:color w:val="auto"/>
        </w:rPr>
      </w:pPr>
    </w:p>
    <w:p>
      <w:pPr>
        <w:ind w:left="3240" w:hanging="640"/>
        <w:spacing w:after="0"/>
        <w:tabs>
          <w:tab w:leader="none" w:pos="3240" w:val="left"/>
        </w:tabs>
        <w:numPr>
          <w:ilvl w:val="1"/>
          <w:numId w:val="482"/>
        </w:numPr>
        <w:rPr>
          <w:rFonts w:ascii="Calibri" w:cs="Calibri" w:eastAsia="Calibri" w:hAnsi="Calibri"/>
          <w:sz w:val="20"/>
          <w:szCs w:val="20"/>
          <w:color w:val="auto"/>
        </w:rPr>
      </w:pPr>
      <w:r>
        <w:rPr>
          <w:rFonts w:ascii="Calibri" w:cs="Calibri" w:eastAsia="Calibri" w:hAnsi="Calibri"/>
          <w:sz w:val="20"/>
          <w:szCs w:val="20"/>
          <w:color w:val="auto"/>
        </w:rPr>
        <w:t>controls to identfy informaton and technology assets, threats, and risks;</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1"/>
          <w:numId w:val="482"/>
        </w:numPr>
        <w:rPr>
          <w:rFonts w:ascii="Calibri" w:cs="Calibri" w:eastAsia="Calibri" w:hAnsi="Calibri"/>
          <w:sz w:val="20"/>
          <w:szCs w:val="20"/>
          <w:color w:val="auto"/>
        </w:rPr>
      </w:pPr>
      <w:r>
        <w:rPr>
          <w:rFonts w:ascii="Calibri" w:cs="Calibri" w:eastAsia="Calibri" w:hAnsi="Calibri"/>
          <w:sz w:val="20"/>
          <w:szCs w:val="20"/>
          <w:color w:val="auto"/>
        </w:rPr>
        <w:t>controls to protect data, informaton technology and operatonal technology systems consistent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with industry best practces; and</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482"/>
        </w:numPr>
        <w:rPr>
          <w:rFonts w:ascii="Calibri" w:cs="Calibri" w:eastAsia="Calibri" w:hAnsi="Calibri"/>
          <w:sz w:val="20"/>
          <w:szCs w:val="20"/>
          <w:color w:val="auto"/>
        </w:rPr>
      </w:pPr>
      <w:r>
        <w:rPr>
          <w:rFonts w:ascii="Calibri" w:cs="Calibri" w:eastAsia="Calibri" w:hAnsi="Calibri"/>
          <w:sz w:val="20"/>
          <w:szCs w:val="20"/>
          <w:color w:val="auto"/>
        </w:rPr>
        <w:t>controls to detect, investgate, respond to, recover from, report, and mitgate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G-18</w:t>
      </w:r>
    </w:p>
    <w:p>
      <w:pPr>
        <w:sectPr>
          <w:pgSz w:w="11900" w:h="16838" w:orient="portrait"/>
          <w:cols w:equalWidth="0" w:num="1">
            <w:col w:w="11240"/>
          </w:cols>
          <w:pgMar w:left="320" w:top="1384" w:right="339" w:bottom="1440" w:gutter="0" w:footer="0" w:header="0"/>
        </w:sectPr>
      </w:pPr>
    </w:p>
    <w:bookmarkStart w:id="432" w:name="page433"/>
    <w:bookmarkEnd w:id="432"/>
    <w:p>
      <w:pPr>
        <w:jc w:val="both"/>
        <w:ind w:firstLine="1952"/>
        <w:spacing w:after="0" w:line="203" w:lineRule="auto"/>
        <w:tabs>
          <w:tab w:leader="none" w:pos="2592" w:val="left"/>
        </w:tabs>
        <w:numPr>
          <w:ilvl w:val="0"/>
          <w:numId w:val="483"/>
        </w:numPr>
        <w:rPr>
          <w:rFonts w:ascii="Calibri" w:cs="Calibri" w:eastAsia="Calibri" w:hAnsi="Calibri"/>
          <w:sz w:val="20"/>
          <w:szCs w:val="20"/>
          <w:color w:val="auto"/>
        </w:rPr>
      </w:pPr>
      <w:r>
        <w:rPr>
          <w:rFonts w:ascii="Calibri" w:cs="Calibri" w:eastAsia="Calibri" w:hAnsi="Calibri"/>
          <w:sz w:val="20"/>
          <w:szCs w:val="20"/>
          <w:color w:val="auto"/>
        </w:rPr>
        <w:t>Each Recipient shall make commercially reasonable eforts to update such plans, policies, and procedures to ensure the capabilites of vendor systems are validated to avoid unauthorized access and exfltraton, through internal or external connectons, prior to authorizaton for access to any of such Recipients’ facilites or systems, and scanned for unauthorized transfer or exfltraton, physical and non-physical, prior to removal from such facilites or systems.</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3.2.2</w:t>
      </w:r>
      <w:r>
        <w:rPr>
          <w:sz w:val="20"/>
          <w:szCs w:val="20"/>
          <w:color w:val="auto"/>
        </w:rPr>
        <w:tab/>
      </w:r>
      <w:r>
        <w:rPr>
          <w:rFonts w:ascii="Calibri" w:cs="Calibri" w:eastAsia="Calibri" w:hAnsi="Calibri"/>
          <w:sz w:val="20"/>
          <w:szCs w:val="20"/>
          <w:b w:val="1"/>
          <w:bCs w:val="1"/>
          <w:color w:val="auto"/>
        </w:rPr>
        <w:t>Operatonal Security.</w:t>
      </w:r>
    </w:p>
    <w:p>
      <w:pPr>
        <w:spacing w:after="0" w:line="171" w:lineRule="exact"/>
        <w:rPr>
          <w:sz w:val="20"/>
          <w:szCs w:val="20"/>
          <w:color w:val="auto"/>
        </w:rPr>
      </w:pPr>
    </w:p>
    <w:p>
      <w:pPr>
        <w:jc w:val="both"/>
        <w:ind w:firstLine="1952"/>
        <w:spacing w:after="0" w:line="205" w:lineRule="auto"/>
        <w:tabs>
          <w:tab w:leader="none" w:pos="2596" w:val="left"/>
        </w:tabs>
        <w:numPr>
          <w:ilvl w:val="0"/>
          <w:numId w:val="484"/>
        </w:numPr>
        <w:rPr>
          <w:rFonts w:ascii="Calibri" w:cs="Calibri" w:eastAsia="Calibri" w:hAnsi="Calibri"/>
          <w:sz w:val="20"/>
          <w:szCs w:val="20"/>
          <w:color w:val="auto"/>
        </w:rPr>
      </w:pPr>
      <w:r>
        <w:rPr>
          <w:rFonts w:ascii="Calibri" w:cs="Calibri" w:eastAsia="Calibri" w:hAnsi="Calibri"/>
          <w:sz w:val="20"/>
          <w:szCs w:val="20"/>
          <w:color w:val="auto"/>
        </w:rPr>
        <w:t>Each Recipient shall have implemented as of the Award Date and thereafer comply with (including through the provision of adequate resources and stafng) operatonal security plans, policies and procedures for each Project which shall include, at a minimum, the following elements:</w:t>
      </w:r>
    </w:p>
    <w:p>
      <w:pPr>
        <w:spacing w:after="0" w:line="157" w:lineRule="exact"/>
        <w:rPr>
          <w:rFonts w:ascii="Calibri" w:cs="Calibri" w:eastAsia="Calibri" w:hAnsi="Calibri"/>
          <w:sz w:val="20"/>
          <w:szCs w:val="20"/>
          <w:color w:val="auto"/>
        </w:rPr>
      </w:pPr>
    </w:p>
    <w:p>
      <w:pPr>
        <w:jc w:val="both"/>
        <w:ind w:firstLine="2600"/>
        <w:spacing w:after="0" w:line="209" w:lineRule="auto"/>
        <w:tabs>
          <w:tab w:leader="none" w:pos="3234" w:val="left"/>
        </w:tabs>
        <w:numPr>
          <w:ilvl w:val="1"/>
          <w:numId w:val="484"/>
        </w:numPr>
        <w:rPr>
          <w:rFonts w:ascii="Calibri" w:cs="Calibri" w:eastAsia="Calibri" w:hAnsi="Calibri"/>
          <w:sz w:val="20"/>
          <w:szCs w:val="20"/>
          <w:color w:val="auto"/>
        </w:rPr>
      </w:pPr>
      <w:r>
        <w:rPr>
          <w:rFonts w:ascii="Calibri" w:cs="Calibri" w:eastAsia="Calibri" w:hAnsi="Calibri"/>
          <w:sz w:val="20"/>
          <w:szCs w:val="20"/>
          <w:color w:val="auto"/>
        </w:rPr>
        <w:t>controls to protect physical security through defned perimeters and restricted areas; visitor control processes including visit requests, identfcaton, vetng, and escort procedures; and processes to identfy individuals and control accesses; and</w:t>
      </w:r>
    </w:p>
    <w:p>
      <w:pPr>
        <w:spacing w:after="0" w:line="158"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484"/>
        </w:numPr>
        <w:rPr>
          <w:rFonts w:ascii="Calibri" w:cs="Calibri" w:eastAsia="Calibri" w:hAnsi="Calibri"/>
          <w:sz w:val="20"/>
          <w:szCs w:val="20"/>
          <w:color w:val="auto"/>
        </w:rPr>
      </w:pPr>
      <w:r>
        <w:rPr>
          <w:rFonts w:ascii="Calibri" w:cs="Calibri" w:eastAsia="Calibri" w:hAnsi="Calibri"/>
          <w:sz w:val="20"/>
          <w:szCs w:val="20"/>
          <w:color w:val="auto"/>
        </w:rPr>
        <w:t>controls to mitgate insider threats by vetng employees and contractors in the US, identfying and monitoring for threat indicators, establishing reportng thresholds, and training employees and contractors on insider threat indicators and reportng procedures.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484"/>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71"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3.2.3 </w:t>
      </w:r>
      <w:r>
        <w:rPr>
          <w:rFonts w:ascii="Calibri" w:cs="Calibri" w:eastAsia="Calibri" w:hAnsi="Calibri"/>
          <w:sz w:val="20"/>
          <w:szCs w:val="20"/>
          <w:b w:val="1"/>
          <w:bCs w:val="1"/>
          <w:color w:val="auto"/>
        </w:rPr>
        <w:t>Counterfeit Preventon.</w:t>
      </w:r>
      <w:r>
        <w:rPr>
          <w:rFonts w:ascii="Calibri" w:cs="Calibri" w:eastAsia="Calibri" w:hAnsi="Calibri"/>
          <w:sz w:val="20"/>
          <w:szCs w:val="20"/>
          <w:color w:val="auto"/>
        </w:rPr>
        <w:t xml:space="preserve"> Each Recipient shall have implemented as of the Award Date and thereafer comply with (including through the provision of adequate resources and stafng) counterfeit preventon plans, policies and procedures for each Project which shall include, at a minimum, the following elements:</w:t>
      </w:r>
    </w:p>
    <w:p>
      <w:pPr>
        <w:spacing w:after="0" w:line="148" w:lineRule="exact"/>
        <w:rPr>
          <w:sz w:val="20"/>
          <w:szCs w:val="20"/>
          <w:color w:val="auto"/>
        </w:rPr>
      </w:pPr>
    </w:p>
    <w:p>
      <w:pPr>
        <w:ind w:left="2600" w:hanging="648"/>
        <w:spacing w:after="0"/>
        <w:tabs>
          <w:tab w:leader="none" w:pos="2600" w:val="left"/>
        </w:tabs>
        <w:numPr>
          <w:ilvl w:val="0"/>
          <w:numId w:val="485"/>
        </w:numPr>
        <w:rPr>
          <w:rFonts w:ascii="Calibri" w:cs="Calibri" w:eastAsia="Calibri" w:hAnsi="Calibri"/>
          <w:sz w:val="20"/>
          <w:szCs w:val="20"/>
          <w:color w:val="auto"/>
        </w:rPr>
      </w:pPr>
      <w:r>
        <w:rPr>
          <w:rFonts w:ascii="Calibri" w:cs="Calibri" w:eastAsia="Calibri" w:hAnsi="Calibri"/>
          <w:sz w:val="20"/>
          <w:szCs w:val="20"/>
          <w:color w:val="auto"/>
        </w:rPr>
        <w:t>measures to mitgate against the upstream procurement of counterfeit parts, equipment and materials;</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485"/>
        </w:numPr>
        <w:rPr>
          <w:rFonts w:ascii="Calibri" w:cs="Calibri" w:eastAsia="Calibri" w:hAnsi="Calibri"/>
          <w:sz w:val="20"/>
          <w:szCs w:val="20"/>
          <w:color w:val="auto"/>
        </w:rPr>
      </w:pPr>
      <w:r>
        <w:rPr>
          <w:rFonts w:ascii="Calibri" w:cs="Calibri" w:eastAsia="Calibri" w:hAnsi="Calibri"/>
          <w:sz w:val="20"/>
          <w:szCs w:val="20"/>
          <w:color w:val="auto"/>
        </w:rPr>
        <w:t>measures to integrate security features into products during design and producton processes;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485"/>
        </w:numPr>
        <w:rPr>
          <w:rFonts w:ascii="Calibri" w:cs="Calibri" w:eastAsia="Calibri" w:hAnsi="Calibri"/>
          <w:sz w:val="20"/>
          <w:szCs w:val="20"/>
          <w:color w:val="auto"/>
        </w:rPr>
      </w:pPr>
      <w:r>
        <w:rPr>
          <w:rFonts w:ascii="Calibri" w:cs="Calibri" w:eastAsia="Calibri" w:hAnsi="Calibri"/>
          <w:sz w:val="20"/>
          <w:szCs w:val="20"/>
          <w:color w:val="auto"/>
        </w:rPr>
        <w:t>measures to limit opportunites for downstream cloning, counterfeitng, or relabeling of products; and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485"/>
        </w:numPr>
        <w:rPr>
          <w:rFonts w:ascii="Calibri" w:cs="Calibri" w:eastAsia="Calibri" w:hAnsi="Calibri"/>
          <w:sz w:val="20"/>
          <w:szCs w:val="20"/>
          <w:color w:val="auto"/>
        </w:rPr>
      </w:pPr>
      <w:r>
        <w:rPr>
          <w:rFonts w:ascii="Calibri" w:cs="Calibri" w:eastAsia="Calibri" w:hAnsi="Calibri"/>
          <w:sz w:val="20"/>
          <w:szCs w:val="20"/>
          <w:color w:val="auto"/>
        </w:rPr>
        <w:t>measures for identfying counterfeit products and responding to reports of counterfeit products.</w:t>
      </w:r>
    </w:p>
    <w:p>
      <w:pPr>
        <w:spacing w:after="0" w:line="171" w:lineRule="exact"/>
        <w:rPr>
          <w:sz w:val="20"/>
          <w:szCs w:val="20"/>
          <w:color w:val="auto"/>
        </w:rPr>
      </w:pPr>
    </w:p>
    <w:p>
      <w:pPr>
        <w:ind w:firstLine="1296"/>
        <w:spacing w:after="0" w:line="208" w:lineRule="auto"/>
        <w:rPr>
          <w:sz w:val="20"/>
          <w:szCs w:val="20"/>
          <w:color w:val="auto"/>
        </w:rPr>
      </w:pPr>
      <w:r>
        <w:rPr>
          <w:rFonts w:ascii="Calibri" w:cs="Calibri" w:eastAsia="Calibri" w:hAnsi="Calibri"/>
          <w:sz w:val="20"/>
          <w:szCs w:val="20"/>
          <w:color w:val="auto"/>
        </w:rPr>
        <w:t xml:space="preserve">3.2.4 </w:t>
      </w:r>
      <w:r>
        <w:rPr>
          <w:rFonts w:ascii="Calibri" w:cs="Calibri" w:eastAsia="Calibri" w:hAnsi="Calibri"/>
          <w:sz w:val="20"/>
          <w:szCs w:val="20"/>
          <w:b w:val="1"/>
          <w:bCs w:val="1"/>
          <w:color w:val="auto"/>
        </w:rPr>
        <w:t>Informaton Sharing.</w:t>
      </w:r>
      <w:r>
        <w:rPr>
          <w:rFonts w:ascii="Calibri" w:cs="Calibri" w:eastAsia="Calibri" w:hAnsi="Calibri"/>
          <w:sz w:val="20"/>
          <w:szCs w:val="20"/>
          <w:color w:val="auto"/>
        </w:rPr>
        <w:t xml:space="preserve"> Each Recipient is encouraged to apply to one or more of the following U.S. Government-led programs, as appropriate, and to engage with their local FBI feld ofce to establish a relatonship:</w:t>
      </w:r>
    </w:p>
    <w:p>
      <w:pPr>
        <w:spacing w:after="0" w:line="161" w:lineRule="exact"/>
        <w:rPr>
          <w:sz w:val="20"/>
          <w:szCs w:val="20"/>
          <w:color w:val="auto"/>
        </w:rPr>
      </w:pPr>
    </w:p>
    <w:p>
      <w:pPr>
        <w:ind w:left="2600" w:hanging="648"/>
        <w:spacing w:after="0"/>
        <w:tabs>
          <w:tab w:leader="none" w:pos="2600" w:val="left"/>
        </w:tabs>
        <w:numPr>
          <w:ilvl w:val="0"/>
          <w:numId w:val="486"/>
        </w:numPr>
        <w:rPr>
          <w:rFonts w:ascii="Calibri" w:cs="Calibri" w:eastAsia="Calibri" w:hAnsi="Calibri"/>
          <w:sz w:val="20"/>
          <w:szCs w:val="20"/>
          <w:color w:val="auto"/>
        </w:rPr>
      </w:pPr>
      <w:r>
        <w:rPr>
          <w:rFonts w:ascii="Calibri" w:cs="Calibri" w:eastAsia="Calibri" w:hAnsi="Calibri"/>
          <w:sz w:val="20"/>
          <w:szCs w:val="20"/>
          <w:color w:val="auto"/>
        </w:rPr>
        <w:t>the Domestc Security Alliance Council; and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486"/>
        </w:numPr>
        <w:rPr>
          <w:rFonts w:ascii="Calibri" w:cs="Calibri" w:eastAsia="Calibri" w:hAnsi="Calibri"/>
          <w:sz w:val="20"/>
          <w:szCs w:val="20"/>
          <w:color w:val="auto"/>
        </w:rPr>
      </w:pPr>
      <w:r>
        <w:rPr>
          <w:rFonts w:ascii="Calibri" w:cs="Calibri" w:eastAsia="Calibri" w:hAnsi="Calibri"/>
          <w:sz w:val="20"/>
          <w:szCs w:val="20"/>
          <w:color w:val="auto"/>
        </w:rPr>
        <w:t>InfraGard.</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3.3.</w:t>
      </w:r>
      <w:r>
        <w:rPr>
          <w:sz w:val="20"/>
          <w:szCs w:val="20"/>
          <w:color w:val="auto"/>
        </w:rPr>
        <w:tab/>
      </w:r>
      <w:r>
        <w:rPr>
          <w:rFonts w:ascii="Calibri" w:cs="Calibri" w:eastAsia="Calibri" w:hAnsi="Calibri"/>
          <w:sz w:val="19"/>
          <w:szCs w:val="19"/>
          <w:b w:val="1"/>
          <w:bCs w:val="1"/>
          <w:color w:val="auto"/>
        </w:rPr>
        <w:t>Workforce.</w:t>
      </w:r>
    </w:p>
    <w:p>
      <w:pPr>
        <w:spacing w:after="0" w:line="171" w:lineRule="exact"/>
        <w:rPr>
          <w:sz w:val="20"/>
          <w:szCs w:val="20"/>
          <w:color w:val="auto"/>
        </w:rPr>
      </w:pPr>
    </w:p>
    <w:p>
      <w:pPr>
        <w:jc w:val="both"/>
        <w:ind w:firstLine="1296"/>
        <w:spacing w:after="0" w:line="200" w:lineRule="auto"/>
        <w:rPr>
          <w:sz w:val="20"/>
          <w:szCs w:val="20"/>
          <w:color w:val="auto"/>
        </w:rPr>
      </w:pPr>
      <w:r>
        <w:rPr>
          <w:rFonts w:ascii="Calibri" w:cs="Calibri" w:eastAsia="Calibri" w:hAnsi="Calibri"/>
          <w:sz w:val="20"/>
          <w:szCs w:val="20"/>
          <w:color w:val="auto"/>
        </w:rPr>
        <w:t xml:space="preserve">3.3.1 </w:t>
      </w:r>
      <w:r>
        <w:rPr>
          <w:rFonts w:ascii="Calibri" w:cs="Calibri" w:eastAsia="Calibri" w:hAnsi="Calibri"/>
          <w:sz w:val="20"/>
          <w:szCs w:val="20"/>
          <w:b w:val="1"/>
          <w:bCs w:val="1"/>
          <w:color w:val="auto"/>
        </w:rPr>
        <w:t>Workforce Strategy.</w:t>
      </w:r>
      <w:r>
        <w:rPr>
          <w:rFonts w:ascii="Calibri" w:cs="Calibri" w:eastAsia="Calibri" w:hAnsi="Calibri"/>
          <w:sz w:val="20"/>
          <w:szCs w:val="20"/>
          <w:color w:val="auto"/>
        </w:rPr>
        <w:t xml:space="preserve"> Each Recipient shall have implemented as of the Award Date a workforce strategy with respect to each of its Projects, informed by the Good Jobs Principles, to recruit, train and retain the workforce required to meet the Facility Stafng Targets and Disbursement Milestones, which shall include, at a minimum, the following elements (it being understood that these elements may also count toward the applicable community investment commitments in Secton 3.6 of this Annex when satsfying such community investment commitments to the extent not fnanced with the proceeds of the Workforce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G-19</w:t>
      </w:r>
    </w:p>
    <w:p>
      <w:pPr>
        <w:sectPr>
          <w:pgSz w:w="11900" w:h="16838" w:orient="portrait"/>
          <w:cols w:equalWidth="0" w:num="1">
            <w:col w:w="11240"/>
          </w:cols>
          <w:pgMar w:left="320" w:top="1384" w:right="339" w:bottom="1440" w:gutter="0" w:footer="0" w:header="0"/>
        </w:sectPr>
      </w:pPr>
    </w:p>
    <w:bookmarkStart w:id="433" w:name="page434"/>
    <w:bookmarkEnd w:id="433"/>
    <w:p>
      <w:pPr>
        <w:ind w:firstLine="1952"/>
        <w:spacing w:after="0" w:line="214" w:lineRule="auto"/>
        <w:tabs>
          <w:tab w:leader="none" w:pos="2596" w:val="left"/>
        </w:tabs>
        <w:numPr>
          <w:ilvl w:val="0"/>
          <w:numId w:val="487"/>
        </w:numPr>
        <w:rPr>
          <w:rFonts w:ascii="Calibri" w:cs="Calibri" w:eastAsia="Calibri" w:hAnsi="Calibri"/>
          <w:sz w:val="20"/>
          <w:szCs w:val="20"/>
          <w:color w:val="auto"/>
        </w:rPr>
      </w:pPr>
      <w:r>
        <w:rPr>
          <w:rFonts w:ascii="Calibri" w:cs="Calibri" w:eastAsia="Calibri" w:hAnsi="Calibri"/>
          <w:sz w:val="20"/>
          <w:szCs w:val="20"/>
          <w:color w:val="auto"/>
        </w:rPr>
        <w:t>sponsoring training and educaton programs to expand the pathways to semiconductor career opportunites for economically disadvantaged individuals, and other worker investments, including the following:</w:t>
      </w:r>
    </w:p>
    <w:p>
      <w:pPr>
        <w:spacing w:after="0" w:line="158" w:lineRule="exact"/>
        <w:rPr>
          <w:rFonts w:ascii="Calibri" w:cs="Calibri" w:eastAsia="Calibri" w:hAnsi="Calibri"/>
          <w:sz w:val="20"/>
          <w:szCs w:val="20"/>
          <w:color w:val="auto"/>
        </w:rPr>
      </w:pPr>
    </w:p>
    <w:p>
      <w:pPr>
        <w:jc w:val="both"/>
        <w:ind w:firstLine="2600"/>
        <w:spacing w:after="0" w:line="202" w:lineRule="auto"/>
        <w:tabs>
          <w:tab w:leader="none" w:pos="3234" w:val="left"/>
        </w:tabs>
        <w:numPr>
          <w:ilvl w:val="1"/>
          <w:numId w:val="487"/>
        </w:numPr>
        <w:rPr>
          <w:rFonts w:ascii="Calibri" w:cs="Calibri" w:eastAsia="Calibri" w:hAnsi="Calibri"/>
          <w:sz w:val="20"/>
          <w:szCs w:val="20"/>
          <w:color w:val="auto"/>
        </w:rPr>
      </w:pPr>
      <w:r>
        <w:rPr>
          <w:rFonts w:ascii="Calibri" w:cs="Calibri" w:eastAsia="Calibri" w:hAnsi="Calibri"/>
          <w:sz w:val="20"/>
          <w:szCs w:val="20"/>
          <w:color w:val="auto"/>
        </w:rPr>
        <w:t xml:space="preserve">for the NY Projects, consistent with the NY Recipient’s commitments in its Applicaton (A) through one or more Registered Apprentceship Program hire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apprentces per year afer reaching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who are hired as full-tme employees receiving all of the benefts of any other employee, including tuiton assistance up to $10,000 per year to cover tuiton, books, and fees; and (B) partner with the Syracuse University’s D’Aniello Insttute for Veterans and Military Families in the creaton of the Semiconductor Hub and Onward to Opportunity program in a total amount over a three year period of not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1"/>
          <w:numId w:val="487"/>
        </w:numPr>
        <w:rPr>
          <w:rFonts w:ascii="Calibri" w:cs="Calibri" w:eastAsia="Calibri" w:hAnsi="Calibri"/>
          <w:sz w:val="20"/>
          <w:szCs w:val="20"/>
          <w:color w:val="auto"/>
        </w:rPr>
      </w:pPr>
      <w:r>
        <w:rPr>
          <w:rFonts w:ascii="Calibri" w:cs="Calibri" w:eastAsia="Calibri" w:hAnsi="Calibri"/>
          <w:sz w:val="20"/>
          <w:szCs w:val="20"/>
          <w:color w:val="auto"/>
        </w:rPr>
        <w:t xml:space="preserve">for the ID Project, consistent with the ID Recipient’s commitments in its Applicaton], through one or more Registered Apprentceship Program hire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apprentces per year afer reaching the First Wafer Out Milestone for the ID Project who are hired as full-tme employees receiving all of the benefts of any other employee, including tuiton assistance up to $10,000 per year to cover tuiton, books, and fees;</w:t>
      </w:r>
    </w:p>
    <w:p>
      <w:pPr>
        <w:spacing w:after="0" w:line="159" w:lineRule="exact"/>
        <w:rPr>
          <w:rFonts w:ascii="Calibri" w:cs="Calibri" w:eastAsia="Calibri" w:hAnsi="Calibri"/>
          <w:sz w:val="20"/>
          <w:szCs w:val="20"/>
          <w:color w:val="auto"/>
        </w:rPr>
      </w:pPr>
    </w:p>
    <w:p>
      <w:pPr>
        <w:ind w:right="20" w:firstLine="2600"/>
        <w:spacing w:after="0" w:line="214" w:lineRule="auto"/>
        <w:tabs>
          <w:tab w:leader="none" w:pos="3246" w:val="left"/>
        </w:tabs>
        <w:numPr>
          <w:ilvl w:val="1"/>
          <w:numId w:val="487"/>
        </w:numPr>
        <w:rPr>
          <w:rFonts w:ascii="Calibri" w:cs="Calibri" w:eastAsia="Calibri" w:hAnsi="Calibri"/>
          <w:sz w:val="20"/>
          <w:szCs w:val="20"/>
          <w:color w:val="auto"/>
        </w:rPr>
      </w:pPr>
      <w:r>
        <w:rPr>
          <w:rFonts w:ascii="Calibri" w:cs="Calibri" w:eastAsia="Calibri" w:hAnsi="Calibri"/>
          <w:sz w:val="20"/>
          <w:szCs w:val="20"/>
          <w:color w:val="auto"/>
        </w:rPr>
        <w:t>contnuing their funding commitments, as identfed in the applicatons, for: (A) the constructon of the Onondaga Community College cleanroom ($5,000,000 commitment); and (B) the Micron internship program;</w:t>
      </w:r>
    </w:p>
    <w:p>
      <w:pPr>
        <w:spacing w:after="0" w:line="158" w:lineRule="exact"/>
        <w:rPr>
          <w:rFonts w:ascii="Calibri" w:cs="Calibri" w:eastAsia="Calibri" w:hAnsi="Calibri"/>
          <w:sz w:val="20"/>
          <w:szCs w:val="20"/>
          <w:color w:val="auto"/>
        </w:rPr>
      </w:pPr>
    </w:p>
    <w:p>
      <w:pPr>
        <w:jc w:val="both"/>
        <w:ind w:firstLine="2600"/>
        <w:spacing w:after="0"/>
        <w:tabs>
          <w:tab w:leader="none" w:pos="3244" w:val="left"/>
        </w:tabs>
        <w:numPr>
          <w:ilvl w:val="1"/>
          <w:numId w:val="487"/>
        </w:numPr>
        <w:rPr>
          <w:rFonts w:ascii="Calibri" w:cs="Calibri" w:eastAsia="Calibri" w:hAnsi="Calibri"/>
          <w:sz w:val="20"/>
          <w:szCs w:val="20"/>
          <w:color w:val="auto"/>
        </w:rPr>
      </w:pPr>
      <w:r>
        <w:rPr>
          <w:rFonts w:ascii="Calibri" w:cs="Calibri" w:eastAsia="Calibri" w:hAnsi="Calibri"/>
          <w:sz w:val="20"/>
          <w:szCs w:val="20"/>
          <w:color w:val="auto"/>
        </w:rPr>
        <w:t>the NY Recipient investng ten million Dollars ($10,000,000) over the ten (10) year period commencing in 2023, in the frst collaboratve STEAM school in Onondaga County and other STEM-related K-12 programs in the region; and</w:t>
      </w:r>
    </w:p>
    <w:p>
      <w:pPr>
        <w:spacing w:after="0" w:line="308" w:lineRule="exact"/>
        <w:rPr>
          <w:rFonts w:ascii="Calibri" w:cs="Calibri" w:eastAsia="Calibri" w:hAnsi="Calibri"/>
          <w:sz w:val="20"/>
          <w:szCs w:val="20"/>
          <w:color w:val="auto"/>
        </w:rPr>
      </w:pPr>
    </w:p>
    <w:p>
      <w:pPr>
        <w:jc w:val="both"/>
        <w:ind w:firstLine="2600"/>
        <w:spacing w:after="0" w:line="205" w:lineRule="auto"/>
        <w:tabs>
          <w:tab w:leader="none" w:pos="3238" w:val="left"/>
        </w:tabs>
        <w:numPr>
          <w:ilvl w:val="1"/>
          <w:numId w:val="487"/>
        </w:numPr>
        <w:rPr>
          <w:rFonts w:ascii="Calibri" w:cs="Calibri" w:eastAsia="Calibri" w:hAnsi="Calibri"/>
          <w:sz w:val="20"/>
          <w:szCs w:val="20"/>
          <w:color w:val="auto"/>
        </w:rPr>
      </w:pPr>
      <w:r>
        <w:rPr>
          <w:rFonts w:ascii="Calibri" w:cs="Calibri" w:eastAsia="Calibri" w:hAnsi="Calibri"/>
          <w:sz w:val="20"/>
          <w:szCs w:val="20"/>
          <w:color w:val="auto"/>
        </w:rPr>
        <w:t>contnue ofering and expanding Recipient’s sponsorship and partcipaton in Micron’s signature K-12 programs in Central New York and Boise, Idaho regions, including the Micron Foundaton Chip Camp and Chip Camp Jr. programs, Girls Going Tech, and Careers in a High Tech World;</w:t>
      </w:r>
    </w:p>
    <w:p>
      <w:pPr>
        <w:spacing w:after="0" w:line="184" w:lineRule="exact"/>
        <w:rPr>
          <w:sz w:val="20"/>
          <w:szCs w:val="20"/>
          <w:color w:val="auto"/>
        </w:rPr>
      </w:pPr>
    </w:p>
    <w:p>
      <w:pPr>
        <w:ind w:right="40" w:firstLine="648"/>
        <w:spacing w:after="0" w:line="236" w:lineRule="auto"/>
        <w:rPr>
          <w:sz w:val="20"/>
          <w:szCs w:val="20"/>
          <w:color w:val="auto"/>
        </w:rPr>
      </w:pPr>
      <w:r>
        <w:rPr>
          <w:rFonts w:ascii="Calibri" w:cs="Calibri" w:eastAsia="Calibri" w:hAnsi="Calibri"/>
          <w:sz w:val="20"/>
          <w:szCs w:val="20"/>
          <w:color w:val="auto"/>
        </w:rPr>
        <w:t>provided that, in each case, the applicable Recipient may replace or modify the foregoing with other similar programs that are at least comparable in quality and utlity and are made available to at least the same categories of employees or programs to expand employment opportunity for economically disadvantaged individuals that are at least comparable in efectveness;</w:t>
      </w:r>
    </w:p>
    <w:p>
      <w:pPr>
        <w:spacing w:after="0" w:line="63" w:lineRule="exact"/>
        <w:rPr>
          <w:sz w:val="20"/>
          <w:szCs w:val="20"/>
          <w:color w:val="auto"/>
        </w:rPr>
      </w:pPr>
    </w:p>
    <w:p>
      <w:pPr>
        <w:jc w:val="both"/>
        <w:ind w:firstLine="1952"/>
        <w:spacing w:after="0" w:line="203" w:lineRule="auto"/>
        <w:tabs>
          <w:tab w:leader="none" w:pos="2592" w:val="left"/>
        </w:tabs>
        <w:numPr>
          <w:ilvl w:val="0"/>
          <w:numId w:val="488"/>
        </w:numPr>
        <w:rPr>
          <w:rFonts w:ascii="Calibri" w:cs="Calibri" w:eastAsia="Calibri" w:hAnsi="Calibri"/>
          <w:sz w:val="20"/>
          <w:szCs w:val="20"/>
          <w:color w:val="auto"/>
        </w:rPr>
      </w:pPr>
      <w:r>
        <w:rPr>
          <w:rFonts w:ascii="Calibri" w:cs="Calibri" w:eastAsia="Calibri" w:hAnsi="Calibri"/>
          <w:sz w:val="20"/>
          <w:szCs w:val="20"/>
          <w:color w:val="auto"/>
        </w:rPr>
        <w:t>developing a plan to operatonalize the Good Jobs Principles published by the Departments of Commerce and Labor, including recruitment and hiring practces, pay and benefts, job security and working conditons, worker empowerment, skills and career advancement, and organizatonal culture, which plan shall be delivered to the Department no later than 4 months afer the Award Date;</w:t>
      </w:r>
    </w:p>
    <w:p>
      <w:pPr>
        <w:spacing w:after="0" w:line="159"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488"/>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(i) maintain or enter into bids from contractors that (A) make fnancial contributons to Registered Apprentceship Programs, and (B) encourage partnerships with pre-apprentceship programs that support individuals without access to or familiarity with such Registered Apprentceship Programs; (ii) work with contractors to identfy and recruit candidates from economically disadvantaged populatons; and (iii) work with contractors to provide wraparound services and benefts to employees such as personal protectve equipment, health and safety services, safety events, on-site amenites, and housing services;</w:t>
      </w:r>
    </w:p>
    <w:p>
      <w:pPr>
        <w:spacing w:after="0" w:line="175"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488"/>
        </w:numPr>
        <w:rPr>
          <w:rFonts w:ascii="Calibri" w:cs="Calibri" w:eastAsia="Calibri" w:hAnsi="Calibri"/>
          <w:sz w:val="20"/>
          <w:szCs w:val="20"/>
          <w:color w:val="auto"/>
        </w:rPr>
      </w:pPr>
      <w:r>
        <w:rPr>
          <w:rFonts w:ascii="Calibri" w:cs="Calibri" w:eastAsia="Calibri" w:hAnsi="Calibri"/>
          <w:sz w:val="20"/>
          <w:szCs w:val="20"/>
          <w:color w:val="auto"/>
        </w:rPr>
        <w:t>for the NY Projects, encourage constructon contractors and subcontractors take commercially reasonable eforts to consider candidates for hire from Central New York (CNY) Build;</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86" w:val="left"/>
        </w:tabs>
        <w:numPr>
          <w:ilvl w:val="0"/>
          <w:numId w:val="488"/>
        </w:numPr>
        <w:rPr>
          <w:rFonts w:ascii="Calibri" w:cs="Calibri" w:eastAsia="Calibri" w:hAnsi="Calibri"/>
          <w:sz w:val="20"/>
          <w:szCs w:val="20"/>
          <w:color w:val="auto"/>
        </w:rPr>
      </w:pPr>
      <w:r>
        <w:rPr>
          <w:rFonts w:ascii="Calibri" w:cs="Calibri" w:eastAsia="Calibri" w:hAnsi="Calibri"/>
          <w:sz w:val="20"/>
          <w:szCs w:val="20"/>
          <w:color w:val="auto"/>
        </w:rPr>
        <w:t>establish or maintain a workforce safety commitee comprised of workers and management that meets on a regular basis and is authorized to raise any health or safety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G-20</w:t>
      </w:r>
    </w:p>
    <w:p>
      <w:pPr>
        <w:sectPr>
          <w:pgSz w:w="11900" w:h="16838" w:orient="portrait"/>
          <w:cols w:equalWidth="0" w:num="1">
            <w:col w:w="11240"/>
          </w:cols>
          <w:pgMar w:left="320" w:top="1384" w:right="339" w:bottom="1440" w:gutter="0" w:footer="0" w:header="0"/>
        </w:sectPr>
      </w:pPr>
    </w:p>
    <w:bookmarkStart w:id="434" w:name="page435"/>
    <w:bookmarkEnd w:id="434"/>
    <w:p>
      <w:pPr>
        <w:ind w:right="20" w:firstLine="1952"/>
        <w:spacing w:after="0" w:line="214" w:lineRule="auto"/>
        <w:tabs>
          <w:tab w:leader="none" w:pos="2590"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for all categories of jobs that comprise the Facility Workforce comply with any pay transparency disclosure requirements under federal and applicable state law for the Recipients’ website and in job postngs;</w:t>
      </w:r>
    </w:p>
    <w:p>
      <w:pPr>
        <w:spacing w:after="0" w:line="158" w:lineRule="exact"/>
        <w:rPr>
          <w:rFonts w:ascii="Calibri" w:cs="Calibri" w:eastAsia="Calibri" w:hAnsi="Calibri"/>
          <w:sz w:val="20"/>
          <w:szCs w:val="20"/>
          <w:color w:val="auto"/>
        </w:rPr>
      </w:pPr>
    </w:p>
    <w:p>
      <w:pPr>
        <w:ind w:firstLine="1952"/>
        <w:spacing w:after="0" w:line="214" w:lineRule="auto"/>
        <w:tabs>
          <w:tab w:leader="none" w:pos="2595"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implement a skills-based hiring approach by expanding the minimum qualifcatons that provide entry into semiconductor careers with no degree required;</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implement the CHIPS Women in Constructon Framework at the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Projects;</w:t>
      </w:r>
    </w:p>
    <w:p>
      <w:pPr>
        <w:spacing w:after="0" w:line="157" w:lineRule="exact"/>
        <w:rPr>
          <w:rFonts w:ascii="Calibri" w:cs="Calibri" w:eastAsia="Calibri" w:hAnsi="Calibri"/>
          <w:sz w:val="20"/>
          <w:szCs w:val="20"/>
          <w:color w:val="auto"/>
        </w:rPr>
      </w:pPr>
    </w:p>
    <w:p>
      <w:pPr>
        <w:jc w:val="both"/>
        <w:ind w:firstLine="1952"/>
        <w:spacing w:after="0"/>
        <w:tabs>
          <w:tab w:leader="none" w:pos="2586"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partner with community agencies in their respectve states to open new near-site child-care facilites comprising over 100 seats in each locaton, ofering afordable tuiton rates, under or on-par within the existng oferings in the community, to partcipatng facility workers. Such facilites will provide non-standard operatng hours, up to 24/7 care based on demand, and accept all forms of tuiton payment and other assistance, including reduced tuiton to lower wage earners based on total household income;</w:t>
      </w:r>
    </w:p>
    <w:p>
      <w:pPr>
        <w:spacing w:after="0" w:line="211" w:lineRule="exact"/>
        <w:rPr>
          <w:rFonts w:ascii="Calibri" w:cs="Calibri" w:eastAsia="Calibri" w:hAnsi="Calibri"/>
          <w:sz w:val="20"/>
          <w:szCs w:val="20"/>
          <w:color w:val="auto"/>
        </w:rPr>
      </w:pPr>
    </w:p>
    <w:p>
      <w:pPr>
        <w:jc w:val="both"/>
        <w:ind w:firstLine="1952"/>
        <w:spacing w:after="0" w:line="205" w:lineRule="auto"/>
        <w:tabs>
          <w:tab w:leader="none" w:pos="2594"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partner with child-care organizatons in their respectve states to expand local provider supply and capacity, including: (A) incorporatng an early childhood educaton certfcate in Idaho’s Launch program for high school students; and (B) sponsoring the Early Childhood Pathways program to build capacity of the family homecare pipeline in New York;</w:t>
      </w:r>
    </w:p>
    <w:p>
      <w:pPr>
        <w:spacing w:after="0" w:line="157" w:lineRule="exact"/>
        <w:rPr>
          <w:rFonts w:ascii="Calibri" w:cs="Calibri" w:eastAsia="Calibri" w:hAnsi="Calibri"/>
          <w:sz w:val="20"/>
          <w:szCs w:val="20"/>
          <w:color w:val="auto"/>
        </w:rPr>
      </w:pPr>
    </w:p>
    <w:p>
      <w:pPr>
        <w:ind w:firstLine="1952"/>
        <w:spacing w:after="0" w:line="214" w:lineRule="auto"/>
        <w:tabs>
          <w:tab w:leader="none" w:pos="2591"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sponsor development of an Early Child Development registered apprentceship program through the Treasure Valley YMCA in Idaho with a plan to expand it to Central New York afer the childcare facility is operatonal; and</w:t>
      </w:r>
    </w:p>
    <w:p>
      <w:pPr>
        <w:spacing w:after="0" w:line="158" w:lineRule="exact"/>
        <w:rPr>
          <w:rFonts w:ascii="Calibri" w:cs="Calibri" w:eastAsia="Calibri" w:hAnsi="Calibri"/>
          <w:sz w:val="20"/>
          <w:szCs w:val="20"/>
          <w:color w:val="auto"/>
        </w:rPr>
      </w:pPr>
    </w:p>
    <w:p>
      <w:pPr>
        <w:ind w:right="20" w:firstLine="1952"/>
        <w:spacing w:after="0" w:line="214" w:lineRule="auto"/>
        <w:tabs>
          <w:tab w:leader="none" w:pos="2586" w:val="left"/>
        </w:tabs>
        <w:numPr>
          <w:ilvl w:val="0"/>
          <w:numId w:val="489"/>
        </w:numPr>
        <w:rPr>
          <w:rFonts w:ascii="Calibri" w:cs="Calibri" w:eastAsia="Calibri" w:hAnsi="Calibri"/>
          <w:sz w:val="20"/>
          <w:szCs w:val="20"/>
          <w:color w:val="auto"/>
        </w:rPr>
      </w:pPr>
      <w:r>
        <w:rPr>
          <w:rFonts w:ascii="Calibri" w:cs="Calibri" w:eastAsia="Calibri" w:hAnsi="Calibri"/>
          <w:sz w:val="20"/>
          <w:szCs w:val="20"/>
          <w:color w:val="auto"/>
        </w:rPr>
        <w:t>ofering its employees additonal supports such as, navigaton tools and resources that help employees identfy child care providers that meet their needs and a Dependent Care FSA and backup care subsidy to defray costs.</w:t>
      </w:r>
    </w:p>
    <w:p>
      <w:pPr>
        <w:spacing w:after="0" w:line="159"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3.3.2 </w:t>
      </w:r>
      <w:r>
        <w:rPr>
          <w:rFonts w:ascii="Calibri" w:cs="Calibri" w:eastAsia="Calibri" w:hAnsi="Calibri"/>
          <w:sz w:val="20"/>
          <w:szCs w:val="20"/>
          <w:b w:val="1"/>
          <w:bCs w:val="1"/>
          <w:color w:val="auto"/>
        </w:rPr>
        <w:t>Training Entty Commitments.</w:t>
      </w:r>
      <w:r>
        <w:rPr>
          <w:rFonts w:ascii="Calibri" w:cs="Calibri" w:eastAsia="Calibri" w:hAnsi="Calibri"/>
          <w:sz w:val="20"/>
          <w:szCs w:val="20"/>
          <w:color w:val="auto"/>
        </w:rPr>
        <w:t xml:space="preserve"> Each Recipient shall obtain commitments (which, for the avoidance of doubt, may be evidenced pursuant to memoranda of understanding, writen agreements or other writngs acknowledging a commitment) from regional educatonal and training enttes, insttutons of higher educaton and/or other workforce or training organizatons identfed in the Applicaton, or similar organizatons, to provide, partcipate in, or support the workforce strategy, including the actvites list in Secton 3.3.1 (Workforce Strategy), where applicable.</w:t>
      </w:r>
    </w:p>
    <w:p>
      <w:pPr>
        <w:spacing w:after="0" w:line="161"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3.3.3 </w:t>
      </w:r>
      <w:r>
        <w:rPr>
          <w:rFonts w:ascii="Calibri" w:cs="Calibri" w:eastAsia="Calibri" w:hAnsi="Calibri"/>
          <w:sz w:val="20"/>
          <w:szCs w:val="20"/>
          <w:b w:val="1"/>
          <w:bCs w:val="1"/>
          <w:color w:val="auto"/>
        </w:rPr>
        <w:t>Mega Constructon Project Program.</w:t>
      </w:r>
      <w:r>
        <w:rPr>
          <w:rFonts w:ascii="Calibri" w:cs="Calibri" w:eastAsia="Calibri" w:hAnsi="Calibri"/>
          <w:sz w:val="20"/>
          <w:szCs w:val="20"/>
          <w:color w:val="auto"/>
        </w:rPr>
        <w:t xml:space="preserve"> If selected by DOL’s Ofce of Federal Contract Compliance Programs, the applicable Recipients shall partcipate in the Mega Constructon Project Program.</w:t>
      </w:r>
    </w:p>
    <w:p>
      <w:pPr>
        <w:spacing w:after="0" w:line="149"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3.4.</w:t>
      </w:r>
      <w:r>
        <w:rPr>
          <w:sz w:val="20"/>
          <w:szCs w:val="20"/>
          <w:color w:val="auto"/>
        </w:rPr>
        <w:tab/>
      </w:r>
      <w:r>
        <w:rPr>
          <w:rFonts w:ascii="Calibri" w:cs="Calibri" w:eastAsia="Calibri" w:hAnsi="Calibri"/>
          <w:sz w:val="20"/>
          <w:szCs w:val="20"/>
          <w:b w:val="1"/>
          <w:bCs w:val="1"/>
          <w:color w:val="auto"/>
        </w:rPr>
        <w:t>Broader Impacts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3.4.1</w:t>
      </w:r>
      <w:r>
        <w:rPr>
          <w:sz w:val="20"/>
          <w:szCs w:val="20"/>
          <w:color w:val="auto"/>
        </w:rPr>
        <w:tab/>
      </w:r>
      <w:r>
        <w:rPr>
          <w:rFonts w:ascii="Calibri" w:cs="Calibri" w:eastAsia="Calibri" w:hAnsi="Calibri"/>
          <w:sz w:val="20"/>
          <w:szCs w:val="20"/>
          <w:b w:val="1"/>
          <w:bCs w:val="1"/>
          <w:color w:val="auto"/>
        </w:rPr>
        <w:t>Support for CHIPS Research and Development Programs.</w:t>
      </w:r>
    </w:p>
    <w:p>
      <w:pPr>
        <w:spacing w:after="0" w:line="157" w:lineRule="exact"/>
        <w:rPr>
          <w:sz w:val="20"/>
          <w:szCs w:val="20"/>
          <w:color w:val="auto"/>
        </w:rPr>
      </w:pPr>
    </w:p>
    <w:p>
      <w:pPr>
        <w:jc w:val="both"/>
        <w:ind w:firstLine="1952"/>
        <w:spacing w:after="0" w:line="202" w:lineRule="auto"/>
        <w:tabs>
          <w:tab w:leader="none" w:pos="2596" w:val="left"/>
        </w:tabs>
        <w:numPr>
          <w:ilvl w:val="0"/>
          <w:numId w:val="490"/>
        </w:numPr>
        <w:rPr>
          <w:rFonts w:ascii="Calibri" w:cs="Calibri" w:eastAsia="Calibri" w:hAnsi="Calibri"/>
          <w:sz w:val="20"/>
          <w:szCs w:val="20"/>
          <w:color w:val="auto"/>
        </w:rPr>
      </w:pPr>
      <w:r>
        <w:rPr>
          <w:rFonts w:ascii="Calibri" w:cs="Calibri" w:eastAsia="Calibri" w:hAnsi="Calibri"/>
          <w:sz w:val="20"/>
          <w:szCs w:val="20"/>
          <w:color w:val="auto"/>
        </w:rPr>
        <w:t>Each Recipient (or the Sponsor Guarantor on their behalf) shall be a member of the NSTC for a minimum of fve (5) years, startng from, subject to negotaton and executon of a membership agreement between the Recipients (or the Sponsor Guarantor on their behalf) and the Natonal Center for the Advancement of Semiconductor Technology (Natcast) with mutually agreeable terms, the date that is three (3) months afer the date on which NSTC is capable of acceptng new members, the efectve date of such membership agreement or three (3) months from the date of this Agreement, whichever is later.</w:t>
      </w:r>
    </w:p>
    <w:p>
      <w:pPr>
        <w:spacing w:after="0" w:line="150" w:lineRule="exact"/>
        <w:rPr>
          <w:rFonts w:ascii="Calibri" w:cs="Calibri" w:eastAsia="Calibri" w:hAnsi="Calibri"/>
          <w:sz w:val="20"/>
          <w:szCs w:val="20"/>
          <w:color w:val="auto"/>
        </w:rPr>
      </w:pPr>
    </w:p>
    <w:p>
      <w:pPr>
        <w:ind w:left="2600" w:hanging="648"/>
        <w:spacing w:after="0"/>
        <w:tabs>
          <w:tab w:leader="none" w:pos="2600" w:val="left"/>
        </w:tabs>
        <w:numPr>
          <w:ilvl w:val="0"/>
          <w:numId w:val="490"/>
        </w:numPr>
        <w:rPr>
          <w:rFonts w:ascii="Calibri" w:cs="Calibri" w:eastAsia="Calibri" w:hAnsi="Calibri"/>
          <w:sz w:val="20"/>
          <w:szCs w:val="20"/>
          <w:color w:val="auto"/>
        </w:rPr>
      </w:pPr>
      <w:r>
        <w:rPr>
          <w:rFonts w:ascii="Calibri" w:cs="Calibri" w:eastAsia="Calibri" w:hAnsi="Calibri"/>
          <w:sz w:val="20"/>
          <w:szCs w:val="20"/>
          <w:color w:val="auto"/>
        </w:rPr>
        <w:t>Each Recipient (or the Sponsor Guarantor on their behalf) shall do the following:</w:t>
      </w:r>
    </w:p>
    <w:p>
      <w:pPr>
        <w:spacing w:after="0" w:line="157" w:lineRule="exact"/>
        <w:rPr>
          <w:rFonts w:ascii="Calibri" w:cs="Calibri" w:eastAsia="Calibri" w:hAnsi="Calibri"/>
          <w:sz w:val="20"/>
          <w:szCs w:val="20"/>
          <w:color w:val="auto"/>
        </w:rPr>
      </w:pPr>
    </w:p>
    <w:p>
      <w:pPr>
        <w:ind w:firstLine="2600"/>
        <w:spacing w:after="0" w:line="214" w:lineRule="auto"/>
        <w:tabs>
          <w:tab w:leader="none" w:pos="3234" w:val="left"/>
        </w:tabs>
        <w:numPr>
          <w:ilvl w:val="1"/>
          <w:numId w:val="490"/>
        </w:numPr>
        <w:rPr>
          <w:rFonts w:ascii="Calibri" w:cs="Calibri" w:eastAsia="Calibri" w:hAnsi="Calibri"/>
          <w:sz w:val="20"/>
          <w:szCs w:val="20"/>
          <w:color w:val="auto"/>
        </w:rPr>
      </w:pPr>
      <w:r>
        <w:rPr>
          <w:rFonts w:ascii="Calibri" w:cs="Calibri" w:eastAsia="Calibri" w:hAnsi="Calibri"/>
          <w:sz w:val="20"/>
          <w:szCs w:val="20"/>
          <w:color w:val="auto"/>
        </w:rPr>
        <w:t>designate a senior ofcial of the Recipients (or the Sponsor Guarantor on their behalf) who will serve as the lead point of contact for actvites related to the NSTC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G-21</w:t>
      </w:r>
    </w:p>
    <w:p>
      <w:pPr>
        <w:sectPr>
          <w:pgSz w:w="11900" w:h="16838" w:orient="portrait"/>
          <w:cols w:equalWidth="0" w:num="1">
            <w:col w:w="11240"/>
          </w:cols>
          <w:pgMar w:left="320" w:top="1384" w:right="339" w:bottom="1440" w:gutter="0" w:footer="0" w:header="0"/>
        </w:sectPr>
      </w:pPr>
    </w:p>
    <w:bookmarkStart w:id="435" w:name="page436"/>
    <w:bookmarkEnd w:id="435"/>
    <w:p>
      <w:pPr>
        <w:spacing w:after="0"/>
        <w:rPr>
          <w:sz w:val="20"/>
          <w:szCs w:val="20"/>
          <w:color w:val="auto"/>
        </w:rPr>
      </w:pPr>
      <w:r>
        <w:rPr>
          <w:rFonts w:ascii="Calibri" w:cs="Calibri" w:eastAsia="Calibri" w:hAnsi="Calibri"/>
          <w:sz w:val="20"/>
          <w:szCs w:val="20"/>
          <w:color w:val="auto"/>
        </w:rPr>
        <w:t>and, if requested by the NSTC, serve as a member of the NSTC’s Technical Advisory Commitee and relevant working groups;</w:t>
      </w:r>
    </w:p>
    <w:p>
      <w:pPr>
        <w:spacing w:after="0" w:line="147" w:lineRule="exact"/>
        <w:rPr>
          <w:sz w:val="20"/>
          <w:szCs w:val="20"/>
          <w:color w:val="auto"/>
        </w:rPr>
      </w:pPr>
    </w:p>
    <w:p>
      <w:pPr>
        <w:ind w:left="3240" w:hanging="640"/>
        <w:spacing w:after="0"/>
        <w:tabs>
          <w:tab w:leader="none" w:pos="3240" w:val="left"/>
        </w:tabs>
        <w:numPr>
          <w:ilvl w:val="0"/>
          <w:numId w:val="491"/>
        </w:numPr>
        <w:rPr>
          <w:rFonts w:ascii="Calibri" w:cs="Calibri" w:eastAsia="Calibri" w:hAnsi="Calibri"/>
          <w:sz w:val="20"/>
          <w:szCs w:val="20"/>
          <w:color w:val="auto"/>
        </w:rPr>
      </w:pPr>
      <w:r>
        <w:rPr>
          <w:rFonts w:ascii="Calibri" w:cs="Calibri" w:eastAsia="Calibri" w:hAnsi="Calibri"/>
          <w:sz w:val="20"/>
          <w:szCs w:val="20"/>
          <w:color w:val="auto"/>
        </w:rPr>
        <w:t>partcipate in the NSTC Workforce Center of Excellence, including sharing the Recipient’s best</w:t>
      </w:r>
    </w:p>
    <w:p>
      <w:pPr>
        <w:spacing w:after="0" w:line="199" w:lineRule="auto"/>
        <w:rPr>
          <w:sz w:val="20"/>
          <w:szCs w:val="20"/>
          <w:color w:val="auto"/>
        </w:rPr>
      </w:pPr>
      <w:r>
        <w:rPr>
          <w:rFonts w:ascii="Calibri" w:cs="Calibri" w:eastAsia="Calibri" w:hAnsi="Calibri"/>
          <w:sz w:val="20"/>
          <w:szCs w:val="20"/>
          <w:color w:val="auto"/>
        </w:rPr>
        <w:t>practces; and</w:t>
      </w:r>
    </w:p>
    <w:p>
      <w:pPr>
        <w:spacing w:after="0" w:line="157" w:lineRule="exact"/>
        <w:rPr>
          <w:sz w:val="20"/>
          <w:szCs w:val="20"/>
          <w:color w:val="auto"/>
        </w:rPr>
      </w:pPr>
    </w:p>
    <w:p>
      <w:pPr>
        <w:jc w:val="both"/>
        <w:ind w:firstLine="2600"/>
        <w:spacing w:after="0" w:line="203" w:lineRule="auto"/>
        <w:tabs>
          <w:tab w:leader="none" w:pos="3246" w:val="left"/>
        </w:tabs>
        <w:numPr>
          <w:ilvl w:val="0"/>
          <w:numId w:val="492"/>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support R&amp;D and other technology advancement eforts through actve partcipaton in the NSTC and/or other CHIPS R&amp;D programs, subject to negotaton and executon of agreements between the Recipients (or the Sponsor Guarantor on their behalf), the Natonal Center for the Advancement of Semiconductor Technology (Natcast) and the Department’s CHIPS R&amp;D Ofce.</w:t>
      </w:r>
    </w:p>
    <w:p>
      <w:pPr>
        <w:spacing w:after="0" w:line="163"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3.4.2</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3.5.</w:t>
      </w:r>
      <w:r>
        <w:rPr>
          <w:sz w:val="20"/>
          <w:szCs w:val="20"/>
          <w:color w:val="auto"/>
        </w:rPr>
        <w:tab/>
      </w:r>
      <w:r>
        <w:rPr>
          <w:rFonts w:ascii="Calibri" w:cs="Calibri" w:eastAsia="Calibri" w:hAnsi="Calibri"/>
          <w:sz w:val="19"/>
          <w:szCs w:val="19"/>
          <w:b w:val="1"/>
          <w:bCs w:val="1"/>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3.5.1</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3.5.2</w:t>
      </w:r>
      <w:r>
        <w:rPr>
          <w:sz w:val="20"/>
          <w:szCs w:val="20"/>
          <w:color w:val="auto"/>
        </w:rPr>
        <w:tab/>
      </w:r>
      <w:r>
        <w:rPr>
          <w:rFonts w:ascii="Calibri" w:cs="Calibri" w:eastAsia="Calibri" w:hAnsi="Calibri"/>
          <w:sz w:val="19"/>
          <w:szCs w:val="19"/>
          <w:b w:val="1"/>
          <w:bCs w:val="1"/>
          <w:color w:val="auto"/>
        </w:rPr>
        <w:t>[***].</w:t>
      </w:r>
    </w:p>
    <w:p>
      <w:pPr>
        <w:spacing w:after="0" w:line="157"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3.5.3 </w:t>
      </w:r>
      <w:r>
        <w:rPr>
          <w:rFonts w:ascii="Calibri" w:cs="Calibri" w:eastAsia="Calibri" w:hAnsi="Calibri"/>
          <w:sz w:val="20"/>
          <w:szCs w:val="20"/>
          <w:b w:val="1"/>
          <w:bCs w:val="1"/>
          <w:color w:val="auto"/>
        </w:rPr>
        <w:t>Public Reportng; Department Reportng.</w:t>
      </w:r>
      <w:r>
        <w:rPr>
          <w:rFonts w:ascii="Calibri" w:cs="Calibri" w:eastAsia="Calibri" w:hAnsi="Calibri"/>
          <w:sz w:val="20"/>
          <w:szCs w:val="20"/>
          <w:color w:val="auto"/>
        </w:rPr>
        <w:t xml:space="preserve"> Commencing no later than the frst full calendar year following start of operatons of ID Project (for the ID Project) and frst full calendar year following the start of operatons of Fab 1 for the NY Projects, the Recipients shall (a) disclose in the Sponsor Guarantor’s Sustainability Report, sustainability webpage, or equivalent the environmental responsibility goals adopted by the Recipients for the Sponsor Guarantor and its subsidiaries (inclusive of the Projects, though not necessarily identfying site-specifc goals), and shall thereafer annually report on progress against these goals with appropriate metrics, and (b) disclose to the Department the environmental responsibility goals adopted by the Recipients for the Projects, and shall thereafer annually report on the Recipients’ progress against these goals with appropriate metrics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3"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3.5.4 </w:t>
      </w:r>
      <w:r>
        <w:rPr>
          <w:rFonts w:ascii="Calibri" w:cs="Calibri" w:eastAsia="Calibri" w:hAnsi="Calibri"/>
          <w:sz w:val="20"/>
          <w:szCs w:val="20"/>
          <w:b w:val="1"/>
          <w:bCs w:val="1"/>
          <w:color w:val="auto"/>
        </w:rPr>
        <w:t>Adopton of Protectve Occupatonal Exposure Limits.</w:t>
      </w:r>
      <w:r>
        <w:rPr>
          <w:rFonts w:ascii="Calibri" w:cs="Calibri" w:eastAsia="Calibri" w:hAnsi="Calibri"/>
          <w:sz w:val="20"/>
          <w:szCs w:val="20"/>
          <w:color w:val="auto"/>
        </w:rPr>
        <w:t xml:space="preserve"> In developing its safety procedures for each Project, Recipient shall incorporate the most protectve (i.e., lowest) Occupatonal Exposure Limit (“</w:t>
      </w:r>
      <w:r>
        <w:rPr>
          <w:rFonts w:ascii="Calibri" w:cs="Calibri" w:eastAsia="Calibri" w:hAnsi="Calibri"/>
          <w:sz w:val="20"/>
          <w:szCs w:val="20"/>
          <w:b w:val="1"/>
          <w:bCs w:val="1"/>
          <w:color w:val="auto"/>
        </w:rPr>
        <w:t>OEL</w:t>
      </w:r>
      <w:r>
        <w:rPr>
          <w:rFonts w:ascii="Calibri" w:cs="Calibri" w:eastAsia="Calibri" w:hAnsi="Calibri"/>
          <w:sz w:val="20"/>
          <w:szCs w:val="20"/>
          <w:color w:val="auto"/>
        </w:rPr>
        <w:t>”), pursuant to the American Conference of Governmental Industrial Hygienists (“</w:t>
      </w:r>
      <w:r>
        <w:rPr>
          <w:rFonts w:ascii="Calibri" w:cs="Calibri" w:eastAsia="Calibri" w:hAnsi="Calibri"/>
          <w:sz w:val="20"/>
          <w:szCs w:val="20"/>
          <w:b w:val="1"/>
          <w:bCs w:val="1"/>
          <w:color w:val="auto"/>
        </w:rPr>
        <w:t>ACGIH</w:t>
      </w:r>
      <w:r>
        <w:rPr>
          <w:rFonts w:ascii="Calibri" w:cs="Calibri" w:eastAsia="Calibri" w:hAnsi="Calibri"/>
          <w:sz w:val="20"/>
          <w:szCs w:val="20"/>
          <w:color w:val="auto"/>
        </w:rPr>
        <w:t>”) threshold limit values (“</w:t>
      </w:r>
      <w:r>
        <w:rPr>
          <w:rFonts w:ascii="Calibri" w:cs="Calibri" w:eastAsia="Calibri" w:hAnsi="Calibri"/>
          <w:sz w:val="20"/>
          <w:szCs w:val="20"/>
          <w:b w:val="1"/>
          <w:bCs w:val="1"/>
          <w:color w:val="auto"/>
        </w:rPr>
        <w:t>TLVs</w:t>
      </w:r>
      <w:r>
        <w:rPr>
          <w:rFonts w:ascii="Calibri" w:cs="Calibri" w:eastAsia="Calibri" w:hAnsi="Calibri"/>
          <w:sz w:val="20"/>
          <w:szCs w:val="20"/>
          <w:color w:val="auto"/>
        </w:rPr>
        <w:t>”) or the Recipient’s own limit if lower than the ACGIH TLVs, for the chemicals used and the Project-specifc scenarios (overarching, equipment-specifc, or task-specifc) in which they are applied. Where Recipient has determined to incorporate a newly promulgated lower OEL, Recipient shall revise its safety procedures within ninety (90) days afer promulgaton of a new lower OEL to incorporate the new lower limit(s), when applicable.</w:t>
      </w:r>
    </w:p>
    <w:p>
      <w:pPr>
        <w:spacing w:after="0" w:line="176"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3.5.5 </w:t>
      </w:r>
      <w:r>
        <w:rPr>
          <w:rFonts w:ascii="Calibri" w:cs="Calibri" w:eastAsia="Calibri" w:hAnsi="Calibri"/>
          <w:sz w:val="20"/>
          <w:szCs w:val="20"/>
          <w:b w:val="1"/>
          <w:bCs w:val="1"/>
          <w:color w:val="auto"/>
        </w:rPr>
        <w:t>Adherence to Standard Environmental, Health, and Safety Guidelines.</w:t>
      </w:r>
      <w:r>
        <w:rPr>
          <w:rFonts w:ascii="Calibri" w:cs="Calibri" w:eastAsia="Calibri" w:hAnsi="Calibri"/>
          <w:sz w:val="20"/>
          <w:szCs w:val="20"/>
          <w:color w:val="auto"/>
        </w:rPr>
        <w:t xml:space="preserve"> The Recipient shall ensure that semiconductor manufacturing equipment (SME) (i.e., process equipment) at the ID Project is procured, installed, and commissioned in accordance with SEMI S2 – Environmental, Health, and Safety Guideline for Semiconductor Manufacturing Equipment or other equally protectve, internally-recognized safety certfcatons.</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3.5.6</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3.5.7</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3.5.8</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3.6.</w:t>
      </w:r>
      <w:r>
        <w:rPr>
          <w:sz w:val="20"/>
          <w:szCs w:val="20"/>
          <w:color w:val="auto"/>
        </w:rPr>
        <w:tab/>
      </w:r>
      <w:r>
        <w:rPr>
          <w:rFonts w:ascii="Calibri" w:cs="Calibri" w:eastAsia="Calibri" w:hAnsi="Calibri"/>
          <w:sz w:val="20"/>
          <w:szCs w:val="20"/>
          <w:b w:val="1"/>
          <w:bCs w:val="1"/>
          <w:color w:val="auto"/>
        </w:rPr>
        <w:t xml:space="preserve">Community Investment. </w:t>
      </w:r>
      <w:r>
        <w:rPr>
          <w:rFonts w:ascii="Calibri" w:cs="Calibri" w:eastAsia="Calibri" w:hAnsi="Calibri"/>
          <w:sz w:val="20"/>
          <w:szCs w:val="20"/>
          <w:color w:val="auto"/>
        </w:rPr>
        <w:t>The Recipients, as applicable, shall make:</w:t>
      </w:r>
    </w:p>
    <w:p>
      <w:pPr>
        <w:spacing w:after="0" w:line="157" w:lineRule="exact"/>
        <w:rPr>
          <w:sz w:val="20"/>
          <w:szCs w:val="20"/>
          <w:color w:val="auto"/>
        </w:rPr>
      </w:pPr>
    </w:p>
    <w:p>
      <w:pPr>
        <w:jc w:val="both"/>
        <w:ind w:firstLine="1952"/>
        <w:spacing w:after="0"/>
        <w:tabs>
          <w:tab w:leader="none" w:pos="2596" w:val="left"/>
        </w:tabs>
        <w:numPr>
          <w:ilvl w:val="0"/>
          <w:numId w:val="493"/>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NY Projects, investments of no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to the Green CHIPS Community Investment Fund, to be invested during Green Chips Phase 1 (between 2023 and 2035 and associated with Fab 1 and Fab 2), and additonal investments consistent with the NY Recipient’s obligatons under Green Chips Phase 2 to be invested during Green Chips Phase 2,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G-22</w:t>
      </w:r>
    </w:p>
    <w:p>
      <w:pPr>
        <w:sectPr>
          <w:pgSz w:w="11900" w:h="16838" w:orient="portrait"/>
          <w:cols w:equalWidth="0" w:num="1">
            <w:col w:w="11240"/>
          </w:cols>
          <w:pgMar w:left="320" w:top="1374" w:right="339" w:bottom="1440" w:gutter="0" w:footer="0" w:header="0"/>
        </w:sectPr>
      </w:pPr>
    </w:p>
    <w:bookmarkStart w:id="436" w:name="page437"/>
    <w:bookmarkEnd w:id="436"/>
    <w:p>
      <w:pPr>
        <w:spacing w:after="0"/>
        <w:rPr>
          <w:sz w:val="20"/>
          <w:szCs w:val="20"/>
          <w:color w:val="auto"/>
        </w:rPr>
      </w:pPr>
      <w:r>
        <w:rPr>
          <w:rFonts w:ascii="Calibri" w:cs="Calibri" w:eastAsia="Calibri" w:hAnsi="Calibri"/>
          <w:sz w:val="20"/>
          <w:szCs w:val="20"/>
          <w:color w:val="auto"/>
        </w:rPr>
        <w:t>NY Recipient constructs two (2) subsequent fabricaton facilites to be co-located with Fab 1 and Fab 2; and</w:t>
      </w:r>
    </w:p>
    <w:p>
      <w:pPr>
        <w:spacing w:after="0" w:line="157" w:lineRule="exact"/>
        <w:rPr>
          <w:sz w:val="20"/>
          <w:szCs w:val="20"/>
          <w:color w:val="auto"/>
        </w:rPr>
      </w:pPr>
    </w:p>
    <w:p>
      <w:pPr>
        <w:jc w:val="both"/>
        <w:ind w:firstLine="1952"/>
        <w:spacing w:after="0" w:line="203" w:lineRule="auto"/>
        <w:tabs>
          <w:tab w:leader="none" w:pos="2592" w:val="left"/>
        </w:tabs>
        <w:numPr>
          <w:ilvl w:val="0"/>
          <w:numId w:val="494"/>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ID Project, within ten (10) years from the public announcement of the ID Project, investments no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in Idaho for purposes including, but not limited to: of infrastructure, transportaton and mobility access, housing afordability and access, and entry-level relocaton expenses, including, but not limited to, student loans and retrement grants, childcare, and/or internship/apprentceship programs.</w:t>
      </w:r>
    </w:p>
    <w:p>
      <w:pPr>
        <w:spacing w:after="0" w:line="16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b w:val="1"/>
          <w:bCs w:val="1"/>
          <w:color w:val="auto"/>
        </w:rPr>
        <w:t>Secton 3.7.</w:t>
      </w:r>
      <w:r>
        <w:rPr>
          <w:sz w:val="20"/>
          <w:szCs w:val="20"/>
          <w:color w:val="auto"/>
        </w:rPr>
        <w:tab/>
      </w:r>
      <w:r>
        <w:rPr>
          <w:rFonts w:ascii="Calibri" w:cs="Calibri" w:eastAsia="Calibri" w:hAnsi="Calibri"/>
          <w:sz w:val="20"/>
          <w:szCs w:val="20"/>
          <w:b w:val="1"/>
          <w:bCs w:val="1"/>
          <w:color w:val="auto"/>
        </w:rPr>
        <w:t>Signage.</w:t>
      </w:r>
    </w:p>
    <w:p>
      <w:pPr>
        <w:spacing w:after="0" w:line="147" w:lineRule="exact"/>
        <w:rPr>
          <w:sz w:val="20"/>
          <w:szCs w:val="20"/>
          <w:color w:val="auto"/>
        </w:rPr>
      </w:pPr>
    </w:p>
    <w:p>
      <w:pPr>
        <w:ind w:left="2600" w:hanging="648"/>
        <w:spacing w:after="0"/>
        <w:tabs>
          <w:tab w:leader="none" w:pos="2600" w:val="left"/>
        </w:tabs>
        <w:numPr>
          <w:ilvl w:val="0"/>
          <w:numId w:val="495"/>
        </w:numPr>
        <w:rPr>
          <w:rFonts w:ascii="Calibri" w:cs="Calibri" w:eastAsia="Calibri" w:hAnsi="Calibri"/>
          <w:sz w:val="20"/>
          <w:szCs w:val="20"/>
          <w:color w:val="auto"/>
        </w:rPr>
      </w:pPr>
      <w:r>
        <w:rPr>
          <w:rFonts w:ascii="Calibri" w:cs="Calibri" w:eastAsia="Calibri" w:hAnsi="Calibri"/>
          <w:sz w:val="20"/>
          <w:szCs w:val="20"/>
          <w:color w:val="auto"/>
        </w:rPr>
        <w:t>Each Recipient is encouraged to</w:t>
      </w:r>
      <w:r>
        <w:rPr>
          <w:rFonts w:ascii="Calibri" w:cs="Calibri" w:eastAsia="Calibri" w:hAnsi="Calibri"/>
          <w:sz w:val="20"/>
          <w:szCs w:val="20"/>
          <w:b w:val="1"/>
          <w:bCs w:val="1"/>
          <w:color w:val="auto"/>
        </w:rPr>
        <w:t>:</w:t>
      </w:r>
    </w:p>
    <w:p>
      <w:pPr>
        <w:spacing w:after="0" w:line="157" w:lineRule="exact"/>
        <w:rPr>
          <w:rFonts w:ascii="Calibri" w:cs="Calibri" w:eastAsia="Calibri" w:hAnsi="Calibri"/>
          <w:sz w:val="20"/>
          <w:szCs w:val="20"/>
          <w:color w:val="auto"/>
        </w:rPr>
      </w:pPr>
    </w:p>
    <w:p>
      <w:pPr>
        <w:jc w:val="both"/>
        <w:ind w:firstLine="2600"/>
        <w:spacing w:after="0" w:line="209" w:lineRule="auto"/>
        <w:tabs>
          <w:tab w:leader="none" w:pos="3234" w:val="left"/>
        </w:tabs>
        <w:numPr>
          <w:ilvl w:val="1"/>
          <w:numId w:val="495"/>
        </w:numPr>
        <w:rPr>
          <w:rFonts w:ascii="Calibri" w:cs="Calibri" w:eastAsia="Calibri" w:hAnsi="Calibri"/>
          <w:sz w:val="20"/>
          <w:szCs w:val="20"/>
          <w:color w:val="auto"/>
        </w:rPr>
      </w:pPr>
      <w:r>
        <w:rPr>
          <w:rFonts w:ascii="Calibri" w:cs="Calibri" w:eastAsia="Calibri" w:hAnsi="Calibri"/>
          <w:sz w:val="20"/>
          <w:szCs w:val="20"/>
          <w:color w:val="auto"/>
        </w:rPr>
        <w:t>post project signage and include public acknowledgments in published and other collateral materials (e.g., press releases, marketng materials, website, etc.) in form and substance satsfactory to NIST, that identfes the nature of the Project(s) and indicates that “the project is funded by the CHIPS Act;”</w:t>
      </w:r>
    </w:p>
    <w:p>
      <w:pPr>
        <w:spacing w:after="0" w:line="158"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495"/>
        </w:numPr>
        <w:rPr>
          <w:rFonts w:ascii="Calibri" w:cs="Calibri" w:eastAsia="Calibri" w:hAnsi="Calibri"/>
          <w:sz w:val="20"/>
          <w:szCs w:val="20"/>
          <w:color w:val="auto"/>
        </w:rPr>
      </w:pPr>
      <w:r>
        <w:rPr>
          <w:rFonts w:ascii="Calibri" w:cs="Calibri" w:eastAsia="Calibri" w:hAnsi="Calibri"/>
          <w:sz w:val="20"/>
          <w:szCs w:val="20"/>
          <w:color w:val="auto"/>
        </w:rPr>
        <w:t>use the ofcial Investng in America emblem in accordance with the Ofcial Investng in America Emblem Style Guide (</w:t>
      </w:r>
      <w:r>
        <w:rPr>
          <w:rFonts w:ascii="Calibri" w:cs="Calibri" w:eastAsia="Calibri" w:hAnsi="Calibri"/>
          <w:sz w:val="20"/>
          <w:szCs w:val="20"/>
          <w:u w:val="single" w:color="auto"/>
          <w:color w:val="0563C1"/>
        </w:rPr>
        <w:t>htps://www.whitehouse.gov/wp-content/uploads/2023/02/Investng-in-America-Brand-Guide.pdf</w:t>
      </w:r>
      <w:r>
        <w:rPr>
          <w:rFonts w:ascii="Calibri" w:cs="Calibri" w:eastAsia="Calibri" w:hAnsi="Calibri"/>
          <w:sz w:val="20"/>
          <w:szCs w:val="20"/>
          <w:color w:val="auto"/>
        </w:rPr>
        <w:t>) in connecton with any Project signage; and</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495"/>
        </w:numPr>
        <w:rPr>
          <w:rFonts w:ascii="Calibri" w:cs="Calibri" w:eastAsia="Calibri" w:hAnsi="Calibri"/>
          <w:sz w:val="20"/>
          <w:szCs w:val="20"/>
          <w:color w:val="auto"/>
        </w:rPr>
      </w:pPr>
      <w:r>
        <w:rPr>
          <w:rFonts w:ascii="Calibri" w:cs="Calibri" w:eastAsia="Calibri" w:hAnsi="Calibri"/>
          <w:sz w:val="20"/>
          <w:szCs w:val="20"/>
          <w:color w:val="auto"/>
        </w:rPr>
        <w:t>use recycled or recovered materials, to the extent commercially feasible, when procuring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project signs.</w:t>
      </w:r>
    </w:p>
    <w:p>
      <w:pPr>
        <w:spacing w:after="0" w:line="157"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495"/>
        </w:numPr>
        <w:rPr>
          <w:rFonts w:ascii="Calibri" w:cs="Calibri" w:eastAsia="Calibri" w:hAnsi="Calibri"/>
          <w:sz w:val="20"/>
          <w:szCs w:val="20"/>
          <w:color w:val="auto"/>
        </w:rPr>
      </w:pPr>
      <w:r>
        <w:rPr>
          <w:rFonts w:ascii="Calibri" w:cs="Calibri" w:eastAsia="Calibri" w:hAnsi="Calibri"/>
          <w:sz w:val="20"/>
          <w:szCs w:val="20"/>
          <w:color w:val="auto"/>
        </w:rPr>
        <w:t>Costs associated with signage and public acknowledgments must be reasonable and limited. Signs or public acknowledgments should not be produced, displayed, or published if doing so results in unreasonable cost, expense, or Recipient burden.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Schedule G-23</w:t>
      </w:r>
    </w:p>
    <w:p>
      <w:pPr>
        <w:sectPr>
          <w:pgSz w:w="11900" w:h="16838" w:orient="portrait"/>
          <w:cols w:equalWidth="0" w:num="1">
            <w:col w:w="11240"/>
          </w:cols>
          <w:pgMar w:left="320" w:top="1374" w:right="3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4"/>
          <w:szCs w:val="14"/>
          <w:b w:val="1"/>
          <w:bCs w:val="1"/>
          <w:color w:val="auto"/>
        </w:rPr>
        <w:t>Exhibit 10.8</w:t>
      </w:r>
    </w:p>
    <w:p>
      <w:pPr>
        <w:spacing w:after="0" w:line="366" w:lineRule="exact"/>
        <w:rPr>
          <w:sz w:val="20"/>
          <w:szCs w:val="20"/>
          <w:color w:val="auto"/>
        </w:rPr>
      </w:pPr>
    </w:p>
    <w:p>
      <w:pPr>
        <w:jc w:val="both"/>
        <w:ind w:left="20" w:hanging="8"/>
        <w:spacing w:after="0" w:line="314" w:lineRule="auto"/>
        <w:rPr>
          <w:sz w:val="20"/>
          <w:szCs w:val="20"/>
          <w:color w:val="auto"/>
        </w:rPr>
      </w:pPr>
      <w:r>
        <w:rPr>
          <w:rFonts w:ascii="Arial" w:cs="Arial" w:eastAsia="Arial" w:hAnsi="Arial"/>
          <w:sz w:val="14"/>
          <w:szCs w:val="14"/>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Dated as of December 9, 2024</w:t>
      </w:r>
    </w:p>
    <w:p>
      <w:pPr>
        <w:spacing w:after="0" w:line="39"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MICRON NEW YORK SEMICONDUCTOR MANUFACTURING LLC</w:t>
      </w:r>
    </w:p>
    <w:p>
      <w:pPr>
        <w:spacing w:after="0" w:line="188"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as Recipient</w:t>
      </w:r>
    </w:p>
    <w:p>
      <w:pPr>
        <w:spacing w:after="0" w:line="188"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and</w:t>
      </w:r>
    </w:p>
    <w:p>
      <w:pPr>
        <w:spacing w:after="0" w:line="201"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U.S. DEPARTMENT OF COMMERCE</w:t>
      </w:r>
    </w:p>
    <w:p>
      <w:pPr>
        <w:spacing w:after="0" w:line="188"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as the Department</w:t>
      </w:r>
    </w:p>
    <w:p>
      <w:pPr>
        <w:spacing w:after="0" w:line="242"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NY PROJECTS</w:t>
      </w:r>
    </w:p>
    <w:p>
      <w:pPr>
        <w:spacing w:after="0" w:line="188"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DIRECT FUNDING AGREEMENT</w:t>
      </w:r>
    </w:p>
    <w:p>
      <w:pPr>
        <w:spacing w:after="0" w:line="188" w:lineRule="exact"/>
        <w:rPr>
          <w:sz w:val="20"/>
          <w:szCs w:val="20"/>
          <w:color w:val="auto"/>
        </w:rPr>
      </w:pPr>
    </w:p>
    <w:p>
      <w:pPr>
        <w:jc w:val="center"/>
        <w:ind w:right="240"/>
        <w:spacing w:after="0"/>
        <w:rPr>
          <w:sz w:val="20"/>
          <w:szCs w:val="20"/>
          <w:color w:val="auto"/>
        </w:rPr>
      </w:pPr>
      <w:r>
        <w:rPr>
          <w:rFonts w:ascii="Calibri" w:cs="Calibri" w:eastAsia="Calibri" w:hAnsi="Calibri"/>
          <w:sz w:val="20"/>
          <w:szCs w:val="20"/>
          <w:color w:val="auto"/>
        </w:rPr>
        <w:t>AWARD ID NO. AP-2024-0023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w:t>
      </w:r>
    </w:p>
    <w:p>
      <w:pPr>
        <w:sectPr>
          <w:pgSz w:w="11900" w:h="16838" w:orient="portrait"/>
          <w:cols w:equalWidth="0" w:num="1">
            <w:col w:w="11240"/>
          </w:cols>
          <w:pgMar w:left="320" w:top="1426" w:right="339" w:bottom="1440" w:gutter="0" w:footer="0" w:header="0"/>
        </w:sectPr>
      </w:pPr>
    </w:p>
    <w:bookmarkStart w:id="438" w:name="page439"/>
    <w:bookmarkEnd w:id="438"/>
    <w:p>
      <w:pPr>
        <w:jc w:val="center"/>
        <w:ind w:right="160"/>
        <w:spacing w:after="0"/>
        <w:rPr>
          <w:sz w:val="20"/>
          <w:szCs w:val="20"/>
          <w:color w:val="auto"/>
        </w:rPr>
      </w:pPr>
      <w:r>
        <w:rPr>
          <w:rFonts w:ascii="Calibri" w:cs="Calibri" w:eastAsia="Calibri" w:hAnsi="Calibri"/>
          <w:sz w:val="20"/>
          <w:szCs w:val="20"/>
          <w:b w:val="1"/>
          <w:bCs w:val="1"/>
          <w:color w:val="auto"/>
        </w:rPr>
        <w:t>TABLE OF CONTENTS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840" w:type="dxa"/>
            <w:vAlign w:val="bottom"/>
          </w:tcPr>
          <w:p>
            <w:pPr>
              <w:ind w:left="4440"/>
              <w:spacing w:after="0"/>
              <w:rPr>
                <w:sz w:val="20"/>
                <w:szCs w:val="20"/>
                <w:color w:val="auto"/>
              </w:rPr>
            </w:pPr>
            <w:r>
              <w:rPr>
                <w:rFonts w:ascii="Calibri" w:cs="Calibri" w:eastAsia="Calibri" w:hAnsi="Calibri"/>
                <w:sz w:val="20"/>
                <w:szCs w:val="20"/>
                <w:b w:val="1"/>
                <w:bCs w:val="1"/>
                <w:color w:val="auto"/>
                <w:w w:val="94"/>
              </w:rPr>
              <w:t>Page</w:t>
            </w:r>
          </w:p>
        </w:tc>
      </w:tr>
      <w:tr>
        <w:trPr>
          <w:trHeight w:val="540"/>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gridSpan w:val="3"/>
          </w:tcPr>
          <w:p>
            <w:pPr>
              <w:jc w:val="center"/>
              <w:ind w:right="3501"/>
              <w:spacing w:after="0"/>
              <w:rPr>
                <w:sz w:val="20"/>
                <w:szCs w:val="20"/>
                <w:color w:val="auto"/>
              </w:rPr>
            </w:pPr>
            <w:r>
              <w:rPr>
                <w:rFonts w:ascii="Calibri" w:cs="Calibri" w:eastAsia="Calibri" w:hAnsi="Calibri"/>
                <w:sz w:val="20"/>
                <w:szCs w:val="20"/>
                <w:color w:val="auto"/>
              </w:rPr>
              <w:t>Artcle 2 Award and Disbursements  5</w:t>
            </w:r>
          </w:p>
        </w:tc>
      </w:tr>
      <w:tr>
        <w:trPr>
          <w:trHeight w:val="351"/>
        </w:trPr>
        <w:tc>
          <w:tcPr>
            <w:tcW w:w="2940" w:type="dxa"/>
            <w:vAlign w:val="bottom"/>
            <w:gridSpan w:val="4"/>
          </w:tcPr>
          <w:p>
            <w:pPr>
              <w:spacing w:after="0"/>
              <w:rPr>
                <w:sz w:val="20"/>
                <w:szCs w:val="20"/>
                <w:color w:val="auto"/>
              </w:rPr>
            </w:pPr>
            <w:r>
              <w:rPr>
                <w:rFonts w:ascii="Calibri" w:cs="Calibri" w:eastAsia="Calibri" w:hAnsi="Calibri"/>
                <w:sz w:val="20"/>
                <w:szCs w:val="20"/>
                <w:color w:val="auto"/>
              </w:rPr>
              <w:t>Secton 2.1.  Award Amount.  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2.2.</w:t>
            </w:r>
          </w:p>
        </w:tc>
        <w:tc>
          <w:tcPr>
            <w:tcW w:w="2200" w:type="dxa"/>
            <w:vAlign w:val="bottom"/>
            <w:gridSpan w:val="4"/>
          </w:tcPr>
          <w:p>
            <w:pPr>
              <w:ind w:left="40"/>
              <w:spacing w:after="0"/>
              <w:rPr>
                <w:sz w:val="20"/>
                <w:szCs w:val="20"/>
                <w:color w:val="auto"/>
              </w:rPr>
            </w:pPr>
            <w:r>
              <w:rPr>
                <w:rFonts w:ascii="Calibri" w:cs="Calibri" w:eastAsia="Calibri" w:hAnsi="Calibri"/>
                <w:sz w:val="20"/>
                <w:szCs w:val="20"/>
                <w:color w:val="auto"/>
              </w:rPr>
              <w:t>Disbursement Procedure</w:t>
            </w:r>
          </w:p>
        </w:tc>
        <w:tc>
          <w:tcPr>
            <w:tcW w:w="960" w:type="dxa"/>
            <w:vAlign w:val="bottom"/>
            <w:gridSpan w:val="2"/>
          </w:tcPr>
          <w:p>
            <w:pPr>
              <w:jc w:val="right"/>
              <w:ind w:right="701"/>
              <w:spacing w:after="0"/>
              <w:rPr>
                <w:sz w:val="20"/>
                <w:szCs w:val="20"/>
                <w:color w:val="auto"/>
              </w:rPr>
            </w:pPr>
            <w:r>
              <w:rPr>
                <w:rFonts w:ascii="Calibri" w:cs="Calibri" w:eastAsia="Calibri" w:hAnsi="Calibri"/>
                <w:sz w:val="20"/>
                <w:szCs w:val="20"/>
                <w:color w:val="auto"/>
              </w:rPr>
              <w:t>6</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2.3.</w:t>
            </w:r>
          </w:p>
        </w:tc>
        <w:tc>
          <w:tcPr>
            <w:tcW w:w="1000" w:type="dxa"/>
            <w:vAlign w:val="bottom"/>
          </w:tcPr>
          <w:p>
            <w:pPr>
              <w:ind w:left="40"/>
              <w:spacing w:after="0"/>
              <w:rPr>
                <w:sz w:val="20"/>
                <w:szCs w:val="20"/>
                <w:color w:val="auto"/>
              </w:rPr>
            </w:pPr>
            <w:r>
              <w:rPr>
                <w:rFonts w:ascii="Calibri" w:cs="Calibri" w:eastAsia="Calibri" w:hAnsi="Calibri"/>
                <w:sz w:val="20"/>
                <w:szCs w:val="20"/>
                <w:color w:val="auto"/>
              </w:rPr>
              <w:t>No Interest</w:t>
            </w:r>
          </w:p>
        </w:tc>
        <w:tc>
          <w:tcPr>
            <w:tcW w:w="300" w:type="dxa"/>
            <w:vAlign w:val="bottom"/>
          </w:tcPr>
          <w:p>
            <w:pPr>
              <w:ind w:left="140"/>
              <w:spacing w:after="0"/>
              <w:rPr>
                <w:sz w:val="20"/>
                <w:szCs w:val="20"/>
                <w:color w:val="auto"/>
              </w:rPr>
            </w:pPr>
            <w:r>
              <w:rPr>
                <w:rFonts w:ascii="Calibri" w:cs="Calibri" w:eastAsia="Calibri" w:hAnsi="Calibri"/>
                <w:sz w:val="20"/>
                <w:szCs w:val="20"/>
                <w:color w:val="auto"/>
              </w:rPr>
              <w:t>8</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2.4.</w:t>
            </w:r>
          </w:p>
        </w:tc>
        <w:tc>
          <w:tcPr>
            <w:tcW w:w="1820" w:type="dxa"/>
            <w:vAlign w:val="bottom"/>
            <w:gridSpan w:val="3"/>
          </w:tcPr>
          <w:p>
            <w:pPr>
              <w:ind w:left="40"/>
              <w:spacing w:after="0"/>
              <w:rPr>
                <w:sz w:val="20"/>
                <w:szCs w:val="20"/>
                <w:color w:val="auto"/>
              </w:rPr>
            </w:pPr>
            <w:r>
              <w:rPr>
                <w:rFonts w:ascii="Calibri" w:cs="Calibri" w:eastAsia="Calibri" w:hAnsi="Calibri"/>
                <w:sz w:val="20"/>
                <w:szCs w:val="20"/>
                <w:color w:val="auto"/>
              </w:rPr>
              <w:t>No Approval of Work</w:t>
            </w:r>
          </w:p>
        </w:tc>
        <w:tc>
          <w:tcPr>
            <w:tcW w:w="380" w:type="dxa"/>
            <w:vAlign w:val="bottom"/>
          </w:tcPr>
          <w:p>
            <w:pPr>
              <w:ind w:left="120"/>
              <w:spacing w:after="0"/>
              <w:rPr>
                <w:sz w:val="20"/>
                <w:szCs w:val="20"/>
                <w:color w:val="auto"/>
              </w:rPr>
            </w:pPr>
            <w:r>
              <w:rPr>
                <w:rFonts w:ascii="Calibri" w:cs="Calibri" w:eastAsia="Calibri" w:hAnsi="Calibri"/>
                <w:sz w:val="20"/>
                <w:szCs w:val="20"/>
                <w:color w:val="auto"/>
              </w:rPr>
              <w:t>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2.5.</w:t>
            </w:r>
          </w:p>
        </w:tc>
        <w:tc>
          <w:tcPr>
            <w:tcW w:w="2200" w:type="dxa"/>
            <w:vAlign w:val="bottom"/>
            <w:gridSpan w:val="4"/>
          </w:tcPr>
          <w:p>
            <w:pPr>
              <w:ind w:left="40"/>
              <w:spacing w:after="0"/>
              <w:rPr>
                <w:sz w:val="20"/>
                <w:szCs w:val="20"/>
                <w:color w:val="auto"/>
              </w:rPr>
            </w:pPr>
            <w:r>
              <w:rPr>
                <w:rFonts w:ascii="Calibri" w:cs="Calibri" w:eastAsia="Calibri" w:hAnsi="Calibri"/>
                <w:sz w:val="20"/>
                <w:szCs w:val="20"/>
                <w:color w:val="auto"/>
              </w:rPr>
              <w:t>Workforce Disbursements</w:t>
            </w:r>
          </w:p>
        </w:tc>
        <w:tc>
          <w:tcPr>
            <w:tcW w:w="120" w:type="dxa"/>
            <w:vAlign w:val="bottom"/>
          </w:tcPr>
          <w:p>
            <w:pPr>
              <w:spacing w:after="0"/>
              <w:rPr>
                <w:sz w:val="24"/>
                <w:szCs w:val="24"/>
                <w:color w:val="auto"/>
              </w:rPr>
            </w:pPr>
          </w:p>
        </w:tc>
        <w:tc>
          <w:tcPr>
            <w:tcW w:w="840" w:type="dxa"/>
            <w:vAlign w:val="bottom"/>
          </w:tcPr>
          <w:p>
            <w:pPr>
              <w:jc w:val="right"/>
              <w:ind w:right="601"/>
              <w:spacing w:after="0"/>
              <w:rPr>
                <w:sz w:val="20"/>
                <w:szCs w:val="20"/>
                <w:color w:val="auto"/>
              </w:rPr>
            </w:pPr>
            <w:r>
              <w:rPr>
                <w:rFonts w:ascii="Calibri" w:cs="Calibri" w:eastAsia="Calibri" w:hAnsi="Calibri"/>
                <w:sz w:val="20"/>
                <w:szCs w:val="20"/>
                <w:color w:val="auto"/>
              </w:rPr>
              <w:t>8</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jc w:val="right"/>
              <w:ind w:right="1"/>
              <w:spacing w:after="0"/>
              <w:rPr>
                <w:sz w:val="20"/>
                <w:szCs w:val="20"/>
                <w:color w:val="auto"/>
              </w:rPr>
            </w:pPr>
            <w:r>
              <w:rPr>
                <w:rFonts w:ascii="Calibri" w:cs="Calibri" w:eastAsia="Calibri" w:hAnsi="Calibri"/>
                <w:sz w:val="20"/>
                <w:szCs w:val="20"/>
                <w:color w:val="auto"/>
              </w:rPr>
              <w:t>Artcle 3 Payments</w:t>
            </w:r>
          </w:p>
        </w:tc>
        <w:tc>
          <w:tcPr>
            <w:tcW w:w="4840" w:type="dxa"/>
            <w:vAlign w:val="bottom"/>
          </w:tcPr>
          <w:p>
            <w:pPr>
              <w:ind w:left="80"/>
              <w:spacing w:after="0"/>
              <w:rPr>
                <w:sz w:val="20"/>
                <w:szCs w:val="20"/>
                <w:color w:val="auto"/>
              </w:rPr>
            </w:pPr>
            <w:r>
              <w:rPr>
                <w:rFonts w:ascii="Calibri" w:cs="Calibri" w:eastAsia="Calibri" w:hAnsi="Calibri"/>
                <w:sz w:val="20"/>
                <w:szCs w:val="20"/>
                <w:color w:val="auto"/>
              </w:rPr>
              <w:t>8</w:t>
            </w:r>
          </w:p>
        </w:tc>
      </w:tr>
      <w:tr>
        <w:trPr>
          <w:trHeight w:val="338"/>
        </w:trPr>
        <w:tc>
          <w:tcPr>
            <w:tcW w:w="6120" w:type="dxa"/>
            <w:vAlign w:val="bottom"/>
            <w:gridSpan w:val="8"/>
          </w:tcPr>
          <w:p>
            <w:pPr>
              <w:spacing w:after="0"/>
              <w:rPr>
                <w:sz w:val="20"/>
                <w:szCs w:val="20"/>
                <w:color w:val="auto"/>
              </w:rPr>
            </w:pPr>
            <w:r>
              <w:rPr>
                <w:rFonts w:ascii="Calibri" w:cs="Calibri" w:eastAsia="Calibri" w:hAnsi="Calibri"/>
                <w:sz w:val="20"/>
                <w:szCs w:val="20"/>
                <w:color w:val="auto"/>
              </w:rPr>
              <w:t>Secton 3.1.  Place and Manner of Payments to the Department.  8</w:t>
            </w: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3.2.</w:t>
            </w:r>
          </w:p>
        </w:tc>
        <w:tc>
          <w:tcPr>
            <w:tcW w:w="1300" w:type="dxa"/>
            <w:vAlign w:val="bottom"/>
            <w:gridSpan w:val="2"/>
          </w:tcPr>
          <w:p>
            <w:pPr>
              <w:ind w:left="40"/>
              <w:spacing w:after="0"/>
              <w:rPr>
                <w:sz w:val="20"/>
                <w:szCs w:val="20"/>
                <w:color w:val="auto"/>
              </w:rPr>
            </w:pPr>
            <w:r>
              <w:rPr>
                <w:rFonts w:ascii="Calibri" w:cs="Calibri" w:eastAsia="Calibri" w:hAnsi="Calibri"/>
                <w:sz w:val="20"/>
                <w:szCs w:val="20"/>
                <w:color w:val="auto"/>
              </w:rPr>
              <w:t>Upside Sharing</w:t>
            </w:r>
          </w:p>
        </w:tc>
        <w:tc>
          <w:tcPr>
            <w:tcW w:w="520" w:type="dxa"/>
            <w:vAlign w:val="bottom"/>
          </w:tcPr>
          <w:p>
            <w:pPr>
              <w:jc w:val="right"/>
              <w:ind w:right="161"/>
              <w:spacing w:after="0"/>
              <w:rPr>
                <w:sz w:val="20"/>
                <w:szCs w:val="20"/>
                <w:color w:val="auto"/>
              </w:rPr>
            </w:pPr>
            <w:r>
              <w:rPr>
                <w:rFonts w:ascii="Calibri" w:cs="Calibri" w:eastAsia="Calibri" w:hAnsi="Calibri"/>
                <w:sz w:val="20"/>
                <w:szCs w:val="20"/>
                <w:color w:val="auto"/>
              </w:rPr>
              <w:t>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3.3.</w:t>
            </w:r>
          </w:p>
        </w:tc>
        <w:tc>
          <w:tcPr>
            <w:tcW w:w="3160" w:type="dxa"/>
            <w:vAlign w:val="bottom"/>
            <w:gridSpan w:val="6"/>
          </w:tcPr>
          <w:p>
            <w:pPr>
              <w:ind w:left="40"/>
              <w:spacing w:after="0"/>
              <w:rPr>
                <w:sz w:val="20"/>
                <w:szCs w:val="20"/>
                <w:color w:val="auto"/>
              </w:rPr>
            </w:pPr>
            <w:r>
              <w:rPr>
                <w:rFonts w:ascii="Calibri" w:cs="Calibri" w:eastAsia="Calibri" w:hAnsi="Calibri"/>
                <w:sz w:val="20"/>
                <w:szCs w:val="20"/>
                <w:color w:val="auto"/>
              </w:rPr>
              <w:t>Payment of Costs and Expenses  10</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3.4.</w:t>
            </w:r>
          </w:p>
        </w:tc>
        <w:tc>
          <w:tcPr>
            <w:tcW w:w="1000" w:type="dxa"/>
            <w:vAlign w:val="bottom"/>
          </w:tcPr>
          <w:p>
            <w:pPr>
              <w:ind w:left="40"/>
              <w:spacing w:after="0"/>
              <w:rPr>
                <w:sz w:val="20"/>
                <w:szCs w:val="20"/>
                <w:color w:val="auto"/>
              </w:rPr>
            </w:pPr>
            <w:r>
              <w:rPr>
                <w:rFonts w:ascii="Calibri" w:cs="Calibri" w:eastAsia="Calibri" w:hAnsi="Calibri"/>
                <w:sz w:val="20"/>
                <w:szCs w:val="20"/>
                <w:color w:val="auto"/>
              </w:rPr>
              <w:t>Net of Tax</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10</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40" w:type="dxa"/>
            <w:vAlign w:val="bottom"/>
            <w:gridSpan w:val="4"/>
          </w:tcPr>
          <w:p>
            <w:pPr>
              <w:jc w:val="center"/>
              <w:ind w:right="3381"/>
              <w:spacing w:after="0"/>
              <w:rPr>
                <w:sz w:val="20"/>
                <w:szCs w:val="20"/>
                <w:color w:val="auto"/>
              </w:rPr>
            </w:pPr>
            <w:r>
              <w:rPr>
                <w:rFonts w:ascii="Calibri" w:cs="Calibri" w:eastAsia="Calibri" w:hAnsi="Calibri"/>
                <w:sz w:val="20"/>
                <w:szCs w:val="20"/>
                <w:color w:val="auto"/>
              </w:rPr>
              <w:t>Artcle 4 Terms Satsfed as of the Award Date  10</w:t>
            </w: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w:t>
            </w:r>
          </w:p>
        </w:tc>
        <w:tc>
          <w:tcPr>
            <w:tcW w:w="1820" w:type="dxa"/>
            <w:vAlign w:val="bottom"/>
            <w:gridSpan w:val="3"/>
          </w:tcPr>
          <w:p>
            <w:pPr>
              <w:ind w:left="40"/>
              <w:spacing w:after="0"/>
              <w:rPr>
                <w:sz w:val="20"/>
                <w:szCs w:val="20"/>
                <w:color w:val="auto"/>
              </w:rPr>
            </w:pPr>
            <w:r>
              <w:rPr>
                <w:rFonts w:ascii="Calibri" w:cs="Calibri" w:eastAsia="Calibri" w:hAnsi="Calibri"/>
                <w:sz w:val="20"/>
                <w:szCs w:val="20"/>
                <w:color w:val="auto"/>
              </w:rPr>
              <w:t>Financing Documents</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10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4.2.</w:t>
            </w:r>
          </w:p>
        </w:tc>
        <w:tc>
          <w:tcPr>
            <w:tcW w:w="2320" w:type="dxa"/>
            <w:vAlign w:val="bottom"/>
            <w:gridSpan w:val="5"/>
          </w:tcPr>
          <w:p>
            <w:pPr>
              <w:ind w:left="40"/>
              <w:spacing w:after="0"/>
              <w:rPr>
                <w:sz w:val="20"/>
                <w:szCs w:val="20"/>
                <w:color w:val="auto"/>
              </w:rPr>
            </w:pPr>
            <w:r>
              <w:rPr>
                <w:rFonts w:ascii="Calibri" w:cs="Calibri" w:eastAsia="Calibri" w:hAnsi="Calibri"/>
                <w:sz w:val="20"/>
                <w:szCs w:val="20"/>
                <w:color w:val="auto"/>
              </w:rPr>
              <w:t>Organizatonal Documents</w:t>
            </w:r>
          </w:p>
        </w:tc>
        <w:tc>
          <w:tcPr>
            <w:tcW w:w="840" w:type="dxa"/>
            <w:vAlign w:val="bottom"/>
          </w:tcPr>
          <w:p>
            <w:pPr>
              <w:jc w:val="right"/>
              <w:ind w:right="461"/>
              <w:spacing w:after="0"/>
              <w:rPr>
                <w:sz w:val="20"/>
                <w:szCs w:val="20"/>
                <w:color w:val="auto"/>
              </w:rPr>
            </w:pPr>
            <w:r>
              <w:rPr>
                <w:rFonts w:ascii="Calibri" w:cs="Calibri" w:eastAsia="Calibri" w:hAnsi="Calibri"/>
                <w:sz w:val="20"/>
                <w:szCs w:val="20"/>
                <w:color w:val="auto"/>
              </w:rPr>
              <w:t>10</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4.3.</w:t>
            </w:r>
          </w:p>
        </w:tc>
        <w:tc>
          <w:tcPr>
            <w:tcW w:w="2320" w:type="dxa"/>
            <w:vAlign w:val="bottom"/>
            <w:gridSpan w:val="5"/>
          </w:tcPr>
          <w:p>
            <w:pPr>
              <w:ind w:left="40"/>
              <w:spacing w:after="0"/>
              <w:rPr>
                <w:sz w:val="20"/>
                <w:szCs w:val="20"/>
                <w:color w:val="auto"/>
              </w:rPr>
            </w:pPr>
            <w:r>
              <w:rPr>
                <w:rFonts w:ascii="Calibri" w:cs="Calibri" w:eastAsia="Calibri" w:hAnsi="Calibri"/>
                <w:sz w:val="20"/>
                <w:szCs w:val="20"/>
                <w:color w:val="auto"/>
              </w:rPr>
              <w:t>Sources and Uses Plan  11</w:t>
            </w: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4.4.</w:t>
            </w:r>
          </w:p>
        </w:tc>
        <w:tc>
          <w:tcPr>
            <w:tcW w:w="1820" w:type="dxa"/>
            <w:vAlign w:val="bottom"/>
            <w:gridSpan w:val="3"/>
          </w:tcPr>
          <w:p>
            <w:pPr>
              <w:ind w:left="40"/>
              <w:spacing w:after="0"/>
              <w:rPr>
                <w:sz w:val="20"/>
                <w:szCs w:val="20"/>
                <w:color w:val="auto"/>
              </w:rPr>
            </w:pPr>
            <w:r>
              <w:rPr>
                <w:rFonts w:ascii="Calibri" w:cs="Calibri" w:eastAsia="Calibri" w:hAnsi="Calibri"/>
                <w:sz w:val="20"/>
                <w:szCs w:val="20"/>
                <w:color w:val="auto"/>
              </w:rPr>
              <w:t>Financial Statements</w:t>
            </w:r>
          </w:p>
        </w:tc>
        <w:tc>
          <w:tcPr>
            <w:tcW w:w="380" w:type="dxa"/>
            <w:vAlign w:val="bottom"/>
          </w:tcPr>
          <w:p>
            <w:pPr>
              <w:ind w:left="120"/>
              <w:spacing w:after="0"/>
              <w:rPr>
                <w:sz w:val="20"/>
                <w:szCs w:val="20"/>
                <w:color w:val="auto"/>
              </w:rPr>
            </w:pPr>
            <w:r>
              <w:rPr>
                <w:rFonts w:ascii="Calibri" w:cs="Calibri" w:eastAsia="Calibri" w:hAnsi="Calibri"/>
                <w:sz w:val="20"/>
                <w:szCs w:val="20"/>
                <w:color w:val="auto"/>
              </w:rPr>
              <w:t>11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4.5.</w:t>
            </w:r>
          </w:p>
        </w:tc>
        <w:tc>
          <w:tcPr>
            <w:tcW w:w="1820" w:type="dxa"/>
            <w:vAlign w:val="bottom"/>
            <w:gridSpan w:val="3"/>
          </w:tcPr>
          <w:p>
            <w:pPr>
              <w:ind w:left="40"/>
              <w:spacing w:after="0"/>
              <w:rPr>
                <w:sz w:val="20"/>
                <w:szCs w:val="20"/>
                <w:color w:val="auto"/>
              </w:rPr>
            </w:pPr>
            <w:r>
              <w:rPr>
                <w:rFonts w:ascii="Calibri" w:cs="Calibri" w:eastAsia="Calibri" w:hAnsi="Calibri"/>
                <w:sz w:val="20"/>
                <w:szCs w:val="20"/>
                <w:color w:val="auto"/>
              </w:rPr>
              <w:t>Required Approvals</w:t>
            </w:r>
          </w:p>
        </w:tc>
        <w:tc>
          <w:tcPr>
            <w:tcW w:w="380" w:type="dxa"/>
            <w:vAlign w:val="bottom"/>
          </w:tcPr>
          <w:p>
            <w:pPr>
              <w:jc w:val="right"/>
              <w:ind w:right="61"/>
              <w:spacing w:after="0"/>
              <w:rPr>
                <w:sz w:val="20"/>
                <w:szCs w:val="20"/>
                <w:color w:val="auto"/>
              </w:rPr>
            </w:pPr>
            <w:r>
              <w:rPr>
                <w:rFonts w:ascii="Calibri" w:cs="Calibri" w:eastAsia="Calibri" w:hAnsi="Calibri"/>
                <w:sz w:val="20"/>
                <w:szCs w:val="20"/>
                <w:color w:val="auto"/>
                <w:w w:val="98"/>
              </w:rPr>
              <w:t>12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4.6.</w:t>
            </w:r>
          </w:p>
        </w:tc>
        <w:tc>
          <w:tcPr>
            <w:tcW w:w="1300" w:type="dxa"/>
            <w:vAlign w:val="bottom"/>
            <w:gridSpan w:val="2"/>
          </w:tcPr>
          <w:p>
            <w:pPr>
              <w:ind w:left="40"/>
              <w:spacing w:after="0"/>
              <w:rPr>
                <w:sz w:val="20"/>
                <w:szCs w:val="20"/>
                <w:color w:val="auto"/>
              </w:rPr>
            </w:pPr>
            <w:r>
              <w:rPr>
                <w:rFonts w:ascii="Calibri" w:cs="Calibri" w:eastAsia="Calibri" w:hAnsi="Calibri"/>
                <w:sz w:val="20"/>
                <w:szCs w:val="20"/>
                <w:color w:val="auto"/>
              </w:rPr>
              <w:t>Legal Opinions</w:t>
            </w:r>
          </w:p>
        </w:tc>
        <w:tc>
          <w:tcPr>
            <w:tcW w:w="520" w:type="dxa"/>
            <w:vAlign w:val="bottom"/>
          </w:tcPr>
          <w:p>
            <w:pPr>
              <w:jc w:val="right"/>
              <w:ind w:right="101"/>
              <w:spacing w:after="0"/>
              <w:rPr>
                <w:sz w:val="20"/>
                <w:szCs w:val="20"/>
                <w:color w:val="auto"/>
              </w:rPr>
            </w:pPr>
            <w:r>
              <w:rPr>
                <w:rFonts w:ascii="Calibri" w:cs="Calibri" w:eastAsia="Calibri" w:hAnsi="Calibri"/>
                <w:sz w:val="20"/>
                <w:szCs w:val="20"/>
                <w:color w:val="auto"/>
              </w:rPr>
              <w:t>12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4.7.</w:t>
            </w:r>
          </w:p>
        </w:tc>
        <w:tc>
          <w:tcPr>
            <w:tcW w:w="1000" w:type="dxa"/>
            <w:vAlign w:val="bottom"/>
          </w:tcPr>
          <w:p>
            <w:pPr>
              <w:ind w:left="40"/>
              <w:spacing w:after="0"/>
              <w:rPr>
                <w:sz w:val="20"/>
                <w:szCs w:val="20"/>
                <w:color w:val="auto"/>
              </w:rPr>
            </w:pPr>
            <w:r>
              <w:rPr>
                <w:rFonts w:ascii="Calibri" w:cs="Calibri" w:eastAsia="Calibri" w:hAnsi="Calibri"/>
                <w:sz w:val="20"/>
                <w:szCs w:val="20"/>
                <w:color w:val="auto"/>
              </w:rPr>
              <w:t>Certfcates</w:t>
            </w:r>
          </w:p>
        </w:tc>
        <w:tc>
          <w:tcPr>
            <w:tcW w:w="820" w:type="dxa"/>
            <w:vAlign w:val="bottom"/>
            <w:gridSpan w:val="2"/>
          </w:tcPr>
          <w:p>
            <w:pPr>
              <w:ind w:left="140"/>
              <w:spacing w:after="0"/>
              <w:rPr>
                <w:sz w:val="20"/>
                <w:szCs w:val="20"/>
                <w:color w:val="auto"/>
              </w:rPr>
            </w:pPr>
            <w:r>
              <w:rPr>
                <w:rFonts w:ascii="Calibri" w:cs="Calibri" w:eastAsia="Calibri" w:hAnsi="Calibri"/>
                <w:sz w:val="20"/>
                <w:szCs w:val="20"/>
                <w:color w:val="auto"/>
              </w:rPr>
              <w:t>12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4.8.</w:t>
            </w:r>
          </w:p>
        </w:tc>
        <w:tc>
          <w:tcPr>
            <w:tcW w:w="3160" w:type="dxa"/>
            <w:vAlign w:val="bottom"/>
            <w:gridSpan w:val="6"/>
          </w:tcPr>
          <w:p>
            <w:pPr>
              <w:ind w:left="40"/>
              <w:spacing w:after="0"/>
              <w:rPr>
                <w:sz w:val="20"/>
                <w:szCs w:val="20"/>
                <w:color w:val="auto"/>
              </w:rPr>
            </w:pPr>
            <w:r>
              <w:rPr>
                <w:rFonts w:ascii="Calibri" w:cs="Calibri" w:eastAsia="Calibri" w:hAnsi="Calibri"/>
                <w:sz w:val="20"/>
                <w:szCs w:val="20"/>
                <w:color w:val="auto"/>
              </w:rPr>
              <w:t>Federal Requirements and Approvals</w:t>
            </w:r>
          </w:p>
        </w:tc>
        <w:tc>
          <w:tcPr>
            <w:tcW w:w="1840" w:type="dxa"/>
            <w:vAlign w:val="bottom"/>
          </w:tcPr>
          <w:p>
            <w:pPr>
              <w:jc w:val="right"/>
              <w:ind w:right="1461"/>
              <w:spacing w:after="0"/>
              <w:rPr>
                <w:sz w:val="20"/>
                <w:szCs w:val="20"/>
                <w:color w:val="auto"/>
              </w:rPr>
            </w:pPr>
            <w:r>
              <w:rPr>
                <w:rFonts w:ascii="Calibri" w:cs="Calibri" w:eastAsia="Calibri" w:hAnsi="Calibri"/>
                <w:sz w:val="20"/>
                <w:szCs w:val="20"/>
                <w:color w:val="auto"/>
              </w:rPr>
              <w:t>12</w:t>
            </w: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4.9.</w:t>
            </w:r>
          </w:p>
        </w:tc>
        <w:tc>
          <w:tcPr>
            <w:tcW w:w="2320" w:type="dxa"/>
            <w:vAlign w:val="bottom"/>
            <w:gridSpan w:val="5"/>
          </w:tcPr>
          <w:p>
            <w:pPr>
              <w:ind w:left="40"/>
              <w:spacing w:after="0"/>
              <w:rPr>
                <w:sz w:val="20"/>
                <w:szCs w:val="20"/>
                <w:color w:val="auto"/>
              </w:rPr>
            </w:pPr>
            <w:r>
              <w:rPr>
                <w:rFonts w:ascii="Calibri" w:cs="Calibri" w:eastAsia="Calibri" w:hAnsi="Calibri"/>
                <w:sz w:val="20"/>
                <w:szCs w:val="20"/>
                <w:color w:val="auto"/>
              </w:rPr>
              <w:t>Base Case Financial Model</w:t>
            </w:r>
          </w:p>
        </w:tc>
        <w:tc>
          <w:tcPr>
            <w:tcW w:w="840" w:type="dxa"/>
            <w:vAlign w:val="bottom"/>
          </w:tcPr>
          <w:p>
            <w:pPr>
              <w:jc w:val="right"/>
              <w:ind w:right="461"/>
              <w:spacing w:after="0"/>
              <w:rPr>
                <w:sz w:val="20"/>
                <w:szCs w:val="20"/>
                <w:color w:val="auto"/>
              </w:rPr>
            </w:pPr>
            <w:r>
              <w:rPr>
                <w:rFonts w:ascii="Calibri" w:cs="Calibri" w:eastAsia="Calibri" w:hAnsi="Calibri"/>
                <w:sz w:val="20"/>
                <w:szCs w:val="20"/>
                <w:color w:val="auto"/>
              </w:rPr>
              <w:t>13</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4.10.</w:t>
            </w:r>
          </w:p>
        </w:tc>
        <w:tc>
          <w:tcPr>
            <w:tcW w:w="2200" w:type="dxa"/>
            <w:vAlign w:val="bottom"/>
            <w:gridSpan w:val="4"/>
          </w:tcPr>
          <w:p>
            <w:pPr>
              <w:ind w:left="140"/>
              <w:spacing w:after="0"/>
              <w:rPr>
                <w:sz w:val="20"/>
                <w:szCs w:val="20"/>
                <w:color w:val="auto"/>
              </w:rPr>
            </w:pPr>
            <w:r>
              <w:rPr>
                <w:rFonts w:ascii="Calibri" w:cs="Calibri" w:eastAsia="Calibri" w:hAnsi="Calibri"/>
                <w:sz w:val="20"/>
                <w:szCs w:val="20"/>
                <w:color w:val="auto"/>
              </w:rPr>
              <w:t>Recipient’s Accountant</w:t>
            </w:r>
          </w:p>
        </w:tc>
        <w:tc>
          <w:tcPr>
            <w:tcW w:w="960" w:type="dxa"/>
            <w:vAlign w:val="bottom"/>
            <w:gridSpan w:val="2"/>
          </w:tcPr>
          <w:p>
            <w:pPr>
              <w:jc w:val="right"/>
              <w:ind w:right="661"/>
              <w:spacing w:after="0"/>
              <w:rPr>
                <w:sz w:val="20"/>
                <w:szCs w:val="20"/>
                <w:color w:val="auto"/>
              </w:rPr>
            </w:pPr>
            <w:r>
              <w:rPr>
                <w:rFonts w:ascii="Calibri" w:cs="Calibri" w:eastAsia="Calibri" w:hAnsi="Calibri"/>
                <w:sz w:val="20"/>
                <w:szCs w:val="20"/>
                <w:color w:val="auto"/>
                <w:w w:val="88"/>
              </w:rPr>
              <w:t>13</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4.11.</w:t>
            </w:r>
          </w:p>
        </w:tc>
        <w:tc>
          <w:tcPr>
            <w:tcW w:w="1820" w:type="dxa"/>
            <w:vAlign w:val="bottom"/>
            <w:gridSpan w:val="3"/>
          </w:tcPr>
          <w:p>
            <w:pPr>
              <w:ind w:left="140"/>
              <w:spacing w:after="0"/>
              <w:rPr>
                <w:sz w:val="20"/>
                <w:szCs w:val="20"/>
                <w:color w:val="auto"/>
              </w:rPr>
            </w:pPr>
            <w:r>
              <w:rPr>
                <w:rFonts w:ascii="Calibri" w:cs="Calibri" w:eastAsia="Calibri" w:hAnsi="Calibri"/>
                <w:sz w:val="20"/>
                <w:szCs w:val="20"/>
                <w:color w:val="auto"/>
              </w:rPr>
              <w:t>Fees and Expenses</w:t>
            </w:r>
          </w:p>
        </w:tc>
        <w:tc>
          <w:tcPr>
            <w:tcW w:w="380" w:type="dxa"/>
            <w:vAlign w:val="bottom"/>
          </w:tcPr>
          <w:p>
            <w:pPr>
              <w:jc w:val="right"/>
              <w:ind w:right="41"/>
              <w:spacing w:after="0"/>
              <w:rPr>
                <w:sz w:val="20"/>
                <w:szCs w:val="20"/>
                <w:color w:val="auto"/>
              </w:rPr>
            </w:pPr>
            <w:r>
              <w:rPr>
                <w:rFonts w:ascii="Calibri" w:cs="Calibri" w:eastAsia="Calibri" w:hAnsi="Calibri"/>
                <w:sz w:val="20"/>
                <w:szCs w:val="20"/>
                <w:color w:val="auto"/>
              </w:rPr>
              <w:t>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4.12.</w:t>
            </w:r>
          </w:p>
        </w:tc>
        <w:tc>
          <w:tcPr>
            <w:tcW w:w="5000" w:type="dxa"/>
            <w:vAlign w:val="bottom"/>
            <w:gridSpan w:val="7"/>
          </w:tcPr>
          <w:p>
            <w:pPr>
              <w:ind w:left="140"/>
              <w:spacing w:after="0"/>
              <w:rPr>
                <w:sz w:val="20"/>
                <w:szCs w:val="20"/>
                <w:color w:val="auto"/>
              </w:rPr>
            </w:pPr>
            <w:r>
              <w:rPr>
                <w:rFonts w:ascii="Calibri" w:cs="Calibri" w:eastAsia="Calibri" w:hAnsi="Calibri"/>
                <w:sz w:val="20"/>
                <w:szCs w:val="20"/>
                <w:color w:val="auto"/>
              </w:rPr>
              <w:t>Constructon and Tool Installaton Budget  13</w:t>
            </w: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4.13.</w:t>
            </w:r>
          </w:p>
        </w:tc>
        <w:tc>
          <w:tcPr>
            <w:tcW w:w="2320" w:type="dxa"/>
            <w:vAlign w:val="bottom"/>
            <w:gridSpan w:val="5"/>
          </w:tcPr>
          <w:p>
            <w:pPr>
              <w:ind w:left="140"/>
              <w:spacing w:after="0"/>
              <w:rPr>
                <w:sz w:val="20"/>
                <w:szCs w:val="20"/>
                <w:color w:val="auto"/>
              </w:rPr>
            </w:pPr>
            <w:r>
              <w:rPr>
                <w:rFonts w:ascii="Calibri" w:cs="Calibri" w:eastAsia="Calibri" w:hAnsi="Calibri"/>
                <w:sz w:val="20"/>
                <w:szCs w:val="20"/>
                <w:color w:val="auto"/>
              </w:rPr>
              <w:t>Milestone Based Schedule</w:t>
            </w:r>
          </w:p>
        </w:tc>
        <w:tc>
          <w:tcPr>
            <w:tcW w:w="840" w:type="dxa"/>
            <w:vAlign w:val="bottom"/>
          </w:tcPr>
          <w:p>
            <w:pPr>
              <w:jc w:val="right"/>
              <w:ind w:right="381"/>
              <w:spacing w:after="0"/>
              <w:rPr>
                <w:sz w:val="20"/>
                <w:szCs w:val="20"/>
                <w:color w:val="auto"/>
              </w:rPr>
            </w:pPr>
            <w:r>
              <w:rPr>
                <w:rFonts w:ascii="Calibri" w:cs="Calibri" w:eastAsia="Calibri" w:hAnsi="Calibri"/>
                <w:sz w:val="20"/>
                <w:szCs w:val="20"/>
                <w:color w:val="auto"/>
              </w:rPr>
              <w:t>13</w:t>
            </w: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4.14.</w:t>
            </w:r>
          </w:p>
        </w:tc>
        <w:tc>
          <w:tcPr>
            <w:tcW w:w="3160" w:type="dxa"/>
            <w:vAlign w:val="bottom"/>
            <w:gridSpan w:val="6"/>
          </w:tcPr>
          <w:p>
            <w:pPr>
              <w:ind w:left="140"/>
              <w:spacing w:after="0"/>
              <w:rPr>
                <w:sz w:val="20"/>
                <w:szCs w:val="20"/>
                <w:color w:val="auto"/>
              </w:rPr>
            </w:pPr>
            <w:r>
              <w:rPr>
                <w:rFonts w:ascii="Calibri" w:cs="Calibri" w:eastAsia="Calibri" w:hAnsi="Calibri"/>
                <w:sz w:val="20"/>
                <w:szCs w:val="20"/>
                <w:color w:val="auto"/>
              </w:rPr>
              <w:t>Advanced Packaging Resiliency Plan</w:t>
            </w:r>
          </w:p>
        </w:tc>
        <w:tc>
          <w:tcPr>
            <w:tcW w:w="1840" w:type="dxa"/>
            <w:vAlign w:val="bottom"/>
          </w:tcPr>
          <w:p>
            <w:pPr>
              <w:jc w:val="right"/>
              <w:ind w:right="1441"/>
              <w:spacing w:after="0"/>
              <w:rPr>
                <w:sz w:val="20"/>
                <w:szCs w:val="20"/>
                <w:color w:val="auto"/>
              </w:rPr>
            </w:pPr>
            <w:r>
              <w:rPr>
                <w:rFonts w:ascii="Calibri" w:cs="Calibri" w:eastAsia="Calibri" w:hAnsi="Calibri"/>
                <w:sz w:val="20"/>
                <w:szCs w:val="20"/>
                <w:color w:val="auto"/>
              </w:rPr>
              <w:t>13</w:t>
            </w: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4.15.</w:t>
            </w:r>
          </w:p>
        </w:tc>
        <w:tc>
          <w:tcPr>
            <w:tcW w:w="1300" w:type="dxa"/>
            <w:vAlign w:val="bottom"/>
            <w:gridSpan w:val="2"/>
          </w:tcPr>
          <w:p>
            <w:pPr>
              <w:ind w:left="140"/>
              <w:spacing w:after="0"/>
              <w:rPr>
                <w:sz w:val="20"/>
                <w:szCs w:val="20"/>
                <w:color w:val="auto"/>
              </w:rPr>
            </w:pPr>
            <w:r>
              <w:rPr>
                <w:rFonts w:ascii="Calibri" w:cs="Calibri" w:eastAsia="Calibri" w:hAnsi="Calibri"/>
                <w:sz w:val="20"/>
                <w:szCs w:val="20"/>
                <w:color w:val="auto"/>
              </w:rPr>
              <w:t>No Violaton</w:t>
            </w:r>
          </w:p>
        </w:tc>
        <w:tc>
          <w:tcPr>
            <w:tcW w:w="520" w:type="dxa"/>
            <w:vAlign w:val="bottom"/>
          </w:tcPr>
          <w:p>
            <w:pPr>
              <w:jc w:val="right"/>
              <w:ind w:right="161"/>
              <w:spacing w:after="0"/>
              <w:rPr>
                <w:sz w:val="20"/>
                <w:szCs w:val="20"/>
                <w:color w:val="auto"/>
              </w:rPr>
            </w:pPr>
            <w:r>
              <w:rPr>
                <w:rFonts w:ascii="Calibri" w:cs="Calibri" w:eastAsia="Calibri" w:hAnsi="Calibri"/>
                <w:sz w:val="20"/>
                <w:szCs w:val="20"/>
                <w:color w:val="auto"/>
              </w:rPr>
              <w:t>13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Calibri" w:cs="Calibri" w:eastAsia="Calibri" w:hAnsi="Calibri"/>
                <w:sz w:val="20"/>
                <w:szCs w:val="20"/>
                <w:color w:val="auto"/>
              </w:rPr>
              <w:t>Artcle 5 Conditons Precedent to Each Disbursement  14</w:t>
            </w: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5.1.</w:t>
            </w:r>
          </w:p>
        </w:tc>
        <w:tc>
          <w:tcPr>
            <w:tcW w:w="5000" w:type="dxa"/>
            <w:vAlign w:val="bottom"/>
            <w:gridSpan w:val="7"/>
          </w:tcPr>
          <w:p>
            <w:pPr>
              <w:ind w:left="40"/>
              <w:spacing w:after="0"/>
              <w:rPr>
                <w:sz w:val="20"/>
                <w:szCs w:val="20"/>
                <w:color w:val="auto"/>
              </w:rPr>
            </w:pPr>
            <w:r>
              <w:rPr>
                <w:rFonts w:ascii="Calibri" w:cs="Calibri" w:eastAsia="Calibri" w:hAnsi="Calibri"/>
                <w:sz w:val="20"/>
                <w:szCs w:val="20"/>
                <w:color w:val="auto"/>
              </w:rPr>
              <w:t>Conditons Precedent to Each Direct Funding Disbursement</w:t>
            </w:r>
          </w:p>
        </w:tc>
        <w:tc>
          <w:tcPr>
            <w:tcW w:w="4840" w:type="dxa"/>
            <w:vAlign w:val="bottom"/>
          </w:tcPr>
          <w:p>
            <w:pPr>
              <w:ind w:left="80"/>
              <w:spacing w:after="0"/>
              <w:rPr>
                <w:sz w:val="20"/>
                <w:szCs w:val="20"/>
                <w:color w:val="auto"/>
              </w:rPr>
            </w:pPr>
            <w:r>
              <w:rPr>
                <w:rFonts w:ascii="Calibri" w:cs="Calibri" w:eastAsia="Calibri" w:hAnsi="Calibri"/>
                <w:sz w:val="20"/>
                <w:szCs w:val="20"/>
                <w:color w:val="auto"/>
              </w:rPr>
              <w:t>14</w:t>
            </w: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5.2.</w:t>
            </w:r>
          </w:p>
        </w:tc>
        <w:tc>
          <w:tcPr>
            <w:tcW w:w="5000" w:type="dxa"/>
            <w:vAlign w:val="bottom"/>
            <w:gridSpan w:val="7"/>
          </w:tcPr>
          <w:p>
            <w:pPr>
              <w:ind w:left="40"/>
              <w:spacing w:after="0"/>
              <w:rPr>
                <w:sz w:val="20"/>
                <w:szCs w:val="20"/>
                <w:color w:val="auto"/>
              </w:rPr>
            </w:pPr>
            <w:r>
              <w:rPr>
                <w:rFonts w:ascii="Calibri" w:cs="Calibri" w:eastAsia="Calibri" w:hAnsi="Calibri"/>
                <w:sz w:val="20"/>
                <w:szCs w:val="20"/>
                <w:color w:val="auto"/>
              </w:rPr>
              <w:t>Conditons Precedent to Each Workforce Disbursement  16</w:t>
            </w:r>
          </w:p>
        </w:tc>
        <w:tc>
          <w:tcPr>
            <w:tcW w:w="4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60"/>
          </w:cols>
          <w:pgMar w:left="540" w:top="142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0"/>
        <w:spacing w:after="0"/>
        <w:rPr>
          <w:sz w:val="20"/>
          <w:szCs w:val="20"/>
          <w:color w:val="auto"/>
        </w:rPr>
      </w:pPr>
      <w:r>
        <w:rPr>
          <w:rFonts w:ascii="Calibri" w:cs="Calibri" w:eastAsia="Calibri" w:hAnsi="Calibri"/>
          <w:sz w:val="17"/>
          <w:szCs w:val="17"/>
          <w:color w:val="auto"/>
        </w:rPr>
        <w:t>i</w:t>
      </w:r>
    </w:p>
    <w:p>
      <w:pPr>
        <w:sectPr>
          <w:pgSz w:w="11900" w:h="16838" w:orient="portrait"/>
          <w:cols w:equalWidth="0" w:num="1">
            <w:col w:w="10960"/>
          </w:cols>
          <w:pgMar w:left="540" w:top="1428" w:right="399" w:bottom="1440" w:gutter="0" w:footer="0" w:header="0"/>
          <w:type w:val="continuous"/>
        </w:sectPr>
      </w:pPr>
    </w:p>
    <w:bookmarkStart w:id="439" w:name="page440"/>
    <w:bookmarkEnd w:id="439"/>
    <w:tbl>
      <w:tblPr>
        <w:tblLayout w:type="fixed"/>
        <w:tblInd w:w="0" w:type="dxa"/>
        <w:tblCellMar>
          <w:top w:w="0" w:type="dxa"/>
          <w:left w:w="0" w:type="dxa"/>
          <w:bottom w:w="0" w:type="dxa"/>
          <w:right w:w="0" w:type="dxa"/>
        </w:tblCellMar>
      </w:tblPr>
      <w:tr>
        <w:trPr>
          <w:trHeight w:val="244"/>
        </w:trPr>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60" w:type="dxa"/>
            <w:vAlign w:val="bottom"/>
            <w:gridSpan w:val="5"/>
          </w:tcPr>
          <w:p>
            <w:pPr>
              <w:jc w:val="right"/>
              <w:ind w:right="1641"/>
              <w:spacing w:after="0"/>
              <w:rPr>
                <w:sz w:val="20"/>
                <w:szCs w:val="20"/>
                <w:color w:val="auto"/>
              </w:rPr>
            </w:pPr>
            <w:r>
              <w:rPr>
                <w:rFonts w:ascii="Calibri" w:cs="Calibri" w:eastAsia="Calibri" w:hAnsi="Calibri"/>
                <w:sz w:val="20"/>
                <w:szCs w:val="20"/>
                <w:color w:val="auto"/>
              </w:rPr>
              <w:t>Artcle 6 Representatons and Warrantes  16</w:t>
            </w: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6.1.</w:t>
            </w:r>
          </w:p>
        </w:tc>
        <w:tc>
          <w:tcPr>
            <w:tcW w:w="1260" w:type="dxa"/>
            <w:vAlign w:val="bottom"/>
          </w:tcPr>
          <w:p>
            <w:pPr>
              <w:ind w:left="40"/>
              <w:spacing w:after="0"/>
              <w:rPr>
                <w:sz w:val="20"/>
                <w:szCs w:val="20"/>
                <w:color w:val="auto"/>
              </w:rPr>
            </w:pPr>
            <w:r>
              <w:rPr>
                <w:rFonts w:ascii="Calibri" w:cs="Calibri" w:eastAsia="Calibri" w:hAnsi="Calibri"/>
                <w:sz w:val="20"/>
                <w:szCs w:val="20"/>
                <w:color w:val="auto"/>
              </w:rPr>
              <w:t>Organizaton</w:t>
            </w:r>
          </w:p>
        </w:tc>
        <w:tc>
          <w:tcPr>
            <w:tcW w:w="620" w:type="dxa"/>
            <w:vAlign w:val="bottom"/>
            <w:gridSpan w:val="2"/>
          </w:tcPr>
          <w:p>
            <w:pPr>
              <w:jc w:val="right"/>
              <w:ind w:right="321"/>
              <w:spacing w:after="0"/>
              <w:rPr>
                <w:sz w:val="20"/>
                <w:szCs w:val="20"/>
                <w:color w:val="auto"/>
              </w:rPr>
            </w:pPr>
            <w:r>
              <w:rPr>
                <w:rFonts w:ascii="Calibri" w:cs="Calibri" w:eastAsia="Calibri" w:hAnsi="Calibri"/>
                <w:sz w:val="20"/>
                <w:szCs w:val="20"/>
                <w:color w:val="auto"/>
                <w:w w:val="88"/>
              </w:rPr>
              <w:t>16</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w:t>
            </w:r>
          </w:p>
        </w:tc>
        <w:tc>
          <w:tcPr>
            <w:tcW w:w="2240" w:type="dxa"/>
            <w:vAlign w:val="bottom"/>
            <w:gridSpan w:val="4"/>
          </w:tcPr>
          <w:p>
            <w:pPr>
              <w:ind w:left="40"/>
              <w:spacing w:after="0"/>
              <w:rPr>
                <w:sz w:val="20"/>
                <w:szCs w:val="20"/>
                <w:color w:val="auto"/>
              </w:rPr>
            </w:pPr>
            <w:r>
              <w:rPr>
                <w:rFonts w:ascii="Calibri" w:cs="Calibri" w:eastAsia="Calibri" w:hAnsi="Calibri"/>
                <w:sz w:val="20"/>
                <w:szCs w:val="20"/>
                <w:color w:val="auto"/>
              </w:rPr>
              <w:t>Authorizaton; No Confict</w:t>
            </w:r>
          </w:p>
        </w:tc>
        <w:tc>
          <w:tcPr>
            <w:tcW w:w="460" w:type="dxa"/>
            <w:vAlign w:val="bottom"/>
          </w:tcPr>
          <w:p>
            <w:pPr>
              <w:jc w:val="right"/>
              <w:ind w:right="41"/>
              <w:spacing w:after="0"/>
              <w:rPr>
                <w:sz w:val="20"/>
                <w:szCs w:val="20"/>
                <w:color w:val="auto"/>
              </w:rPr>
            </w:pPr>
            <w:r>
              <w:rPr>
                <w:rFonts w:ascii="Calibri" w:cs="Calibri" w:eastAsia="Calibri" w:hAnsi="Calibri"/>
                <w:sz w:val="20"/>
                <w:szCs w:val="20"/>
                <w:color w:val="auto"/>
              </w:rPr>
              <w:t>16</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6.3.</w:t>
            </w:r>
          </w:p>
        </w:tc>
        <w:tc>
          <w:tcPr>
            <w:tcW w:w="1880" w:type="dxa"/>
            <w:vAlign w:val="bottom"/>
            <w:gridSpan w:val="3"/>
          </w:tcPr>
          <w:p>
            <w:pPr>
              <w:ind w:left="40"/>
              <w:spacing w:after="0"/>
              <w:rPr>
                <w:sz w:val="20"/>
                <w:szCs w:val="20"/>
                <w:color w:val="auto"/>
              </w:rPr>
            </w:pPr>
            <w:r>
              <w:rPr>
                <w:rFonts w:ascii="Calibri" w:cs="Calibri" w:eastAsia="Calibri" w:hAnsi="Calibri"/>
                <w:sz w:val="20"/>
                <w:szCs w:val="20"/>
                <w:color w:val="auto"/>
              </w:rPr>
              <w:t>Compliance with Laws</w:t>
            </w:r>
          </w:p>
        </w:tc>
        <w:tc>
          <w:tcPr>
            <w:tcW w:w="820" w:type="dxa"/>
            <w:vAlign w:val="bottom"/>
            <w:gridSpan w:val="2"/>
          </w:tcPr>
          <w:p>
            <w:pPr>
              <w:jc w:val="right"/>
              <w:ind w:right="341"/>
              <w:spacing w:after="0"/>
              <w:rPr>
                <w:sz w:val="20"/>
                <w:szCs w:val="20"/>
                <w:color w:val="auto"/>
              </w:rPr>
            </w:pPr>
            <w:r>
              <w:rPr>
                <w:rFonts w:ascii="Calibri" w:cs="Calibri" w:eastAsia="Calibri" w:hAnsi="Calibri"/>
                <w:sz w:val="20"/>
                <w:szCs w:val="20"/>
                <w:color w:val="auto"/>
              </w:rPr>
              <w:t>17</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6.4.</w:t>
            </w:r>
          </w:p>
        </w:tc>
        <w:tc>
          <w:tcPr>
            <w:tcW w:w="2700" w:type="dxa"/>
            <w:vAlign w:val="bottom"/>
            <w:gridSpan w:val="5"/>
          </w:tcPr>
          <w:p>
            <w:pPr>
              <w:ind w:left="40"/>
              <w:spacing w:after="0"/>
              <w:rPr>
                <w:sz w:val="20"/>
                <w:szCs w:val="20"/>
                <w:color w:val="auto"/>
              </w:rPr>
            </w:pPr>
            <w:r>
              <w:rPr>
                <w:rFonts w:ascii="Calibri" w:cs="Calibri" w:eastAsia="Calibri" w:hAnsi="Calibri"/>
                <w:sz w:val="20"/>
                <w:szCs w:val="20"/>
                <w:color w:val="auto"/>
              </w:rPr>
              <w:t>Legality; Validity; Enforceability</w:t>
            </w:r>
          </w:p>
        </w:tc>
        <w:tc>
          <w:tcPr>
            <w:tcW w:w="860" w:type="dxa"/>
            <w:vAlign w:val="bottom"/>
          </w:tcPr>
          <w:p>
            <w:pPr>
              <w:jc w:val="right"/>
              <w:ind w:right="481"/>
              <w:spacing w:after="0"/>
              <w:rPr>
                <w:sz w:val="20"/>
                <w:szCs w:val="20"/>
                <w:color w:val="auto"/>
              </w:rPr>
            </w:pPr>
            <w:r>
              <w:rPr>
                <w:rFonts w:ascii="Calibri" w:cs="Calibri" w:eastAsia="Calibri" w:hAnsi="Calibri"/>
                <w:sz w:val="20"/>
                <w:szCs w:val="20"/>
                <w:color w:val="auto"/>
              </w:rPr>
              <w:t>17</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6.5.</w:t>
            </w:r>
          </w:p>
        </w:tc>
        <w:tc>
          <w:tcPr>
            <w:tcW w:w="1260" w:type="dxa"/>
            <w:vAlign w:val="bottom"/>
          </w:tcPr>
          <w:p>
            <w:pPr>
              <w:ind w:left="40"/>
              <w:spacing w:after="0"/>
              <w:rPr>
                <w:sz w:val="20"/>
                <w:szCs w:val="20"/>
                <w:color w:val="auto"/>
              </w:rPr>
            </w:pPr>
            <w:r>
              <w:rPr>
                <w:rFonts w:ascii="Calibri" w:cs="Calibri" w:eastAsia="Calibri" w:hAnsi="Calibri"/>
                <w:sz w:val="20"/>
                <w:szCs w:val="20"/>
                <w:color w:val="auto"/>
              </w:rPr>
              <w:t>Real Property</w:t>
            </w:r>
          </w:p>
        </w:tc>
        <w:tc>
          <w:tcPr>
            <w:tcW w:w="620" w:type="dxa"/>
            <w:vAlign w:val="bottom"/>
            <w:gridSpan w:val="2"/>
          </w:tcPr>
          <w:p>
            <w:pPr>
              <w:jc w:val="right"/>
              <w:ind w:right="241"/>
              <w:spacing w:after="0"/>
              <w:rPr>
                <w:sz w:val="20"/>
                <w:szCs w:val="20"/>
                <w:color w:val="auto"/>
              </w:rPr>
            </w:pPr>
            <w:r>
              <w:rPr>
                <w:rFonts w:ascii="Calibri" w:cs="Calibri" w:eastAsia="Calibri" w:hAnsi="Calibri"/>
                <w:sz w:val="20"/>
                <w:szCs w:val="20"/>
                <w:color w:val="auto"/>
              </w:rPr>
              <w:t>18</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6.6.</w:t>
            </w:r>
          </w:p>
        </w:tc>
        <w:tc>
          <w:tcPr>
            <w:tcW w:w="2240" w:type="dxa"/>
            <w:vAlign w:val="bottom"/>
            <w:gridSpan w:val="4"/>
          </w:tcPr>
          <w:p>
            <w:pPr>
              <w:ind w:left="40"/>
              <w:spacing w:after="0"/>
              <w:rPr>
                <w:sz w:val="20"/>
                <w:szCs w:val="20"/>
                <w:color w:val="auto"/>
              </w:rPr>
            </w:pPr>
            <w:r>
              <w:rPr>
                <w:rFonts w:ascii="Calibri" w:cs="Calibri" w:eastAsia="Calibri" w:hAnsi="Calibri"/>
                <w:sz w:val="20"/>
                <w:szCs w:val="20"/>
                <w:color w:val="auto"/>
              </w:rPr>
              <w:t>Required Approvals  18</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6.7.</w:t>
            </w:r>
          </w:p>
        </w:tc>
        <w:tc>
          <w:tcPr>
            <w:tcW w:w="1880" w:type="dxa"/>
            <w:vAlign w:val="bottom"/>
            <w:gridSpan w:val="3"/>
          </w:tcPr>
          <w:p>
            <w:pPr>
              <w:ind w:left="40"/>
              <w:spacing w:after="0"/>
              <w:rPr>
                <w:sz w:val="20"/>
                <w:szCs w:val="20"/>
                <w:color w:val="auto"/>
              </w:rPr>
            </w:pPr>
            <w:r>
              <w:rPr>
                <w:rFonts w:ascii="Calibri" w:cs="Calibri" w:eastAsia="Calibri" w:hAnsi="Calibri"/>
                <w:sz w:val="20"/>
                <w:szCs w:val="20"/>
                <w:color w:val="auto"/>
              </w:rPr>
              <w:t>Intellectual Property</w:t>
            </w:r>
          </w:p>
        </w:tc>
        <w:tc>
          <w:tcPr>
            <w:tcW w:w="360" w:type="dxa"/>
            <w:vAlign w:val="bottom"/>
          </w:tcPr>
          <w:p>
            <w:pPr>
              <w:jc w:val="right"/>
              <w:ind w:right="41"/>
              <w:spacing w:after="0"/>
              <w:rPr>
                <w:sz w:val="20"/>
                <w:szCs w:val="20"/>
                <w:color w:val="auto"/>
              </w:rPr>
            </w:pPr>
            <w:r>
              <w:rPr>
                <w:rFonts w:ascii="Calibri" w:cs="Calibri" w:eastAsia="Calibri" w:hAnsi="Calibri"/>
                <w:sz w:val="20"/>
                <w:szCs w:val="20"/>
                <w:color w:val="auto"/>
                <w:w w:val="98"/>
              </w:rPr>
              <w:t>18</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6.8.</w:t>
            </w:r>
          </w:p>
        </w:tc>
        <w:tc>
          <w:tcPr>
            <w:tcW w:w="1260" w:type="dxa"/>
            <w:vAlign w:val="bottom"/>
          </w:tcPr>
          <w:p>
            <w:pPr>
              <w:ind w:left="40"/>
              <w:spacing w:after="0"/>
              <w:rPr>
                <w:sz w:val="20"/>
                <w:szCs w:val="20"/>
                <w:color w:val="auto"/>
              </w:rPr>
            </w:pPr>
            <w:r>
              <w:rPr>
                <w:rFonts w:ascii="Calibri" w:cs="Calibri" w:eastAsia="Calibri" w:hAnsi="Calibri"/>
                <w:sz w:val="20"/>
                <w:szCs w:val="20"/>
                <w:color w:val="auto"/>
              </w:rPr>
              <w:t>Litgaton  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6.9.</w:t>
            </w:r>
          </w:p>
        </w:tc>
        <w:tc>
          <w:tcPr>
            <w:tcW w:w="1260" w:type="dxa"/>
            <w:vAlign w:val="bottom"/>
          </w:tcPr>
          <w:p>
            <w:pPr>
              <w:ind w:left="40"/>
              <w:spacing w:after="0"/>
              <w:rPr>
                <w:sz w:val="20"/>
                <w:szCs w:val="20"/>
                <w:color w:val="auto"/>
              </w:rPr>
            </w:pPr>
            <w:r>
              <w:rPr>
                <w:rFonts w:ascii="Calibri" w:cs="Calibri" w:eastAsia="Calibri" w:hAnsi="Calibri"/>
                <w:sz w:val="20"/>
                <w:szCs w:val="20"/>
                <w:color w:val="auto"/>
                <w:w w:val="99"/>
              </w:rPr>
              <w:t>Labor Disputes</w:t>
            </w:r>
          </w:p>
        </w:tc>
        <w:tc>
          <w:tcPr>
            <w:tcW w:w="120" w:type="dxa"/>
            <w:vAlign w:val="bottom"/>
          </w:tcPr>
          <w:p>
            <w:pPr>
              <w:spacing w:after="0"/>
              <w:rPr>
                <w:sz w:val="24"/>
                <w:szCs w:val="24"/>
                <w:color w:val="auto"/>
              </w:rPr>
            </w:pPr>
          </w:p>
        </w:tc>
        <w:tc>
          <w:tcPr>
            <w:tcW w:w="500" w:type="dxa"/>
            <w:vAlign w:val="bottom"/>
          </w:tcPr>
          <w:p>
            <w:pPr>
              <w:jc w:val="right"/>
              <w:ind w:right="141"/>
              <w:spacing w:after="0"/>
              <w:rPr>
                <w:sz w:val="20"/>
                <w:szCs w:val="20"/>
                <w:color w:val="auto"/>
              </w:rPr>
            </w:pPr>
            <w:r>
              <w:rPr>
                <w:rFonts w:ascii="Calibri" w:cs="Calibri" w:eastAsia="Calibri" w:hAnsi="Calibri"/>
                <w:sz w:val="20"/>
                <w:szCs w:val="20"/>
                <w:color w:val="auto"/>
              </w:rPr>
              <w:t>19</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6.10.</w:t>
            </w:r>
          </w:p>
        </w:tc>
        <w:tc>
          <w:tcPr>
            <w:tcW w:w="1260" w:type="dxa"/>
            <w:vAlign w:val="bottom"/>
          </w:tcPr>
          <w:p>
            <w:pPr>
              <w:ind w:left="140"/>
              <w:spacing w:after="0"/>
              <w:rPr>
                <w:sz w:val="20"/>
                <w:szCs w:val="20"/>
                <w:color w:val="auto"/>
              </w:rPr>
            </w:pPr>
            <w:r>
              <w:rPr>
                <w:rFonts w:ascii="Calibri" w:cs="Calibri" w:eastAsia="Calibri" w:hAnsi="Calibri"/>
                <w:sz w:val="20"/>
                <w:szCs w:val="20"/>
                <w:color w:val="auto"/>
              </w:rPr>
              <w:t>Taxes  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6.11.</w:t>
            </w:r>
          </w:p>
        </w:tc>
        <w:tc>
          <w:tcPr>
            <w:tcW w:w="1880" w:type="dxa"/>
            <w:vAlign w:val="bottom"/>
            <w:gridSpan w:val="3"/>
          </w:tcPr>
          <w:p>
            <w:pPr>
              <w:ind w:left="140"/>
              <w:spacing w:after="0"/>
              <w:rPr>
                <w:sz w:val="20"/>
                <w:szCs w:val="20"/>
                <w:color w:val="auto"/>
              </w:rPr>
            </w:pPr>
            <w:r>
              <w:rPr>
                <w:rFonts w:ascii="Calibri" w:cs="Calibri" w:eastAsia="Calibri" w:hAnsi="Calibri"/>
                <w:sz w:val="20"/>
                <w:szCs w:val="20"/>
                <w:color w:val="auto"/>
              </w:rPr>
              <w:t>Financial Statements</w:t>
            </w:r>
          </w:p>
        </w:tc>
        <w:tc>
          <w:tcPr>
            <w:tcW w:w="360" w:type="dxa"/>
            <w:vAlign w:val="bottom"/>
          </w:tcPr>
          <w:p>
            <w:pPr>
              <w:jc w:val="right"/>
              <w:spacing w:after="0"/>
              <w:rPr>
                <w:sz w:val="20"/>
                <w:szCs w:val="20"/>
                <w:color w:val="auto"/>
              </w:rPr>
            </w:pPr>
            <w:r>
              <w:rPr>
                <w:rFonts w:ascii="Calibri" w:cs="Calibri" w:eastAsia="Calibri" w:hAnsi="Calibri"/>
                <w:sz w:val="20"/>
                <w:szCs w:val="20"/>
                <w:color w:val="auto"/>
              </w:rPr>
              <w:t>20</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6.12.</w:t>
            </w:r>
          </w:p>
        </w:tc>
        <w:tc>
          <w:tcPr>
            <w:tcW w:w="2700" w:type="dxa"/>
            <w:vAlign w:val="bottom"/>
            <w:gridSpan w:val="5"/>
          </w:tcPr>
          <w:p>
            <w:pPr>
              <w:ind w:left="140"/>
              <w:spacing w:after="0"/>
              <w:rPr>
                <w:sz w:val="20"/>
                <w:szCs w:val="20"/>
                <w:color w:val="auto"/>
              </w:rPr>
            </w:pPr>
            <w:r>
              <w:rPr>
                <w:rFonts w:ascii="Calibri" w:cs="Calibri" w:eastAsia="Calibri" w:hAnsi="Calibri"/>
                <w:sz w:val="20"/>
                <w:szCs w:val="20"/>
                <w:color w:val="auto"/>
              </w:rPr>
              <w:t>Contracts; Other Transactons</w:t>
            </w:r>
          </w:p>
        </w:tc>
        <w:tc>
          <w:tcPr>
            <w:tcW w:w="860" w:type="dxa"/>
            <w:vAlign w:val="bottom"/>
          </w:tcPr>
          <w:p>
            <w:pPr>
              <w:jc w:val="right"/>
              <w:ind w:right="501"/>
              <w:spacing w:after="0"/>
              <w:rPr>
                <w:sz w:val="20"/>
                <w:szCs w:val="20"/>
                <w:color w:val="auto"/>
              </w:rPr>
            </w:pPr>
            <w:r>
              <w:rPr>
                <w:rFonts w:ascii="Calibri" w:cs="Calibri" w:eastAsia="Calibri" w:hAnsi="Calibri"/>
                <w:sz w:val="20"/>
                <w:szCs w:val="20"/>
                <w:color w:val="auto"/>
              </w:rPr>
              <w:t>20</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6.13.</w:t>
            </w:r>
          </w:p>
        </w:tc>
        <w:tc>
          <w:tcPr>
            <w:tcW w:w="5420" w:type="dxa"/>
            <w:vAlign w:val="bottom"/>
            <w:gridSpan w:val="8"/>
          </w:tcPr>
          <w:p>
            <w:pPr>
              <w:ind w:left="140"/>
              <w:spacing w:after="0"/>
              <w:rPr>
                <w:sz w:val="20"/>
                <w:szCs w:val="20"/>
                <w:color w:val="auto"/>
              </w:rPr>
            </w:pPr>
            <w:r>
              <w:rPr>
                <w:rFonts w:ascii="Calibri" w:cs="Calibri" w:eastAsia="Calibri" w:hAnsi="Calibri"/>
                <w:sz w:val="20"/>
                <w:szCs w:val="20"/>
                <w:color w:val="auto"/>
              </w:rPr>
              <w:t>Constructon and Tool Installaton Budget; Project Schedule  20</w:t>
            </w: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6.14.</w:t>
            </w:r>
          </w:p>
        </w:tc>
        <w:tc>
          <w:tcPr>
            <w:tcW w:w="2700" w:type="dxa"/>
            <w:vAlign w:val="bottom"/>
            <w:gridSpan w:val="5"/>
          </w:tcPr>
          <w:p>
            <w:pPr>
              <w:ind w:left="140"/>
              <w:spacing w:after="0"/>
              <w:rPr>
                <w:sz w:val="20"/>
                <w:szCs w:val="20"/>
                <w:color w:val="auto"/>
              </w:rPr>
            </w:pPr>
            <w:r>
              <w:rPr>
                <w:rFonts w:ascii="Calibri" w:cs="Calibri" w:eastAsia="Calibri" w:hAnsi="Calibri"/>
                <w:sz w:val="20"/>
                <w:szCs w:val="20"/>
                <w:color w:val="auto"/>
              </w:rPr>
              <w:t>Adequate Project Funding  21</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6.15.</w:t>
            </w:r>
          </w:p>
        </w:tc>
        <w:tc>
          <w:tcPr>
            <w:tcW w:w="1880" w:type="dxa"/>
            <w:vAlign w:val="bottom"/>
            <w:gridSpan w:val="3"/>
          </w:tcPr>
          <w:p>
            <w:pPr>
              <w:ind w:left="140"/>
              <w:spacing w:after="0"/>
              <w:rPr>
                <w:sz w:val="20"/>
                <w:szCs w:val="20"/>
                <w:color w:val="auto"/>
              </w:rPr>
            </w:pPr>
            <w:r>
              <w:rPr>
                <w:rFonts w:ascii="Calibri" w:cs="Calibri" w:eastAsia="Calibri" w:hAnsi="Calibri"/>
                <w:sz w:val="20"/>
                <w:szCs w:val="20"/>
                <w:color w:val="auto"/>
              </w:rPr>
              <w:t>Environmental Laws</w:t>
            </w:r>
          </w:p>
        </w:tc>
        <w:tc>
          <w:tcPr>
            <w:tcW w:w="360" w:type="dxa"/>
            <w:vAlign w:val="bottom"/>
          </w:tcPr>
          <w:p>
            <w:pPr>
              <w:jc w:val="right"/>
              <w:spacing w:after="0"/>
              <w:rPr>
                <w:sz w:val="20"/>
                <w:szCs w:val="20"/>
                <w:color w:val="auto"/>
              </w:rPr>
            </w:pPr>
            <w:r>
              <w:rPr>
                <w:rFonts w:ascii="Calibri" w:cs="Calibri" w:eastAsia="Calibri" w:hAnsi="Calibri"/>
                <w:sz w:val="20"/>
                <w:szCs w:val="20"/>
                <w:color w:val="auto"/>
              </w:rPr>
              <w:t>21</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6.16.</w:t>
            </w:r>
          </w:p>
        </w:tc>
        <w:tc>
          <w:tcPr>
            <w:tcW w:w="2700" w:type="dxa"/>
            <w:vAlign w:val="bottom"/>
            <w:gridSpan w:val="5"/>
          </w:tcPr>
          <w:p>
            <w:pPr>
              <w:ind w:left="140"/>
              <w:spacing w:after="0"/>
              <w:rPr>
                <w:sz w:val="20"/>
                <w:szCs w:val="20"/>
                <w:color w:val="auto"/>
              </w:rPr>
            </w:pPr>
            <w:r>
              <w:rPr>
                <w:rFonts w:ascii="Calibri" w:cs="Calibri" w:eastAsia="Calibri" w:hAnsi="Calibri"/>
                <w:sz w:val="20"/>
                <w:szCs w:val="20"/>
                <w:color w:val="auto"/>
              </w:rPr>
              <w:t>Federal Requirements  22</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6.17.</w:t>
            </w:r>
          </w:p>
        </w:tc>
        <w:tc>
          <w:tcPr>
            <w:tcW w:w="7900" w:type="dxa"/>
            <w:vAlign w:val="bottom"/>
            <w:gridSpan w:val="9"/>
          </w:tcPr>
          <w:p>
            <w:pPr>
              <w:ind w:left="140"/>
              <w:spacing w:after="0"/>
              <w:rPr>
                <w:sz w:val="20"/>
                <w:szCs w:val="20"/>
                <w:color w:val="auto"/>
              </w:rPr>
            </w:pPr>
            <w:r>
              <w:rPr>
                <w:rFonts w:ascii="Calibri" w:cs="Calibri" w:eastAsia="Calibri" w:hAnsi="Calibri"/>
                <w:sz w:val="20"/>
                <w:szCs w:val="20"/>
                <w:color w:val="auto"/>
              </w:rPr>
              <w:t>Foreign Entty of Concern; Prohibited Persons; Sanctons; Export Controls; Ant-Corrupton  22</w:t>
            </w: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6.18.</w:t>
            </w:r>
          </w:p>
        </w:tc>
        <w:tc>
          <w:tcPr>
            <w:tcW w:w="2240" w:type="dxa"/>
            <w:vAlign w:val="bottom"/>
            <w:gridSpan w:val="4"/>
          </w:tcPr>
          <w:p>
            <w:pPr>
              <w:ind w:left="140"/>
              <w:spacing w:after="0"/>
              <w:rPr>
                <w:sz w:val="20"/>
                <w:szCs w:val="20"/>
                <w:color w:val="auto"/>
              </w:rPr>
            </w:pPr>
            <w:r>
              <w:rPr>
                <w:rFonts w:ascii="Calibri" w:cs="Calibri" w:eastAsia="Calibri" w:hAnsi="Calibri"/>
                <w:sz w:val="20"/>
                <w:szCs w:val="20"/>
                <w:color w:val="auto"/>
              </w:rPr>
              <w:t>Insolvency Proceedings</w:t>
            </w:r>
          </w:p>
        </w:tc>
        <w:tc>
          <w:tcPr>
            <w:tcW w:w="460" w:type="dxa"/>
            <w:vAlign w:val="bottom"/>
          </w:tcPr>
          <w:p>
            <w:pPr>
              <w:jc w:val="right"/>
              <w:ind w:right="161"/>
              <w:spacing w:after="0"/>
              <w:rPr>
                <w:sz w:val="20"/>
                <w:szCs w:val="20"/>
                <w:color w:val="auto"/>
              </w:rPr>
            </w:pPr>
            <w:r>
              <w:rPr>
                <w:rFonts w:ascii="Calibri" w:cs="Calibri" w:eastAsia="Calibri" w:hAnsi="Calibri"/>
                <w:sz w:val="20"/>
                <w:szCs w:val="20"/>
                <w:color w:val="auto"/>
                <w:w w:val="88"/>
              </w:rPr>
              <w:t>23</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6.19.</w:t>
            </w:r>
          </w:p>
        </w:tc>
        <w:tc>
          <w:tcPr>
            <w:tcW w:w="1260" w:type="dxa"/>
            <w:vAlign w:val="bottom"/>
          </w:tcPr>
          <w:p>
            <w:pPr>
              <w:ind w:left="140"/>
              <w:spacing w:after="0"/>
              <w:rPr>
                <w:sz w:val="20"/>
                <w:szCs w:val="20"/>
                <w:color w:val="auto"/>
              </w:rPr>
            </w:pPr>
            <w:r>
              <w:rPr>
                <w:rFonts w:ascii="Calibri" w:cs="Calibri" w:eastAsia="Calibri" w:hAnsi="Calibri"/>
                <w:sz w:val="20"/>
                <w:szCs w:val="20"/>
                <w:color w:val="auto"/>
              </w:rPr>
              <w:t>No Defaults</w:t>
            </w:r>
          </w:p>
        </w:tc>
        <w:tc>
          <w:tcPr>
            <w:tcW w:w="620" w:type="dxa"/>
            <w:vAlign w:val="bottom"/>
            <w:gridSpan w:val="2"/>
          </w:tcPr>
          <w:p>
            <w:pPr>
              <w:jc w:val="right"/>
              <w:ind w:right="281"/>
              <w:spacing w:after="0"/>
              <w:rPr>
                <w:sz w:val="20"/>
                <w:szCs w:val="20"/>
                <w:color w:val="auto"/>
              </w:rPr>
            </w:pPr>
            <w:r>
              <w:rPr>
                <w:rFonts w:ascii="Calibri" w:cs="Calibri" w:eastAsia="Calibri" w:hAnsi="Calibri"/>
                <w:sz w:val="20"/>
                <w:szCs w:val="20"/>
                <w:color w:val="auto"/>
              </w:rPr>
              <w:t>24</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6.20.</w:t>
            </w:r>
          </w:p>
        </w:tc>
        <w:tc>
          <w:tcPr>
            <w:tcW w:w="2240" w:type="dxa"/>
            <w:vAlign w:val="bottom"/>
            <w:gridSpan w:val="4"/>
          </w:tcPr>
          <w:p>
            <w:pPr>
              <w:ind w:left="140"/>
              <w:spacing w:after="0"/>
              <w:rPr>
                <w:sz w:val="20"/>
                <w:szCs w:val="20"/>
                <w:color w:val="auto"/>
              </w:rPr>
            </w:pPr>
            <w:r>
              <w:rPr>
                <w:rFonts w:ascii="Calibri" w:cs="Calibri" w:eastAsia="Calibri" w:hAnsi="Calibri"/>
                <w:sz w:val="20"/>
                <w:szCs w:val="20"/>
                <w:color w:val="auto"/>
              </w:rPr>
              <w:t>Material Adverse Efect</w:t>
            </w:r>
          </w:p>
        </w:tc>
        <w:tc>
          <w:tcPr>
            <w:tcW w:w="460" w:type="dxa"/>
            <w:vAlign w:val="bottom"/>
          </w:tcPr>
          <w:p>
            <w:pPr>
              <w:jc w:val="right"/>
              <w:ind w:right="161"/>
              <w:spacing w:after="0"/>
              <w:rPr>
                <w:sz w:val="20"/>
                <w:szCs w:val="20"/>
                <w:color w:val="auto"/>
              </w:rPr>
            </w:pPr>
            <w:r>
              <w:rPr>
                <w:rFonts w:ascii="Calibri" w:cs="Calibri" w:eastAsia="Calibri" w:hAnsi="Calibri"/>
                <w:sz w:val="20"/>
                <w:szCs w:val="20"/>
                <w:color w:val="auto"/>
                <w:w w:val="88"/>
              </w:rPr>
              <w:t>24</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6.21.</w:t>
            </w:r>
          </w:p>
        </w:tc>
        <w:tc>
          <w:tcPr>
            <w:tcW w:w="1380" w:type="dxa"/>
            <w:vAlign w:val="bottom"/>
            <w:gridSpan w:val="2"/>
          </w:tcPr>
          <w:p>
            <w:pPr>
              <w:ind w:left="140"/>
              <w:spacing w:after="0"/>
              <w:rPr>
                <w:sz w:val="20"/>
                <w:szCs w:val="20"/>
                <w:color w:val="auto"/>
              </w:rPr>
            </w:pPr>
            <w:r>
              <w:rPr>
                <w:rFonts w:ascii="Calibri" w:cs="Calibri" w:eastAsia="Calibri" w:hAnsi="Calibri"/>
                <w:sz w:val="20"/>
                <w:szCs w:val="20"/>
                <w:color w:val="auto"/>
              </w:rPr>
              <w:t>Full Disclosure</w:t>
            </w:r>
          </w:p>
        </w:tc>
        <w:tc>
          <w:tcPr>
            <w:tcW w:w="500" w:type="dxa"/>
            <w:vAlign w:val="bottom"/>
          </w:tcPr>
          <w:p>
            <w:pPr>
              <w:jc w:val="right"/>
              <w:ind w:right="61"/>
              <w:spacing w:after="0"/>
              <w:rPr>
                <w:sz w:val="20"/>
                <w:szCs w:val="20"/>
                <w:color w:val="auto"/>
              </w:rPr>
            </w:pPr>
            <w:r>
              <w:rPr>
                <w:rFonts w:ascii="Calibri" w:cs="Calibri" w:eastAsia="Calibri" w:hAnsi="Calibri"/>
                <w:sz w:val="20"/>
                <w:szCs w:val="20"/>
                <w:color w:val="auto"/>
              </w:rPr>
              <w:t>24</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6.22.</w:t>
            </w:r>
          </w:p>
        </w:tc>
        <w:tc>
          <w:tcPr>
            <w:tcW w:w="1260" w:type="dxa"/>
            <w:vAlign w:val="bottom"/>
          </w:tcPr>
          <w:p>
            <w:pPr>
              <w:ind w:left="140"/>
              <w:spacing w:after="0"/>
              <w:rPr>
                <w:sz w:val="20"/>
                <w:szCs w:val="20"/>
                <w:color w:val="auto"/>
              </w:rPr>
            </w:pPr>
            <w:r>
              <w:rPr>
                <w:rFonts w:ascii="Calibri" w:cs="Calibri" w:eastAsia="Calibri" w:hAnsi="Calibri"/>
                <w:sz w:val="20"/>
                <w:szCs w:val="20"/>
                <w:color w:val="auto"/>
              </w:rPr>
              <w:t>No Immunity</w:t>
            </w:r>
          </w:p>
        </w:tc>
        <w:tc>
          <w:tcPr>
            <w:tcW w:w="120" w:type="dxa"/>
            <w:vAlign w:val="bottom"/>
          </w:tcPr>
          <w:p>
            <w:pPr>
              <w:spacing w:after="0"/>
              <w:rPr>
                <w:sz w:val="24"/>
                <w:szCs w:val="24"/>
                <w:color w:val="auto"/>
              </w:rPr>
            </w:pPr>
          </w:p>
        </w:tc>
        <w:tc>
          <w:tcPr>
            <w:tcW w:w="500" w:type="dxa"/>
            <w:vAlign w:val="bottom"/>
          </w:tcPr>
          <w:p>
            <w:pPr>
              <w:jc w:val="right"/>
              <w:ind w:right="181"/>
              <w:spacing w:after="0"/>
              <w:rPr>
                <w:sz w:val="20"/>
                <w:szCs w:val="20"/>
                <w:color w:val="auto"/>
              </w:rPr>
            </w:pPr>
            <w:r>
              <w:rPr>
                <w:rFonts w:ascii="Calibri" w:cs="Calibri" w:eastAsia="Calibri" w:hAnsi="Calibri"/>
                <w:sz w:val="20"/>
                <w:szCs w:val="20"/>
                <w:color w:val="auto"/>
                <w:w w:val="98"/>
              </w:rPr>
              <w:t>24</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6.23.</w:t>
            </w:r>
          </w:p>
        </w:tc>
        <w:tc>
          <w:tcPr>
            <w:tcW w:w="2700" w:type="dxa"/>
            <w:vAlign w:val="bottom"/>
            <w:gridSpan w:val="5"/>
          </w:tcPr>
          <w:p>
            <w:pPr>
              <w:ind w:left="140"/>
              <w:spacing w:after="0"/>
              <w:rPr>
                <w:sz w:val="20"/>
                <w:szCs w:val="20"/>
                <w:color w:val="auto"/>
              </w:rPr>
            </w:pPr>
            <w:r>
              <w:rPr>
                <w:rFonts w:ascii="Calibri" w:cs="Calibri" w:eastAsia="Calibri" w:hAnsi="Calibri"/>
                <w:sz w:val="20"/>
                <w:szCs w:val="20"/>
                <w:color w:val="auto"/>
              </w:rPr>
              <w:t>No Federal Debt Delinquency</w:t>
            </w:r>
          </w:p>
        </w:tc>
        <w:tc>
          <w:tcPr>
            <w:tcW w:w="860" w:type="dxa"/>
            <w:vAlign w:val="bottom"/>
          </w:tcPr>
          <w:p>
            <w:pPr>
              <w:jc w:val="right"/>
              <w:ind w:right="521"/>
              <w:spacing w:after="0"/>
              <w:rPr>
                <w:sz w:val="20"/>
                <w:szCs w:val="20"/>
                <w:color w:val="auto"/>
              </w:rPr>
            </w:pPr>
            <w:r>
              <w:rPr>
                <w:rFonts w:ascii="Calibri" w:cs="Calibri" w:eastAsia="Calibri" w:hAnsi="Calibri"/>
                <w:sz w:val="20"/>
                <w:szCs w:val="20"/>
                <w:color w:val="auto"/>
              </w:rPr>
              <w:t>24</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6.24.</w:t>
            </w:r>
          </w:p>
        </w:tc>
        <w:tc>
          <w:tcPr>
            <w:tcW w:w="1380" w:type="dxa"/>
            <w:vAlign w:val="bottom"/>
            <w:gridSpan w:val="2"/>
          </w:tcPr>
          <w:p>
            <w:pPr>
              <w:ind w:left="140"/>
              <w:spacing w:after="0"/>
              <w:rPr>
                <w:sz w:val="20"/>
                <w:szCs w:val="20"/>
                <w:color w:val="auto"/>
              </w:rPr>
            </w:pPr>
            <w:r>
              <w:rPr>
                <w:rFonts w:ascii="Calibri" w:cs="Calibri" w:eastAsia="Calibri" w:hAnsi="Calibri"/>
                <w:sz w:val="20"/>
                <w:szCs w:val="20"/>
                <w:color w:val="auto"/>
              </w:rPr>
              <w:t>No Debarment</w:t>
            </w:r>
          </w:p>
        </w:tc>
        <w:tc>
          <w:tcPr>
            <w:tcW w:w="500" w:type="dxa"/>
            <w:vAlign w:val="bottom"/>
          </w:tcPr>
          <w:p>
            <w:pPr>
              <w:jc w:val="right"/>
              <w:ind w:right="41"/>
              <w:spacing w:after="0"/>
              <w:rPr>
                <w:sz w:val="20"/>
                <w:szCs w:val="20"/>
                <w:color w:val="auto"/>
              </w:rPr>
            </w:pPr>
            <w:r>
              <w:rPr>
                <w:rFonts w:ascii="Calibri" w:cs="Calibri" w:eastAsia="Calibri" w:hAnsi="Calibri"/>
                <w:sz w:val="20"/>
                <w:szCs w:val="20"/>
                <w:color w:val="auto"/>
              </w:rPr>
              <w:t>24</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6.25.</w:t>
            </w:r>
          </w:p>
        </w:tc>
        <w:tc>
          <w:tcPr>
            <w:tcW w:w="3560" w:type="dxa"/>
            <w:vAlign w:val="bottom"/>
            <w:gridSpan w:val="6"/>
          </w:tcPr>
          <w:p>
            <w:pPr>
              <w:ind w:left="140"/>
              <w:spacing w:after="0"/>
              <w:rPr>
                <w:sz w:val="20"/>
                <w:szCs w:val="20"/>
                <w:color w:val="auto"/>
              </w:rPr>
            </w:pPr>
            <w:r>
              <w:rPr>
                <w:rFonts w:ascii="Calibri" w:cs="Calibri" w:eastAsia="Calibri" w:hAnsi="Calibri"/>
                <w:sz w:val="20"/>
                <w:szCs w:val="20"/>
                <w:color w:val="auto"/>
              </w:rPr>
              <w:t>Informaton Technology; Cyber Security</w:t>
            </w:r>
          </w:p>
        </w:tc>
        <w:tc>
          <w:tcPr>
            <w:tcW w:w="1000" w:type="dxa"/>
            <w:vAlign w:val="bottom"/>
          </w:tcPr>
          <w:p>
            <w:pPr>
              <w:jc w:val="right"/>
              <w:ind w:right="701"/>
              <w:spacing w:after="0"/>
              <w:rPr>
                <w:sz w:val="20"/>
                <w:szCs w:val="20"/>
                <w:color w:val="auto"/>
              </w:rPr>
            </w:pPr>
            <w:r>
              <w:rPr>
                <w:rFonts w:ascii="Calibri" w:cs="Calibri" w:eastAsia="Calibri" w:hAnsi="Calibri"/>
                <w:sz w:val="20"/>
                <w:szCs w:val="20"/>
                <w:color w:val="auto"/>
                <w:w w:val="88"/>
              </w:rPr>
              <w:t>24</w:t>
            </w: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6.26.</w:t>
            </w:r>
          </w:p>
        </w:tc>
        <w:tc>
          <w:tcPr>
            <w:tcW w:w="3560" w:type="dxa"/>
            <w:vAlign w:val="bottom"/>
            <w:gridSpan w:val="6"/>
          </w:tcPr>
          <w:p>
            <w:pPr>
              <w:ind w:left="140"/>
              <w:spacing w:after="0"/>
              <w:rPr>
                <w:sz w:val="20"/>
                <w:szCs w:val="20"/>
                <w:color w:val="auto"/>
              </w:rPr>
            </w:pPr>
            <w:r>
              <w:rPr>
                <w:rFonts w:ascii="Calibri" w:cs="Calibri" w:eastAsia="Calibri" w:hAnsi="Calibri"/>
                <w:sz w:val="20"/>
                <w:szCs w:val="20"/>
                <w:color w:val="auto"/>
              </w:rPr>
              <w:t>Acknowledgement Regarding Use of Data</w:t>
            </w:r>
          </w:p>
        </w:tc>
        <w:tc>
          <w:tcPr>
            <w:tcW w:w="1000" w:type="dxa"/>
            <w:vAlign w:val="bottom"/>
          </w:tcPr>
          <w:p>
            <w:pPr>
              <w:jc w:val="right"/>
              <w:ind w:right="541"/>
              <w:spacing w:after="0"/>
              <w:rPr>
                <w:sz w:val="20"/>
                <w:szCs w:val="20"/>
                <w:color w:val="auto"/>
              </w:rPr>
            </w:pPr>
            <w:r>
              <w:rPr>
                <w:rFonts w:ascii="Calibri" w:cs="Calibri" w:eastAsia="Calibri" w:hAnsi="Calibri"/>
                <w:sz w:val="20"/>
                <w:szCs w:val="20"/>
                <w:color w:val="auto"/>
              </w:rPr>
              <w:t>25</w:t>
            </w: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3"/>
          </w:tcPr>
          <w:p>
            <w:pPr>
              <w:jc w:val="center"/>
              <w:spacing w:after="0"/>
              <w:rPr>
                <w:sz w:val="20"/>
                <w:szCs w:val="20"/>
                <w:color w:val="auto"/>
              </w:rPr>
            </w:pPr>
            <w:r>
              <w:rPr>
                <w:rFonts w:ascii="Calibri" w:cs="Calibri" w:eastAsia="Calibri" w:hAnsi="Calibri"/>
                <w:sz w:val="20"/>
                <w:szCs w:val="20"/>
                <w:color w:val="auto"/>
              </w:rPr>
              <w:t>Artcle 7 Afrmatve Covenants</w:t>
            </w:r>
          </w:p>
        </w:tc>
        <w:tc>
          <w:tcPr>
            <w:tcW w:w="2480" w:type="dxa"/>
            <w:vAlign w:val="bottom"/>
          </w:tcPr>
          <w:p>
            <w:pPr>
              <w:jc w:val="right"/>
              <w:ind w:right="2061"/>
              <w:spacing w:after="0"/>
              <w:rPr>
                <w:sz w:val="20"/>
                <w:szCs w:val="20"/>
                <w:color w:val="auto"/>
              </w:rPr>
            </w:pPr>
            <w:r>
              <w:rPr>
                <w:rFonts w:ascii="Calibri" w:cs="Calibri" w:eastAsia="Calibri" w:hAnsi="Calibri"/>
                <w:sz w:val="20"/>
                <w:szCs w:val="20"/>
                <w:color w:val="auto"/>
              </w:rPr>
              <w:t>25</w:t>
            </w: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7.1.</w:t>
            </w:r>
          </w:p>
        </w:tc>
        <w:tc>
          <w:tcPr>
            <w:tcW w:w="1880" w:type="dxa"/>
            <w:vAlign w:val="bottom"/>
            <w:gridSpan w:val="3"/>
          </w:tcPr>
          <w:p>
            <w:pPr>
              <w:ind w:left="40"/>
              <w:spacing w:after="0"/>
              <w:rPr>
                <w:sz w:val="20"/>
                <w:szCs w:val="20"/>
                <w:color w:val="auto"/>
              </w:rPr>
            </w:pPr>
            <w:r>
              <w:rPr>
                <w:rFonts w:ascii="Calibri" w:cs="Calibri" w:eastAsia="Calibri" w:hAnsi="Calibri"/>
                <w:sz w:val="20"/>
                <w:szCs w:val="20"/>
                <w:color w:val="auto"/>
              </w:rPr>
              <w:t>Reportng Covenants</w:t>
            </w:r>
          </w:p>
        </w:tc>
        <w:tc>
          <w:tcPr>
            <w:tcW w:w="360" w:type="dxa"/>
            <w:vAlign w:val="bottom"/>
          </w:tcPr>
          <w:p>
            <w:pPr>
              <w:jc w:val="right"/>
              <w:ind w:right="1"/>
              <w:spacing w:after="0"/>
              <w:rPr>
                <w:sz w:val="20"/>
                <w:szCs w:val="20"/>
                <w:color w:val="auto"/>
              </w:rPr>
            </w:pPr>
            <w:r>
              <w:rPr>
                <w:rFonts w:ascii="Calibri" w:cs="Calibri" w:eastAsia="Calibri" w:hAnsi="Calibri"/>
                <w:sz w:val="20"/>
                <w:szCs w:val="20"/>
                <w:color w:val="auto"/>
              </w:rPr>
              <w:t>25</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7.2.</w:t>
            </w:r>
          </w:p>
        </w:tc>
        <w:tc>
          <w:tcPr>
            <w:tcW w:w="5420" w:type="dxa"/>
            <w:vAlign w:val="bottom"/>
            <w:gridSpan w:val="8"/>
          </w:tcPr>
          <w:p>
            <w:pPr>
              <w:ind w:left="40"/>
              <w:spacing w:after="0"/>
              <w:rPr>
                <w:sz w:val="20"/>
                <w:szCs w:val="20"/>
                <w:color w:val="auto"/>
              </w:rPr>
            </w:pPr>
            <w:r>
              <w:rPr>
                <w:rFonts w:ascii="Calibri" w:cs="Calibri" w:eastAsia="Calibri" w:hAnsi="Calibri"/>
                <w:sz w:val="20"/>
                <w:szCs w:val="20"/>
                <w:color w:val="auto"/>
              </w:rPr>
              <w:t>Afrmatve Covenants during the Period of Performance  25</w:t>
            </w:r>
          </w:p>
        </w:tc>
        <w:tc>
          <w:tcPr>
            <w:tcW w:w="248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7.3.</w:t>
            </w:r>
          </w:p>
        </w:tc>
        <w:tc>
          <w:tcPr>
            <w:tcW w:w="4560" w:type="dxa"/>
            <w:vAlign w:val="bottom"/>
            <w:gridSpan w:val="7"/>
          </w:tcPr>
          <w:p>
            <w:pPr>
              <w:ind w:left="40"/>
              <w:spacing w:after="0"/>
              <w:rPr>
                <w:sz w:val="20"/>
                <w:szCs w:val="20"/>
                <w:color w:val="auto"/>
              </w:rPr>
            </w:pPr>
            <w:r>
              <w:rPr>
                <w:rFonts w:ascii="Calibri" w:cs="Calibri" w:eastAsia="Calibri" w:hAnsi="Calibri"/>
                <w:sz w:val="20"/>
                <w:szCs w:val="20"/>
                <w:color w:val="auto"/>
              </w:rPr>
              <w:t>Afrmatve Covenants during the Upside Sharing Term</w:t>
            </w:r>
          </w:p>
        </w:tc>
        <w:tc>
          <w:tcPr>
            <w:tcW w:w="860" w:type="dxa"/>
            <w:vAlign w:val="bottom"/>
          </w:tcPr>
          <w:p>
            <w:pPr>
              <w:jc w:val="right"/>
              <w:ind w:right="441"/>
              <w:spacing w:after="0"/>
              <w:rPr>
                <w:sz w:val="20"/>
                <w:szCs w:val="20"/>
                <w:color w:val="auto"/>
              </w:rPr>
            </w:pPr>
            <w:r>
              <w:rPr>
                <w:rFonts w:ascii="Calibri" w:cs="Calibri" w:eastAsia="Calibri" w:hAnsi="Calibri"/>
                <w:sz w:val="20"/>
                <w:szCs w:val="20"/>
                <w:color w:val="auto"/>
              </w:rPr>
              <w:t>31</w:t>
            </w:r>
          </w:p>
        </w:tc>
        <w:tc>
          <w:tcPr>
            <w:tcW w:w="24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3"/>
          </w:tcPr>
          <w:p>
            <w:pPr>
              <w:jc w:val="center"/>
              <w:spacing w:after="0"/>
              <w:rPr>
                <w:sz w:val="20"/>
                <w:szCs w:val="20"/>
                <w:color w:val="auto"/>
              </w:rPr>
            </w:pPr>
            <w:r>
              <w:rPr>
                <w:rFonts w:ascii="Calibri" w:cs="Calibri" w:eastAsia="Calibri" w:hAnsi="Calibri"/>
                <w:sz w:val="20"/>
                <w:szCs w:val="20"/>
                <w:color w:val="auto"/>
              </w:rPr>
              <w:t>Artcle 8 Negatve Covenants</w:t>
            </w:r>
          </w:p>
        </w:tc>
        <w:tc>
          <w:tcPr>
            <w:tcW w:w="2480" w:type="dxa"/>
            <w:vAlign w:val="bottom"/>
          </w:tcPr>
          <w:p>
            <w:pPr>
              <w:jc w:val="right"/>
              <w:ind w:right="2141"/>
              <w:spacing w:after="0"/>
              <w:rPr>
                <w:sz w:val="20"/>
                <w:szCs w:val="20"/>
                <w:color w:val="auto"/>
              </w:rPr>
            </w:pPr>
            <w:r>
              <w:rPr>
                <w:rFonts w:ascii="Calibri" w:cs="Calibri" w:eastAsia="Calibri" w:hAnsi="Calibri"/>
                <w:sz w:val="20"/>
                <w:szCs w:val="20"/>
                <w:color w:val="auto"/>
              </w:rPr>
              <w:t>33</w:t>
            </w: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8.1.</w:t>
            </w:r>
          </w:p>
        </w:tc>
        <w:tc>
          <w:tcPr>
            <w:tcW w:w="4560" w:type="dxa"/>
            <w:vAlign w:val="bottom"/>
            <w:gridSpan w:val="7"/>
          </w:tcPr>
          <w:p>
            <w:pPr>
              <w:ind w:left="40"/>
              <w:spacing w:after="0"/>
              <w:rPr>
                <w:sz w:val="20"/>
                <w:szCs w:val="20"/>
                <w:color w:val="auto"/>
              </w:rPr>
            </w:pPr>
            <w:r>
              <w:rPr>
                <w:rFonts w:ascii="Calibri" w:cs="Calibri" w:eastAsia="Calibri" w:hAnsi="Calibri"/>
                <w:sz w:val="20"/>
                <w:szCs w:val="20"/>
                <w:color w:val="auto"/>
              </w:rPr>
              <w:t>Negatve Covenants during the Period of Performance</w:t>
            </w:r>
          </w:p>
        </w:tc>
        <w:tc>
          <w:tcPr>
            <w:tcW w:w="860" w:type="dxa"/>
            <w:vAlign w:val="bottom"/>
          </w:tcPr>
          <w:p>
            <w:pPr>
              <w:jc w:val="right"/>
              <w:ind w:right="481"/>
              <w:spacing w:after="0"/>
              <w:rPr>
                <w:sz w:val="20"/>
                <w:szCs w:val="20"/>
                <w:color w:val="auto"/>
              </w:rPr>
            </w:pPr>
            <w:r>
              <w:rPr>
                <w:rFonts w:ascii="Calibri" w:cs="Calibri" w:eastAsia="Calibri" w:hAnsi="Calibri"/>
                <w:sz w:val="20"/>
                <w:szCs w:val="20"/>
                <w:color w:val="auto"/>
              </w:rPr>
              <w:t>33</w:t>
            </w:r>
          </w:p>
        </w:tc>
        <w:tc>
          <w:tcPr>
            <w:tcW w:w="24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19"/>
          </w:cols>
          <w:pgMar w:left="540" w:top="14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0"/>
        <w:spacing w:after="0"/>
        <w:rPr>
          <w:sz w:val="20"/>
          <w:szCs w:val="20"/>
          <w:color w:val="auto"/>
        </w:rPr>
      </w:pPr>
      <w:r>
        <w:rPr>
          <w:rFonts w:ascii="Calibri" w:cs="Calibri" w:eastAsia="Calibri" w:hAnsi="Calibri"/>
          <w:sz w:val="17"/>
          <w:szCs w:val="17"/>
          <w:color w:val="auto"/>
        </w:rPr>
        <w:t>ii</w:t>
      </w:r>
    </w:p>
    <w:p>
      <w:pPr>
        <w:sectPr>
          <w:pgSz w:w="11900" w:h="16838" w:orient="portrait"/>
          <w:cols w:equalWidth="0" w:num="1">
            <w:col w:w="9919"/>
          </w:cols>
          <w:pgMar w:left="540" w:top="1401" w:right="1440" w:bottom="1440" w:gutter="0" w:footer="0" w:header="0"/>
          <w:type w:val="continuous"/>
        </w:sectPr>
      </w:pPr>
    </w:p>
    <w:bookmarkStart w:id="440" w:name="page441"/>
    <w:bookmarkEnd w:id="440"/>
    <w:tbl>
      <w:tblPr>
        <w:tblLayout w:type="fixed"/>
        <w:tblInd w:w="0" w:type="dxa"/>
        <w:tblCellMar>
          <w:top w:w="0" w:type="dxa"/>
          <w:left w:w="0" w:type="dxa"/>
          <w:bottom w:w="0" w:type="dxa"/>
          <w:right w:w="0" w:type="dxa"/>
        </w:tblCellMar>
      </w:tblPr>
      <w:tr>
        <w:trPr>
          <w:trHeight w:val="244"/>
        </w:trPr>
        <w:tc>
          <w:tcPr>
            <w:tcW w:w="1120" w:type="dxa"/>
            <w:vAlign w:val="bottom"/>
          </w:tcPr>
          <w:p>
            <w:pPr>
              <w:spacing w:after="0"/>
              <w:rPr>
                <w:sz w:val="20"/>
                <w:szCs w:val="20"/>
                <w:color w:val="auto"/>
              </w:rPr>
            </w:pPr>
            <w:r>
              <w:rPr>
                <w:rFonts w:ascii="Calibri" w:cs="Calibri" w:eastAsia="Calibri" w:hAnsi="Calibri"/>
                <w:sz w:val="20"/>
                <w:szCs w:val="20"/>
                <w:color w:val="auto"/>
              </w:rPr>
              <w:t>Secton 8.2.</w:t>
            </w:r>
          </w:p>
        </w:tc>
        <w:tc>
          <w:tcPr>
            <w:tcW w:w="5380" w:type="dxa"/>
            <w:vAlign w:val="bottom"/>
            <w:gridSpan w:val="6"/>
          </w:tcPr>
          <w:p>
            <w:pPr>
              <w:ind w:left="40"/>
              <w:spacing w:after="0"/>
              <w:rPr>
                <w:sz w:val="20"/>
                <w:szCs w:val="20"/>
                <w:color w:val="auto"/>
              </w:rPr>
            </w:pPr>
            <w:r>
              <w:rPr>
                <w:rFonts w:ascii="Calibri" w:cs="Calibri" w:eastAsia="Calibri" w:hAnsi="Calibri"/>
                <w:sz w:val="20"/>
                <w:szCs w:val="20"/>
                <w:color w:val="auto"/>
              </w:rPr>
              <w:t>Negatve Covenants during the Upside Sharing Term  35</w:t>
            </w:r>
          </w:p>
        </w:tc>
        <w:tc>
          <w:tcPr>
            <w:tcW w:w="600" w:type="dxa"/>
            <w:vAlign w:val="bottom"/>
          </w:tcPr>
          <w:p>
            <w:pPr>
              <w:spacing w:after="0"/>
              <w:rPr>
                <w:sz w:val="21"/>
                <w:szCs w:val="21"/>
                <w:color w:val="auto"/>
              </w:rPr>
            </w:pPr>
          </w:p>
        </w:tc>
      </w:tr>
      <w:tr>
        <w:trPr>
          <w:trHeight w:val="33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2"/>
          </w:tcPr>
          <w:p>
            <w:pPr>
              <w:jc w:val="center"/>
              <w:ind w:left="321"/>
              <w:spacing w:after="0"/>
              <w:rPr>
                <w:sz w:val="20"/>
                <w:szCs w:val="20"/>
                <w:color w:val="auto"/>
              </w:rPr>
            </w:pPr>
            <w:r>
              <w:rPr>
                <w:rFonts w:ascii="Calibri" w:cs="Calibri" w:eastAsia="Calibri" w:hAnsi="Calibri"/>
                <w:sz w:val="20"/>
                <w:szCs w:val="20"/>
                <w:color w:val="auto"/>
              </w:rPr>
              <w:t>Artcle 9 Events of Default; Remedies  35</w:t>
            </w:r>
          </w:p>
        </w:tc>
      </w:tr>
      <w:tr>
        <w:trPr>
          <w:trHeight w:val="338"/>
        </w:trPr>
        <w:tc>
          <w:tcPr>
            <w:tcW w:w="2720" w:type="dxa"/>
            <w:vAlign w:val="bottom"/>
            <w:gridSpan w:val="4"/>
          </w:tcPr>
          <w:p>
            <w:pPr>
              <w:spacing w:after="0"/>
              <w:rPr>
                <w:sz w:val="20"/>
                <w:szCs w:val="20"/>
                <w:color w:val="auto"/>
              </w:rPr>
            </w:pPr>
            <w:r>
              <w:rPr>
                <w:rFonts w:ascii="Calibri" w:cs="Calibri" w:eastAsia="Calibri" w:hAnsi="Calibri"/>
                <w:sz w:val="20"/>
                <w:szCs w:val="20"/>
                <w:color w:val="auto"/>
              </w:rPr>
              <w:t>Secton 9.1.  Events of Default</w:t>
            </w:r>
          </w:p>
        </w:tc>
        <w:tc>
          <w:tcPr>
            <w:tcW w:w="300" w:type="dxa"/>
            <w:vAlign w:val="bottom"/>
          </w:tcPr>
          <w:p>
            <w:pPr>
              <w:jc w:val="right"/>
              <w:spacing w:after="0"/>
              <w:rPr>
                <w:sz w:val="20"/>
                <w:szCs w:val="20"/>
                <w:color w:val="auto"/>
              </w:rPr>
            </w:pPr>
            <w:r>
              <w:rPr>
                <w:rFonts w:ascii="Calibri" w:cs="Calibri" w:eastAsia="Calibri" w:hAnsi="Calibri"/>
                <w:sz w:val="20"/>
                <w:szCs w:val="20"/>
                <w:color w:val="auto"/>
                <w:w w:val="98"/>
              </w:rPr>
              <w:t>35</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9.2.</w:t>
            </w:r>
          </w:p>
        </w:tc>
        <w:tc>
          <w:tcPr>
            <w:tcW w:w="5380" w:type="dxa"/>
            <w:vAlign w:val="bottom"/>
            <w:gridSpan w:val="6"/>
          </w:tcPr>
          <w:p>
            <w:pPr>
              <w:ind w:left="40"/>
              <w:spacing w:after="0"/>
              <w:rPr>
                <w:sz w:val="20"/>
                <w:szCs w:val="20"/>
                <w:color w:val="auto"/>
              </w:rPr>
            </w:pPr>
            <w:r>
              <w:rPr>
                <w:rFonts w:ascii="Calibri" w:cs="Calibri" w:eastAsia="Calibri" w:hAnsi="Calibri"/>
                <w:sz w:val="20"/>
                <w:szCs w:val="20"/>
                <w:color w:val="auto"/>
              </w:rPr>
              <w:t>Remedies for Events of Default  39</w:t>
            </w: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9.3.</w:t>
            </w:r>
          </w:p>
        </w:tc>
        <w:tc>
          <w:tcPr>
            <w:tcW w:w="5380" w:type="dxa"/>
            <w:vAlign w:val="bottom"/>
            <w:gridSpan w:val="6"/>
          </w:tcPr>
          <w:p>
            <w:pPr>
              <w:ind w:left="40"/>
              <w:spacing w:after="0"/>
              <w:rPr>
                <w:sz w:val="20"/>
                <w:szCs w:val="20"/>
                <w:color w:val="auto"/>
              </w:rPr>
            </w:pPr>
            <w:r>
              <w:rPr>
                <w:rFonts w:ascii="Calibri" w:cs="Calibri" w:eastAsia="Calibri" w:hAnsi="Calibri"/>
                <w:sz w:val="20"/>
                <w:szCs w:val="20"/>
                <w:color w:val="auto"/>
              </w:rPr>
              <w:t>Automatc Acceleraton  41</w:t>
            </w: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9.4.</w:t>
            </w:r>
          </w:p>
        </w:tc>
        <w:tc>
          <w:tcPr>
            <w:tcW w:w="1900" w:type="dxa"/>
            <w:vAlign w:val="bottom"/>
            <w:gridSpan w:val="4"/>
          </w:tcPr>
          <w:p>
            <w:pPr>
              <w:ind w:left="40"/>
              <w:spacing w:after="0"/>
              <w:rPr>
                <w:sz w:val="20"/>
                <w:szCs w:val="20"/>
                <w:color w:val="auto"/>
              </w:rPr>
            </w:pPr>
            <w:r>
              <w:rPr>
                <w:rFonts w:ascii="Calibri" w:cs="Calibri" w:eastAsia="Calibri" w:hAnsi="Calibri"/>
                <w:sz w:val="20"/>
                <w:szCs w:val="20"/>
                <w:color w:val="auto"/>
              </w:rPr>
              <w:t>Specifc Performance</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41</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9.5.</w:t>
            </w:r>
          </w:p>
        </w:tc>
        <w:tc>
          <w:tcPr>
            <w:tcW w:w="5380" w:type="dxa"/>
            <w:vAlign w:val="bottom"/>
            <w:gridSpan w:val="6"/>
          </w:tcPr>
          <w:p>
            <w:pPr>
              <w:ind w:left="40"/>
              <w:spacing w:after="0"/>
              <w:rPr>
                <w:sz w:val="20"/>
                <w:szCs w:val="20"/>
                <w:color w:val="auto"/>
              </w:rPr>
            </w:pPr>
            <w:r>
              <w:rPr>
                <w:rFonts w:ascii="Calibri" w:cs="Calibri" w:eastAsia="Calibri" w:hAnsi="Calibri"/>
                <w:sz w:val="20"/>
                <w:szCs w:val="20"/>
                <w:color w:val="auto"/>
              </w:rPr>
              <w:t>Workforce Award Remedies  42</w:t>
            </w: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9.6.</w:t>
            </w:r>
          </w:p>
        </w:tc>
        <w:tc>
          <w:tcPr>
            <w:tcW w:w="1600" w:type="dxa"/>
            <w:vAlign w:val="bottom"/>
            <w:gridSpan w:val="3"/>
          </w:tcPr>
          <w:p>
            <w:pPr>
              <w:ind w:left="40"/>
              <w:spacing w:after="0"/>
              <w:rPr>
                <w:sz w:val="20"/>
                <w:szCs w:val="20"/>
                <w:color w:val="auto"/>
              </w:rPr>
            </w:pPr>
            <w:r>
              <w:rPr>
                <w:rFonts w:ascii="Calibri" w:cs="Calibri" w:eastAsia="Calibri" w:hAnsi="Calibri"/>
                <w:sz w:val="20"/>
                <w:szCs w:val="20"/>
                <w:color w:val="auto"/>
              </w:rPr>
              <w:t>Department Rights</w:t>
            </w:r>
          </w:p>
        </w:tc>
        <w:tc>
          <w:tcPr>
            <w:tcW w:w="560" w:type="dxa"/>
            <w:vAlign w:val="bottom"/>
            <w:gridSpan w:val="2"/>
          </w:tcPr>
          <w:p>
            <w:pPr>
              <w:jc w:val="right"/>
              <w:ind w:right="81"/>
              <w:spacing w:after="0"/>
              <w:rPr>
                <w:sz w:val="20"/>
                <w:szCs w:val="20"/>
                <w:color w:val="auto"/>
              </w:rPr>
            </w:pPr>
            <w:r>
              <w:rPr>
                <w:rFonts w:ascii="Calibri" w:cs="Calibri" w:eastAsia="Calibri" w:hAnsi="Calibri"/>
                <w:sz w:val="20"/>
                <w:szCs w:val="20"/>
                <w:color w:val="auto"/>
              </w:rPr>
              <w:t>42</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2"/>
          </w:tcPr>
          <w:p>
            <w:pPr>
              <w:jc w:val="center"/>
              <w:ind w:left="321"/>
              <w:spacing w:after="0"/>
              <w:rPr>
                <w:sz w:val="20"/>
                <w:szCs w:val="20"/>
                <w:color w:val="auto"/>
              </w:rPr>
            </w:pPr>
            <w:r>
              <w:rPr>
                <w:rFonts w:ascii="Calibri" w:cs="Calibri" w:eastAsia="Calibri" w:hAnsi="Calibri"/>
                <w:sz w:val="20"/>
                <w:szCs w:val="20"/>
                <w:color w:val="auto"/>
              </w:rPr>
              <w:t>Artcle 10 Miscellaneous  42</w:t>
            </w:r>
          </w:p>
        </w:tc>
      </w:tr>
      <w:tr>
        <w:trPr>
          <w:trHeight w:val="338"/>
        </w:trPr>
        <w:tc>
          <w:tcPr>
            <w:tcW w:w="1120" w:type="dxa"/>
            <w:vAlign w:val="bottom"/>
          </w:tcPr>
          <w:p>
            <w:pPr>
              <w:spacing w:after="0"/>
              <w:rPr>
                <w:sz w:val="20"/>
                <w:szCs w:val="20"/>
                <w:color w:val="auto"/>
              </w:rPr>
            </w:pPr>
            <w:r>
              <w:rPr>
                <w:rFonts w:ascii="Calibri" w:cs="Calibri" w:eastAsia="Calibri" w:hAnsi="Calibri"/>
                <w:sz w:val="20"/>
                <w:szCs w:val="20"/>
                <w:color w:val="auto"/>
              </w:rPr>
              <w:t>Secton 10.1.</w:t>
            </w: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alibri" w:cs="Calibri" w:eastAsia="Calibri" w:hAnsi="Calibri"/>
                <w:sz w:val="20"/>
                <w:szCs w:val="20"/>
                <w:color w:val="auto"/>
              </w:rPr>
              <w:t>Addresses</w:t>
            </w:r>
          </w:p>
        </w:tc>
        <w:tc>
          <w:tcPr>
            <w:tcW w:w="440" w:type="dxa"/>
            <w:vAlign w:val="bottom"/>
          </w:tcPr>
          <w:p>
            <w:pPr>
              <w:jc w:val="right"/>
              <w:ind w:right="141"/>
              <w:spacing w:after="0"/>
              <w:rPr>
                <w:sz w:val="20"/>
                <w:szCs w:val="20"/>
                <w:color w:val="auto"/>
              </w:rPr>
            </w:pPr>
            <w:r>
              <w:rPr>
                <w:rFonts w:ascii="Calibri" w:cs="Calibri" w:eastAsia="Calibri" w:hAnsi="Calibri"/>
                <w:sz w:val="20"/>
                <w:szCs w:val="20"/>
                <w:color w:val="auto"/>
                <w:w w:val="88"/>
              </w:rPr>
              <w:t>42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10.2.</w:t>
            </w: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Calibri" w:cs="Calibri" w:eastAsia="Calibri" w:hAnsi="Calibri"/>
                <w:sz w:val="20"/>
                <w:szCs w:val="20"/>
                <w:color w:val="auto"/>
              </w:rPr>
              <w:t>Use of Websites</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42</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10.3.</w:t>
            </w: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Calibri" w:cs="Calibri" w:eastAsia="Calibri" w:hAnsi="Calibri"/>
                <w:sz w:val="20"/>
                <w:szCs w:val="20"/>
                <w:color w:val="auto"/>
              </w:rPr>
              <w:t>Further Assurances</w:t>
            </w:r>
          </w:p>
        </w:tc>
        <w:tc>
          <w:tcPr>
            <w:tcW w:w="260" w:type="dxa"/>
            <w:vAlign w:val="bottom"/>
          </w:tcPr>
          <w:p>
            <w:pPr>
              <w:jc w:val="right"/>
              <w:spacing w:after="0"/>
              <w:rPr>
                <w:sz w:val="20"/>
                <w:szCs w:val="20"/>
                <w:color w:val="auto"/>
              </w:rPr>
            </w:pPr>
            <w:r>
              <w:rPr>
                <w:rFonts w:ascii="Calibri" w:cs="Calibri" w:eastAsia="Calibri" w:hAnsi="Calibri"/>
                <w:sz w:val="20"/>
                <w:szCs w:val="20"/>
                <w:color w:val="auto"/>
                <w:w w:val="98"/>
              </w:rPr>
              <w:t>43</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10.4.</w:t>
            </w: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Calibri" w:cs="Calibri" w:eastAsia="Calibri" w:hAnsi="Calibri"/>
                <w:sz w:val="20"/>
                <w:szCs w:val="20"/>
                <w:color w:val="auto"/>
              </w:rPr>
              <w:t>Non-Discriminaton</w:t>
            </w:r>
          </w:p>
        </w:tc>
        <w:tc>
          <w:tcPr>
            <w:tcW w:w="260" w:type="dxa"/>
            <w:vAlign w:val="bottom"/>
          </w:tcPr>
          <w:p>
            <w:pPr>
              <w:jc w:val="right"/>
              <w:spacing w:after="0"/>
              <w:rPr>
                <w:sz w:val="20"/>
                <w:szCs w:val="20"/>
                <w:color w:val="auto"/>
              </w:rPr>
            </w:pPr>
            <w:r>
              <w:rPr>
                <w:rFonts w:ascii="Calibri" w:cs="Calibri" w:eastAsia="Calibri" w:hAnsi="Calibri"/>
                <w:sz w:val="20"/>
                <w:szCs w:val="20"/>
                <w:color w:val="auto"/>
                <w:w w:val="98"/>
              </w:rPr>
              <w:t>43</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10.5.</w:t>
            </w:r>
          </w:p>
        </w:tc>
        <w:tc>
          <w:tcPr>
            <w:tcW w:w="100" w:type="dxa"/>
            <w:vAlign w:val="bottom"/>
          </w:tcPr>
          <w:p>
            <w:pPr>
              <w:spacing w:after="0"/>
              <w:rPr>
                <w:sz w:val="24"/>
                <w:szCs w:val="24"/>
                <w:color w:val="auto"/>
              </w:rPr>
            </w:pPr>
          </w:p>
        </w:tc>
        <w:tc>
          <w:tcPr>
            <w:tcW w:w="2060" w:type="dxa"/>
            <w:vAlign w:val="bottom"/>
            <w:gridSpan w:val="4"/>
          </w:tcPr>
          <w:p>
            <w:pPr>
              <w:ind w:left="40"/>
              <w:spacing w:after="0"/>
              <w:rPr>
                <w:sz w:val="20"/>
                <w:szCs w:val="20"/>
                <w:color w:val="auto"/>
              </w:rPr>
            </w:pPr>
            <w:r>
              <w:rPr>
                <w:rFonts w:ascii="Calibri" w:cs="Calibri" w:eastAsia="Calibri" w:hAnsi="Calibri"/>
                <w:sz w:val="20"/>
                <w:szCs w:val="20"/>
                <w:color w:val="auto"/>
              </w:rPr>
              <w:t>Waiver and Amendment</w:t>
            </w:r>
          </w:p>
        </w:tc>
        <w:tc>
          <w:tcPr>
            <w:tcW w:w="3220" w:type="dxa"/>
            <w:vAlign w:val="bottom"/>
          </w:tcPr>
          <w:p>
            <w:pPr>
              <w:jc w:val="right"/>
              <w:ind w:right="2741"/>
              <w:spacing w:after="0"/>
              <w:rPr>
                <w:sz w:val="20"/>
                <w:szCs w:val="20"/>
                <w:color w:val="auto"/>
              </w:rPr>
            </w:pPr>
            <w:r>
              <w:rPr>
                <w:rFonts w:ascii="Calibri" w:cs="Calibri" w:eastAsia="Calibri" w:hAnsi="Calibri"/>
                <w:sz w:val="20"/>
                <w:szCs w:val="20"/>
                <w:color w:val="auto"/>
              </w:rPr>
              <w:t>43</w:t>
            </w: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10.6.</w:t>
            </w:r>
          </w:p>
        </w:tc>
        <w:tc>
          <w:tcPr>
            <w:tcW w:w="10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Calibri" w:cs="Calibri" w:eastAsia="Calibri" w:hAnsi="Calibri"/>
                <w:sz w:val="20"/>
                <w:szCs w:val="20"/>
                <w:color w:val="auto"/>
              </w:rPr>
              <w:t>Entre Agreement</w:t>
            </w:r>
          </w:p>
        </w:tc>
        <w:tc>
          <w:tcPr>
            <w:tcW w:w="560" w:type="dxa"/>
            <w:vAlign w:val="bottom"/>
            <w:gridSpan w:val="2"/>
          </w:tcPr>
          <w:p>
            <w:pPr>
              <w:jc w:val="right"/>
              <w:ind w:right="81"/>
              <w:spacing w:after="0"/>
              <w:rPr>
                <w:sz w:val="20"/>
                <w:szCs w:val="20"/>
                <w:color w:val="auto"/>
              </w:rPr>
            </w:pPr>
            <w:r>
              <w:rPr>
                <w:rFonts w:ascii="Calibri" w:cs="Calibri" w:eastAsia="Calibri" w:hAnsi="Calibri"/>
                <w:sz w:val="20"/>
                <w:szCs w:val="20"/>
                <w:color w:val="auto"/>
              </w:rPr>
              <w:t>43</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7"/>
        </w:trPr>
        <w:tc>
          <w:tcPr>
            <w:tcW w:w="1120" w:type="dxa"/>
            <w:vAlign w:val="bottom"/>
          </w:tcPr>
          <w:p>
            <w:pPr>
              <w:spacing w:after="0"/>
              <w:rPr>
                <w:sz w:val="20"/>
                <w:szCs w:val="20"/>
                <w:color w:val="auto"/>
              </w:rPr>
            </w:pPr>
            <w:r>
              <w:rPr>
                <w:rFonts w:ascii="Calibri" w:cs="Calibri" w:eastAsia="Calibri" w:hAnsi="Calibri"/>
                <w:sz w:val="20"/>
                <w:szCs w:val="20"/>
                <w:color w:val="auto"/>
              </w:rPr>
              <w:t>Secton 10.7.</w:t>
            </w: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Calibri" w:cs="Calibri" w:eastAsia="Calibri" w:hAnsi="Calibri"/>
                <w:sz w:val="20"/>
                <w:szCs w:val="20"/>
                <w:color w:val="auto"/>
              </w:rPr>
              <w:t>Governing Law  44</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10.8.</w:t>
            </w: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alibri" w:cs="Calibri" w:eastAsia="Calibri" w:hAnsi="Calibri"/>
                <w:sz w:val="20"/>
                <w:szCs w:val="20"/>
                <w:color w:val="auto"/>
              </w:rPr>
              <w:t>Severability</w:t>
            </w:r>
          </w:p>
        </w:tc>
        <w:tc>
          <w:tcPr>
            <w:tcW w:w="440" w:type="dxa"/>
            <w:vAlign w:val="bottom"/>
          </w:tcPr>
          <w:p>
            <w:pPr>
              <w:jc w:val="right"/>
              <w:ind w:right="21"/>
              <w:spacing w:after="0"/>
              <w:rPr>
                <w:sz w:val="20"/>
                <w:szCs w:val="20"/>
                <w:color w:val="auto"/>
              </w:rPr>
            </w:pPr>
            <w:r>
              <w:rPr>
                <w:rFonts w:ascii="Calibri" w:cs="Calibri" w:eastAsia="Calibri" w:hAnsi="Calibri"/>
                <w:sz w:val="20"/>
                <w:szCs w:val="20"/>
                <w:color w:val="auto"/>
              </w:rPr>
              <w:t>44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120" w:type="dxa"/>
            <w:vAlign w:val="bottom"/>
          </w:tcPr>
          <w:p>
            <w:pPr>
              <w:spacing w:after="0"/>
              <w:rPr>
                <w:sz w:val="20"/>
                <w:szCs w:val="20"/>
                <w:color w:val="auto"/>
              </w:rPr>
            </w:pPr>
            <w:r>
              <w:rPr>
                <w:rFonts w:ascii="Calibri" w:cs="Calibri" w:eastAsia="Calibri" w:hAnsi="Calibri"/>
                <w:sz w:val="20"/>
                <w:szCs w:val="20"/>
                <w:color w:val="auto"/>
              </w:rPr>
              <w:t>Secton 10.9.</w:t>
            </w: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Calibri" w:cs="Calibri" w:eastAsia="Calibri" w:hAnsi="Calibri"/>
                <w:sz w:val="20"/>
                <w:szCs w:val="20"/>
                <w:color w:val="auto"/>
              </w:rPr>
              <w:t>Limitaton on Liability</w:t>
            </w:r>
          </w:p>
        </w:tc>
        <w:tc>
          <w:tcPr>
            <w:tcW w:w="3480" w:type="dxa"/>
            <w:vAlign w:val="bottom"/>
            <w:gridSpan w:val="2"/>
          </w:tcPr>
          <w:p>
            <w:pPr>
              <w:jc w:val="right"/>
              <w:ind w:right="2981"/>
              <w:spacing w:after="0"/>
              <w:rPr>
                <w:sz w:val="20"/>
                <w:szCs w:val="20"/>
                <w:color w:val="auto"/>
              </w:rPr>
            </w:pPr>
            <w:r>
              <w:rPr>
                <w:rFonts w:ascii="Calibri" w:cs="Calibri" w:eastAsia="Calibri" w:hAnsi="Calibri"/>
                <w:sz w:val="20"/>
                <w:szCs w:val="20"/>
                <w:color w:val="auto"/>
              </w:rPr>
              <w:t>44</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10.10.</w:t>
            </w:r>
          </w:p>
        </w:tc>
        <w:tc>
          <w:tcPr>
            <w:tcW w:w="1800" w:type="dxa"/>
            <w:vAlign w:val="bottom"/>
            <w:gridSpan w:val="3"/>
          </w:tcPr>
          <w:p>
            <w:pPr>
              <w:ind w:left="140"/>
              <w:spacing w:after="0"/>
              <w:rPr>
                <w:sz w:val="20"/>
                <w:szCs w:val="20"/>
                <w:color w:val="auto"/>
              </w:rPr>
            </w:pPr>
            <w:r>
              <w:rPr>
                <w:rFonts w:ascii="Calibri" w:cs="Calibri" w:eastAsia="Calibri" w:hAnsi="Calibri"/>
                <w:sz w:val="20"/>
                <w:szCs w:val="20"/>
                <w:color w:val="auto"/>
              </w:rPr>
              <w:t>Waiver of Jury Trial</w:t>
            </w:r>
          </w:p>
        </w:tc>
        <w:tc>
          <w:tcPr>
            <w:tcW w:w="3480" w:type="dxa"/>
            <w:vAlign w:val="bottom"/>
            <w:gridSpan w:val="2"/>
          </w:tcPr>
          <w:p>
            <w:pPr>
              <w:jc w:val="right"/>
              <w:ind w:right="3081"/>
              <w:spacing w:after="0"/>
              <w:rPr>
                <w:sz w:val="20"/>
                <w:szCs w:val="20"/>
                <w:color w:val="auto"/>
              </w:rPr>
            </w:pPr>
            <w:r>
              <w:rPr>
                <w:rFonts w:ascii="Calibri" w:cs="Calibri" w:eastAsia="Calibri" w:hAnsi="Calibri"/>
                <w:sz w:val="20"/>
                <w:szCs w:val="20"/>
                <w:color w:val="auto"/>
              </w:rPr>
              <w:t>44</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10.11.</w:t>
            </w:r>
          </w:p>
        </w:tc>
        <w:tc>
          <w:tcPr>
            <w:tcW w:w="2060" w:type="dxa"/>
            <w:vAlign w:val="bottom"/>
            <w:gridSpan w:val="4"/>
          </w:tcPr>
          <w:p>
            <w:pPr>
              <w:ind w:left="140"/>
              <w:spacing w:after="0"/>
              <w:rPr>
                <w:sz w:val="20"/>
                <w:szCs w:val="20"/>
                <w:color w:val="auto"/>
              </w:rPr>
            </w:pPr>
            <w:r>
              <w:rPr>
                <w:rFonts w:ascii="Calibri" w:cs="Calibri" w:eastAsia="Calibri" w:hAnsi="Calibri"/>
                <w:sz w:val="20"/>
                <w:szCs w:val="20"/>
                <w:color w:val="auto"/>
              </w:rPr>
              <w:t>Consent to Jurisdicton</w:t>
            </w:r>
          </w:p>
        </w:tc>
        <w:tc>
          <w:tcPr>
            <w:tcW w:w="3220" w:type="dxa"/>
            <w:vAlign w:val="bottom"/>
          </w:tcPr>
          <w:p>
            <w:pPr>
              <w:jc w:val="right"/>
              <w:ind w:right="2781"/>
              <w:spacing w:after="0"/>
              <w:rPr>
                <w:sz w:val="20"/>
                <w:szCs w:val="20"/>
                <w:color w:val="auto"/>
              </w:rPr>
            </w:pPr>
            <w:r>
              <w:rPr>
                <w:rFonts w:ascii="Calibri" w:cs="Calibri" w:eastAsia="Calibri" w:hAnsi="Calibri"/>
                <w:sz w:val="20"/>
                <w:szCs w:val="20"/>
                <w:color w:val="auto"/>
              </w:rPr>
              <w:t>44</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10.12.</w:t>
            </w:r>
          </w:p>
        </w:tc>
        <w:tc>
          <w:tcPr>
            <w:tcW w:w="1800" w:type="dxa"/>
            <w:vAlign w:val="bottom"/>
            <w:gridSpan w:val="3"/>
          </w:tcPr>
          <w:p>
            <w:pPr>
              <w:ind w:left="140"/>
              <w:spacing w:after="0"/>
              <w:rPr>
                <w:sz w:val="20"/>
                <w:szCs w:val="20"/>
                <w:color w:val="auto"/>
              </w:rPr>
            </w:pPr>
            <w:r>
              <w:rPr>
                <w:rFonts w:ascii="Calibri" w:cs="Calibri" w:eastAsia="Calibri" w:hAnsi="Calibri"/>
                <w:sz w:val="20"/>
                <w:szCs w:val="20"/>
                <w:color w:val="auto"/>
              </w:rPr>
              <w:t>Dispute Resoluton</w:t>
            </w:r>
          </w:p>
        </w:tc>
        <w:tc>
          <w:tcPr>
            <w:tcW w:w="3480" w:type="dxa"/>
            <w:vAlign w:val="bottom"/>
            <w:gridSpan w:val="2"/>
          </w:tcPr>
          <w:p>
            <w:pPr>
              <w:jc w:val="right"/>
              <w:ind w:right="3101"/>
              <w:spacing w:after="0"/>
              <w:rPr>
                <w:sz w:val="20"/>
                <w:szCs w:val="20"/>
                <w:color w:val="auto"/>
              </w:rPr>
            </w:pPr>
            <w:r>
              <w:rPr>
                <w:rFonts w:ascii="Calibri" w:cs="Calibri" w:eastAsia="Calibri" w:hAnsi="Calibri"/>
                <w:sz w:val="20"/>
                <w:szCs w:val="20"/>
                <w:color w:val="auto"/>
              </w:rPr>
              <w:t>45</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10.13.</w:t>
            </w:r>
          </w:p>
        </w:tc>
        <w:tc>
          <w:tcPr>
            <w:tcW w:w="2060" w:type="dxa"/>
            <w:vAlign w:val="bottom"/>
            <w:gridSpan w:val="4"/>
          </w:tcPr>
          <w:p>
            <w:pPr>
              <w:ind w:left="140"/>
              <w:spacing w:after="0"/>
              <w:rPr>
                <w:sz w:val="20"/>
                <w:szCs w:val="20"/>
                <w:color w:val="auto"/>
              </w:rPr>
            </w:pPr>
            <w:r>
              <w:rPr>
                <w:rFonts w:ascii="Calibri" w:cs="Calibri" w:eastAsia="Calibri" w:hAnsi="Calibri"/>
                <w:sz w:val="20"/>
                <w:szCs w:val="20"/>
                <w:color w:val="auto"/>
              </w:rPr>
              <w:t>Successors and Assigns</w:t>
            </w:r>
          </w:p>
        </w:tc>
        <w:tc>
          <w:tcPr>
            <w:tcW w:w="3220" w:type="dxa"/>
            <w:vAlign w:val="bottom"/>
          </w:tcPr>
          <w:p>
            <w:pPr>
              <w:jc w:val="right"/>
              <w:ind w:right="2761"/>
              <w:spacing w:after="0"/>
              <w:rPr>
                <w:sz w:val="20"/>
                <w:szCs w:val="20"/>
                <w:color w:val="auto"/>
              </w:rPr>
            </w:pPr>
            <w:r>
              <w:rPr>
                <w:rFonts w:ascii="Calibri" w:cs="Calibri" w:eastAsia="Calibri" w:hAnsi="Calibri"/>
                <w:sz w:val="20"/>
                <w:szCs w:val="20"/>
                <w:color w:val="auto"/>
              </w:rPr>
              <w:t>47</w:t>
            </w:r>
          </w:p>
        </w:tc>
        <w:tc>
          <w:tcPr>
            <w:tcW w:w="600" w:type="dxa"/>
            <w:vAlign w:val="bottom"/>
          </w:tcPr>
          <w:p>
            <w:pPr>
              <w:spacing w:after="0"/>
              <w:rPr>
                <w:sz w:val="24"/>
                <w:szCs w:val="24"/>
                <w:color w:val="auto"/>
              </w:rPr>
            </w:pPr>
          </w:p>
        </w:tc>
      </w:tr>
      <w:tr>
        <w:trPr>
          <w:trHeight w:val="338"/>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10.14.</w:t>
            </w:r>
          </w:p>
        </w:tc>
        <w:tc>
          <w:tcPr>
            <w:tcW w:w="1500" w:type="dxa"/>
            <w:vAlign w:val="bottom"/>
            <w:gridSpan w:val="2"/>
          </w:tcPr>
          <w:p>
            <w:pPr>
              <w:ind w:left="140"/>
              <w:spacing w:after="0"/>
              <w:rPr>
                <w:sz w:val="20"/>
                <w:szCs w:val="20"/>
                <w:color w:val="auto"/>
              </w:rPr>
            </w:pPr>
            <w:r>
              <w:rPr>
                <w:rFonts w:ascii="Calibri" w:cs="Calibri" w:eastAsia="Calibri" w:hAnsi="Calibri"/>
                <w:sz w:val="20"/>
                <w:szCs w:val="20"/>
                <w:color w:val="auto"/>
              </w:rPr>
              <w:t>Reinstatement</w:t>
            </w:r>
          </w:p>
        </w:tc>
        <w:tc>
          <w:tcPr>
            <w:tcW w:w="300" w:type="dxa"/>
            <w:vAlign w:val="bottom"/>
          </w:tcPr>
          <w:p>
            <w:pPr>
              <w:jc w:val="right"/>
              <w:spacing w:after="0"/>
              <w:rPr>
                <w:sz w:val="20"/>
                <w:szCs w:val="20"/>
                <w:color w:val="auto"/>
              </w:rPr>
            </w:pPr>
            <w:r>
              <w:rPr>
                <w:rFonts w:ascii="Calibri" w:cs="Calibri" w:eastAsia="Calibri" w:hAnsi="Calibri"/>
                <w:sz w:val="20"/>
                <w:szCs w:val="20"/>
                <w:color w:val="auto"/>
              </w:rPr>
              <w:t>47</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10.15.</w:t>
            </w:r>
          </w:p>
        </w:tc>
        <w:tc>
          <w:tcPr>
            <w:tcW w:w="1800" w:type="dxa"/>
            <w:vAlign w:val="bottom"/>
            <w:gridSpan w:val="3"/>
          </w:tcPr>
          <w:p>
            <w:pPr>
              <w:ind w:left="140"/>
              <w:spacing w:after="0"/>
              <w:rPr>
                <w:sz w:val="20"/>
                <w:szCs w:val="20"/>
                <w:color w:val="auto"/>
              </w:rPr>
            </w:pPr>
            <w:r>
              <w:rPr>
                <w:rFonts w:ascii="Calibri" w:cs="Calibri" w:eastAsia="Calibri" w:hAnsi="Calibri"/>
                <w:sz w:val="20"/>
                <w:szCs w:val="20"/>
                <w:color w:val="auto"/>
              </w:rPr>
              <w:t>No Partnership; Etc</w:t>
            </w:r>
          </w:p>
        </w:tc>
        <w:tc>
          <w:tcPr>
            <w:tcW w:w="3480" w:type="dxa"/>
            <w:vAlign w:val="bottom"/>
            <w:gridSpan w:val="2"/>
          </w:tcPr>
          <w:p>
            <w:pPr>
              <w:jc w:val="right"/>
              <w:ind w:right="3061"/>
              <w:spacing w:after="0"/>
              <w:rPr>
                <w:sz w:val="20"/>
                <w:szCs w:val="20"/>
                <w:color w:val="auto"/>
              </w:rPr>
            </w:pPr>
            <w:r>
              <w:rPr>
                <w:rFonts w:ascii="Calibri" w:cs="Calibri" w:eastAsia="Calibri" w:hAnsi="Calibri"/>
                <w:sz w:val="20"/>
                <w:szCs w:val="20"/>
                <w:color w:val="auto"/>
              </w:rPr>
              <w:t>48</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10.16.</w:t>
            </w:r>
          </w:p>
        </w:tc>
        <w:tc>
          <w:tcPr>
            <w:tcW w:w="1060" w:type="dxa"/>
            <w:vAlign w:val="bottom"/>
          </w:tcPr>
          <w:p>
            <w:pPr>
              <w:ind w:left="140"/>
              <w:spacing w:after="0"/>
              <w:rPr>
                <w:sz w:val="20"/>
                <w:szCs w:val="20"/>
                <w:color w:val="auto"/>
              </w:rPr>
            </w:pPr>
            <w:r>
              <w:rPr>
                <w:rFonts w:ascii="Calibri" w:cs="Calibri" w:eastAsia="Calibri" w:hAnsi="Calibri"/>
                <w:sz w:val="20"/>
                <w:szCs w:val="20"/>
                <w:color w:val="auto"/>
                <w:w w:val="99"/>
              </w:rPr>
              <w:t>Marshaling</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48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10.17.</w:t>
            </w:r>
          </w:p>
        </w:tc>
        <w:tc>
          <w:tcPr>
            <w:tcW w:w="1500" w:type="dxa"/>
            <w:vAlign w:val="bottom"/>
            <w:gridSpan w:val="2"/>
          </w:tcPr>
          <w:p>
            <w:pPr>
              <w:ind w:left="140"/>
              <w:spacing w:after="0"/>
              <w:rPr>
                <w:sz w:val="20"/>
                <w:szCs w:val="20"/>
                <w:color w:val="auto"/>
              </w:rPr>
            </w:pPr>
            <w:r>
              <w:rPr>
                <w:rFonts w:ascii="Calibri" w:cs="Calibri" w:eastAsia="Calibri" w:hAnsi="Calibri"/>
                <w:sz w:val="20"/>
                <w:szCs w:val="20"/>
                <w:color w:val="auto"/>
              </w:rPr>
              <w:t>Indemnifcaton</w:t>
            </w:r>
          </w:p>
        </w:tc>
        <w:tc>
          <w:tcPr>
            <w:tcW w:w="560" w:type="dxa"/>
            <w:vAlign w:val="bottom"/>
            <w:gridSpan w:val="2"/>
          </w:tcPr>
          <w:p>
            <w:pPr>
              <w:jc w:val="right"/>
              <w:ind w:right="141"/>
              <w:spacing w:after="0"/>
              <w:rPr>
                <w:sz w:val="20"/>
                <w:szCs w:val="20"/>
                <w:color w:val="auto"/>
              </w:rPr>
            </w:pPr>
            <w:r>
              <w:rPr>
                <w:rFonts w:ascii="Calibri" w:cs="Calibri" w:eastAsia="Calibri" w:hAnsi="Calibri"/>
                <w:sz w:val="20"/>
                <w:szCs w:val="20"/>
                <w:color w:val="auto"/>
              </w:rPr>
              <w:t>48</w:t>
            </w:r>
          </w:p>
        </w:tc>
        <w:tc>
          <w:tcPr>
            <w:tcW w:w="3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10.18.</w:t>
            </w:r>
          </w:p>
        </w:tc>
        <w:tc>
          <w:tcPr>
            <w:tcW w:w="5280" w:type="dxa"/>
            <w:vAlign w:val="bottom"/>
            <w:gridSpan w:val="5"/>
          </w:tcPr>
          <w:p>
            <w:pPr>
              <w:ind w:left="140"/>
              <w:spacing w:after="0"/>
              <w:rPr>
                <w:sz w:val="20"/>
                <w:szCs w:val="20"/>
                <w:color w:val="auto"/>
              </w:rPr>
            </w:pPr>
            <w:r>
              <w:rPr>
                <w:rFonts w:ascii="Calibri" w:cs="Calibri" w:eastAsia="Calibri" w:hAnsi="Calibri"/>
                <w:sz w:val="20"/>
                <w:szCs w:val="20"/>
                <w:color w:val="auto"/>
              </w:rPr>
              <w:t>Counterparts; Electronic Signatures  49</w:t>
            </w:r>
          </w:p>
        </w:tc>
        <w:tc>
          <w:tcPr>
            <w:tcW w:w="600" w:type="dxa"/>
            <w:vAlign w:val="bottom"/>
          </w:tcPr>
          <w:p>
            <w:pPr>
              <w:spacing w:after="0"/>
              <w:rPr>
                <w:sz w:val="24"/>
                <w:szCs w:val="24"/>
                <w:color w:val="auto"/>
              </w:rPr>
            </w:pPr>
          </w:p>
        </w:tc>
      </w:tr>
      <w:tr>
        <w:trPr>
          <w:trHeight w:val="351"/>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10.19.</w:t>
            </w:r>
          </w:p>
        </w:tc>
        <w:tc>
          <w:tcPr>
            <w:tcW w:w="2060" w:type="dxa"/>
            <w:vAlign w:val="bottom"/>
            <w:gridSpan w:val="4"/>
          </w:tcPr>
          <w:p>
            <w:pPr>
              <w:ind w:left="140"/>
              <w:spacing w:after="0"/>
              <w:rPr>
                <w:sz w:val="20"/>
                <w:szCs w:val="20"/>
                <w:color w:val="auto"/>
              </w:rPr>
            </w:pPr>
            <w:r>
              <w:rPr>
                <w:rFonts w:ascii="Calibri" w:cs="Calibri" w:eastAsia="Calibri" w:hAnsi="Calibri"/>
                <w:sz w:val="20"/>
                <w:szCs w:val="20"/>
                <w:color w:val="auto"/>
              </w:rPr>
              <w:t>Benefts of Agreement</w:t>
            </w:r>
          </w:p>
        </w:tc>
        <w:tc>
          <w:tcPr>
            <w:tcW w:w="3220" w:type="dxa"/>
            <w:vAlign w:val="bottom"/>
          </w:tcPr>
          <w:p>
            <w:pPr>
              <w:jc w:val="right"/>
              <w:ind w:right="2801"/>
              <w:spacing w:after="0"/>
              <w:rPr>
                <w:sz w:val="20"/>
                <w:szCs w:val="20"/>
                <w:color w:val="auto"/>
              </w:rPr>
            </w:pPr>
            <w:r>
              <w:rPr>
                <w:rFonts w:ascii="Calibri" w:cs="Calibri" w:eastAsia="Calibri" w:hAnsi="Calibri"/>
                <w:sz w:val="20"/>
                <w:szCs w:val="20"/>
                <w:color w:val="auto"/>
              </w:rPr>
              <w:t>49</w:t>
            </w:r>
          </w:p>
        </w:tc>
        <w:tc>
          <w:tcPr>
            <w:tcW w:w="600" w:type="dxa"/>
            <w:vAlign w:val="bottom"/>
          </w:tcPr>
          <w:p>
            <w:pPr>
              <w:spacing w:after="0"/>
              <w:rPr>
                <w:sz w:val="24"/>
                <w:szCs w:val="24"/>
                <w:color w:val="auto"/>
              </w:rPr>
            </w:pPr>
          </w:p>
        </w:tc>
      </w:tr>
      <w:tr>
        <w:trPr>
          <w:trHeight w:val="338"/>
        </w:trPr>
        <w:tc>
          <w:tcPr>
            <w:tcW w:w="1220" w:type="dxa"/>
            <w:vAlign w:val="bottom"/>
            <w:gridSpan w:val="2"/>
          </w:tcPr>
          <w:p>
            <w:pPr>
              <w:spacing w:after="0"/>
              <w:rPr>
                <w:sz w:val="20"/>
                <w:szCs w:val="20"/>
                <w:color w:val="auto"/>
              </w:rPr>
            </w:pPr>
            <w:r>
              <w:rPr>
                <w:rFonts w:ascii="Calibri" w:cs="Calibri" w:eastAsia="Calibri" w:hAnsi="Calibri"/>
                <w:sz w:val="20"/>
                <w:szCs w:val="20"/>
                <w:color w:val="auto"/>
              </w:rPr>
              <w:t>Secton 10.20.</w:t>
            </w:r>
          </w:p>
        </w:tc>
        <w:tc>
          <w:tcPr>
            <w:tcW w:w="2060" w:type="dxa"/>
            <w:vAlign w:val="bottom"/>
            <w:gridSpan w:val="4"/>
          </w:tcPr>
          <w:p>
            <w:pPr>
              <w:ind w:left="140"/>
              <w:spacing w:after="0"/>
              <w:rPr>
                <w:sz w:val="20"/>
                <w:szCs w:val="20"/>
                <w:color w:val="auto"/>
              </w:rPr>
            </w:pPr>
            <w:r>
              <w:rPr>
                <w:rFonts w:ascii="Calibri" w:cs="Calibri" w:eastAsia="Calibri" w:hAnsi="Calibri"/>
                <w:sz w:val="20"/>
                <w:szCs w:val="20"/>
                <w:color w:val="auto"/>
              </w:rPr>
              <w:t>Terminaton; Survival</w:t>
            </w:r>
          </w:p>
        </w:tc>
        <w:tc>
          <w:tcPr>
            <w:tcW w:w="3220" w:type="dxa"/>
            <w:vAlign w:val="bottom"/>
          </w:tcPr>
          <w:p>
            <w:pPr>
              <w:jc w:val="right"/>
              <w:ind w:right="2921"/>
              <w:spacing w:after="0"/>
              <w:rPr>
                <w:sz w:val="20"/>
                <w:szCs w:val="20"/>
                <w:color w:val="auto"/>
              </w:rPr>
            </w:pPr>
            <w:r>
              <w:rPr>
                <w:rFonts w:ascii="Calibri" w:cs="Calibri" w:eastAsia="Calibri" w:hAnsi="Calibri"/>
                <w:sz w:val="20"/>
                <w:szCs w:val="20"/>
                <w:color w:val="auto"/>
                <w:w w:val="88"/>
              </w:rPr>
              <w:t>49</w:t>
            </w:r>
          </w:p>
        </w:tc>
        <w:tc>
          <w:tcPr>
            <w:tcW w:w="600" w:type="dxa"/>
            <w:vAlign w:val="bottom"/>
          </w:tcPr>
          <w:p>
            <w:pPr>
              <w:spacing w:after="0"/>
              <w:rPr>
                <w:sz w:val="24"/>
                <w:szCs w:val="24"/>
                <w:color w:val="auto"/>
              </w:rPr>
            </w:pPr>
          </w:p>
        </w:tc>
      </w:tr>
      <w:tr>
        <w:trPr>
          <w:trHeight w:val="82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jc w:val="center"/>
              <w:ind w:left="921"/>
              <w:spacing w:after="0"/>
              <w:rPr>
                <w:sz w:val="20"/>
                <w:szCs w:val="20"/>
                <w:color w:val="auto"/>
              </w:rPr>
            </w:pPr>
            <w:r>
              <w:rPr>
                <w:rFonts w:ascii="Calibri" w:cs="Calibri" w:eastAsia="Calibri" w:hAnsi="Calibri"/>
                <w:sz w:val="20"/>
                <w:szCs w:val="20"/>
                <w:color w:val="auto"/>
              </w:rPr>
              <w:t>Annex A Defnitons  A-1</w:t>
            </w:r>
          </w:p>
        </w:tc>
        <w:tc>
          <w:tcPr>
            <w:tcW w:w="60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Calibri" w:cs="Calibri" w:eastAsia="Calibri" w:hAnsi="Calibri"/>
                <w:sz w:val="20"/>
                <w:szCs w:val="20"/>
                <w:color w:val="auto"/>
              </w:rPr>
              <w:t>Annex B Rules of Interpretaton</w:t>
            </w:r>
          </w:p>
        </w:tc>
        <w:tc>
          <w:tcPr>
            <w:tcW w:w="600" w:type="dxa"/>
            <w:vAlign w:val="bottom"/>
          </w:tcPr>
          <w:p>
            <w:pPr>
              <w:ind w:left="140"/>
              <w:spacing w:after="0"/>
              <w:rPr>
                <w:sz w:val="20"/>
                <w:szCs w:val="20"/>
                <w:color w:val="auto"/>
              </w:rPr>
            </w:pPr>
            <w:r>
              <w:rPr>
                <w:rFonts w:ascii="Calibri" w:cs="Calibri" w:eastAsia="Calibri" w:hAnsi="Calibri"/>
                <w:sz w:val="20"/>
                <w:szCs w:val="20"/>
                <w:color w:val="auto"/>
              </w:rPr>
              <w:t>B-1</w:t>
            </w:r>
          </w:p>
        </w:tc>
      </w:tr>
      <w:tr>
        <w:trPr>
          <w:trHeight w:val="32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jc w:val="right"/>
              <w:ind w:right="41"/>
              <w:spacing w:after="0"/>
              <w:rPr>
                <w:sz w:val="20"/>
                <w:szCs w:val="20"/>
                <w:color w:val="auto"/>
              </w:rPr>
            </w:pPr>
            <w:r>
              <w:rPr>
                <w:rFonts w:ascii="Calibri" w:cs="Calibri" w:eastAsia="Calibri" w:hAnsi="Calibri"/>
                <w:sz w:val="20"/>
                <w:szCs w:val="20"/>
                <w:color w:val="auto"/>
              </w:rPr>
              <w:t>Annex C Guardrail Provisions</w:t>
            </w:r>
          </w:p>
        </w:tc>
        <w:tc>
          <w:tcPr>
            <w:tcW w:w="600" w:type="dxa"/>
            <w:vAlign w:val="bottom"/>
          </w:tcPr>
          <w:p>
            <w:pPr>
              <w:ind w:left="40"/>
              <w:spacing w:after="0"/>
              <w:rPr>
                <w:sz w:val="20"/>
                <w:szCs w:val="20"/>
                <w:color w:val="auto"/>
              </w:rPr>
            </w:pPr>
            <w:r>
              <w:rPr>
                <w:rFonts w:ascii="Calibri" w:cs="Calibri" w:eastAsia="Calibri" w:hAnsi="Calibri"/>
                <w:sz w:val="20"/>
                <w:szCs w:val="20"/>
                <w:color w:val="auto"/>
              </w:rPr>
              <w:t>C-1</w:t>
            </w:r>
          </w:p>
        </w:tc>
      </w:tr>
    </w:tbl>
    <w:p>
      <w:pPr>
        <w:spacing w:after="0" w:line="200" w:lineRule="exact"/>
        <w:rPr>
          <w:sz w:val="20"/>
          <w:szCs w:val="20"/>
          <w:color w:val="auto"/>
        </w:rPr>
      </w:pPr>
    </w:p>
    <w:p>
      <w:pPr>
        <w:sectPr>
          <w:pgSz w:w="11900" w:h="16838" w:orient="portrait"/>
          <w:cols w:equalWidth="0" w:num="1">
            <w:col w:w="9919"/>
          </w:cols>
          <w:pgMar w:left="540" w:top="1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spacing w:after="0"/>
        <w:rPr>
          <w:sz w:val="20"/>
          <w:szCs w:val="20"/>
          <w:color w:val="auto"/>
        </w:rPr>
      </w:pPr>
      <w:r>
        <w:rPr>
          <w:rFonts w:ascii="Calibri" w:cs="Calibri" w:eastAsia="Calibri" w:hAnsi="Calibri"/>
          <w:sz w:val="17"/>
          <w:szCs w:val="17"/>
          <w:color w:val="auto"/>
        </w:rPr>
        <w:t>iii</w:t>
      </w:r>
    </w:p>
    <w:p>
      <w:pPr>
        <w:sectPr>
          <w:pgSz w:w="11900" w:h="16838" w:orient="portrait"/>
          <w:cols w:equalWidth="0" w:num="1">
            <w:col w:w="9919"/>
          </w:cols>
          <w:pgMar w:left="540" w:top="1415" w:right="1440" w:bottom="1440" w:gutter="0" w:footer="0" w:header="0"/>
          <w:type w:val="continuous"/>
        </w:sectPr>
      </w:pPr>
    </w:p>
    <w:bookmarkStart w:id="441" w:name="page442"/>
    <w:bookmarkEnd w:id="441"/>
    <w:tbl>
      <w:tblPr>
        <w:tblLayout w:type="fixed"/>
        <w:tblInd w:w="3800" w:type="dxa"/>
        <w:tblCellMar>
          <w:top w:w="0" w:type="dxa"/>
          <w:left w:w="0" w:type="dxa"/>
          <w:bottom w:w="0" w:type="dxa"/>
          <w:right w:w="0" w:type="dxa"/>
        </w:tblCellMar>
      </w:tblPr>
      <w:tr>
        <w:trPr>
          <w:trHeight w:val="244"/>
        </w:trPr>
        <w:tc>
          <w:tcPr>
            <w:tcW w:w="2940" w:type="dxa"/>
            <w:vAlign w:val="bottom"/>
          </w:tcPr>
          <w:p>
            <w:pPr>
              <w:jc w:val="center"/>
              <w:ind w:left="141"/>
              <w:spacing w:after="0"/>
              <w:rPr>
                <w:sz w:val="20"/>
                <w:szCs w:val="20"/>
                <w:color w:val="auto"/>
              </w:rPr>
            </w:pPr>
            <w:r>
              <w:rPr>
                <w:rFonts w:ascii="Calibri" w:cs="Calibri" w:eastAsia="Calibri" w:hAnsi="Calibri"/>
                <w:sz w:val="20"/>
                <w:szCs w:val="20"/>
                <w:color w:val="auto"/>
              </w:rPr>
              <w:t>Annex D Program Requirements</w:t>
            </w:r>
          </w:p>
        </w:tc>
        <w:tc>
          <w:tcPr>
            <w:tcW w:w="720" w:type="dxa"/>
            <w:vAlign w:val="bottom"/>
          </w:tcPr>
          <w:p>
            <w:pPr>
              <w:ind w:left="140"/>
              <w:spacing w:after="0"/>
              <w:rPr>
                <w:sz w:val="20"/>
                <w:szCs w:val="20"/>
                <w:color w:val="auto"/>
              </w:rPr>
            </w:pPr>
            <w:r>
              <w:rPr>
                <w:rFonts w:ascii="Calibri" w:cs="Calibri" w:eastAsia="Calibri" w:hAnsi="Calibri"/>
                <w:sz w:val="20"/>
                <w:szCs w:val="20"/>
                <w:color w:val="auto"/>
              </w:rPr>
              <w:t>D-1</w:t>
            </w:r>
          </w:p>
        </w:tc>
      </w:tr>
      <w:tr>
        <w:trPr>
          <w:trHeight w:val="324"/>
        </w:trPr>
        <w:tc>
          <w:tcPr>
            <w:tcW w:w="3660" w:type="dxa"/>
            <w:vAlign w:val="bottom"/>
            <w:gridSpan w:val="2"/>
          </w:tcPr>
          <w:p>
            <w:pPr>
              <w:spacing w:after="0"/>
              <w:rPr>
                <w:sz w:val="20"/>
                <w:szCs w:val="20"/>
                <w:color w:val="auto"/>
              </w:rPr>
            </w:pPr>
            <w:r>
              <w:rPr>
                <w:rFonts w:ascii="Calibri" w:cs="Calibri" w:eastAsia="Calibri" w:hAnsi="Calibri"/>
                <w:sz w:val="20"/>
                <w:szCs w:val="20"/>
                <w:color w:val="auto"/>
              </w:rPr>
              <w:t>Annex E Davis-Bacon Act Requirements  E-1</w:t>
            </w:r>
          </w:p>
        </w:tc>
      </w:tr>
      <w:tr>
        <w:trPr>
          <w:trHeight w:val="338"/>
        </w:trPr>
        <w:tc>
          <w:tcPr>
            <w:tcW w:w="2940" w:type="dxa"/>
            <w:vAlign w:val="bottom"/>
          </w:tcPr>
          <w:p>
            <w:pPr>
              <w:jc w:val="center"/>
              <w:ind w:left="161"/>
              <w:spacing w:after="0"/>
              <w:rPr>
                <w:sz w:val="20"/>
                <w:szCs w:val="20"/>
                <w:color w:val="auto"/>
              </w:rPr>
            </w:pPr>
            <w:r>
              <w:rPr>
                <w:rFonts w:ascii="Calibri" w:cs="Calibri" w:eastAsia="Calibri" w:hAnsi="Calibri"/>
                <w:sz w:val="20"/>
                <w:szCs w:val="20"/>
                <w:color w:val="auto"/>
              </w:rPr>
              <w:t>Annex F Reportng Covenants</w:t>
            </w:r>
          </w:p>
        </w:tc>
        <w:tc>
          <w:tcPr>
            <w:tcW w:w="720" w:type="dxa"/>
            <w:vAlign w:val="bottom"/>
          </w:tcPr>
          <w:p>
            <w:pPr>
              <w:ind w:left="60"/>
              <w:spacing w:after="0"/>
              <w:rPr>
                <w:sz w:val="20"/>
                <w:szCs w:val="20"/>
                <w:color w:val="auto"/>
              </w:rPr>
            </w:pPr>
            <w:r>
              <w:rPr>
                <w:rFonts w:ascii="Calibri" w:cs="Calibri" w:eastAsia="Calibri" w:hAnsi="Calibri"/>
                <w:sz w:val="20"/>
                <w:szCs w:val="20"/>
                <w:color w:val="auto"/>
              </w:rPr>
              <w:t>F-3</w:t>
            </w:r>
          </w:p>
        </w:tc>
      </w:tr>
    </w:tbl>
    <w:p>
      <w:pPr>
        <w:spacing w:after="0" w:line="80" w:lineRule="exact"/>
        <w:rPr>
          <w:sz w:val="20"/>
          <w:szCs w:val="20"/>
          <w:color w:val="auto"/>
        </w:rPr>
      </w:pPr>
    </w:p>
    <w:p>
      <w:pPr>
        <w:jc w:val="right"/>
        <w:ind w:right="2319"/>
        <w:spacing w:after="0"/>
        <w:tabs>
          <w:tab w:leader="none" w:pos="280" w:val="left"/>
        </w:tabs>
        <w:rPr>
          <w:sz w:val="20"/>
          <w:szCs w:val="20"/>
          <w:color w:val="auto"/>
        </w:rPr>
      </w:pPr>
      <w:r>
        <w:rPr>
          <w:rFonts w:ascii="Calibri" w:cs="Calibri" w:eastAsia="Calibri" w:hAnsi="Calibri"/>
          <w:sz w:val="20"/>
          <w:szCs w:val="20"/>
          <w:color w:val="auto"/>
        </w:rPr>
        <w:t>Annex G Direct Funding for Workforce Actvites</w:t>
        <w:tab/>
        <w:t>G-1</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EXHIBITS</w:t>
      </w:r>
    </w:p>
    <w:p>
      <w:pPr>
        <w:spacing w:after="0" w:line="242" w:lineRule="exact"/>
        <w:rPr>
          <w:sz w:val="20"/>
          <w:szCs w:val="20"/>
          <w:color w:val="auto"/>
        </w:rPr>
      </w:pPr>
    </w:p>
    <w:p>
      <w:pPr>
        <w:spacing w:after="0"/>
        <w:tabs>
          <w:tab w:leader="none" w:pos="1060" w:val="left"/>
        </w:tabs>
        <w:rPr>
          <w:sz w:val="20"/>
          <w:szCs w:val="20"/>
          <w:color w:val="auto"/>
        </w:rPr>
      </w:pPr>
      <w:r>
        <w:rPr>
          <w:rFonts w:ascii="Calibri" w:cs="Calibri" w:eastAsia="Calibri" w:hAnsi="Calibri"/>
          <w:sz w:val="20"/>
          <w:szCs w:val="20"/>
          <w:color w:val="auto"/>
        </w:rPr>
        <w:t>Exhibit A-1</w:t>
        <w:tab/>
        <w:t>Form of Recipient Award Date Certfcate</w:t>
      </w:r>
    </w:p>
    <w:p>
      <w:pPr>
        <w:ind w:right="4919"/>
        <w:spacing w:after="0" w:line="230" w:lineRule="auto"/>
        <w:rPr>
          <w:sz w:val="20"/>
          <w:szCs w:val="20"/>
          <w:color w:val="auto"/>
        </w:rPr>
      </w:pPr>
      <w:r>
        <w:rPr>
          <w:rFonts w:ascii="Calibri" w:cs="Calibri" w:eastAsia="Calibri" w:hAnsi="Calibri"/>
          <w:sz w:val="20"/>
          <w:szCs w:val="20"/>
          <w:color w:val="auto"/>
        </w:rPr>
        <w:t>Exhibit A-2 Form of Sponsor Guarantor Award Date Certfcate Exhibit B-1 Form of Direct Funding Disbursement Request Exhibit B-2 Form of Workforce Disbursement Request</w:t>
      </w:r>
    </w:p>
    <w:p>
      <w:pPr>
        <w:spacing w:after="0" w:line="238" w:lineRule="auto"/>
        <w:tabs>
          <w:tab w:leader="none" w:pos="880" w:val="left"/>
        </w:tabs>
        <w:rPr>
          <w:sz w:val="20"/>
          <w:szCs w:val="20"/>
          <w:color w:val="auto"/>
        </w:rPr>
      </w:pPr>
      <w:r>
        <w:rPr>
          <w:rFonts w:ascii="Calibri" w:cs="Calibri" w:eastAsia="Calibri" w:hAnsi="Calibri"/>
          <w:sz w:val="20"/>
          <w:szCs w:val="20"/>
          <w:color w:val="auto"/>
        </w:rPr>
        <w:t>Exhibit C</w:t>
        <w:tab/>
        <w:t>Form of [Direct Funding] [Workforce] Disbursement Approval Notce</w:t>
      </w:r>
    </w:p>
    <w:p>
      <w:pPr>
        <w:spacing w:after="0"/>
        <w:tabs>
          <w:tab w:leader="none" w:pos="1060" w:val="left"/>
        </w:tabs>
        <w:rPr>
          <w:sz w:val="20"/>
          <w:szCs w:val="20"/>
          <w:color w:val="auto"/>
        </w:rPr>
      </w:pPr>
      <w:r>
        <w:rPr>
          <w:rFonts w:ascii="Calibri" w:cs="Calibri" w:eastAsia="Calibri" w:hAnsi="Calibri"/>
          <w:sz w:val="20"/>
          <w:szCs w:val="20"/>
          <w:color w:val="auto"/>
        </w:rPr>
        <w:t>Exhibit D-1</w:t>
        <w:tab/>
        <w:t>Form of Recipient Direct Funding Disbursement Date Certfcate</w:t>
      </w:r>
    </w:p>
    <w:p>
      <w:pPr>
        <w:spacing w:after="0" w:line="225" w:lineRule="auto"/>
        <w:tabs>
          <w:tab w:leader="none" w:pos="1060" w:val="left"/>
        </w:tabs>
        <w:rPr>
          <w:sz w:val="20"/>
          <w:szCs w:val="20"/>
          <w:color w:val="auto"/>
        </w:rPr>
      </w:pPr>
      <w:r>
        <w:rPr>
          <w:rFonts w:ascii="Calibri" w:cs="Calibri" w:eastAsia="Calibri" w:hAnsi="Calibri"/>
          <w:sz w:val="20"/>
          <w:szCs w:val="20"/>
          <w:color w:val="auto"/>
        </w:rPr>
        <w:t>Exhibit D-2</w:t>
        <w:tab/>
        <w:t>Form of Sponsor Guarantor Direct Funding Disbursement Date Certfcate</w:t>
      </w:r>
    </w:p>
    <w:p>
      <w:pPr>
        <w:spacing w:after="0"/>
        <w:tabs>
          <w:tab w:leader="none" w:pos="880" w:val="left"/>
        </w:tabs>
        <w:rPr>
          <w:sz w:val="20"/>
          <w:szCs w:val="20"/>
          <w:color w:val="auto"/>
        </w:rPr>
      </w:pPr>
      <w:r>
        <w:rPr>
          <w:rFonts w:ascii="Calibri" w:cs="Calibri" w:eastAsia="Calibri" w:hAnsi="Calibri"/>
          <w:sz w:val="20"/>
          <w:szCs w:val="20"/>
          <w:color w:val="auto"/>
        </w:rPr>
        <w:t>Exhibit E</w:t>
        <w:tab/>
        <w:t>Form of Intercompany Agreement</w:t>
      </w:r>
    </w:p>
    <w:p>
      <w:pPr>
        <w:spacing w:after="0" w:line="225" w:lineRule="auto"/>
        <w:tabs>
          <w:tab w:leader="none" w:pos="880" w:val="left"/>
        </w:tabs>
        <w:rPr>
          <w:sz w:val="20"/>
          <w:szCs w:val="20"/>
          <w:color w:val="auto"/>
        </w:rPr>
      </w:pPr>
      <w:r>
        <w:rPr>
          <w:rFonts w:ascii="Calibri" w:cs="Calibri" w:eastAsia="Calibri" w:hAnsi="Calibri"/>
          <w:sz w:val="20"/>
          <w:szCs w:val="20"/>
          <w:color w:val="auto"/>
        </w:rPr>
        <w:t>Exhibit F</w:t>
        <w:tab/>
        <w:t>Form of Project Completon Certfcate</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SCHEDULES</w:t>
      </w:r>
    </w:p>
    <w:p>
      <w:pPr>
        <w:spacing w:after="0" w:line="188"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20"/>
          <w:szCs w:val="20"/>
          <w:color w:val="auto"/>
        </w:rPr>
        <w:t>Schedule A</w:t>
        <w:tab/>
        <w:t>Fiscal Year Appropriatons</w:t>
      </w:r>
    </w:p>
    <w:p>
      <w:pPr>
        <w:spacing w:after="0" w:line="225" w:lineRule="auto"/>
        <w:tabs>
          <w:tab w:leader="none" w:pos="1080" w:val="left"/>
        </w:tabs>
        <w:rPr>
          <w:sz w:val="20"/>
          <w:szCs w:val="20"/>
          <w:color w:val="auto"/>
        </w:rPr>
      </w:pPr>
      <w:r>
        <w:rPr>
          <w:rFonts w:ascii="Calibri" w:cs="Calibri" w:eastAsia="Calibri" w:hAnsi="Calibri"/>
          <w:sz w:val="20"/>
          <w:szCs w:val="20"/>
          <w:color w:val="auto"/>
        </w:rPr>
        <w:t>Schedule B</w:t>
        <w:tab/>
        <w:t>Project Milestone Schedule</w:t>
      </w:r>
    </w:p>
    <w:p>
      <w:pPr>
        <w:sectPr>
          <w:pgSz w:w="11900" w:h="16838" w:orient="portrait"/>
          <w:cols w:equalWidth="0" w:num="1">
            <w:col w:w="10139"/>
          </w:cols>
          <w:pgMar w:left="320" w:top="1401" w:right="1440" w:bottom="1440" w:gutter="0" w:footer="0" w:header="0"/>
        </w:sectPr>
      </w:pPr>
    </w:p>
    <w:p>
      <w:pPr>
        <w:spacing w:after="0" w:line="9"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Schedule C Schedule D Schedule E Schedule F Schedule G Schedule H</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Calibri" w:cs="Calibri" w:eastAsia="Calibri" w:hAnsi="Calibri"/>
          <w:sz w:val="20"/>
          <w:szCs w:val="20"/>
          <w:color w:val="auto"/>
        </w:rPr>
        <w:t>Permitng Plan</w:t>
      </w:r>
    </w:p>
    <w:p>
      <w:pPr>
        <w:ind w:left="20"/>
        <w:spacing w:after="0" w:line="238" w:lineRule="auto"/>
        <w:rPr>
          <w:sz w:val="20"/>
          <w:szCs w:val="20"/>
          <w:color w:val="auto"/>
        </w:rPr>
      </w:pPr>
      <w:r>
        <w:rPr>
          <w:rFonts w:ascii="Calibri" w:cs="Calibri" w:eastAsia="Calibri" w:hAnsi="Calibri"/>
          <w:sz w:val="20"/>
          <w:szCs w:val="20"/>
          <w:color w:val="auto"/>
        </w:rPr>
        <w:t>Project Sites</w:t>
      </w:r>
    </w:p>
    <w:p>
      <w:pPr>
        <w:ind w:left="40"/>
        <w:spacing w:after="0" w:line="225" w:lineRule="auto"/>
        <w:rPr>
          <w:sz w:val="20"/>
          <w:szCs w:val="20"/>
          <w:color w:val="auto"/>
        </w:rPr>
      </w:pPr>
      <w:r>
        <w:rPr>
          <w:rFonts w:ascii="Calibri" w:cs="Calibri" w:eastAsia="Calibri" w:hAnsi="Calibri"/>
          <w:sz w:val="20"/>
          <w:szCs w:val="20"/>
          <w:color w:val="auto"/>
        </w:rPr>
        <w:t>Litgaton</w:t>
      </w:r>
    </w:p>
    <w:p>
      <w:pPr>
        <w:spacing w:after="0"/>
        <w:rPr>
          <w:sz w:val="20"/>
          <w:szCs w:val="20"/>
          <w:color w:val="auto"/>
        </w:rPr>
      </w:pPr>
      <w:r>
        <w:rPr>
          <w:rFonts w:ascii="Calibri" w:cs="Calibri" w:eastAsia="Calibri" w:hAnsi="Calibri"/>
          <w:sz w:val="20"/>
          <w:szCs w:val="20"/>
          <w:color w:val="auto"/>
        </w:rPr>
        <w:t>Afliate Transactons</w:t>
      </w:r>
    </w:p>
    <w:p>
      <w:pPr>
        <w:ind w:left="40"/>
        <w:spacing w:after="0" w:line="225" w:lineRule="auto"/>
        <w:rPr>
          <w:sz w:val="20"/>
          <w:szCs w:val="20"/>
          <w:color w:val="auto"/>
        </w:rPr>
      </w:pPr>
      <w:r>
        <w:rPr>
          <w:rFonts w:ascii="Calibri" w:cs="Calibri" w:eastAsia="Calibri" w:hAnsi="Calibri"/>
          <w:sz w:val="20"/>
          <w:szCs w:val="20"/>
          <w:color w:val="auto"/>
        </w:rPr>
        <w:t>Addresses</w:t>
      </w:r>
    </w:p>
    <w:p>
      <w:pPr>
        <w:ind w:left="20"/>
        <w:spacing w:after="0"/>
        <w:rPr>
          <w:sz w:val="20"/>
          <w:szCs w:val="20"/>
          <w:color w:val="auto"/>
        </w:rPr>
      </w:pPr>
      <w:r>
        <w:rPr>
          <w:rFonts w:ascii="Calibri" w:cs="Calibri" w:eastAsia="Calibri" w:hAnsi="Calibri"/>
          <w:sz w:val="20"/>
          <w:szCs w:val="20"/>
          <w:color w:val="auto"/>
        </w:rPr>
        <w:t>Dispute Resoluton</w:t>
      </w:r>
    </w:p>
    <w:p>
      <w:pPr>
        <w:spacing w:after="0" w:line="200" w:lineRule="exact"/>
        <w:rPr>
          <w:sz w:val="20"/>
          <w:szCs w:val="20"/>
          <w:color w:val="auto"/>
        </w:rPr>
      </w:pPr>
    </w:p>
    <w:p>
      <w:pPr>
        <w:sectPr>
          <w:pgSz w:w="11900" w:h="16838" w:orient="portrait"/>
          <w:cols w:equalWidth="0" w:num="2">
            <w:col w:w="920" w:space="160"/>
            <w:col w:w="9059"/>
          </w:cols>
          <w:pgMar w:left="320" w:top="14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spacing w:after="0"/>
        <w:rPr>
          <w:sz w:val="20"/>
          <w:szCs w:val="20"/>
          <w:color w:val="auto"/>
        </w:rPr>
      </w:pPr>
      <w:r>
        <w:rPr>
          <w:rFonts w:ascii="Calibri" w:cs="Calibri" w:eastAsia="Calibri" w:hAnsi="Calibri"/>
          <w:sz w:val="17"/>
          <w:szCs w:val="17"/>
          <w:color w:val="auto"/>
        </w:rPr>
        <w:t>iv</w:t>
      </w:r>
    </w:p>
    <w:p>
      <w:pPr>
        <w:sectPr>
          <w:pgSz w:w="11900" w:h="16838" w:orient="portrait"/>
          <w:cols w:equalWidth="0" w:num="1">
            <w:col w:w="10139"/>
          </w:cols>
          <w:pgMar w:left="320" w:top="1401" w:right="1440" w:bottom="1440" w:gutter="0" w:footer="0" w:header="0"/>
          <w:type w:val="continuous"/>
        </w:sectPr>
      </w:pPr>
    </w:p>
    <w:bookmarkStart w:id="442" w:name="page443"/>
    <w:bookmarkEnd w:id="442"/>
    <w:p>
      <w:pPr>
        <w:ind w:left="660"/>
        <w:spacing w:after="0"/>
        <w:rPr>
          <w:sz w:val="20"/>
          <w:szCs w:val="20"/>
          <w:color w:val="auto"/>
        </w:rPr>
      </w:pPr>
      <w:r>
        <w:rPr>
          <w:rFonts w:ascii="Calibri" w:cs="Calibri" w:eastAsia="Calibri" w:hAnsi="Calibri"/>
          <w:sz w:val="20"/>
          <w:szCs w:val="20"/>
          <w:color w:val="auto"/>
        </w:rPr>
        <w:t>This DIRECT FUNDING AGREEMENT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dated as of December 9, 2024, is entered into by and between</w:t>
      </w:r>
    </w:p>
    <w:p>
      <w:pPr>
        <w:spacing w:after="0" w:line="9" w:lineRule="exact"/>
        <w:rPr>
          <w:sz w:val="20"/>
          <w:szCs w:val="20"/>
          <w:color w:val="auto"/>
        </w:rPr>
      </w:pPr>
    </w:p>
    <w:p>
      <w:pPr>
        <w:jc w:val="both"/>
        <w:ind w:firstLine="8"/>
        <w:spacing w:after="0" w:line="230" w:lineRule="auto"/>
        <w:tabs>
          <w:tab w:leader="none" w:pos="339" w:val="left"/>
        </w:tabs>
        <w:numPr>
          <w:ilvl w:val="0"/>
          <w:numId w:val="496"/>
        </w:numPr>
        <w:rPr>
          <w:rFonts w:ascii="Calibri" w:cs="Calibri" w:eastAsia="Calibri" w:hAnsi="Calibri"/>
          <w:sz w:val="20"/>
          <w:szCs w:val="20"/>
          <w:color w:val="auto"/>
        </w:rPr>
      </w:pPr>
      <w:r>
        <w:rPr>
          <w:rFonts w:ascii="Calibri" w:cs="Calibri" w:eastAsia="Calibri" w:hAnsi="Calibri"/>
          <w:sz w:val="20"/>
          <w:szCs w:val="20"/>
          <w:color w:val="auto"/>
        </w:rPr>
        <w:t>MICRON NEW YORK SEMICONDUCTOR MANUFACTURING LLC, a Delaware limited liability company, as the recipient (the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and (b) the UNITED STATES DEPARTMENT OF COMMERCE (the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and together with the Recipient,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 agency of the United States of America, actng by and through the Secretary of Commerce (or appropriate authorized representatve thereof).</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RECITALS</w:t>
      </w:r>
    </w:p>
    <w:p>
      <w:pPr>
        <w:spacing w:after="0" w:line="198"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has undertaken (a) the constructon of a fabricaton facility in Clay, New York (the “</w:t>
      </w:r>
      <w:r>
        <w:rPr>
          <w:rFonts w:ascii="Calibri" w:cs="Calibri" w:eastAsia="Calibri" w:hAnsi="Calibri"/>
          <w:sz w:val="20"/>
          <w:szCs w:val="20"/>
          <w:b w:val="1"/>
          <w:bCs w:val="1"/>
          <w:color w:val="auto"/>
        </w:rPr>
        <w:t>NY Fab 1 Project</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and (b) the constructon of a second fabricaton facility in Clay, New York (the </w:t>
      </w:r>
      <w:r>
        <w:rPr>
          <w:rFonts w:ascii="Calibri" w:cs="Calibri" w:eastAsia="Calibri" w:hAnsi="Calibri"/>
          <w:sz w:val="20"/>
          <w:szCs w:val="20"/>
          <w:b w:val="1"/>
          <w:bCs w:val="1"/>
          <w:color w:val="auto"/>
        </w:rPr>
        <w:t>“NY Fab 2 Project</w:t>
      </w:r>
      <w:r>
        <w:rPr>
          <w:rFonts w:ascii="Calibri" w:cs="Calibri" w:eastAsia="Calibri" w:hAnsi="Calibri"/>
          <w:sz w:val="20"/>
          <w:szCs w:val="20"/>
          <w:color w:val="auto"/>
        </w:rPr>
        <w:t>” and together with the NY Fab 1 Project, the “</w:t>
      </w:r>
      <w:r>
        <w:rPr>
          <w:rFonts w:ascii="Calibri" w:cs="Calibri" w:eastAsia="Calibri" w:hAnsi="Calibri"/>
          <w:sz w:val="20"/>
          <w:szCs w:val="20"/>
          <w:b w:val="1"/>
          <w:bCs w:val="1"/>
          <w:color w:val="auto"/>
        </w:rPr>
        <w:t>Projects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Project</w:t>
      </w:r>
      <w:r>
        <w:rPr>
          <w:rFonts w:ascii="Calibri" w:cs="Calibri" w:eastAsia="Calibri" w:hAnsi="Calibri"/>
          <w:sz w:val="20"/>
          <w:szCs w:val="20"/>
          <w:color w:val="auto"/>
        </w:rPr>
        <w:t>”);</w:t>
      </w:r>
    </w:p>
    <w:p>
      <w:pPr>
        <w:spacing w:after="0" w:line="200"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the CHIPS Incentves Program—Commercial Fabricaton Facilites Notce of Funding Opportunity No.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2023-NIST-CHIPS-CFF-01 (as amended, supplemented, or otherwise modifed from tme to tme, the </w:t>
      </w:r>
      <w:r>
        <w:rPr>
          <w:rFonts w:ascii="Calibri" w:cs="Calibri" w:eastAsia="Calibri" w:hAnsi="Calibri"/>
          <w:sz w:val="20"/>
          <w:szCs w:val="20"/>
          <w:b w:val="1"/>
          <w:bCs w:val="1"/>
          <w:color w:val="auto"/>
        </w:rPr>
        <w:t>“NOFO</w:t>
      </w:r>
      <w:r>
        <w:rPr>
          <w:rFonts w:ascii="Calibri" w:cs="Calibri" w:eastAsia="Calibri" w:hAnsi="Calibri"/>
          <w:sz w:val="20"/>
          <w:szCs w:val="20"/>
          <w:color w:val="auto"/>
        </w:rPr>
        <w:t>”), the Recipient submited an applicaton with the CHIPS ID No. CHIPS-000038 (the “</w:t>
      </w:r>
      <w:r>
        <w:rPr>
          <w:rFonts w:ascii="Calibri" w:cs="Calibri" w:eastAsia="Calibri" w:hAnsi="Calibri"/>
          <w:sz w:val="20"/>
          <w:szCs w:val="20"/>
          <w:b w:val="1"/>
          <w:bCs w:val="1"/>
          <w:color w:val="auto"/>
        </w:rPr>
        <w:t>Applicaton</w:t>
      </w:r>
      <w:r>
        <w:rPr>
          <w:rFonts w:ascii="Calibri" w:cs="Calibri" w:eastAsia="Calibri" w:hAnsi="Calibri"/>
          <w:sz w:val="20"/>
          <w:szCs w:val="20"/>
          <w:color w:val="auto"/>
        </w:rPr>
        <w:t>”) to the Department’s CHIPS Incentves Program Portal for a Direct Funding Award and Workforce Award for the Projects under the CHIPS Incentves Program established pursuant to 15 U.S.C. § 4652 of the CHIPS Act (the “</w:t>
      </w:r>
      <w:r>
        <w:rPr>
          <w:rFonts w:ascii="Calibri" w:cs="Calibri" w:eastAsia="Calibri" w:hAnsi="Calibri"/>
          <w:sz w:val="20"/>
          <w:szCs w:val="20"/>
          <w:b w:val="1"/>
          <w:bCs w:val="1"/>
          <w:color w:val="auto"/>
        </w:rPr>
        <w:t>CHIPS Incentves Program</w:t>
      </w:r>
      <w:r>
        <w:rPr>
          <w:rFonts w:ascii="Calibri" w:cs="Calibri" w:eastAsia="Calibri" w:hAnsi="Calibri"/>
          <w:sz w:val="20"/>
          <w:szCs w:val="20"/>
          <w:color w:val="auto"/>
        </w:rPr>
        <w:t>”);</w:t>
      </w:r>
    </w:p>
    <w:p>
      <w:pPr>
        <w:spacing w:after="0" w:line="200"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has agreed to issue an Award subject to, and in accordance with, the terms and conditons of 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Agreement, which is entered into pursuant to 15 U.S.C. §§ 4652 and 4659(a)(1) of the CHIPS Act as an other transacton on such terms as the Secretary considers appropriate;</w:t>
      </w:r>
    </w:p>
    <w:p>
      <w:pPr>
        <w:spacing w:after="0" w:line="200"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foregoing and other good and valid consideraton, the receipt and adequacy of which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are hereby expressly acknowledged, the Partes hereby agree as follows:</w:t>
      </w:r>
    </w:p>
    <w:p>
      <w:pPr>
        <w:spacing w:after="0" w:line="16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w:t>
      </w:r>
    </w:p>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Capitalized terms used in this Agreement and its Exhibits and Schedules shall have the meanings set forth in Annex A (</w:t>
      </w:r>
      <w:r>
        <w:rPr>
          <w:rFonts w:ascii="Calibri" w:cs="Calibri" w:eastAsia="Calibri" w:hAnsi="Calibri"/>
          <w:sz w:val="20"/>
          <w:szCs w:val="20"/>
          <w:b w:val="1"/>
          <w:bCs w:val="1"/>
          <w:color w:val="auto"/>
        </w:rPr>
        <w:t>Defnitons</w:t>
      </w:r>
      <w:r>
        <w:rPr>
          <w:rFonts w:ascii="Calibri" w:cs="Calibri" w:eastAsia="Calibri" w:hAnsi="Calibri"/>
          <w:sz w:val="20"/>
          <w:szCs w:val="20"/>
          <w:color w:val="auto"/>
        </w:rPr>
        <w:t>) and the rules of interpretaton set forth in Annex B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shall apply to this Agreement, except, in each case, as otherwise expressly provided herein.</w:t>
      </w:r>
    </w:p>
    <w:p>
      <w:pPr>
        <w:spacing w:after="0" w:line="163"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AWARD AND DISBURSEMENTS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2.1.</w:t>
      </w:r>
      <w:r>
        <w:rPr>
          <w:sz w:val="20"/>
          <w:szCs w:val="20"/>
          <w:color w:val="auto"/>
        </w:rPr>
        <w:tab/>
      </w:r>
      <w:r>
        <w:rPr>
          <w:rFonts w:ascii="Calibri" w:cs="Calibri" w:eastAsia="Calibri" w:hAnsi="Calibri"/>
          <w:sz w:val="20"/>
          <w:szCs w:val="20"/>
          <w:b w:val="1"/>
          <w:bCs w:val="1"/>
          <w:color w:val="auto"/>
        </w:rPr>
        <w:t>Award Amount.</w:t>
      </w:r>
    </w:p>
    <w:p>
      <w:pPr>
        <w:spacing w:after="0" w:line="147" w:lineRule="exact"/>
        <w:rPr>
          <w:sz w:val="20"/>
          <w:szCs w:val="20"/>
          <w:color w:val="auto"/>
        </w:rPr>
      </w:pPr>
    </w:p>
    <w:p>
      <w:pPr>
        <w:ind w:left="2600" w:hanging="648"/>
        <w:spacing w:after="0"/>
        <w:tabs>
          <w:tab w:leader="none" w:pos="2600" w:val="left"/>
        </w:tabs>
        <w:numPr>
          <w:ilvl w:val="0"/>
          <w:numId w:val="497"/>
        </w:numPr>
        <w:rPr>
          <w:rFonts w:ascii="Calibri" w:cs="Calibri" w:eastAsia="Calibri" w:hAnsi="Calibri"/>
          <w:sz w:val="20"/>
          <w:szCs w:val="20"/>
          <w:color w:val="auto"/>
        </w:rPr>
      </w:pPr>
      <w:r>
        <w:rPr>
          <w:rFonts w:ascii="Calibri" w:cs="Calibri" w:eastAsia="Calibri" w:hAnsi="Calibri"/>
          <w:sz w:val="20"/>
          <w:szCs w:val="20"/>
          <w:color w:val="auto"/>
        </w:rPr>
        <w:t>The total maximum amount of the Award:</w:t>
      </w:r>
    </w:p>
    <w:p>
      <w:pPr>
        <w:spacing w:after="0" w:line="170" w:lineRule="exact"/>
        <w:rPr>
          <w:rFonts w:ascii="Calibri" w:cs="Calibri" w:eastAsia="Calibri" w:hAnsi="Calibri"/>
          <w:sz w:val="20"/>
          <w:szCs w:val="20"/>
          <w:color w:val="auto"/>
        </w:rPr>
      </w:pPr>
    </w:p>
    <w:p>
      <w:pPr>
        <w:ind w:firstLine="2600"/>
        <w:spacing w:after="0" w:line="208" w:lineRule="auto"/>
        <w:tabs>
          <w:tab w:leader="none" w:pos="3234" w:val="left"/>
        </w:tabs>
        <w:numPr>
          <w:ilvl w:val="1"/>
          <w:numId w:val="497"/>
        </w:numPr>
        <w:rPr>
          <w:rFonts w:ascii="Calibri" w:cs="Calibri" w:eastAsia="Calibri" w:hAnsi="Calibri"/>
          <w:sz w:val="20"/>
          <w:szCs w:val="20"/>
          <w:color w:val="auto"/>
        </w:rPr>
      </w:pPr>
      <w:r>
        <w:rPr>
          <w:rFonts w:ascii="Calibri" w:cs="Calibri" w:eastAsia="Calibri" w:hAnsi="Calibri"/>
          <w:sz w:val="20"/>
          <w:szCs w:val="20"/>
          <w:color w:val="auto"/>
        </w:rPr>
        <w:t xml:space="preserve">for Direct Funding for the NY Fab 1 Project is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NY Fab 1 Maximum Direct Funding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 and such Award, the “</w:t>
      </w:r>
      <w:r>
        <w:rPr>
          <w:rFonts w:ascii="Calibri" w:cs="Calibri" w:eastAsia="Calibri" w:hAnsi="Calibri"/>
          <w:sz w:val="20"/>
          <w:szCs w:val="20"/>
          <w:b w:val="1"/>
          <w:bCs w:val="1"/>
          <w:color w:val="auto"/>
        </w:rPr>
        <w:t>NY Fab 1 Direct Funding Award</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497"/>
        </w:numPr>
        <w:rPr>
          <w:rFonts w:ascii="Calibri" w:cs="Calibri" w:eastAsia="Calibri" w:hAnsi="Calibri"/>
          <w:sz w:val="20"/>
          <w:szCs w:val="20"/>
          <w:color w:val="auto"/>
        </w:rPr>
      </w:pPr>
      <w:r>
        <w:rPr>
          <w:rFonts w:ascii="Calibri" w:cs="Calibri" w:eastAsia="Calibri" w:hAnsi="Calibri"/>
          <w:sz w:val="20"/>
          <w:szCs w:val="20"/>
          <w:color w:val="auto"/>
        </w:rPr>
        <w:t xml:space="preserve">for Direct Funding for the NY Fab 2 Project is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NY Fab 2 Maximum Direct Funding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 and together with the NY Fab 1 Maximum Direct Funding Award Amount, the “</w:t>
      </w:r>
      <w:r>
        <w:rPr>
          <w:rFonts w:ascii="Calibri" w:cs="Calibri" w:eastAsia="Calibri" w:hAnsi="Calibri"/>
          <w:sz w:val="20"/>
          <w:szCs w:val="20"/>
          <w:b w:val="1"/>
          <w:bCs w:val="1"/>
          <w:color w:val="auto"/>
        </w:rPr>
        <w:t>Maximum Direct Funding Award Amount</w:t>
      </w:r>
      <w:r>
        <w:rPr>
          <w:rFonts w:ascii="Calibri" w:cs="Calibri" w:eastAsia="Calibri" w:hAnsi="Calibri"/>
          <w:sz w:val="20"/>
          <w:szCs w:val="20"/>
          <w:color w:val="auto"/>
        </w:rPr>
        <w:t>” and such Award, the “</w:t>
      </w:r>
      <w:r>
        <w:rPr>
          <w:rFonts w:ascii="Calibri" w:cs="Calibri" w:eastAsia="Calibri" w:hAnsi="Calibri"/>
          <w:sz w:val="20"/>
          <w:szCs w:val="20"/>
          <w:b w:val="1"/>
          <w:bCs w:val="1"/>
          <w:color w:val="auto"/>
        </w:rPr>
        <w:t>NY Fab 2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401" w:right="339" w:bottom="1440" w:gutter="0" w:footer="0" w:header="0"/>
        </w:sectPr>
      </w:pPr>
    </w:p>
    <w:bookmarkStart w:id="443" w:name="page444"/>
    <w:bookmarkEnd w:id="443"/>
    <w:p>
      <w:pPr>
        <w:spacing w:after="0"/>
        <w:rPr>
          <w:sz w:val="20"/>
          <w:szCs w:val="20"/>
          <w:color w:val="auto"/>
        </w:rPr>
      </w:pPr>
      <w:r>
        <w:rPr>
          <w:rFonts w:ascii="Calibri" w:cs="Calibri" w:eastAsia="Calibri" w:hAnsi="Calibri"/>
          <w:sz w:val="20"/>
          <w:szCs w:val="20"/>
          <w:b w:val="1"/>
          <w:bCs w:val="1"/>
          <w:color w:val="auto"/>
        </w:rPr>
        <w:t>Funding Award</w:t>
      </w:r>
      <w:r>
        <w:rPr>
          <w:rFonts w:ascii="Calibri" w:cs="Calibri" w:eastAsia="Calibri" w:hAnsi="Calibri"/>
          <w:sz w:val="20"/>
          <w:szCs w:val="20"/>
          <w:color w:val="auto"/>
        </w:rPr>
        <w:t>” and together with the NY Fab 1 Direct Funding Award, the “</w:t>
      </w:r>
      <w:r>
        <w:rPr>
          <w:rFonts w:ascii="Calibri" w:cs="Calibri" w:eastAsia="Calibri" w:hAnsi="Calibri"/>
          <w:sz w:val="20"/>
          <w:szCs w:val="20"/>
          <w:b w:val="1"/>
          <w:bCs w:val="1"/>
          <w:color w:val="auto"/>
        </w:rPr>
        <w:t>Direct Funding Award</w:t>
      </w:r>
      <w:r>
        <w:rPr>
          <w:rFonts w:ascii="Calibri" w:cs="Calibri" w:eastAsia="Calibri" w:hAnsi="Calibri"/>
          <w:sz w:val="20"/>
          <w:szCs w:val="20"/>
          <w:color w:val="auto"/>
        </w:rPr>
        <w:t>”); and</w:t>
      </w:r>
    </w:p>
    <w:p>
      <w:pPr>
        <w:spacing w:after="0" w:line="157" w:lineRule="exact"/>
        <w:rPr>
          <w:sz w:val="20"/>
          <w:szCs w:val="20"/>
          <w:color w:val="auto"/>
        </w:rPr>
      </w:pPr>
    </w:p>
    <w:p>
      <w:pPr>
        <w:jc w:val="both"/>
        <w:ind w:right="20" w:firstLine="2600"/>
        <w:spacing w:after="0" w:line="209" w:lineRule="auto"/>
        <w:tabs>
          <w:tab w:leader="none" w:pos="3246" w:val="left"/>
        </w:tabs>
        <w:numPr>
          <w:ilvl w:val="1"/>
          <w:numId w:val="498"/>
        </w:numPr>
        <w:rPr>
          <w:rFonts w:ascii="Calibri" w:cs="Calibri" w:eastAsia="Calibri" w:hAnsi="Calibri"/>
          <w:sz w:val="20"/>
          <w:szCs w:val="20"/>
          <w:color w:val="auto"/>
        </w:rPr>
      </w:pPr>
      <w:r>
        <w:rPr>
          <w:rFonts w:ascii="Calibri" w:cs="Calibri" w:eastAsia="Calibri" w:hAnsi="Calibri"/>
          <w:sz w:val="20"/>
          <w:szCs w:val="20"/>
          <w:color w:val="auto"/>
        </w:rPr>
        <w:t>for Workforce Disbursements is sixty-fve million Dollars ($65,000,000.00) (the “</w:t>
      </w:r>
      <w:r>
        <w:rPr>
          <w:rFonts w:ascii="Calibri" w:cs="Calibri" w:eastAsia="Calibri" w:hAnsi="Calibri"/>
          <w:sz w:val="20"/>
          <w:szCs w:val="20"/>
          <w:b w:val="1"/>
          <w:bCs w:val="1"/>
          <w:color w:val="auto"/>
        </w:rPr>
        <w:t>Maximum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Workforce Award Amount</w:t>
      </w:r>
      <w:r>
        <w:rPr>
          <w:rFonts w:ascii="Calibri" w:cs="Calibri" w:eastAsia="Calibri" w:hAnsi="Calibri"/>
          <w:sz w:val="20"/>
          <w:szCs w:val="20"/>
          <w:color w:val="auto"/>
        </w:rPr>
        <w:t>” and together with the Maximum Direct Funding Award Amount, the “</w:t>
      </w:r>
      <w:r>
        <w:rPr>
          <w:rFonts w:ascii="Calibri" w:cs="Calibri" w:eastAsia="Calibri" w:hAnsi="Calibri"/>
          <w:sz w:val="20"/>
          <w:szCs w:val="20"/>
          <w:b w:val="1"/>
          <w:bCs w:val="1"/>
          <w:color w:val="auto"/>
        </w:rPr>
        <w:t>Maximum Award Amount</w:t>
      </w:r>
      <w:r>
        <w:rPr>
          <w:rFonts w:ascii="Calibri" w:cs="Calibri" w:eastAsia="Calibri" w:hAnsi="Calibri"/>
          <w:sz w:val="20"/>
          <w:szCs w:val="20"/>
          <w:color w:val="auto"/>
        </w:rPr>
        <w:t>” and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Award, the “</w:t>
      </w:r>
      <w:r>
        <w:rPr>
          <w:rFonts w:ascii="Calibri" w:cs="Calibri" w:eastAsia="Calibri" w:hAnsi="Calibri"/>
          <w:sz w:val="20"/>
          <w:szCs w:val="20"/>
          <w:b w:val="1"/>
          <w:bCs w:val="1"/>
          <w:color w:val="auto"/>
        </w:rPr>
        <w:t>Workforce Award</w:t>
      </w:r>
      <w:r>
        <w:rPr>
          <w:rFonts w:ascii="Calibri" w:cs="Calibri" w:eastAsia="Calibri" w:hAnsi="Calibri"/>
          <w:sz w:val="20"/>
          <w:szCs w:val="20"/>
          <w:color w:val="auto"/>
        </w:rPr>
        <w:t>”),</w:t>
      </w:r>
    </w:p>
    <w:p>
      <w:pPr>
        <w:spacing w:after="0" w:line="158" w:lineRule="exact"/>
        <w:rPr>
          <w:rFonts w:ascii="Calibri" w:cs="Calibri" w:eastAsia="Calibri" w:hAnsi="Calibri"/>
          <w:sz w:val="20"/>
          <w:szCs w:val="20"/>
          <w:color w:val="auto"/>
        </w:rPr>
      </w:pPr>
    </w:p>
    <w:p>
      <w:pPr>
        <w:jc w:val="both"/>
        <w:ind w:firstLine="2600"/>
        <w:spacing w:after="0" w:line="205" w:lineRule="auto"/>
        <w:tabs>
          <w:tab w:leader="none" w:pos="3244" w:val="left"/>
        </w:tabs>
        <w:numPr>
          <w:ilvl w:val="1"/>
          <w:numId w:val="498"/>
        </w:numPr>
        <w:rPr>
          <w:rFonts w:ascii="Calibri" w:cs="Calibri" w:eastAsia="Calibri" w:hAnsi="Calibri"/>
          <w:sz w:val="20"/>
          <w:szCs w:val="20"/>
          <w:color w:val="auto"/>
        </w:rPr>
      </w:pPr>
      <w:r>
        <w:rPr>
          <w:rFonts w:ascii="Calibri" w:cs="Calibri" w:eastAsia="Calibri" w:hAnsi="Calibri"/>
          <w:sz w:val="20"/>
          <w:szCs w:val="20"/>
          <w:color w:val="auto"/>
        </w:rPr>
        <w:t>which, collectvely, represent the total amount of funds that may be disbursed by the Department to the Recipient upon executon and delivery of one or more Funding Obligatons in accordance with Schedule A (</w:t>
      </w:r>
      <w:r>
        <w:rPr>
          <w:rFonts w:ascii="Calibri" w:cs="Calibri" w:eastAsia="Calibri" w:hAnsi="Calibri"/>
          <w:sz w:val="20"/>
          <w:szCs w:val="20"/>
          <w:b w:val="1"/>
          <w:bCs w:val="1"/>
          <w:color w:val="auto"/>
        </w:rPr>
        <w:t>Fiscal Year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Appropriatons</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499"/>
        </w:numPr>
        <w:rPr>
          <w:rFonts w:ascii="Calibri" w:cs="Calibri" w:eastAsia="Calibri" w:hAnsi="Calibri"/>
          <w:sz w:val="20"/>
          <w:szCs w:val="20"/>
          <w:color w:val="auto"/>
        </w:rPr>
      </w:pPr>
      <w:r>
        <w:rPr>
          <w:rFonts w:ascii="Calibri" w:cs="Calibri" w:eastAsia="Calibri" w:hAnsi="Calibri"/>
          <w:sz w:val="20"/>
          <w:szCs w:val="20"/>
          <w:color w:val="auto"/>
        </w:rPr>
        <w:t>For any Project, the Department may execute and deliver one or more Funding Obligatons authorizing the obligaton of funds for (i) the Direct Funding Award up to the Scheduled Cumulatve Disbursement Amount as set out in Schedule B (</w:t>
      </w:r>
      <w:r>
        <w:rPr>
          <w:rFonts w:ascii="Calibri" w:cs="Calibri" w:eastAsia="Calibri" w:hAnsi="Calibri"/>
          <w:sz w:val="20"/>
          <w:szCs w:val="20"/>
          <w:b w:val="1"/>
          <w:bCs w:val="1"/>
          <w:color w:val="auto"/>
        </w:rPr>
        <w:t>Project Milestone Schedule</w:t>
      </w:r>
      <w:r>
        <w:rPr>
          <w:rFonts w:ascii="Calibri" w:cs="Calibri" w:eastAsia="Calibri" w:hAnsi="Calibri"/>
          <w:sz w:val="20"/>
          <w:szCs w:val="20"/>
          <w:color w:val="auto"/>
        </w:rPr>
        <w:t>); and (ii) the Workforce Award up to the Maximum Workforce Award Amount, each subject to the satsfactory progress of such Project as determined by the Department. No obligaton of funds for the Award by the Department shall occur upon executon of this Agreement. An obligaton of funds for the Award shall occur only upon delivery of a Funding Obligaton.</w:t>
      </w:r>
    </w:p>
    <w:p>
      <w:pPr>
        <w:spacing w:after="0" w:line="170" w:lineRule="exact"/>
        <w:rPr>
          <w:rFonts w:ascii="Calibri" w:cs="Calibri" w:eastAsia="Calibri" w:hAnsi="Calibri"/>
          <w:sz w:val="20"/>
          <w:szCs w:val="20"/>
          <w:color w:val="auto"/>
        </w:rPr>
      </w:pPr>
    </w:p>
    <w:p>
      <w:pPr>
        <w:jc w:val="both"/>
        <w:ind w:firstLine="1952"/>
        <w:spacing w:after="0" w:line="200" w:lineRule="auto"/>
        <w:tabs>
          <w:tab w:leader="none" w:pos="2584" w:val="left"/>
        </w:tabs>
        <w:numPr>
          <w:ilvl w:val="0"/>
          <w:numId w:val="499"/>
        </w:numPr>
        <w:rPr>
          <w:rFonts w:ascii="Calibri" w:cs="Calibri" w:eastAsia="Calibri" w:hAnsi="Calibri"/>
          <w:sz w:val="20"/>
          <w:szCs w:val="20"/>
          <w:color w:val="auto"/>
        </w:rPr>
      </w:pPr>
      <w:r>
        <w:rPr>
          <w:rFonts w:ascii="Calibri" w:cs="Calibri" w:eastAsia="Calibri" w:hAnsi="Calibri"/>
          <w:sz w:val="20"/>
          <w:szCs w:val="20"/>
          <w:color w:val="auto"/>
        </w:rPr>
        <w:t>The Department shall not be obligated to make, and shall be prohibited from making, (i) any Direct Funding Disbursement pursuant to this Agreement in excess of the Scheduled Cumulatve Disbursement Amount; or (ii) any Workforce Disbursement pursuant to this Agreement, together with the aggregate amount of each prior Workforce Disbursement, in excess of the Maximum Workforce Award Amount, in each case, as authorized in executed and delivered Funding Obligatons related to a Project.</w:t>
      </w:r>
    </w:p>
    <w:p>
      <w:pPr>
        <w:spacing w:after="0" w:line="171" w:lineRule="exact"/>
        <w:rPr>
          <w:rFonts w:ascii="Calibri" w:cs="Calibri" w:eastAsia="Calibri" w:hAnsi="Calibri"/>
          <w:sz w:val="20"/>
          <w:szCs w:val="20"/>
          <w:color w:val="auto"/>
        </w:rPr>
      </w:pPr>
    </w:p>
    <w:p>
      <w:pPr>
        <w:jc w:val="both"/>
        <w:ind w:firstLine="1952"/>
        <w:spacing w:after="0" w:line="199" w:lineRule="auto"/>
        <w:tabs>
          <w:tab w:leader="none" w:pos="2592" w:val="left"/>
        </w:tabs>
        <w:numPr>
          <w:ilvl w:val="0"/>
          <w:numId w:val="499"/>
        </w:numPr>
        <w:rPr>
          <w:rFonts w:ascii="Calibri" w:cs="Calibri" w:eastAsia="Calibri" w:hAnsi="Calibri"/>
          <w:sz w:val="20"/>
          <w:szCs w:val="20"/>
          <w:color w:val="auto"/>
        </w:rPr>
      </w:pPr>
      <w:r>
        <w:rPr>
          <w:rFonts w:ascii="Calibri" w:cs="Calibri" w:eastAsia="Calibri" w:hAnsi="Calibri"/>
          <w:sz w:val="20"/>
          <w:szCs w:val="20"/>
          <w:color w:val="auto"/>
        </w:rPr>
        <w:t>It is acknowledged that the Department can only execute and deliver Funding Obligatons once it has the ability to do so under Ant-Defciency Act, the CHIPS Act, and other Applicable Law and in accordance with its processes, policies and procedures. It is the intenton of the Department that none of (i) the Disbursement Milestone Schedule; (ii) the pendency of any Direct Funding Disbursement Request; or (iii) the satsfacton or failure of any conditon precedent that relates to any Direct Funding Disbursement for which a Direct Funding Disbursement Request has not been received by the Department, shall, in each case, limit or restrain the Department’s ability to execute and deliver any Funding Obligaton afer the Award Date.</w:t>
      </w:r>
    </w:p>
    <w:p>
      <w:pPr>
        <w:spacing w:after="0" w:line="153"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2.2.</w:t>
      </w:r>
      <w:r>
        <w:rPr>
          <w:sz w:val="20"/>
          <w:szCs w:val="20"/>
          <w:color w:val="auto"/>
        </w:rPr>
        <w:tab/>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w:t>
      </w:r>
    </w:p>
    <w:p>
      <w:pPr>
        <w:spacing w:after="0" w:line="171"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2.2.1 </w:t>
      </w:r>
      <w:r>
        <w:rPr>
          <w:rFonts w:ascii="Calibri" w:cs="Calibri" w:eastAsia="Calibri" w:hAnsi="Calibri"/>
          <w:sz w:val="20"/>
          <w:szCs w:val="20"/>
          <w:b w:val="1"/>
          <w:bCs w:val="1"/>
          <w:color w:val="auto"/>
        </w:rPr>
        <w:t>ASAP System</w:t>
      </w:r>
      <w:r>
        <w:rPr>
          <w:rFonts w:ascii="Calibri" w:cs="Calibri" w:eastAsia="Calibri" w:hAnsi="Calibri"/>
          <w:sz w:val="20"/>
          <w:szCs w:val="20"/>
          <w:color w:val="auto"/>
        </w:rPr>
        <w:t xml:space="preserve"> . Subject to the terms of this Agreement, each Disbursement shall be made through the Department of Treasury’s Automated Standard Applicaton for Payment System (“</w:t>
      </w:r>
      <w:r>
        <w:rPr>
          <w:rFonts w:ascii="Calibri" w:cs="Calibri" w:eastAsia="Calibri" w:hAnsi="Calibri"/>
          <w:sz w:val="20"/>
          <w:szCs w:val="20"/>
          <w:b w:val="1"/>
          <w:bCs w:val="1"/>
          <w:color w:val="auto"/>
        </w:rPr>
        <w:t>ASAP</w:t>
      </w:r>
      <w:r>
        <w:rPr>
          <w:rFonts w:ascii="Calibri" w:cs="Calibri" w:eastAsia="Calibri" w:hAnsi="Calibri"/>
          <w:sz w:val="20"/>
          <w:szCs w:val="20"/>
          <w:color w:val="auto"/>
        </w:rPr>
        <w:t>”). Notwithstanding anything to the contrary set forth in this Artcle 2 (</w:t>
      </w:r>
      <w:r>
        <w:rPr>
          <w:rFonts w:ascii="Calibri" w:cs="Calibri" w:eastAsia="Calibri" w:hAnsi="Calibri"/>
          <w:sz w:val="20"/>
          <w:szCs w:val="20"/>
          <w:b w:val="1"/>
          <w:bCs w:val="1"/>
          <w:color w:val="auto"/>
        </w:rPr>
        <w:t>Award and Disbursements</w:t>
      </w:r>
      <w:r>
        <w:rPr>
          <w:rFonts w:ascii="Calibri" w:cs="Calibri" w:eastAsia="Calibri" w:hAnsi="Calibri"/>
          <w:sz w:val="20"/>
          <w:szCs w:val="20"/>
          <w:color w:val="auto"/>
        </w:rPr>
        <w:t>), the Recipient shall comply with all requirements and technical instructons necessary to receive a Disbursement through ASAP as set out in the “Award Handbook”. The Recipient may designate a payment requestor through ASAP.</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2.2.2</w:t>
      </w:r>
      <w:r>
        <w:rPr>
          <w:sz w:val="20"/>
          <w:szCs w:val="20"/>
          <w:color w:val="auto"/>
        </w:rPr>
        <w:tab/>
      </w:r>
      <w:r>
        <w:rPr>
          <w:rFonts w:ascii="Calibri" w:cs="Calibri" w:eastAsia="Calibri" w:hAnsi="Calibri"/>
          <w:sz w:val="20"/>
          <w:szCs w:val="20"/>
          <w:b w:val="1"/>
          <w:bCs w:val="1"/>
          <w:color w:val="auto"/>
        </w:rPr>
        <w:t>Direct Funding Disbursement Request</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198" w:lineRule="auto"/>
        <w:tabs>
          <w:tab w:leader="none" w:pos="2596" w:val="left"/>
        </w:tabs>
        <w:numPr>
          <w:ilvl w:val="0"/>
          <w:numId w:val="500"/>
        </w:numPr>
        <w:rPr>
          <w:rFonts w:ascii="Calibri" w:cs="Calibri" w:eastAsia="Calibri" w:hAnsi="Calibri"/>
          <w:sz w:val="20"/>
          <w:szCs w:val="20"/>
          <w:color w:val="auto"/>
        </w:rPr>
      </w:pPr>
      <w:r>
        <w:rPr>
          <w:rFonts w:ascii="Calibri" w:cs="Calibri" w:eastAsia="Calibri" w:hAnsi="Calibri"/>
          <w:sz w:val="20"/>
          <w:szCs w:val="20"/>
          <w:color w:val="auto"/>
        </w:rPr>
        <w:t>Subject to the other requirements of this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the Recipient may request a Direct Funding Disbursement for a Disbursement Milestone for any Project on any date that is (i) on or afer the date on which the Recipient reasonably determines that the Actual Milestone Completon Date for such Disbursement Milestone has been achieved (without regards to, solely with respect to a Direct Funding Disbursement Request, the Department’s confrmaton thereof); and (ii) prior to the Milestone Completon Longstop Date for such Disbursement Milestone, by delivering to the Department, with a copy to the Constructon Advisor a completed Direct Funding Disbursement Request substantally in the form of Exhibit B-1 (</w:t>
      </w:r>
      <w:r>
        <w:rPr>
          <w:rFonts w:ascii="Calibri" w:cs="Calibri" w:eastAsia="Calibri" w:hAnsi="Calibri"/>
          <w:sz w:val="20"/>
          <w:szCs w:val="20"/>
          <w:b w:val="1"/>
          <w:bCs w:val="1"/>
          <w:color w:val="auto"/>
        </w:rPr>
        <w:t>Form of Direct Funding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Disbursement Request</w:t>
      </w:r>
      <w:r>
        <w:rPr>
          <w:rFonts w:ascii="Calibri" w:cs="Calibri" w:eastAsia="Calibri" w:hAnsi="Calibri"/>
          <w:sz w:val="20"/>
          <w:szCs w:val="20"/>
          <w:color w:val="auto"/>
        </w:rPr>
        <w:t>) evidencing the satsfactory completon of the applicable Disbursement Milestone and satsfacton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conditons in Secton 5.1 (</w:t>
      </w:r>
      <w:r>
        <w:rPr>
          <w:rFonts w:ascii="Calibri" w:cs="Calibri" w:eastAsia="Calibri" w:hAnsi="Calibri"/>
          <w:sz w:val="20"/>
          <w:szCs w:val="20"/>
          <w:b w:val="1"/>
          <w:bCs w:val="1"/>
          <w:color w:val="auto"/>
        </w:rPr>
        <w:t>Conditons Precedent to Each Direct Funding Disbursement</w:t>
      </w:r>
      <w:r>
        <w:rPr>
          <w:rFonts w:ascii="Calibri" w:cs="Calibri" w:eastAsia="Calibri" w:hAnsi="Calibri"/>
          <w:sz w:val="20"/>
          <w:szCs w:val="20"/>
          <w:color w:val="auto"/>
        </w:rPr>
        <w:t>), except for the conditons set out in Sectons 5.1.1 (</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and 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74" w:right="339" w:bottom="1440" w:gutter="0" w:footer="0" w:header="0"/>
        </w:sectPr>
      </w:pPr>
    </w:p>
    <w:bookmarkStart w:id="444" w:name="page445"/>
    <w:bookmarkEnd w:id="444"/>
    <w:p>
      <w:pPr>
        <w:jc w:val="both"/>
        <w:ind w:firstLine="1952"/>
        <w:spacing w:after="0" w:line="203" w:lineRule="auto"/>
        <w:tabs>
          <w:tab w:leader="none" w:pos="2592" w:val="left"/>
        </w:tabs>
        <w:numPr>
          <w:ilvl w:val="0"/>
          <w:numId w:val="501"/>
        </w:numPr>
        <w:rPr>
          <w:rFonts w:ascii="Calibri" w:cs="Calibri" w:eastAsia="Calibri" w:hAnsi="Calibri"/>
          <w:sz w:val="20"/>
          <w:szCs w:val="20"/>
          <w:color w:val="auto"/>
        </w:rPr>
      </w:pPr>
      <w:r>
        <w:rPr>
          <w:rFonts w:ascii="Calibri" w:cs="Calibri" w:eastAsia="Calibri" w:hAnsi="Calibri"/>
          <w:sz w:val="20"/>
          <w:szCs w:val="20"/>
          <w:color w:val="auto"/>
        </w:rPr>
        <w:t>The Recipient shall be enttled to submit a Direct Funding Disbursement Request for any Project only during the Direct Funding Disbursement Period for such Project in accordance with this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The Recipient may not request a Direct Funding Disbursement for a Project more frequently than once per Fiscal Quarter without the Department’s prior writen consent.</w:t>
      </w:r>
    </w:p>
    <w:p>
      <w:pPr>
        <w:spacing w:after="0" w:line="160"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2.2.3 </w:t>
      </w:r>
      <w:r>
        <w:rPr>
          <w:rFonts w:ascii="Calibri" w:cs="Calibri" w:eastAsia="Calibri" w:hAnsi="Calibri"/>
          <w:sz w:val="20"/>
          <w:szCs w:val="20"/>
          <w:b w:val="1"/>
          <w:bCs w:val="1"/>
          <w:color w:val="auto"/>
        </w:rPr>
        <w:t>Disbursement Approval Notce.</w:t>
      </w:r>
      <w:r>
        <w:rPr>
          <w:rFonts w:ascii="Calibri" w:cs="Calibri" w:eastAsia="Calibri" w:hAnsi="Calibri"/>
          <w:sz w:val="20"/>
          <w:szCs w:val="20"/>
          <w:color w:val="auto"/>
        </w:rPr>
        <w:t xml:space="preserve"> Once the Department is satsfed that the relevant Disbursement Milestone has been achieved in accordance with the terms of this Agreement, the Department shall (a) issue a Direct Funding Disbursement Approval Notce to the Recipient; and (b) make a Direct Funding Disbursement within thirty (30) days of the issuance of such Direct Funding Disbursement Approval Notce.</w:t>
      </w:r>
    </w:p>
    <w:p>
      <w:pPr>
        <w:spacing w:after="0" w:line="173"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2.2.4 </w:t>
      </w:r>
      <w:r>
        <w:rPr>
          <w:rFonts w:ascii="Calibri" w:cs="Calibri" w:eastAsia="Calibri" w:hAnsi="Calibri"/>
          <w:sz w:val="20"/>
          <w:szCs w:val="20"/>
          <w:b w:val="1"/>
          <w:bCs w:val="1"/>
          <w:color w:val="auto"/>
        </w:rPr>
        <w:t>Disbursement Date</w:t>
      </w:r>
      <w:r>
        <w:rPr>
          <w:rFonts w:ascii="Calibri" w:cs="Calibri" w:eastAsia="Calibri" w:hAnsi="Calibri"/>
          <w:sz w:val="20"/>
          <w:szCs w:val="20"/>
          <w:color w:val="auto"/>
        </w:rPr>
        <w:t>. The actual Direct Funding Disbursement Date for any Disbursement Milestone for any Project may occur afer the Milestone Completon Longstop Date for such Disbursement Milestone.</w:t>
      </w:r>
    </w:p>
    <w:p>
      <w:pPr>
        <w:spacing w:after="0" w:line="171"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2.2.5 </w:t>
      </w:r>
      <w:r>
        <w:rPr>
          <w:rFonts w:ascii="Calibri" w:cs="Calibri" w:eastAsia="Calibri" w:hAnsi="Calibri"/>
          <w:sz w:val="20"/>
          <w:szCs w:val="20"/>
          <w:b w:val="1"/>
          <w:bCs w:val="1"/>
          <w:color w:val="auto"/>
        </w:rPr>
        <w:t>Disbursement Date Certfcate.</w:t>
      </w:r>
      <w:r>
        <w:rPr>
          <w:rFonts w:ascii="Calibri" w:cs="Calibri" w:eastAsia="Calibri" w:hAnsi="Calibri"/>
          <w:sz w:val="20"/>
          <w:szCs w:val="20"/>
          <w:color w:val="auto"/>
        </w:rPr>
        <w:t xml:space="preserve"> The Recipient and the Sponsor Guarantor shall deliver a Direct Funding Disbursement Date Certfcate one (1) Business Day prior to the scheduled Direct Funding Disbursement Date in accordance with Secton</w:t>
      </w:r>
    </w:p>
    <w:p>
      <w:pPr>
        <w:spacing w:after="0" w:line="199" w:lineRule="auto"/>
        <w:rPr>
          <w:sz w:val="20"/>
          <w:szCs w:val="20"/>
          <w:color w:val="auto"/>
        </w:rPr>
      </w:pPr>
      <w:r>
        <w:rPr>
          <w:rFonts w:ascii="Calibri" w:cs="Calibri" w:eastAsia="Calibri" w:hAnsi="Calibri"/>
          <w:sz w:val="20"/>
          <w:szCs w:val="20"/>
          <w:color w:val="auto"/>
        </w:rPr>
        <w:t>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2.2.6</w:t>
      </w:r>
      <w:r>
        <w:rPr>
          <w:sz w:val="20"/>
          <w:szCs w:val="20"/>
          <w:color w:val="auto"/>
        </w:rPr>
        <w:tab/>
      </w:r>
      <w:r>
        <w:rPr>
          <w:rFonts w:ascii="Calibri" w:cs="Calibri" w:eastAsia="Calibri" w:hAnsi="Calibri"/>
          <w:sz w:val="20"/>
          <w:szCs w:val="20"/>
          <w:b w:val="1"/>
          <w:bCs w:val="1"/>
          <w:color w:val="auto"/>
        </w:rPr>
        <w:t>Direct Funding Disbursement Amount</w:t>
      </w:r>
    </w:p>
    <w:p>
      <w:pPr>
        <w:spacing w:after="0" w:line="184" w:lineRule="exact"/>
        <w:rPr>
          <w:sz w:val="20"/>
          <w:szCs w:val="20"/>
          <w:color w:val="auto"/>
        </w:rPr>
      </w:pPr>
    </w:p>
    <w:p>
      <w:pPr>
        <w:jc w:val="both"/>
        <w:ind w:firstLine="1952"/>
        <w:spacing w:after="0" w:line="233" w:lineRule="auto"/>
        <w:tabs>
          <w:tab w:leader="none" w:pos="2596" w:val="left"/>
        </w:tabs>
        <w:numPr>
          <w:ilvl w:val="1"/>
          <w:numId w:val="502"/>
        </w:numPr>
        <w:rPr>
          <w:rFonts w:ascii="Calibri" w:cs="Calibri" w:eastAsia="Calibri" w:hAnsi="Calibri"/>
          <w:sz w:val="20"/>
          <w:szCs w:val="20"/>
          <w:color w:val="auto"/>
        </w:rPr>
      </w:pPr>
      <w:r>
        <w:rPr>
          <w:rFonts w:ascii="Calibri" w:cs="Calibri" w:eastAsia="Calibri" w:hAnsi="Calibri"/>
          <w:sz w:val="20"/>
          <w:szCs w:val="20"/>
          <w:color w:val="auto"/>
        </w:rPr>
        <w:t>With respect to each Project, in the event that the Actual Capex Amount for any Disbursement Milestone is less than the Scheduled Capex Amount for such Disbursement Milestone, then the amount of the Scheduled Disbursement Amount for such Disbursement Milestone shall be decreased to an amount equal to the Scheduled Cumulatve Disbursement Rato multplied by the Actual Capex Amount.</w:t>
      </w:r>
    </w:p>
    <w:p>
      <w:pPr>
        <w:spacing w:after="0" w:line="212" w:lineRule="exact"/>
        <w:rPr>
          <w:rFonts w:ascii="Calibri" w:cs="Calibri" w:eastAsia="Calibri" w:hAnsi="Calibri"/>
          <w:sz w:val="20"/>
          <w:szCs w:val="20"/>
          <w:color w:val="auto"/>
        </w:rPr>
      </w:pPr>
    </w:p>
    <w:p>
      <w:pPr>
        <w:jc w:val="both"/>
        <w:ind w:firstLine="1952"/>
        <w:spacing w:after="0" w:line="228" w:lineRule="auto"/>
        <w:tabs>
          <w:tab w:leader="none" w:pos="2592" w:val="left"/>
        </w:tabs>
        <w:numPr>
          <w:ilvl w:val="1"/>
          <w:numId w:val="502"/>
        </w:numPr>
        <w:rPr>
          <w:rFonts w:ascii="Calibri" w:cs="Calibri" w:eastAsia="Calibri" w:hAnsi="Calibri"/>
          <w:sz w:val="20"/>
          <w:szCs w:val="20"/>
          <w:color w:val="auto"/>
        </w:rPr>
      </w:pPr>
      <w:r>
        <w:rPr>
          <w:rFonts w:ascii="Calibri" w:cs="Calibri" w:eastAsia="Calibri" w:hAnsi="Calibri"/>
          <w:sz w:val="20"/>
          <w:szCs w:val="20"/>
          <w:color w:val="auto"/>
        </w:rPr>
        <w:t>With respect to each Project, beginning with the second Disbursement Milestone for such Project, the Scheduled Disbursement Amount for any Disbursement Milestone shall be increased by the True-Up Amount (if any), subject to clause</w:t>
      </w:r>
    </w:p>
    <w:p>
      <w:pPr>
        <w:ind w:left="260" w:hanging="252"/>
        <w:spacing w:after="0" w:line="238" w:lineRule="auto"/>
        <w:tabs>
          <w:tab w:leader="none" w:pos="260" w:val="left"/>
        </w:tabs>
        <w:numPr>
          <w:ilvl w:val="0"/>
          <w:numId w:val="503"/>
        </w:numPr>
        <w:rPr>
          <w:rFonts w:ascii="Calibri" w:cs="Calibri" w:eastAsia="Calibri" w:hAnsi="Calibri"/>
          <w:sz w:val="20"/>
          <w:szCs w:val="20"/>
          <w:color w:val="auto"/>
        </w:rPr>
      </w:pPr>
      <w:r>
        <w:rPr>
          <w:rFonts w:ascii="Calibri" w:cs="Calibri" w:eastAsia="Calibri" w:hAnsi="Calibri"/>
          <w:sz w:val="20"/>
          <w:szCs w:val="20"/>
          <w:color w:val="auto"/>
        </w:rPr>
        <w:t>below.</w:t>
      </w:r>
    </w:p>
    <w:p>
      <w:pPr>
        <w:spacing w:after="0" w:line="198" w:lineRule="exact"/>
        <w:rPr>
          <w:rFonts w:ascii="Calibri" w:cs="Calibri" w:eastAsia="Calibri" w:hAnsi="Calibri"/>
          <w:sz w:val="20"/>
          <w:szCs w:val="20"/>
          <w:color w:val="auto"/>
        </w:rPr>
      </w:pPr>
    </w:p>
    <w:p>
      <w:pPr>
        <w:jc w:val="both"/>
        <w:ind w:firstLine="1952"/>
        <w:spacing w:after="0" w:line="231" w:lineRule="auto"/>
        <w:tabs>
          <w:tab w:leader="none" w:pos="2584" w:val="left"/>
        </w:tabs>
        <w:numPr>
          <w:ilvl w:val="1"/>
          <w:numId w:val="503"/>
        </w:numPr>
        <w:rPr>
          <w:rFonts w:ascii="Calibri" w:cs="Calibri" w:eastAsia="Calibri" w:hAnsi="Calibri"/>
          <w:sz w:val="20"/>
          <w:szCs w:val="20"/>
          <w:color w:val="auto"/>
        </w:rPr>
      </w:pPr>
      <w:r>
        <w:rPr>
          <w:rFonts w:ascii="Calibri" w:cs="Calibri" w:eastAsia="Calibri" w:hAnsi="Calibri"/>
          <w:sz w:val="20"/>
          <w:szCs w:val="20"/>
          <w:color w:val="auto"/>
        </w:rPr>
        <w:t>With respect to the last Disbursement Milestone of each Project, if the Actual Cumulatve Disbursement Rato at the tme the Recipient submits the Direct Funding Disbursement Request for such last Disbursement Milestone is greater than the Scheduled Cumulatve Disbursement Rato for such Disbursement Milestone at such tme, then the Scheduled Disbursement Amount for such last Disbursement Milestone shall be decreased by an amount necessary to ensure that, afer giving efect to such last Direct Funding Disbursement, the Actual Cumulatve Disbursement Rato shall equal the Scheduled Cumulatve Disbursement Rato.</w:t>
      </w:r>
    </w:p>
    <w:p>
      <w:pPr>
        <w:spacing w:after="0" w:line="215" w:lineRule="exact"/>
        <w:rPr>
          <w:rFonts w:ascii="Calibri" w:cs="Calibri" w:eastAsia="Calibri" w:hAnsi="Calibri"/>
          <w:sz w:val="20"/>
          <w:szCs w:val="20"/>
          <w:color w:val="auto"/>
        </w:rPr>
      </w:pPr>
    </w:p>
    <w:p>
      <w:pPr>
        <w:jc w:val="both"/>
        <w:ind w:firstLine="1952"/>
        <w:spacing w:after="0" w:line="230" w:lineRule="auto"/>
        <w:tabs>
          <w:tab w:leader="none" w:pos="2592" w:val="left"/>
        </w:tabs>
        <w:numPr>
          <w:ilvl w:val="1"/>
          <w:numId w:val="503"/>
        </w:numPr>
        <w:rPr>
          <w:rFonts w:ascii="Calibri" w:cs="Calibri" w:eastAsia="Calibri" w:hAnsi="Calibri"/>
          <w:sz w:val="20"/>
          <w:szCs w:val="20"/>
          <w:color w:val="auto"/>
        </w:rPr>
      </w:pPr>
      <w:r>
        <w:rPr>
          <w:rFonts w:ascii="Calibri" w:cs="Calibri" w:eastAsia="Calibri" w:hAnsi="Calibri"/>
          <w:sz w:val="20"/>
          <w:szCs w:val="20"/>
          <w:color w:val="auto"/>
        </w:rPr>
        <w:t>As of the date the Recipient submits any Direct Funding Disbursement Request with respect to a Disbursement Milestone, afer giving efect to the Scheduled Disbursement Amount to be made on such date, the aggregate outstanding amount of all Direct Funding Disbursements shall not exceed the Scheduled Cumulatve Disbursement Amount for such Disbursement Milestone.</w:t>
      </w:r>
    </w:p>
    <w:p>
      <w:pPr>
        <w:spacing w:after="0" w:line="185"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 xml:space="preserve">Secton 2.3. </w:t>
      </w:r>
      <w:r>
        <w:rPr>
          <w:rFonts w:ascii="Calibri" w:cs="Calibri" w:eastAsia="Calibri" w:hAnsi="Calibri"/>
          <w:sz w:val="20"/>
          <w:szCs w:val="20"/>
          <w:b w:val="1"/>
          <w:bCs w:val="1"/>
          <w:color w:val="auto"/>
        </w:rPr>
        <w:t>No Interest</w:t>
      </w:r>
      <w:r>
        <w:rPr>
          <w:rFonts w:ascii="Calibri" w:cs="Calibri" w:eastAsia="Calibri" w:hAnsi="Calibri"/>
          <w:sz w:val="20"/>
          <w:szCs w:val="20"/>
          <w:color w:val="auto"/>
        </w:rPr>
        <w:t>. For the avoidance of doubt, no interest or penaltes shall accrue on the amount of a requested Disbursement between the date of the Disbursement Request and the Disbursement Date.</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2.4. </w:t>
      </w:r>
      <w:r>
        <w:rPr>
          <w:rFonts w:ascii="Calibri" w:cs="Calibri" w:eastAsia="Calibri" w:hAnsi="Calibri"/>
          <w:sz w:val="20"/>
          <w:szCs w:val="20"/>
          <w:b w:val="1"/>
          <w:bCs w:val="1"/>
          <w:color w:val="auto"/>
        </w:rPr>
        <w:t>No Approval of Work</w:t>
      </w:r>
      <w:r>
        <w:rPr>
          <w:rFonts w:ascii="Calibri" w:cs="Calibri" w:eastAsia="Calibri" w:hAnsi="Calibri"/>
          <w:sz w:val="20"/>
          <w:szCs w:val="20"/>
          <w:color w:val="auto"/>
        </w:rPr>
        <w:t xml:space="preserve"> . The making of any Disbursement under the Award Documents shall not be deemed an approval or acceptance by the Department of the quality of any work, labor, supplies, materials or equipment furnished or supplied with respect to any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4" w:right="339" w:bottom="1440" w:gutter="0" w:footer="0" w:header="0"/>
        </w:sectPr>
      </w:pPr>
    </w:p>
    <w:bookmarkStart w:id="445" w:name="page446"/>
    <w:bookmarkEnd w:id="445"/>
    <w:p>
      <w:pPr>
        <w:ind w:firstLine="648"/>
        <w:spacing w:after="0" w:line="214" w:lineRule="auto"/>
        <w:rPr>
          <w:sz w:val="20"/>
          <w:szCs w:val="20"/>
          <w:color w:val="auto"/>
        </w:rPr>
      </w:pPr>
      <w:r>
        <w:rPr>
          <w:rFonts w:ascii="Calibri" w:cs="Calibri" w:eastAsia="Calibri" w:hAnsi="Calibri"/>
          <w:sz w:val="20"/>
          <w:szCs w:val="20"/>
          <w:color w:val="auto"/>
        </w:rPr>
        <w:t xml:space="preserve">Secton 2.5. </w:t>
      </w:r>
      <w:r>
        <w:rPr>
          <w:rFonts w:ascii="Calibri" w:cs="Calibri" w:eastAsia="Calibri" w:hAnsi="Calibri"/>
          <w:sz w:val="20"/>
          <w:szCs w:val="20"/>
          <w:b w:val="1"/>
          <w:bCs w:val="1"/>
          <w:color w:val="auto"/>
        </w:rPr>
        <w:t>Workforce Disbursements</w:t>
      </w:r>
      <w:r>
        <w:rPr>
          <w:rFonts w:ascii="Calibri" w:cs="Calibri" w:eastAsia="Calibri" w:hAnsi="Calibri"/>
          <w:sz w:val="20"/>
          <w:szCs w:val="20"/>
          <w:color w:val="auto"/>
        </w:rPr>
        <w:t>. The Recipient shall request a Workforce Disbursement in accordance with the terms set forth in Annex G (</w:t>
      </w:r>
      <w:r>
        <w:rPr>
          <w:rFonts w:ascii="Calibri" w:cs="Calibri" w:eastAsia="Calibri" w:hAnsi="Calibri"/>
          <w:sz w:val="20"/>
          <w:szCs w:val="20"/>
          <w:b w:val="1"/>
          <w:bCs w:val="1"/>
          <w:color w:val="auto"/>
        </w:rPr>
        <w:t>Direct Funding for Workforce Actvites.</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PAYMENTS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3.1.</w:t>
      </w:r>
      <w:r>
        <w:rPr>
          <w:sz w:val="20"/>
          <w:szCs w:val="20"/>
          <w:color w:val="auto"/>
        </w:rPr>
        <w:tab/>
      </w:r>
      <w:r>
        <w:rPr>
          <w:rFonts w:ascii="Calibri" w:cs="Calibri" w:eastAsia="Calibri" w:hAnsi="Calibri"/>
          <w:sz w:val="20"/>
          <w:szCs w:val="20"/>
          <w:b w:val="1"/>
          <w:bCs w:val="1"/>
          <w:color w:val="auto"/>
        </w:rPr>
        <w:t>Place and Manner of Payments to the Department.</w:t>
      </w:r>
    </w:p>
    <w:p>
      <w:pPr>
        <w:spacing w:after="0" w:line="157" w:lineRule="exact"/>
        <w:rPr>
          <w:sz w:val="20"/>
          <w:szCs w:val="20"/>
          <w:color w:val="auto"/>
        </w:rPr>
      </w:pPr>
    </w:p>
    <w:p>
      <w:pPr>
        <w:jc w:val="both"/>
        <w:ind w:firstLine="1952"/>
        <w:spacing w:after="0" w:line="199" w:lineRule="auto"/>
        <w:tabs>
          <w:tab w:leader="none" w:pos="2596" w:val="left"/>
        </w:tabs>
        <w:numPr>
          <w:ilvl w:val="0"/>
          <w:numId w:val="504"/>
        </w:numPr>
        <w:rPr>
          <w:rFonts w:ascii="Calibri" w:cs="Calibri" w:eastAsia="Calibri" w:hAnsi="Calibri"/>
          <w:sz w:val="20"/>
          <w:szCs w:val="20"/>
          <w:color w:val="auto"/>
        </w:rPr>
      </w:pPr>
      <w:r>
        <w:rPr>
          <w:rFonts w:ascii="Calibri" w:cs="Calibri" w:eastAsia="Calibri" w:hAnsi="Calibri"/>
          <w:sz w:val="20"/>
          <w:szCs w:val="20"/>
          <w:color w:val="auto"/>
        </w:rPr>
        <w:t>All payments to be made to the Department under this Agreement shall be sent by the Recipient in Dollars in immediately available funds before 1:00 p.m. (District of Columbia tme) on the date when due and shall be due pursuant to payment instructons provided by the Department to the Recipient (as such instructons may be amended from tme to tme by the Department upon notce to the Recipient made in accordance with this Agreement) not less than fve (5) Business Days prior to the date when such payments are due (unless expressly provided for otherwise in this Agreement); provided, however, that if the Department does not provide such payment instructons to the Recipient at least fve (5) Business Days prior to the due date for any such payment, such due date shall be extended to the date that is fve (5) Business Days from the date the Department provides such payment instructons to the Recipient.</w:t>
      </w:r>
    </w:p>
    <w:p>
      <w:pPr>
        <w:spacing w:after="0" w:line="162"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04"/>
        </w:numPr>
        <w:rPr>
          <w:rFonts w:ascii="Calibri" w:cs="Calibri" w:eastAsia="Calibri" w:hAnsi="Calibri"/>
          <w:sz w:val="20"/>
          <w:szCs w:val="20"/>
          <w:color w:val="auto"/>
        </w:rPr>
      </w:pPr>
      <w:r>
        <w:rPr>
          <w:rFonts w:ascii="Calibri" w:cs="Calibri" w:eastAsia="Calibri" w:hAnsi="Calibri"/>
          <w:sz w:val="20"/>
          <w:szCs w:val="20"/>
          <w:color w:val="auto"/>
        </w:rPr>
        <w:t>In the event that the date of any payment to the Department or the expiraton of any tme period hereunder occurs on a day that is not a Business Day, then such payment or expiraton of tme period shall be made or occur on the next succeeding Business Day, and such extension of tme shall in such cases be included in computng interest or fees, if any, in connecton with such payment.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3.2.</w:t>
      </w:r>
      <w:r>
        <w:rPr>
          <w:sz w:val="20"/>
          <w:szCs w:val="20"/>
          <w:color w:val="auto"/>
        </w:rPr>
        <w:tab/>
      </w:r>
      <w:r>
        <w:rPr>
          <w:rFonts w:ascii="Calibri" w:cs="Calibri" w:eastAsia="Calibri" w:hAnsi="Calibri"/>
          <w:sz w:val="20"/>
          <w:szCs w:val="20"/>
          <w:b w:val="1"/>
          <w:bCs w:val="1"/>
          <w:color w:val="auto"/>
        </w:rPr>
        <w:t>Upside Sharing.</w:t>
      </w:r>
    </w:p>
    <w:p>
      <w:pPr>
        <w:spacing w:after="0" w:line="157"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3.2.1 </w:t>
      </w:r>
      <w:r>
        <w:rPr>
          <w:rFonts w:ascii="Calibri" w:cs="Calibri" w:eastAsia="Calibri" w:hAnsi="Calibri"/>
          <w:sz w:val="20"/>
          <w:szCs w:val="20"/>
          <w:b w:val="1"/>
          <w:bCs w:val="1"/>
          <w:color w:val="auto"/>
        </w:rPr>
        <w:t>Upside Sharing Amount Payment Instructons.</w:t>
      </w:r>
      <w:r>
        <w:rPr>
          <w:rFonts w:ascii="Calibri" w:cs="Calibri" w:eastAsia="Calibri" w:hAnsi="Calibri"/>
          <w:sz w:val="20"/>
          <w:szCs w:val="20"/>
          <w:color w:val="auto"/>
        </w:rPr>
        <w:t xml:space="preserve"> During the Upside Sharing Term, and in accordance with this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 the Recipient shall pay the Upside Sharing Amount for each completed Relevant Period due to the Department with respect to any Project as set forth in the Upside Sharing Amount Certfcaton delivered pursuant to Secton 3.2.3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 for the fnal Fiscal Year of each Relevant Period, no later than ten (10) Business Days afer receipt of such Upside Sharing Amount Certfcaton by the Department pursuant to the payment instructons provided by the Department pursuant to Secton 3.1 (</w:t>
      </w:r>
      <w:r>
        <w:rPr>
          <w:rFonts w:ascii="Calibri" w:cs="Calibri" w:eastAsia="Calibri" w:hAnsi="Calibri"/>
          <w:sz w:val="20"/>
          <w:szCs w:val="20"/>
          <w:b w:val="1"/>
          <w:bCs w:val="1"/>
          <w:color w:val="auto"/>
        </w:rPr>
        <w:t>Place and Manner of Payments to the Department</w:t>
      </w:r>
      <w:r>
        <w:rPr>
          <w:rFonts w:ascii="Calibri" w:cs="Calibri" w:eastAsia="Calibri" w:hAnsi="Calibri"/>
          <w:sz w:val="20"/>
          <w:szCs w:val="20"/>
          <w:color w:val="auto"/>
        </w:rPr>
        <w:t>).</w:t>
      </w:r>
    </w:p>
    <w:p>
      <w:pPr>
        <w:spacing w:after="0" w:line="158" w:lineRule="exact"/>
        <w:rPr>
          <w:sz w:val="20"/>
          <w:szCs w:val="20"/>
          <w:color w:val="auto"/>
        </w:rPr>
      </w:pPr>
    </w:p>
    <w:p>
      <w:pPr>
        <w:jc w:val="both"/>
        <w:ind w:right="20" w:firstLine="1296"/>
        <w:spacing w:after="0" w:line="205" w:lineRule="auto"/>
        <w:rPr>
          <w:sz w:val="20"/>
          <w:szCs w:val="20"/>
          <w:color w:val="auto"/>
        </w:rPr>
      </w:pPr>
      <w:r>
        <w:rPr>
          <w:rFonts w:ascii="Calibri" w:cs="Calibri" w:eastAsia="Calibri" w:hAnsi="Calibri"/>
          <w:sz w:val="20"/>
          <w:szCs w:val="20"/>
          <w:color w:val="auto"/>
        </w:rPr>
        <w:t xml:space="preserve">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 xml:space="preserve"> The Upside Sharing Amount with respect to each Project shall be calculated for each Relevant Period (or prior to the end of such Relevant Period, for porton of such Relevant Period consistng of the completed Fiscal Years in such Relevant Period) as set forth in this Secton 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w:t>
      </w:r>
    </w:p>
    <w:p>
      <w:pPr>
        <w:spacing w:after="0" w:line="171" w:lineRule="exact"/>
        <w:rPr>
          <w:sz w:val="20"/>
          <w:szCs w:val="20"/>
          <w:color w:val="auto"/>
        </w:rPr>
      </w:pPr>
    </w:p>
    <w:p>
      <w:pPr>
        <w:ind w:firstLine="1952"/>
        <w:spacing w:after="0" w:line="208" w:lineRule="auto"/>
        <w:tabs>
          <w:tab w:leader="none" w:pos="2596" w:val="left"/>
        </w:tabs>
        <w:numPr>
          <w:ilvl w:val="0"/>
          <w:numId w:val="505"/>
        </w:numPr>
        <w:rPr>
          <w:rFonts w:ascii="Calibri" w:cs="Calibri" w:eastAsia="Calibri" w:hAnsi="Calibri"/>
          <w:sz w:val="20"/>
          <w:szCs w:val="20"/>
          <w:color w:val="auto"/>
        </w:rPr>
      </w:pPr>
      <w:r>
        <w:rPr>
          <w:rFonts w:ascii="Calibri" w:cs="Calibri" w:eastAsia="Calibri" w:hAnsi="Calibri"/>
          <w:sz w:val="20"/>
          <w:szCs w:val="20"/>
          <w:color w:val="auto"/>
        </w:rPr>
        <w:t>If the Actual Cumulatve Unlevered Free Cash Flow for a Project is less than or equal to the applicable Threshold for the Relevant Period, the Upside Sharing Amount shall be zero Dollars ($0).</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505"/>
        </w:numPr>
        <w:rPr>
          <w:rFonts w:ascii="Calibri" w:cs="Calibri" w:eastAsia="Calibri" w:hAnsi="Calibri"/>
          <w:sz w:val="20"/>
          <w:szCs w:val="20"/>
          <w:color w:val="auto"/>
        </w:rPr>
      </w:pPr>
      <w:r>
        <w:rPr>
          <w:rFonts w:ascii="Calibri" w:cs="Calibri" w:eastAsia="Calibri" w:hAnsi="Calibri"/>
          <w:sz w:val="20"/>
          <w:szCs w:val="20"/>
          <w:color w:val="auto"/>
        </w:rPr>
        <w:t>Subject to paragraph (c), if the Actual Cumulatve Unlevered Free Cash Flow for a Project is greater than the applicable Threshold for the Relevant Period, the Upside Sharing Amount shall be equal to:</w:t>
      </w:r>
    </w:p>
    <w:p>
      <w:pPr>
        <w:spacing w:after="0" w:line="188" w:lineRule="exact"/>
        <w:rPr>
          <w:rFonts w:ascii="Calibri" w:cs="Calibri" w:eastAsia="Calibri" w:hAnsi="Calibri"/>
          <w:sz w:val="20"/>
          <w:szCs w:val="20"/>
          <w:color w:val="auto"/>
        </w:rPr>
      </w:pPr>
    </w:p>
    <w:p>
      <w:pPr>
        <w:ind w:left="2600" w:hanging="648"/>
        <w:spacing w:after="0"/>
        <w:tabs>
          <w:tab w:leader="none" w:pos="2600" w:val="left"/>
        </w:tabs>
        <w:numPr>
          <w:ilvl w:val="0"/>
          <w:numId w:val="505"/>
        </w:numPr>
        <w:rPr>
          <w:rFonts w:ascii="Calibri" w:cs="Calibri" w:eastAsia="Calibri" w:hAnsi="Calibri"/>
          <w:sz w:val="20"/>
          <w:szCs w:val="20"/>
          <w:color w:val="auto"/>
        </w:rPr>
      </w:pPr>
      <w:r>
        <w:rPr>
          <w:rFonts w:ascii="Calibri" w:cs="Calibri" w:eastAsia="Calibri" w:hAnsi="Calibri"/>
          <w:sz w:val="20"/>
          <w:szCs w:val="20"/>
          <w:color w:val="auto"/>
        </w:rPr>
        <w:t>(i) the product of:</w:t>
      </w:r>
    </w:p>
    <w:p>
      <w:pPr>
        <w:spacing w:after="0" w:line="187" w:lineRule="exact"/>
        <w:rPr>
          <w:rFonts w:ascii="Calibri" w:cs="Calibri" w:eastAsia="Calibri" w:hAnsi="Calibri"/>
          <w:sz w:val="20"/>
          <w:szCs w:val="20"/>
          <w:color w:val="auto"/>
        </w:rPr>
      </w:pPr>
    </w:p>
    <w:p>
      <w:pPr>
        <w:ind w:left="3240" w:hanging="640"/>
        <w:spacing w:after="0"/>
        <w:tabs>
          <w:tab w:leader="none" w:pos="3240" w:val="left"/>
        </w:tabs>
        <w:numPr>
          <w:ilvl w:val="1"/>
          <w:numId w:val="505"/>
        </w:numPr>
        <w:rPr>
          <w:rFonts w:ascii="Calibri" w:cs="Calibri" w:eastAsia="Calibri" w:hAnsi="Calibri"/>
          <w:sz w:val="20"/>
          <w:szCs w:val="20"/>
          <w:color w:val="auto"/>
        </w:rPr>
      </w:pPr>
      <w:r>
        <w:rPr>
          <w:rFonts w:ascii="Calibri" w:cs="Calibri" w:eastAsia="Calibri" w:hAnsi="Calibri"/>
          <w:sz w:val="20"/>
          <w:szCs w:val="20"/>
          <w:color w:val="auto"/>
        </w:rPr>
        <w:t>(x) the Upside Sharing Percentage</w:t>
      </w:r>
    </w:p>
    <w:p>
      <w:pPr>
        <w:spacing w:after="0" w:line="187" w:lineRule="exact"/>
        <w:rPr>
          <w:rFonts w:ascii="Calibri" w:cs="Calibri" w:eastAsia="Calibri" w:hAnsi="Calibri"/>
          <w:sz w:val="20"/>
          <w:szCs w:val="20"/>
          <w:color w:val="auto"/>
        </w:rPr>
      </w:pPr>
    </w:p>
    <w:p>
      <w:pPr>
        <w:ind w:left="3240" w:hanging="640"/>
        <w:spacing w:after="0"/>
        <w:tabs>
          <w:tab w:leader="none" w:pos="3240" w:val="left"/>
        </w:tabs>
        <w:numPr>
          <w:ilvl w:val="1"/>
          <w:numId w:val="505"/>
        </w:numPr>
        <w:rPr>
          <w:rFonts w:ascii="Calibri" w:cs="Calibri" w:eastAsia="Calibri" w:hAnsi="Calibri"/>
          <w:sz w:val="20"/>
          <w:szCs w:val="20"/>
          <w:color w:val="auto"/>
        </w:rPr>
      </w:pPr>
      <w:r>
        <w:rPr>
          <w:rFonts w:ascii="Calibri" w:cs="Calibri" w:eastAsia="Calibri" w:hAnsi="Calibri"/>
          <w:sz w:val="20"/>
          <w:szCs w:val="20"/>
          <w:u w:val="single" w:color="auto"/>
          <w:color w:val="auto"/>
        </w:rPr>
        <w:t>multplied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384" w:right="339" w:bottom="1440" w:gutter="0" w:footer="0" w:header="0"/>
        </w:sectPr>
      </w:pPr>
    </w:p>
    <w:bookmarkStart w:id="446" w:name="page447"/>
    <w:bookmarkEnd w:id="446"/>
    <w:p>
      <w:pPr>
        <w:ind w:left="2600"/>
        <w:spacing w:after="0" w:line="234" w:lineRule="auto"/>
        <w:tabs>
          <w:tab w:leader="none" w:pos="3246" w:val="left"/>
        </w:tabs>
        <w:numPr>
          <w:ilvl w:val="2"/>
          <w:numId w:val="506"/>
        </w:numPr>
        <w:rPr>
          <w:rFonts w:ascii="Calibri" w:cs="Calibri" w:eastAsia="Calibri" w:hAnsi="Calibri"/>
          <w:sz w:val="20"/>
          <w:szCs w:val="20"/>
          <w:color w:val="auto"/>
        </w:rPr>
      </w:pPr>
      <w:r>
        <w:rPr>
          <w:rFonts w:ascii="Calibri" w:cs="Calibri" w:eastAsia="Calibri" w:hAnsi="Calibri"/>
          <w:sz w:val="20"/>
          <w:szCs w:val="20"/>
          <w:color w:val="auto"/>
        </w:rPr>
        <w:t>(y) the amount by which the Actual Cumulatve Unlevered Free Cash Flow for such Project exceeds the applicable Threshold for such Relevant Period</w:t>
      </w:r>
    </w:p>
    <w:p>
      <w:pPr>
        <w:spacing w:after="0" w:line="189" w:lineRule="exact"/>
        <w:rPr>
          <w:rFonts w:ascii="Calibri" w:cs="Calibri" w:eastAsia="Calibri" w:hAnsi="Calibri"/>
          <w:sz w:val="20"/>
          <w:szCs w:val="20"/>
          <w:color w:val="auto"/>
        </w:rPr>
      </w:pPr>
    </w:p>
    <w:p>
      <w:pPr>
        <w:ind w:left="2600" w:hanging="648"/>
        <w:spacing w:after="0"/>
        <w:tabs>
          <w:tab w:leader="none" w:pos="2600" w:val="left"/>
        </w:tabs>
        <w:numPr>
          <w:ilvl w:val="1"/>
          <w:numId w:val="507"/>
        </w:numPr>
        <w:rPr>
          <w:rFonts w:ascii="Calibri" w:cs="Calibri" w:eastAsia="Calibri" w:hAnsi="Calibri"/>
          <w:sz w:val="20"/>
          <w:szCs w:val="20"/>
          <w:color w:val="auto"/>
        </w:rPr>
      </w:pPr>
      <w:r>
        <w:rPr>
          <w:rFonts w:ascii="Calibri" w:cs="Calibri" w:eastAsia="Calibri" w:hAnsi="Calibri"/>
          <w:sz w:val="20"/>
          <w:szCs w:val="20"/>
          <w:u w:val="single" w:color="auto"/>
          <w:color w:val="auto"/>
        </w:rPr>
        <w:t>minus</w:t>
      </w:r>
    </w:p>
    <w:p>
      <w:pPr>
        <w:spacing w:after="0" w:line="197" w:lineRule="exact"/>
        <w:rPr>
          <w:rFonts w:ascii="Calibri" w:cs="Calibri" w:eastAsia="Calibri" w:hAnsi="Calibri"/>
          <w:sz w:val="20"/>
          <w:szCs w:val="20"/>
          <w:color w:val="auto"/>
        </w:rPr>
      </w:pPr>
    </w:p>
    <w:p>
      <w:pPr>
        <w:ind w:left="1960" w:hanging="8"/>
        <w:spacing w:after="0" w:line="234" w:lineRule="auto"/>
        <w:tabs>
          <w:tab w:leader="none" w:pos="2608" w:val="left"/>
        </w:tabs>
        <w:numPr>
          <w:ilvl w:val="1"/>
          <w:numId w:val="507"/>
        </w:numPr>
        <w:rPr>
          <w:rFonts w:ascii="Calibri" w:cs="Calibri" w:eastAsia="Calibri" w:hAnsi="Calibri"/>
          <w:sz w:val="20"/>
          <w:szCs w:val="20"/>
          <w:color w:val="auto"/>
        </w:rPr>
      </w:pPr>
      <w:r>
        <w:rPr>
          <w:rFonts w:ascii="Calibri" w:cs="Calibri" w:eastAsia="Calibri" w:hAnsi="Calibri"/>
          <w:sz w:val="20"/>
          <w:szCs w:val="20"/>
          <w:color w:val="auto"/>
        </w:rPr>
        <w:t>(ii) the aggregate amount of any Upside Sharing Amounts previously paid by the Recipient to the Department with respect to such Project pursuant to this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w:t>
      </w:r>
    </w:p>
    <w:p>
      <w:pPr>
        <w:spacing w:after="0" w:line="189" w:lineRule="exact"/>
        <w:rPr>
          <w:rFonts w:ascii="Calibri" w:cs="Calibri" w:eastAsia="Calibri" w:hAnsi="Calibri"/>
          <w:sz w:val="20"/>
          <w:szCs w:val="20"/>
          <w:color w:val="auto"/>
        </w:rPr>
      </w:pPr>
    </w:p>
    <w:p>
      <w:pPr>
        <w:ind w:left="640" w:hanging="632"/>
        <w:spacing w:after="0"/>
        <w:tabs>
          <w:tab w:leader="none" w:pos="640" w:val="left"/>
        </w:tabs>
        <w:numPr>
          <w:ilvl w:val="0"/>
          <w:numId w:val="508"/>
        </w:numPr>
        <w:rPr>
          <w:rFonts w:ascii="Calibri" w:cs="Calibri" w:eastAsia="Calibri" w:hAnsi="Calibri"/>
          <w:sz w:val="20"/>
          <w:szCs w:val="20"/>
          <w:color w:val="auto"/>
        </w:rPr>
      </w:pPr>
      <w:r>
        <w:rPr>
          <w:rFonts w:ascii="Calibri" w:cs="Calibri" w:eastAsia="Calibri" w:hAnsi="Calibri"/>
          <w:sz w:val="20"/>
          <w:szCs w:val="20"/>
          <w:color w:val="auto"/>
        </w:rPr>
        <w:t>provided that, the Upside Sharing Amount calculated pursuant to this paragraph (b) shall not be less than zero Dollars ($0).</w:t>
      </w:r>
    </w:p>
    <w:p>
      <w:pPr>
        <w:spacing w:after="0" w:line="170" w:lineRule="exact"/>
        <w:rPr>
          <w:rFonts w:ascii="Calibri" w:cs="Calibri" w:eastAsia="Calibri" w:hAnsi="Calibri"/>
          <w:sz w:val="20"/>
          <w:szCs w:val="20"/>
          <w:color w:val="auto"/>
        </w:rPr>
      </w:pPr>
    </w:p>
    <w:p>
      <w:pPr>
        <w:jc w:val="both"/>
        <w:ind w:firstLine="1952"/>
        <w:spacing w:after="0" w:line="207" w:lineRule="auto"/>
        <w:tabs>
          <w:tab w:leader="none" w:pos="2594" w:val="left"/>
        </w:tabs>
        <w:numPr>
          <w:ilvl w:val="1"/>
          <w:numId w:val="508"/>
        </w:numPr>
        <w:rPr>
          <w:rFonts w:ascii="Calibri" w:cs="Calibri" w:eastAsia="Calibri" w:hAnsi="Calibri"/>
          <w:sz w:val="20"/>
          <w:szCs w:val="20"/>
          <w:color w:val="auto"/>
        </w:rPr>
      </w:pPr>
      <w:r>
        <w:rPr>
          <w:rFonts w:ascii="Calibri" w:cs="Calibri" w:eastAsia="Calibri" w:hAnsi="Calibri"/>
          <w:sz w:val="20"/>
          <w:szCs w:val="20"/>
          <w:color w:val="auto"/>
        </w:rPr>
        <w:t xml:space="preserve">Notwithstanding anything herein to the contrary, the aggregate amount of all Upside Sharing Amounts paid by the Recipient to the Department with respect to a Project shall not exceed seventy-fve percent (75%) of an amount equal to the diference of (i) the Actual Cumulatve Disbursement Amount for such Project as of the Project Completon Date for such Project, </w:t>
      </w:r>
      <w:r>
        <w:rPr>
          <w:rFonts w:ascii="Calibri" w:cs="Calibri" w:eastAsia="Calibri" w:hAnsi="Calibri"/>
          <w:sz w:val="20"/>
          <w:szCs w:val="20"/>
          <w:i w:val="1"/>
          <w:iCs w:val="1"/>
          <w:color w:val="auto"/>
        </w:rPr>
        <w:t>minus</w:t>
      </w:r>
    </w:p>
    <w:p>
      <w:pPr>
        <w:ind w:firstLine="8"/>
        <w:spacing w:after="0" w:line="196" w:lineRule="auto"/>
        <w:tabs>
          <w:tab w:leader="none" w:pos="264" w:val="left"/>
        </w:tabs>
        <w:numPr>
          <w:ilvl w:val="0"/>
          <w:numId w:val="509"/>
        </w:numPr>
        <w:rPr>
          <w:rFonts w:ascii="Calibri" w:cs="Calibri" w:eastAsia="Calibri" w:hAnsi="Calibri"/>
          <w:sz w:val="20"/>
          <w:szCs w:val="20"/>
          <w:color w:val="auto"/>
        </w:rPr>
      </w:pPr>
      <w:r>
        <w:rPr>
          <w:rFonts w:ascii="Calibri" w:cs="Calibri" w:eastAsia="Calibri" w:hAnsi="Calibri"/>
          <w:sz w:val="20"/>
          <w:szCs w:val="20"/>
          <w:color w:val="auto"/>
        </w:rPr>
        <w:t>the aggregate amount (if any) of recoveries by the Department of all or any part of any Direct Funding Disbursements previously paid to the Department pursuant to the exercise of any of the Department’s remedies under this Agreement or the Sponsor Guarantee.</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3.2.3</w:t>
      </w:r>
      <w:r>
        <w:rPr>
          <w:sz w:val="20"/>
          <w:szCs w:val="20"/>
          <w:color w:val="auto"/>
        </w:rPr>
        <w:tab/>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2" w:lineRule="auto"/>
        <w:tabs>
          <w:tab w:leader="none" w:pos="2596" w:val="left"/>
        </w:tabs>
        <w:numPr>
          <w:ilvl w:val="0"/>
          <w:numId w:val="510"/>
        </w:numPr>
        <w:rPr>
          <w:rFonts w:ascii="Calibri" w:cs="Calibri" w:eastAsia="Calibri" w:hAnsi="Calibri"/>
          <w:sz w:val="20"/>
          <w:szCs w:val="20"/>
          <w:color w:val="auto"/>
        </w:rPr>
      </w:pPr>
      <w:r>
        <w:rPr>
          <w:rFonts w:ascii="Calibri" w:cs="Calibri" w:eastAsia="Calibri" w:hAnsi="Calibri"/>
          <w:sz w:val="20"/>
          <w:szCs w:val="20"/>
          <w:color w:val="auto"/>
        </w:rPr>
        <w:t>For each Project, commencing with the frst (1st) Fiscal Year afer the Fiscal Year in which the Breakeven Date occurs, within ten (10) Business Days of the Recipient’s delivery of its Financial Statements for each Fiscal Year pursuant to Annex F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the Recipient shall deliver to the Department a writen certfcaton of the Upside Sharing Amount by a Financial Ofcer of the Recipient prepared in accordance with the Applicable Accountng Requirements (i.e., Carve-Out Financials basis of presentaton) for such Relevant Period for such Project (an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510"/>
        </w:numPr>
        <w:rPr>
          <w:rFonts w:ascii="Calibri" w:cs="Calibri" w:eastAsia="Calibri" w:hAnsi="Calibri"/>
          <w:sz w:val="20"/>
          <w:szCs w:val="20"/>
          <w:color w:val="auto"/>
        </w:rPr>
      </w:pPr>
      <w:r>
        <w:rPr>
          <w:rFonts w:ascii="Calibri" w:cs="Calibri" w:eastAsia="Calibri" w:hAnsi="Calibri"/>
          <w:sz w:val="20"/>
          <w:szCs w:val="20"/>
          <w:color w:val="auto"/>
        </w:rPr>
        <w:t>In connecton with the Recipient’s obligaton to deliver a calculaton of the Upside Sharing Amount pursuant to the Upside Sharing Amount Certfcaton, the Recipient shall deliver fnancial informaton as required by the Department supportng the Upside Sharing Amount calculaton prepared on the basis of the Actual Unlevered Free Cash Flow of such Project and in a manner consistent with Applicable Accountng Requirements (such fnancial informaton the “</w:t>
      </w:r>
      <w:r>
        <w:rPr>
          <w:rFonts w:ascii="Calibri" w:cs="Calibri" w:eastAsia="Calibri" w:hAnsi="Calibri"/>
          <w:sz w:val="20"/>
          <w:szCs w:val="20"/>
          <w:b w:val="1"/>
          <w:bCs w:val="1"/>
          <w:color w:val="auto"/>
        </w:rPr>
        <w:t>Carve-Out Financials</w:t>
      </w:r>
      <w:r>
        <w:rPr>
          <w:rFonts w:ascii="Calibri" w:cs="Calibri" w:eastAsia="Calibri" w:hAnsi="Calibri"/>
          <w:sz w:val="20"/>
          <w:szCs w:val="20"/>
          <w:color w:val="auto"/>
        </w:rPr>
        <w:t>”), accompanied by the Upside Sharing Amount Report from the Recipient’s Accountant’s with respect to the calculaton of the Upside Sharing Amount and the Carve-Out Financials.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10"/>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3.3. </w:t>
      </w:r>
      <w:r>
        <w:rPr>
          <w:rFonts w:ascii="Calibri" w:cs="Calibri" w:eastAsia="Calibri" w:hAnsi="Calibri"/>
          <w:sz w:val="20"/>
          <w:szCs w:val="20"/>
          <w:b w:val="1"/>
          <w:bCs w:val="1"/>
          <w:color w:val="auto"/>
        </w:rPr>
        <w:t>Payment of Costs and Expenses</w:t>
      </w:r>
      <w:r>
        <w:rPr>
          <w:rFonts w:ascii="Calibri" w:cs="Calibri" w:eastAsia="Calibri" w:hAnsi="Calibri"/>
          <w:sz w:val="20"/>
          <w:szCs w:val="20"/>
          <w:color w:val="auto"/>
        </w:rPr>
        <w:t>. The Recipient shall, whether or not the transactons contemplated by this Agreement or the other Financing Documents are consummated, pay or reimburse, without duplicaton, all reasonable documented fees, out-of-pocket costs and expenses of the Department (including all commissions, charges, costs and expenses for the conversion of currencies and all other fees, costs, charges and expenses, including all Periodic Expenses of any Consultant) paid or incurred on or prior to the Award Date in connecton with (a) the due diligence of the Recipient Partes and the Projects; and (b) the negotaton, review, preparaton of this Agreement, the other Financing Documents and any other documents and instruments related to this Agreement or thereto (including legal opinions). The Recipient shall not be responsible for any costs and expenses of the Department (including Periodic Expenses of any Consultant) incurred afer the Award Date in connecton with this Agreement, the other Financing Documents and the Projects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411" w:right="339" w:bottom="1440" w:gutter="0" w:footer="0" w:header="0"/>
        </w:sectPr>
      </w:pPr>
    </w:p>
    <w:bookmarkStart w:id="447" w:name="page448"/>
    <w:bookmarkEnd w:id="447"/>
    <w:p>
      <w:pPr>
        <w:ind w:left="660"/>
        <w:spacing w:after="0"/>
        <w:tabs>
          <w:tab w:leader="none" w:pos="1940" w:val="left"/>
        </w:tabs>
        <w:rPr>
          <w:sz w:val="20"/>
          <w:szCs w:val="20"/>
          <w:color w:val="auto"/>
        </w:rPr>
      </w:pPr>
      <w:r>
        <w:rPr>
          <w:rFonts w:ascii="Calibri" w:cs="Calibri" w:eastAsia="Calibri" w:hAnsi="Calibri"/>
          <w:sz w:val="20"/>
          <w:szCs w:val="20"/>
          <w:color w:val="auto"/>
        </w:rPr>
        <w:t>Secton 3.4.</w:t>
      </w:r>
      <w:r>
        <w:rPr>
          <w:sz w:val="20"/>
          <w:szCs w:val="20"/>
          <w:color w:val="auto"/>
        </w:rPr>
        <w:tab/>
      </w:r>
      <w:r>
        <w:rPr>
          <w:rFonts w:ascii="Calibri" w:cs="Calibri" w:eastAsia="Calibri" w:hAnsi="Calibri"/>
          <w:sz w:val="19"/>
          <w:szCs w:val="19"/>
          <w:b w:val="1"/>
          <w:bCs w:val="1"/>
          <w:color w:val="auto"/>
        </w:rPr>
        <w:t>Net of Tax.</w:t>
      </w:r>
    </w:p>
    <w:p>
      <w:pPr>
        <w:spacing w:after="0" w:line="157" w:lineRule="exact"/>
        <w:rPr>
          <w:sz w:val="20"/>
          <w:szCs w:val="20"/>
          <w:color w:val="auto"/>
        </w:rPr>
      </w:pPr>
    </w:p>
    <w:p>
      <w:pPr>
        <w:jc w:val="both"/>
        <w:ind w:firstLine="1952"/>
        <w:spacing w:after="0" w:line="209" w:lineRule="auto"/>
        <w:tabs>
          <w:tab w:leader="none" w:pos="2596" w:val="left"/>
        </w:tabs>
        <w:numPr>
          <w:ilvl w:val="0"/>
          <w:numId w:val="511"/>
        </w:numPr>
        <w:rPr>
          <w:rFonts w:ascii="Calibri" w:cs="Calibri" w:eastAsia="Calibri" w:hAnsi="Calibri"/>
          <w:sz w:val="20"/>
          <w:szCs w:val="20"/>
          <w:color w:val="auto"/>
        </w:rPr>
      </w:pPr>
      <w:r>
        <w:rPr>
          <w:rFonts w:ascii="Calibri" w:cs="Calibri" w:eastAsia="Calibri" w:hAnsi="Calibri"/>
          <w:sz w:val="20"/>
          <w:szCs w:val="20"/>
          <w:color w:val="auto"/>
        </w:rPr>
        <w:t>The Recipient understands and agrees that the Department is an agency or instrumentality of the United States and that all payments by the Recipient to the Department hereunder are payable, and shall in all cases be paid, free and clear of all Taxes.</w:t>
      </w:r>
    </w:p>
    <w:p>
      <w:pPr>
        <w:spacing w:after="0" w:line="158"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511"/>
        </w:numPr>
        <w:rPr>
          <w:rFonts w:ascii="Calibri" w:cs="Calibri" w:eastAsia="Calibri" w:hAnsi="Calibri"/>
          <w:sz w:val="20"/>
          <w:szCs w:val="20"/>
          <w:color w:val="auto"/>
        </w:rPr>
      </w:pPr>
      <w:r>
        <w:rPr>
          <w:rFonts w:ascii="Calibri" w:cs="Calibri" w:eastAsia="Calibri" w:hAnsi="Calibri"/>
          <w:sz w:val="20"/>
          <w:szCs w:val="20"/>
          <w:color w:val="auto"/>
        </w:rPr>
        <w:t>If the Recipient shall be required by Applicable Law to withhold or deduct any tax from or in respect of any sum payable hereunder or under any other Financing Document to the Department, (i) the sum payable shall be increased as may be necessary so that afer making all such required deductons, the Department receives an amount equal to the sum it would have received had no such deductons been made; (ii) the Recipient shall make such deductons; and (iii) the Recipient shall pay the full amount deducted to the relevant taxaton authority or other authority in accordance with Applicable Law.</w:t>
      </w:r>
    </w:p>
    <w:p>
      <w:pPr>
        <w:spacing w:after="0" w:line="15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TERMS SATISFIED AS OF THE AWARD DATE</w:t>
      </w:r>
    </w:p>
    <w:p>
      <w:pPr>
        <w:spacing w:after="0" w:line="198"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By executon and delivery of this Agreement each of the Recipient and the Department acknowledges and agrees that the following terms have been satsfed in form and substance satsfactory to the Department as of the Award Date:</w:t>
      </w:r>
    </w:p>
    <w:p>
      <w:pPr>
        <w:spacing w:after="0" w:line="171"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4.1. </w:t>
      </w:r>
      <w:r>
        <w:rPr>
          <w:rFonts w:ascii="Calibri" w:cs="Calibri" w:eastAsia="Calibri" w:hAnsi="Calibri"/>
          <w:sz w:val="20"/>
          <w:szCs w:val="20"/>
          <w:b w:val="1"/>
          <w:bCs w:val="1"/>
          <w:color w:val="auto"/>
        </w:rPr>
        <w:t>Financing Documents</w:t>
      </w:r>
      <w:r>
        <w:rPr>
          <w:rFonts w:ascii="Calibri" w:cs="Calibri" w:eastAsia="Calibri" w:hAnsi="Calibri"/>
          <w:sz w:val="20"/>
          <w:szCs w:val="20"/>
          <w:color w:val="auto"/>
        </w:rPr>
        <w:t>. The Department shall have received (a) a fully executed original of each Award Document and the Sponsor Guarantee; and (b) copies of each other Financing Document then-available, and each such Financing Document shall be in full force and efect in accordance with its terms.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4.2.</w:t>
      </w:r>
      <w:r>
        <w:rPr>
          <w:sz w:val="20"/>
          <w:szCs w:val="20"/>
          <w:color w:val="auto"/>
        </w:rPr>
        <w:tab/>
      </w:r>
      <w:r>
        <w:rPr>
          <w:rFonts w:ascii="Calibri" w:cs="Calibri" w:eastAsia="Calibri" w:hAnsi="Calibri"/>
          <w:sz w:val="20"/>
          <w:szCs w:val="20"/>
          <w:b w:val="1"/>
          <w:bCs w:val="1"/>
          <w:color w:val="auto"/>
        </w:rPr>
        <w:t>Organizatonal Documents</w:t>
      </w:r>
      <w:r>
        <w:rPr>
          <w:rFonts w:ascii="Calibri" w:cs="Calibri" w:eastAsia="Calibri" w:hAnsi="Calibri"/>
          <w:sz w:val="20"/>
          <w:szCs w:val="20"/>
          <w:color w:val="auto"/>
        </w:rPr>
        <w:t>.</w:t>
      </w:r>
    </w:p>
    <w:p>
      <w:pPr>
        <w:spacing w:after="0" w:line="157"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4.2.1 </w:t>
      </w:r>
      <w:r>
        <w:rPr>
          <w:rFonts w:ascii="Calibri" w:cs="Calibri" w:eastAsia="Calibri" w:hAnsi="Calibri"/>
          <w:sz w:val="20"/>
          <w:szCs w:val="20"/>
          <w:b w:val="1"/>
          <w:bCs w:val="1"/>
          <w:color w:val="auto"/>
        </w:rPr>
        <w:t>Recipient Partes Organizatonal Documents</w:t>
      </w:r>
      <w:r>
        <w:rPr>
          <w:rFonts w:ascii="Calibri" w:cs="Calibri" w:eastAsia="Calibri" w:hAnsi="Calibri"/>
          <w:sz w:val="20"/>
          <w:szCs w:val="20"/>
          <w:color w:val="auto"/>
        </w:rPr>
        <w:t>. The Department shall have received the Organizatonal Documents of each Recipient Party, accompanied in each case by an Ofcer’s Certfcate of such Recipient Party substantally in the form of Exhibit A-</w:t>
      </w:r>
    </w:p>
    <w:p>
      <w:pPr>
        <w:spacing w:after="0" w:line="2" w:lineRule="exact"/>
        <w:rPr>
          <w:sz w:val="20"/>
          <w:szCs w:val="20"/>
          <w:color w:val="auto"/>
        </w:rPr>
      </w:pPr>
    </w:p>
    <w:p>
      <w:pPr>
        <w:ind w:firstLine="8"/>
        <w:spacing w:after="0" w:line="192" w:lineRule="auto"/>
        <w:tabs>
          <w:tab w:leader="none" w:pos="162" w:val="left"/>
        </w:tabs>
        <w:numPr>
          <w:ilvl w:val="0"/>
          <w:numId w:val="512"/>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or Exhibit A-2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as applicable, good standing certfcates, incumbency certfcates in customary form, resolutons with respect to approval of:</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1"/>
          <w:numId w:val="512"/>
        </w:numPr>
        <w:rPr>
          <w:rFonts w:ascii="Calibri" w:cs="Calibri" w:eastAsia="Calibri" w:hAnsi="Calibri"/>
          <w:sz w:val="20"/>
          <w:szCs w:val="20"/>
          <w:color w:val="auto"/>
        </w:rPr>
      </w:pPr>
      <w:r>
        <w:rPr>
          <w:rFonts w:ascii="Calibri" w:cs="Calibri" w:eastAsia="Calibri" w:hAnsi="Calibri"/>
          <w:sz w:val="20"/>
          <w:szCs w:val="20"/>
          <w:color w:val="auto"/>
        </w:rPr>
        <w:t>each such Recipient Party’s partcipaton in the applicable Project;</w:t>
      </w:r>
    </w:p>
    <w:p>
      <w:pPr>
        <w:spacing w:after="0" w:line="157" w:lineRule="exact"/>
        <w:rPr>
          <w:rFonts w:ascii="Calibri" w:cs="Calibri" w:eastAsia="Calibri" w:hAnsi="Calibri"/>
          <w:sz w:val="20"/>
          <w:szCs w:val="20"/>
          <w:color w:val="auto"/>
        </w:rPr>
      </w:pPr>
    </w:p>
    <w:p>
      <w:pPr>
        <w:ind w:firstLine="1952"/>
        <w:spacing w:after="0" w:line="214" w:lineRule="auto"/>
        <w:tabs>
          <w:tab w:leader="none" w:pos="2592" w:val="left"/>
        </w:tabs>
        <w:numPr>
          <w:ilvl w:val="1"/>
          <w:numId w:val="512"/>
        </w:numPr>
        <w:rPr>
          <w:rFonts w:ascii="Calibri" w:cs="Calibri" w:eastAsia="Calibri" w:hAnsi="Calibri"/>
          <w:sz w:val="20"/>
          <w:szCs w:val="20"/>
          <w:color w:val="auto"/>
        </w:rPr>
      </w:pPr>
      <w:r>
        <w:rPr>
          <w:rFonts w:ascii="Calibri" w:cs="Calibri" w:eastAsia="Calibri" w:hAnsi="Calibri"/>
          <w:sz w:val="20"/>
          <w:szCs w:val="20"/>
          <w:color w:val="auto"/>
        </w:rPr>
        <w:t>the fnancing therefor (including the Award and this Agreement) and the grantng of Liens to secure the Recipient’s Obligatons under any Third Party Debt Funding (as applicable); and</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1"/>
          <w:numId w:val="512"/>
        </w:numPr>
        <w:rPr>
          <w:rFonts w:ascii="Calibri" w:cs="Calibri" w:eastAsia="Calibri" w:hAnsi="Calibri"/>
          <w:sz w:val="20"/>
          <w:szCs w:val="20"/>
          <w:color w:val="auto"/>
        </w:rPr>
      </w:pPr>
      <w:r>
        <w:rPr>
          <w:rFonts w:ascii="Calibri" w:cs="Calibri" w:eastAsia="Calibri" w:hAnsi="Calibri"/>
          <w:sz w:val="20"/>
          <w:szCs w:val="20"/>
          <w:color w:val="auto"/>
        </w:rPr>
        <w:t>the executon, delivery and performance by each such Recipient Party of the Financing Documents to</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which it is party.</w:t>
      </w:r>
    </w:p>
    <w:p>
      <w:pPr>
        <w:spacing w:after="0" w:line="157"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4.2.2 </w:t>
      </w:r>
      <w:r>
        <w:rPr>
          <w:rFonts w:ascii="Calibri" w:cs="Calibri" w:eastAsia="Calibri" w:hAnsi="Calibri"/>
          <w:sz w:val="20"/>
          <w:szCs w:val="20"/>
          <w:b w:val="1"/>
          <w:bCs w:val="1"/>
          <w:color w:val="auto"/>
        </w:rPr>
        <w:t>Recipient Partes Organizatonal Structure</w:t>
      </w:r>
      <w:r>
        <w:rPr>
          <w:rFonts w:ascii="Calibri" w:cs="Calibri" w:eastAsia="Calibri" w:hAnsi="Calibri"/>
          <w:sz w:val="20"/>
          <w:szCs w:val="20"/>
          <w:color w:val="auto"/>
        </w:rPr>
        <w:t>. The Department shall have received an up-to -date corporate group chart showing each Recipient Party and each Afliate and Subsidiary of each Recipient Party, accompanied by an Ofcer’s Certfcate of such Recipient Party certfying such group chart as true and correct.</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4.2.3</w:t>
      </w:r>
      <w:r>
        <w:rPr>
          <w:sz w:val="20"/>
          <w:szCs w:val="20"/>
          <w:color w:val="auto"/>
        </w:rPr>
        <w:tab/>
      </w:r>
      <w:r>
        <w:rPr>
          <w:rFonts w:ascii="Calibri" w:cs="Calibri" w:eastAsia="Calibri" w:hAnsi="Calibri"/>
          <w:sz w:val="20"/>
          <w:szCs w:val="20"/>
          <w:b w:val="1"/>
          <w:bCs w:val="1"/>
          <w:color w:val="auto"/>
        </w:rPr>
        <w:t>Recipient Partes Ownership</w:t>
      </w:r>
      <w:r>
        <w:rPr>
          <w:rFonts w:ascii="Calibri" w:cs="Calibri" w:eastAsia="Calibri" w:hAnsi="Calibri"/>
          <w:sz w:val="20"/>
          <w:szCs w:val="20"/>
          <w:color w:val="auto"/>
        </w:rPr>
        <w:t>. The Department shall have received:</w:t>
      </w:r>
    </w:p>
    <w:p>
      <w:pPr>
        <w:spacing w:after="0" w:line="171" w:lineRule="exact"/>
        <w:rPr>
          <w:sz w:val="20"/>
          <w:szCs w:val="20"/>
          <w:color w:val="auto"/>
        </w:rPr>
      </w:pPr>
    </w:p>
    <w:p>
      <w:pPr>
        <w:jc w:val="both"/>
        <w:ind w:right="20" w:firstLine="1952"/>
        <w:spacing w:after="0" w:line="205" w:lineRule="auto"/>
        <w:tabs>
          <w:tab w:leader="none" w:pos="2596" w:val="left"/>
        </w:tabs>
        <w:numPr>
          <w:ilvl w:val="0"/>
          <w:numId w:val="513"/>
        </w:numPr>
        <w:rPr>
          <w:rFonts w:ascii="Calibri" w:cs="Calibri" w:eastAsia="Calibri" w:hAnsi="Calibri"/>
          <w:sz w:val="20"/>
          <w:szCs w:val="20"/>
          <w:color w:val="auto"/>
        </w:rPr>
      </w:pPr>
      <w:r>
        <w:rPr>
          <w:rFonts w:ascii="Calibri" w:cs="Calibri" w:eastAsia="Calibri" w:hAnsi="Calibri"/>
          <w:sz w:val="20"/>
          <w:szCs w:val="20"/>
          <w:color w:val="auto"/>
        </w:rPr>
        <w:t>(i) an SF-328 Certfcate Pertaining to Foreign Interests executed by the Recipient dated on or around December 3, 2024; and (ii) an Ofcer’s Certfcate of the Recipient dated as of the Award Date, certfying that the informaton contained therein remains true and correct; and</w:t>
      </w:r>
    </w:p>
    <w:p>
      <w:pPr>
        <w:spacing w:after="0" w:line="157"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13"/>
        </w:numPr>
        <w:rPr>
          <w:rFonts w:ascii="Calibri" w:cs="Calibri" w:eastAsia="Calibri" w:hAnsi="Calibri"/>
          <w:sz w:val="20"/>
          <w:szCs w:val="20"/>
          <w:color w:val="auto"/>
        </w:rPr>
      </w:pPr>
      <w:r>
        <w:rPr>
          <w:rFonts w:ascii="Calibri" w:cs="Calibri" w:eastAsia="Calibri" w:hAnsi="Calibri"/>
          <w:sz w:val="20"/>
          <w:szCs w:val="20"/>
          <w:color w:val="auto"/>
        </w:rPr>
        <w:t>an Ofcer’s Certfcate of the Sponsor Guarantor substantally in the form of Exhibit A-2 (</w:t>
      </w:r>
      <w:r>
        <w:rPr>
          <w:rFonts w:ascii="Calibri" w:cs="Calibri" w:eastAsia="Calibri" w:hAnsi="Calibri"/>
          <w:sz w:val="20"/>
          <w:szCs w:val="20"/>
          <w:b w:val="1"/>
          <w:bCs w:val="1"/>
          <w:color w:val="auto"/>
        </w:rPr>
        <w:t>Form of Sponsor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Guarantor Award Date Certfcate</w:t>
      </w:r>
      <w:r>
        <w:rPr>
          <w:rFonts w:ascii="Calibri" w:cs="Calibri" w:eastAsia="Calibri" w:hAnsi="Calibri"/>
          <w:sz w:val="20"/>
          <w:szCs w:val="20"/>
          <w:color w:val="auto"/>
        </w:rPr>
        <w:t>), confrming that (i)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374" w:right="339" w:bottom="1440" w:gutter="0" w:footer="0" w:header="0"/>
        </w:sectPr>
      </w:pPr>
    </w:p>
    <w:bookmarkStart w:id="448" w:name="page449"/>
    <w:bookmarkEnd w:id="448"/>
    <w:p>
      <w:pPr>
        <w:jc w:val="both"/>
        <w:spacing w:after="0" w:line="203" w:lineRule="auto"/>
        <w:rPr>
          <w:sz w:val="20"/>
          <w:szCs w:val="20"/>
          <w:color w:val="auto"/>
        </w:rPr>
      </w:pPr>
      <w:r>
        <w:rPr>
          <w:rFonts w:ascii="Calibri" w:cs="Calibri" w:eastAsia="Calibri" w:hAnsi="Calibri"/>
          <w:sz w:val="20"/>
          <w:szCs w:val="20"/>
          <w:color w:val="auto"/>
        </w:rPr>
        <w:t>Guarantor owns, directly or indirectly, 100% of the Equity Interests of the Recipient; and (ii) based on public flings with the U.S. Securites and Exchange Commission submited as of November 26, 2024, either (A) no Person benefcially owns, directly or indirectly, more than ten percent (10%) of the Equity Interests of the Sponsor Guarantor; or (B) a capitalizaton table that sets out each Person that benefcially owns, directly or indirectly, more than ten percent (10%) of the Equity Interests of the Sponsor Guarantor.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4.3.</w:t>
      </w:r>
      <w:r>
        <w:rPr>
          <w:sz w:val="20"/>
          <w:szCs w:val="20"/>
          <w:color w:val="auto"/>
        </w:rPr>
        <w:tab/>
      </w:r>
      <w:r>
        <w:rPr>
          <w:rFonts w:ascii="Calibri" w:cs="Calibri" w:eastAsia="Calibri" w:hAnsi="Calibri"/>
          <w:sz w:val="20"/>
          <w:szCs w:val="20"/>
          <w:b w:val="1"/>
          <w:bCs w:val="1"/>
          <w:color w:val="auto"/>
        </w:rPr>
        <w:t>Sources and Uses Plan</w:t>
      </w:r>
      <w:r>
        <w:rPr>
          <w:rFonts w:ascii="Calibri" w:cs="Calibri" w:eastAsia="Calibri" w:hAnsi="Calibri"/>
          <w:sz w:val="20"/>
          <w:szCs w:val="20"/>
          <w:color w:val="auto"/>
        </w:rPr>
        <w:t>.</w:t>
      </w:r>
    </w:p>
    <w:p>
      <w:pPr>
        <w:spacing w:after="0" w:line="153" w:lineRule="exact"/>
        <w:rPr>
          <w:sz w:val="20"/>
          <w:szCs w:val="20"/>
          <w:color w:val="auto"/>
        </w:rPr>
      </w:pPr>
    </w:p>
    <w:p>
      <w:pPr>
        <w:ind w:left="2600" w:hanging="648"/>
        <w:spacing w:after="0"/>
        <w:tabs>
          <w:tab w:leader="none" w:pos="2600" w:val="left"/>
        </w:tabs>
        <w:numPr>
          <w:ilvl w:val="0"/>
          <w:numId w:val="514"/>
        </w:numPr>
        <w:rPr>
          <w:rFonts w:ascii="Calibri" w:cs="Calibri" w:eastAsia="Calibri" w:hAnsi="Calibri"/>
          <w:sz w:val="20"/>
          <w:szCs w:val="20"/>
          <w:color w:val="auto"/>
        </w:rPr>
      </w:pPr>
      <w:r>
        <w:rPr>
          <w:rFonts w:ascii="Calibri" w:cs="Calibri" w:eastAsia="Calibri" w:hAnsi="Calibri"/>
          <w:sz w:val="20"/>
          <w:szCs w:val="20"/>
          <w:color w:val="auto"/>
        </w:rPr>
        <w:t>The Department shall have received, as part of the Base Case Financial Model or separately, a Sources</w:t>
      </w:r>
    </w:p>
    <w:p>
      <w:pPr>
        <w:spacing w:after="0" w:line="193" w:lineRule="auto"/>
        <w:rPr>
          <w:sz w:val="20"/>
          <w:szCs w:val="20"/>
          <w:color w:val="auto"/>
        </w:rPr>
      </w:pPr>
      <w:r>
        <w:rPr>
          <w:rFonts w:ascii="Calibri" w:cs="Calibri" w:eastAsia="Calibri" w:hAnsi="Calibri"/>
          <w:sz w:val="20"/>
          <w:szCs w:val="20"/>
          <w:color w:val="auto"/>
        </w:rPr>
        <w:t>and Uses Plan.</w:t>
      </w:r>
    </w:p>
    <w:p>
      <w:pPr>
        <w:spacing w:after="0" w:line="171" w:lineRule="exact"/>
        <w:rPr>
          <w:sz w:val="20"/>
          <w:szCs w:val="20"/>
          <w:color w:val="auto"/>
        </w:rPr>
      </w:pPr>
    </w:p>
    <w:p>
      <w:pPr>
        <w:ind w:firstLine="1952"/>
        <w:spacing w:after="0" w:line="208" w:lineRule="auto"/>
        <w:tabs>
          <w:tab w:leader="none" w:pos="2592" w:val="left"/>
        </w:tabs>
        <w:numPr>
          <w:ilvl w:val="0"/>
          <w:numId w:val="515"/>
        </w:numPr>
        <w:rPr>
          <w:rFonts w:ascii="Calibri" w:cs="Calibri" w:eastAsia="Calibri" w:hAnsi="Calibri"/>
          <w:sz w:val="20"/>
          <w:szCs w:val="20"/>
          <w:color w:val="auto"/>
        </w:rPr>
      </w:pPr>
      <w:r>
        <w:rPr>
          <w:rFonts w:ascii="Calibri" w:cs="Calibri" w:eastAsia="Calibri" w:hAnsi="Calibri"/>
          <w:sz w:val="20"/>
          <w:szCs w:val="20"/>
          <w:color w:val="auto"/>
        </w:rPr>
        <w:t>The Department shall have received evidence of the sources of funding associated with each Project (other than the Direct Funding) as set out in the Sources and Uses Plan.</w:t>
      </w:r>
    </w:p>
    <w:p>
      <w:pPr>
        <w:spacing w:after="0" w:line="171"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0"/>
          <w:szCs w:val="20"/>
          <w:color w:val="auto"/>
        </w:rPr>
        <w:t xml:space="preserve">Secton 4.4. </w:t>
      </w:r>
      <w:r>
        <w:rPr>
          <w:rFonts w:ascii="Calibri" w:cs="Calibri" w:eastAsia="Calibri" w:hAnsi="Calibri"/>
          <w:sz w:val="20"/>
          <w:szCs w:val="20"/>
          <w:b w:val="1"/>
          <w:bCs w:val="1"/>
          <w:color w:val="auto"/>
        </w:rPr>
        <w:t>Financial Statements</w:t>
      </w:r>
      <w:r>
        <w:rPr>
          <w:rFonts w:ascii="Calibri" w:cs="Calibri" w:eastAsia="Calibri" w:hAnsi="Calibri"/>
          <w:sz w:val="20"/>
          <w:szCs w:val="20"/>
          <w:color w:val="auto"/>
        </w:rPr>
        <w:t>. The Department shall have received (a) the most recent annual Consolidated Financial Statement of the Sponsor Guarantor; (b) [reserved]; and (c) the most recent 10-K and 10-Q fled by the Sponsor Guarantor with the U.S. Securites and Exchange Commission, together, in each case, with an Ofcer’s Certfcate of such Recipient Party substantally in the form of Exhibit A-1 (</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or Exhibit A- 2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as applicable, concerning the accuracy of such Financial Statements and, solely with respect to the Recipient, that the Recipient’s accountng systems and controls and management informaton systems are satsfactory for purposes of providing informaton necessary for fnancial reportng in accordance with the Applicable Accountng Requirements.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4.5.</w:t>
      </w:r>
      <w:r>
        <w:rPr>
          <w:sz w:val="20"/>
          <w:szCs w:val="20"/>
          <w:color w:val="auto"/>
        </w:rPr>
        <w:tab/>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The Department shall have received:</w:t>
      </w:r>
    </w:p>
    <w:p>
      <w:pPr>
        <w:spacing w:after="0" w:line="147" w:lineRule="exact"/>
        <w:rPr>
          <w:sz w:val="20"/>
          <w:szCs w:val="20"/>
          <w:color w:val="auto"/>
        </w:rPr>
      </w:pPr>
    </w:p>
    <w:p>
      <w:pPr>
        <w:ind w:left="2600" w:hanging="648"/>
        <w:spacing w:after="0"/>
        <w:tabs>
          <w:tab w:leader="none" w:pos="2600" w:val="left"/>
        </w:tabs>
        <w:numPr>
          <w:ilvl w:val="0"/>
          <w:numId w:val="516"/>
        </w:numPr>
        <w:rPr>
          <w:rFonts w:ascii="Calibri" w:cs="Calibri" w:eastAsia="Calibri" w:hAnsi="Calibri"/>
          <w:sz w:val="20"/>
          <w:szCs w:val="20"/>
          <w:color w:val="auto"/>
        </w:rPr>
      </w:pPr>
      <w:r>
        <w:rPr>
          <w:rFonts w:ascii="Calibri" w:cs="Calibri" w:eastAsia="Calibri" w:hAnsi="Calibri"/>
          <w:sz w:val="20"/>
          <w:szCs w:val="20"/>
          <w:color w:val="auto"/>
        </w:rPr>
        <w:t>copies of each Required Approval that is listed on the Permitng Plan and required to be obtained prior</w:t>
      </w:r>
    </w:p>
    <w:p>
      <w:pPr>
        <w:spacing w:after="0" w:line="199" w:lineRule="auto"/>
        <w:rPr>
          <w:sz w:val="20"/>
          <w:szCs w:val="20"/>
          <w:color w:val="auto"/>
        </w:rPr>
      </w:pPr>
      <w:r>
        <w:rPr>
          <w:rFonts w:ascii="Calibri" w:cs="Calibri" w:eastAsia="Calibri" w:hAnsi="Calibri"/>
          <w:sz w:val="20"/>
          <w:szCs w:val="20"/>
          <w:color w:val="auto"/>
        </w:rPr>
        <w:t>to the Award Date; and</w:t>
      </w:r>
    </w:p>
    <w:p>
      <w:pPr>
        <w:spacing w:after="0" w:line="147" w:lineRule="exact"/>
        <w:rPr>
          <w:sz w:val="20"/>
          <w:szCs w:val="20"/>
          <w:color w:val="auto"/>
        </w:rPr>
      </w:pPr>
    </w:p>
    <w:p>
      <w:pPr>
        <w:ind w:left="2600" w:hanging="648"/>
        <w:spacing w:after="0"/>
        <w:tabs>
          <w:tab w:leader="none" w:pos="2600" w:val="left"/>
        </w:tabs>
        <w:numPr>
          <w:ilvl w:val="0"/>
          <w:numId w:val="517"/>
        </w:numPr>
        <w:rPr>
          <w:rFonts w:ascii="Calibri" w:cs="Calibri" w:eastAsia="Calibri" w:hAnsi="Calibri"/>
          <w:sz w:val="20"/>
          <w:szCs w:val="20"/>
          <w:color w:val="auto"/>
        </w:rPr>
      </w:pPr>
      <w:r>
        <w:rPr>
          <w:rFonts w:ascii="Calibri" w:cs="Calibri" w:eastAsia="Calibri" w:hAnsi="Calibri"/>
          <w:sz w:val="20"/>
          <w:szCs w:val="20"/>
          <w:color w:val="auto"/>
        </w:rPr>
        <w:t>an Ofcer’s Certfcate of the Recipient, certfying that:</w:t>
      </w:r>
    </w:p>
    <w:p>
      <w:pPr>
        <w:spacing w:after="0" w:line="157" w:lineRule="exact"/>
        <w:rPr>
          <w:rFonts w:ascii="Calibri" w:cs="Calibri" w:eastAsia="Calibri" w:hAnsi="Calibri"/>
          <w:sz w:val="20"/>
          <w:szCs w:val="20"/>
          <w:color w:val="auto"/>
        </w:rPr>
      </w:pPr>
    </w:p>
    <w:p>
      <w:pPr>
        <w:ind w:right="20" w:firstLine="2600"/>
        <w:spacing w:after="0" w:line="214" w:lineRule="auto"/>
        <w:tabs>
          <w:tab w:leader="none" w:pos="3234" w:val="left"/>
        </w:tabs>
        <w:numPr>
          <w:ilvl w:val="1"/>
          <w:numId w:val="517"/>
        </w:numPr>
        <w:rPr>
          <w:rFonts w:ascii="Calibri" w:cs="Calibri" w:eastAsia="Calibri" w:hAnsi="Calibri"/>
          <w:sz w:val="20"/>
          <w:szCs w:val="20"/>
          <w:color w:val="auto"/>
        </w:rPr>
      </w:pPr>
      <w:r>
        <w:rPr>
          <w:rFonts w:ascii="Calibri" w:cs="Calibri" w:eastAsia="Calibri" w:hAnsi="Calibri"/>
          <w:sz w:val="20"/>
          <w:szCs w:val="20"/>
          <w:color w:val="auto"/>
        </w:rPr>
        <w:t>such copies are true, correct and complete (including all schedules, exhibits, atachments, supplements and amendments thereto and any related protocols or side leters);</w:t>
      </w:r>
    </w:p>
    <w:p>
      <w:pPr>
        <w:spacing w:after="0" w:line="158" w:lineRule="exact"/>
        <w:rPr>
          <w:rFonts w:ascii="Calibri" w:cs="Calibri" w:eastAsia="Calibri" w:hAnsi="Calibri"/>
          <w:sz w:val="20"/>
          <w:szCs w:val="20"/>
          <w:color w:val="auto"/>
        </w:rPr>
      </w:pPr>
    </w:p>
    <w:p>
      <w:pPr>
        <w:ind w:right="20" w:firstLine="2600"/>
        <w:spacing w:after="0" w:line="214" w:lineRule="auto"/>
        <w:tabs>
          <w:tab w:leader="none" w:pos="3240" w:val="left"/>
        </w:tabs>
        <w:numPr>
          <w:ilvl w:val="1"/>
          <w:numId w:val="517"/>
        </w:numPr>
        <w:rPr>
          <w:rFonts w:ascii="Calibri" w:cs="Calibri" w:eastAsia="Calibri" w:hAnsi="Calibri"/>
          <w:sz w:val="20"/>
          <w:szCs w:val="20"/>
          <w:color w:val="auto"/>
        </w:rPr>
      </w:pPr>
      <w:r>
        <w:rPr>
          <w:rFonts w:ascii="Calibri" w:cs="Calibri" w:eastAsia="Calibri" w:hAnsi="Calibri"/>
          <w:sz w:val="20"/>
          <w:szCs w:val="20"/>
          <w:color w:val="auto"/>
        </w:rPr>
        <w:t>no term or conditon of any such Required Approval has been amended from that delivered pursuant to this Secton 4.5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and</w:t>
      </w:r>
    </w:p>
    <w:p>
      <w:pPr>
        <w:spacing w:after="0" w:line="158" w:lineRule="exact"/>
        <w:rPr>
          <w:rFonts w:ascii="Calibri" w:cs="Calibri" w:eastAsia="Calibri" w:hAnsi="Calibri"/>
          <w:sz w:val="20"/>
          <w:szCs w:val="20"/>
          <w:color w:val="auto"/>
        </w:rPr>
      </w:pPr>
    </w:p>
    <w:p>
      <w:pPr>
        <w:jc w:val="both"/>
        <w:ind w:firstLine="2600"/>
        <w:spacing w:after="0" w:line="209" w:lineRule="auto"/>
        <w:tabs>
          <w:tab w:leader="none" w:pos="3246" w:val="left"/>
        </w:tabs>
        <w:numPr>
          <w:ilvl w:val="1"/>
          <w:numId w:val="517"/>
        </w:numPr>
        <w:rPr>
          <w:rFonts w:ascii="Calibri" w:cs="Calibri" w:eastAsia="Calibri" w:hAnsi="Calibri"/>
          <w:sz w:val="20"/>
          <w:szCs w:val="20"/>
          <w:color w:val="auto"/>
        </w:rPr>
      </w:pPr>
      <w:r>
        <w:rPr>
          <w:rFonts w:ascii="Calibri" w:cs="Calibri" w:eastAsia="Calibri" w:hAnsi="Calibri"/>
          <w:sz w:val="20"/>
          <w:szCs w:val="20"/>
          <w:color w:val="auto"/>
        </w:rPr>
        <w:t>each such Required Approval is unconditonal (or, if conditonal, all conditons precedent (if any) to the efectveness of each Required Approval has been satsfed or waived) and the Recipient has no reasonable basis to conclude that any such Required Approval already obtained will be revoked.</w:t>
      </w:r>
    </w:p>
    <w:p>
      <w:pPr>
        <w:spacing w:after="0" w:line="159"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4.6. </w:t>
      </w:r>
      <w:r>
        <w:rPr>
          <w:rFonts w:ascii="Calibri" w:cs="Calibri" w:eastAsia="Calibri" w:hAnsi="Calibri"/>
          <w:sz w:val="20"/>
          <w:szCs w:val="20"/>
          <w:b w:val="1"/>
          <w:bCs w:val="1"/>
          <w:color w:val="auto"/>
        </w:rPr>
        <w:t>Legal Opinions</w:t>
      </w:r>
      <w:r>
        <w:rPr>
          <w:rFonts w:ascii="Calibri" w:cs="Calibri" w:eastAsia="Calibri" w:hAnsi="Calibri"/>
          <w:sz w:val="20"/>
          <w:szCs w:val="20"/>
          <w:color w:val="auto"/>
        </w:rPr>
        <w:t>. The Department shall have received legal opinions dated as of the Award Date and addressed to the Department from Akin Gump Strauss Hauer &amp; Feld LLP, as New York and Delaware counsel to the Recipient Partes.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4.7.</w:t>
      </w:r>
      <w:r>
        <w:rPr>
          <w:sz w:val="20"/>
          <w:szCs w:val="20"/>
          <w:color w:val="auto"/>
        </w:rPr>
        <w:tab/>
      </w:r>
      <w:r>
        <w:rPr>
          <w:rFonts w:ascii="Calibri" w:cs="Calibri" w:eastAsia="Calibri" w:hAnsi="Calibri"/>
          <w:sz w:val="20"/>
          <w:szCs w:val="20"/>
          <w:b w:val="1"/>
          <w:bCs w:val="1"/>
          <w:color w:val="auto"/>
        </w:rPr>
        <w:t>Certfcates</w:t>
      </w:r>
      <w:r>
        <w:rPr>
          <w:rFonts w:ascii="Calibri" w:cs="Calibri" w:eastAsia="Calibri" w:hAnsi="Calibri"/>
          <w:sz w:val="20"/>
          <w:szCs w:val="20"/>
          <w:color w:val="auto"/>
        </w:rPr>
        <w:t>.</w:t>
      </w:r>
    </w:p>
    <w:p>
      <w:pPr>
        <w:spacing w:after="0" w:line="157"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4.7.1 </w:t>
      </w:r>
      <w:r>
        <w:rPr>
          <w:rFonts w:ascii="Calibri" w:cs="Calibri" w:eastAsia="Calibri" w:hAnsi="Calibri"/>
          <w:sz w:val="20"/>
          <w:szCs w:val="20"/>
          <w:b w:val="1"/>
          <w:bCs w:val="1"/>
          <w:color w:val="auto"/>
        </w:rPr>
        <w:t>Recipient Award Date Certfcate</w:t>
      </w:r>
      <w:r>
        <w:rPr>
          <w:rFonts w:ascii="Calibri" w:cs="Calibri" w:eastAsia="Calibri" w:hAnsi="Calibri"/>
          <w:sz w:val="20"/>
          <w:szCs w:val="20"/>
          <w:color w:val="auto"/>
        </w:rPr>
        <w:t>. The Department shall have received an Ofcer’s Certfcate of the Recipient substantally in the form of Exhibit A-1 (</w:t>
      </w:r>
      <w:r>
        <w:rPr>
          <w:rFonts w:ascii="Calibri" w:cs="Calibri" w:eastAsia="Calibri" w:hAnsi="Calibri"/>
          <w:sz w:val="20"/>
          <w:szCs w:val="20"/>
          <w:b w:val="1"/>
          <w:bCs w:val="1"/>
          <w:color w:val="auto"/>
        </w:rPr>
        <w:t>Form of Recipient Award Date Certfcate</w:t>
      </w:r>
      <w:r>
        <w:rPr>
          <w:rFonts w:ascii="Calibri" w:cs="Calibri" w:eastAsia="Calibri" w:hAnsi="Calibri"/>
          <w:sz w:val="20"/>
          <w:szCs w:val="20"/>
          <w:color w:val="auto"/>
        </w:rPr>
        <w:t>) and addressing such other maters as the Department may reasonably request.</w:t>
      </w:r>
    </w:p>
    <w:p>
      <w:pPr>
        <w:spacing w:after="0" w:line="159" w:lineRule="exact"/>
        <w:rPr>
          <w:sz w:val="20"/>
          <w:szCs w:val="20"/>
          <w:color w:val="auto"/>
        </w:rPr>
      </w:pPr>
    </w:p>
    <w:p>
      <w:pPr>
        <w:jc w:val="both"/>
        <w:ind w:right="20" w:firstLine="1296"/>
        <w:spacing w:after="0" w:line="205" w:lineRule="auto"/>
        <w:rPr>
          <w:sz w:val="20"/>
          <w:szCs w:val="20"/>
          <w:color w:val="auto"/>
        </w:rPr>
      </w:pPr>
      <w:r>
        <w:rPr>
          <w:rFonts w:ascii="Calibri" w:cs="Calibri" w:eastAsia="Calibri" w:hAnsi="Calibri"/>
          <w:sz w:val="20"/>
          <w:szCs w:val="20"/>
          <w:color w:val="auto"/>
        </w:rPr>
        <w:t xml:space="preserve">4.7.2 </w:t>
      </w:r>
      <w:r>
        <w:rPr>
          <w:rFonts w:ascii="Calibri" w:cs="Calibri" w:eastAsia="Calibri" w:hAnsi="Calibri"/>
          <w:sz w:val="20"/>
          <w:szCs w:val="20"/>
          <w:b w:val="1"/>
          <w:bCs w:val="1"/>
          <w:color w:val="auto"/>
        </w:rPr>
        <w:t>Sponsor Guarantor Award Date Certfcate</w:t>
      </w:r>
      <w:r>
        <w:rPr>
          <w:rFonts w:ascii="Calibri" w:cs="Calibri" w:eastAsia="Calibri" w:hAnsi="Calibri"/>
          <w:sz w:val="20"/>
          <w:szCs w:val="20"/>
          <w:color w:val="auto"/>
        </w:rPr>
        <w:t>. The Department shall have received an Ofcer’s Certfcate of the Sponsor Guarantor substantally in the form of Exhibit A-2 (</w:t>
      </w:r>
      <w:r>
        <w:rPr>
          <w:rFonts w:ascii="Calibri" w:cs="Calibri" w:eastAsia="Calibri" w:hAnsi="Calibri"/>
          <w:sz w:val="20"/>
          <w:szCs w:val="20"/>
          <w:b w:val="1"/>
          <w:bCs w:val="1"/>
          <w:color w:val="auto"/>
        </w:rPr>
        <w:t>Form of Sponsor Guarantor Award Date Certfcate</w:t>
      </w:r>
      <w:r>
        <w:rPr>
          <w:rFonts w:ascii="Calibri" w:cs="Calibri" w:eastAsia="Calibri" w:hAnsi="Calibri"/>
          <w:sz w:val="20"/>
          <w:szCs w:val="20"/>
          <w:color w:val="auto"/>
        </w:rPr>
        <w:t>) and addressing such other maters as the Department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384" w:right="339" w:bottom="1440" w:gutter="0" w:footer="0" w:header="0"/>
        </w:sectPr>
      </w:pPr>
    </w:p>
    <w:bookmarkStart w:id="449" w:name="page450"/>
    <w:bookmarkEnd w:id="449"/>
    <w:p>
      <w:pPr>
        <w:ind w:left="660"/>
        <w:spacing w:after="0"/>
        <w:tabs>
          <w:tab w:leader="none" w:pos="1940" w:val="left"/>
        </w:tabs>
        <w:rPr>
          <w:sz w:val="20"/>
          <w:szCs w:val="20"/>
          <w:color w:val="auto"/>
        </w:rPr>
      </w:pPr>
      <w:r>
        <w:rPr>
          <w:rFonts w:ascii="Calibri" w:cs="Calibri" w:eastAsia="Calibri" w:hAnsi="Calibri"/>
          <w:sz w:val="20"/>
          <w:szCs w:val="20"/>
          <w:color w:val="auto"/>
        </w:rPr>
        <w:t>Secton 4.8.</w:t>
      </w:r>
      <w:r>
        <w:rPr>
          <w:sz w:val="20"/>
          <w:szCs w:val="20"/>
          <w:color w:val="auto"/>
        </w:rPr>
        <w:tab/>
      </w:r>
      <w:r>
        <w:rPr>
          <w:rFonts w:ascii="Calibri" w:cs="Calibri" w:eastAsia="Calibri" w:hAnsi="Calibri"/>
          <w:sz w:val="20"/>
          <w:szCs w:val="20"/>
          <w:b w:val="1"/>
          <w:bCs w:val="1"/>
          <w:color w:val="auto"/>
        </w:rPr>
        <w:t>Federal Requirements and Approvals</w:t>
      </w:r>
      <w:r>
        <w:rPr>
          <w:rFonts w:ascii="Calibri" w:cs="Calibri" w:eastAsia="Calibri" w:hAnsi="Calibri"/>
          <w:sz w:val="20"/>
          <w:szCs w:val="20"/>
          <w:color w:val="auto"/>
        </w:rPr>
        <w:t>.</w:t>
      </w:r>
    </w:p>
    <w:p>
      <w:pPr>
        <w:spacing w:after="0" w:line="157"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4.8.1 </w:t>
      </w:r>
      <w:r>
        <w:rPr>
          <w:rFonts w:ascii="Calibri" w:cs="Calibri" w:eastAsia="Calibri" w:hAnsi="Calibri"/>
          <w:sz w:val="20"/>
          <w:szCs w:val="20"/>
          <w:b w:val="1"/>
          <w:bCs w:val="1"/>
          <w:color w:val="auto"/>
        </w:rPr>
        <w:t>Lobbying Certfcaton</w:t>
      </w:r>
      <w:r>
        <w:rPr>
          <w:rFonts w:ascii="Calibri" w:cs="Calibri" w:eastAsia="Calibri" w:hAnsi="Calibri"/>
          <w:sz w:val="20"/>
          <w:szCs w:val="20"/>
          <w:color w:val="auto"/>
        </w:rPr>
        <w:t>. The Department shall have received an executed (a) “Disclosure Form to Report Lobbying” (Standard Form LLL); and (b) “Certfcaton Regarding Lobbying” (Form CD-511), in each case, from the Recipient.</w:t>
      </w:r>
    </w:p>
    <w:p>
      <w:pPr>
        <w:spacing w:after="0" w:line="159"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4.8.2 </w:t>
      </w:r>
      <w:r>
        <w:rPr>
          <w:rFonts w:ascii="Calibri" w:cs="Calibri" w:eastAsia="Calibri" w:hAnsi="Calibri"/>
          <w:sz w:val="20"/>
          <w:szCs w:val="20"/>
          <w:b w:val="1"/>
          <w:bCs w:val="1"/>
          <w:color w:val="auto"/>
        </w:rPr>
        <w:t>Applicaton for Federal Assistance</w:t>
      </w:r>
      <w:r>
        <w:rPr>
          <w:rFonts w:ascii="Calibri" w:cs="Calibri" w:eastAsia="Calibri" w:hAnsi="Calibri"/>
          <w:sz w:val="20"/>
          <w:szCs w:val="20"/>
          <w:color w:val="auto"/>
        </w:rPr>
        <w:t>. The Department shall have received an executed “Applicaton for Federal Assistance” (Standard Form 424) from the Recipient.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4.8.3</w:t>
      </w:r>
      <w:r>
        <w:rPr>
          <w:sz w:val="20"/>
          <w:szCs w:val="20"/>
          <w:color w:val="auto"/>
        </w:rPr>
        <w:tab/>
      </w:r>
      <w:r>
        <w:rPr>
          <w:rFonts w:ascii="Calibri" w:cs="Calibri" w:eastAsia="Calibri" w:hAnsi="Calibri"/>
          <w:sz w:val="20"/>
          <w:szCs w:val="20"/>
          <w:b w:val="1"/>
          <w:bCs w:val="1"/>
          <w:color w:val="auto"/>
        </w:rPr>
        <w:t>SAM Registraton</w:t>
      </w:r>
      <w:r>
        <w:rPr>
          <w:rFonts w:ascii="Calibri" w:cs="Calibri" w:eastAsia="Calibri" w:hAnsi="Calibri"/>
          <w:sz w:val="20"/>
          <w:szCs w:val="20"/>
          <w:color w:val="auto"/>
        </w:rPr>
        <w:t>. The Department shall have received evidence of the registraton by the Recipient in SAM.</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4.8.4</w:t>
      </w:r>
      <w:r>
        <w:rPr>
          <w:sz w:val="20"/>
          <w:szCs w:val="20"/>
          <w:color w:val="auto"/>
        </w:rPr>
        <w:tab/>
      </w:r>
      <w:r>
        <w:rPr>
          <w:rFonts w:ascii="Calibri" w:cs="Calibri" w:eastAsia="Calibri" w:hAnsi="Calibri"/>
          <w:sz w:val="20"/>
          <w:szCs w:val="20"/>
          <w:b w:val="1"/>
          <w:bCs w:val="1"/>
          <w:color w:val="auto"/>
        </w:rPr>
        <w:t>ASAP Enrollment</w:t>
      </w:r>
      <w:r>
        <w:rPr>
          <w:rFonts w:ascii="Calibri" w:cs="Calibri" w:eastAsia="Calibri" w:hAnsi="Calibri"/>
          <w:sz w:val="20"/>
          <w:szCs w:val="20"/>
          <w:color w:val="auto"/>
        </w:rPr>
        <w:t>. The Department shall have received evidence of the enrollment by the Recipient in ASAP.</w:t>
      </w:r>
    </w:p>
    <w:p>
      <w:pPr>
        <w:spacing w:after="0" w:line="157" w:lineRule="exact"/>
        <w:rPr>
          <w:sz w:val="20"/>
          <w:szCs w:val="20"/>
          <w:color w:val="auto"/>
        </w:rPr>
      </w:pPr>
    </w:p>
    <w:p>
      <w:pPr>
        <w:jc w:val="both"/>
        <w:ind w:right="20" w:firstLine="1296"/>
        <w:spacing w:after="0" w:line="205" w:lineRule="auto"/>
        <w:rPr>
          <w:sz w:val="20"/>
          <w:szCs w:val="20"/>
          <w:color w:val="auto"/>
        </w:rPr>
      </w:pPr>
      <w:r>
        <w:rPr>
          <w:rFonts w:ascii="Calibri" w:cs="Calibri" w:eastAsia="Calibri" w:hAnsi="Calibri"/>
          <w:sz w:val="20"/>
          <w:szCs w:val="20"/>
          <w:color w:val="auto"/>
        </w:rPr>
        <w:t xml:space="preserve">4.8.5 </w:t>
      </w:r>
      <w:r>
        <w:rPr>
          <w:rFonts w:ascii="Calibri" w:cs="Calibri" w:eastAsia="Calibri" w:hAnsi="Calibri"/>
          <w:sz w:val="20"/>
          <w:szCs w:val="20"/>
          <w:b w:val="1"/>
          <w:bCs w:val="1"/>
          <w:color w:val="auto"/>
        </w:rPr>
        <w:t>KYC Requirements</w:t>
      </w:r>
      <w:r>
        <w:rPr>
          <w:rFonts w:ascii="Calibri" w:cs="Calibri" w:eastAsia="Calibri" w:hAnsi="Calibri"/>
          <w:sz w:val="20"/>
          <w:szCs w:val="20"/>
          <w:color w:val="auto"/>
        </w:rPr>
        <w:t xml:space="preserve">. The Department shall have received all documentaton (including taxpayer identfcaton documents) and other informaton in respect of each Recipient Party, as required by the Department to enable it to be satsfed with the results of all “know your customer” and other requirements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the Ant-Money Laundering Laws).</w:t>
      </w:r>
    </w:p>
    <w:p>
      <w:pPr>
        <w:spacing w:after="0" w:line="171"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4.8.6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The Recipient shall be in compliance with all provisions set forth in Annex D (</w:t>
      </w:r>
      <w:r>
        <w:rPr>
          <w:rFonts w:ascii="Calibri" w:cs="Calibri" w:eastAsia="Calibri" w:hAnsi="Calibri"/>
          <w:sz w:val="20"/>
          <w:szCs w:val="20"/>
          <w:b w:val="1"/>
          <w:bCs w:val="1"/>
          <w:color w:val="auto"/>
        </w:rPr>
        <w:t>Program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applicable as of the Award Date.</w:t>
      </w:r>
    </w:p>
    <w:p>
      <w:pPr>
        <w:spacing w:after="0" w:line="157"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4.8.7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xml:space="preserve"> The conditons precedent in Secton 2 (</w:t>
      </w:r>
      <w:r>
        <w:rPr>
          <w:rFonts w:ascii="Calibri" w:cs="Calibri" w:eastAsia="Calibri" w:hAnsi="Calibri"/>
          <w:sz w:val="20"/>
          <w:szCs w:val="20"/>
          <w:b w:val="1"/>
          <w:bCs w:val="1"/>
          <w:color w:val="auto"/>
        </w:rPr>
        <w:t>Conditons Precedent to Award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Issuance</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 Bacon Act Requirements</w:t>
      </w:r>
      <w:r>
        <w:rPr>
          <w:rFonts w:ascii="Calibri" w:cs="Calibri" w:eastAsia="Calibri" w:hAnsi="Calibri"/>
          <w:sz w:val="20"/>
          <w:szCs w:val="20"/>
          <w:color w:val="auto"/>
        </w:rPr>
        <w:t>) shall have been satsfed.</w:t>
      </w:r>
    </w:p>
    <w:p>
      <w:pPr>
        <w:spacing w:after="0" w:line="159" w:lineRule="exact"/>
        <w:rPr>
          <w:sz w:val="20"/>
          <w:szCs w:val="20"/>
          <w:color w:val="auto"/>
        </w:rPr>
      </w:pPr>
    </w:p>
    <w:p>
      <w:pPr>
        <w:jc w:val="both"/>
        <w:ind w:right="20" w:firstLine="648"/>
        <w:spacing w:after="0" w:line="209" w:lineRule="auto"/>
        <w:rPr>
          <w:sz w:val="20"/>
          <w:szCs w:val="20"/>
          <w:color w:val="auto"/>
        </w:rPr>
      </w:pPr>
      <w:r>
        <w:rPr>
          <w:rFonts w:ascii="Calibri" w:cs="Calibri" w:eastAsia="Calibri" w:hAnsi="Calibri"/>
          <w:sz w:val="20"/>
          <w:szCs w:val="20"/>
          <w:color w:val="auto"/>
        </w:rPr>
        <w:t xml:space="preserve">Secton 4.9. </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 The Department shall have received a Base Case Financial Model, accompanied by an Ofcer’s Certfcate from the chief fnancial ofcer of the Sponsor Guarantor substantally in the form of Exhibit A-2 (</w:t>
      </w:r>
      <w:r>
        <w:rPr>
          <w:rFonts w:ascii="Calibri" w:cs="Calibri" w:eastAsia="Calibri" w:hAnsi="Calibri"/>
          <w:sz w:val="20"/>
          <w:szCs w:val="20"/>
          <w:b w:val="1"/>
          <w:bCs w:val="1"/>
          <w:color w:val="auto"/>
        </w:rPr>
        <w:t>Form of Sponsor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Guarantor Award Date Certfcate</w:t>
      </w:r>
      <w:r>
        <w:rPr>
          <w:rFonts w:ascii="Calibri" w:cs="Calibri" w:eastAsia="Calibri" w:hAnsi="Calibri"/>
          <w:sz w:val="20"/>
          <w:szCs w:val="20"/>
          <w:color w:val="auto"/>
        </w:rPr>
        <w:t>), confrming that such Base Case Financial Model:</w:t>
      </w:r>
    </w:p>
    <w:p>
      <w:pPr>
        <w:spacing w:after="0" w:line="149" w:lineRule="exact"/>
        <w:rPr>
          <w:sz w:val="20"/>
          <w:szCs w:val="20"/>
          <w:color w:val="auto"/>
        </w:rPr>
      </w:pPr>
    </w:p>
    <w:p>
      <w:pPr>
        <w:ind w:left="2600" w:hanging="648"/>
        <w:spacing w:after="0"/>
        <w:tabs>
          <w:tab w:leader="none" w:pos="2600" w:val="left"/>
        </w:tabs>
        <w:numPr>
          <w:ilvl w:val="0"/>
          <w:numId w:val="518"/>
        </w:numPr>
        <w:rPr>
          <w:rFonts w:ascii="Calibri" w:cs="Calibri" w:eastAsia="Calibri" w:hAnsi="Calibri"/>
          <w:sz w:val="20"/>
          <w:szCs w:val="20"/>
          <w:color w:val="auto"/>
        </w:rPr>
      </w:pPr>
      <w:r>
        <w:rPr>
          <w:rFonts w:ascii="Calibri" w:cs="Calibri" w:eastAsia="Calibri" w:hAnsi="Calibri"/>
          <w:sz w:val="20"/>
          <w:szCs w:val="20"/>
          <w:color w:val="auto"/>
        </w:rPr>
        <w:t>is complete and was based upon assumptons believed by the Recipient Partes to be reasonable at the</w:t>
      </w:r>
    </w:p>
    <w:p>
      <w:pPr>
        <w:spacing w:after="0" w:line="199" w:lineRule="auto"/>
        <w:rPr>
          <w:sz w:val="20"/>
          <w:szCs w:val="20"/>
          <w:color w:val="auto"/>
        </w:rPr>
      </w:pPr>
      <w:r>
        <w:rPr>
          <w:rFonts w:ascii="Calibri" w:cs="Calibri" w:eastAsia="Calibri" w:hAnsi="Calibri"/>
          <w:sz w:val="20"/>
          <w:szCs w:val="20"/>
          <w:color w:val="auto"/>
        </w:rPr>
        <w:t>tme delivered;</w:t>
      </w:r>
    </w:p>
    <w:p>
      <w:pPr>
        <w:spacing w:after="0" w:line="147" w:lineRule="exact"/>
        <w:rPr>
          <w:sz w:val="20"/>
          <w:szCs w:val="20"/>
          <w:color w:val="auto"/>
        </w:rPr>
      </w:pPr>
    </w:p>
    <w:p>
      <w:pPr>
        <w:ind w:left="2600" w:hanging="648"/>
        <w:spacing w:after="0"/>
        <w:tabs>
          <w:tab w:leader="none" w:pos="2600" w:val="left"/>
        </w:tabs>
        <w:numPr>
          <w:ilvl w:val="0"/>
          <w:numId w:val="519"/>
        </w:numPr>
        <w:rPr>
          <w:rFonts w:ascii="Calibri" w:cs="Calibri" w:eastAsia="Calibri" w:hAnsi="Calibri"/>
          <w:sz w:val="20"/>
          <w:szCs w:val="20"/>
          <w:color w:val="auto"/>
        </w:rPr>
      </w:pPr>
      <w:r>
        <w:rPr>
          <w:rFonts w:ascii="Calibri" w:cs="Calibri" w:eastAsia="Calibri" w:hAnsi="Calibri"/>
          <w:sz w:val="20"/>
          <w:szCs w:val="20"/>
          <w:color w:val="auto"/>
        </w:rPr>
        <w:t>is consistent with the provisions of the applicable Project Documents entered into on or prior to the date</w:t>
      </w:r>
    </w:p>
    <w:p>
      <w:pPr>
        <w:spacing w:after="0" w:line="199" w:lineRule="auto"/>
        <w:rPr>
          <w:sz w:val="20"/>
          <w:szCs w:val="20"/>
          <w:color w:val="auto"/>
        </w:rPr>
      </w:pPr>
      <w:r>
        <w:rPr>
          <w:rFonts w:ascii="Calibri" w:cs="Calibri" w:eastAsia="Calibri" w:hAnsi="Calibri"/>
          <w:sz w:val="20"/>
          <w:szCs w:val="20"/>
          <w:color w:val="auto"/>
        </w:rPr>
        <w:t>of this Agreement; and</w:t>
      </w:r>
    </w:p>
    <w:p>
      <w:pPr>
        <w:spacing w:after="0" w:line="147" w:lineRule="exact"/>
        <w:rPr>
          <w:sz w:val="20"/>
          <w:szCs w:val="20"/>
          <w:color w:val="auto"/>
        </w:rPr>
      </w:pPr>
    </w:p>
    <w:p>
      <w:pPr>
        <w:ind w:left="2600" w:hanging="648"/>
        <w:spacing w:after="0"/>
        <w:tabs>
          <w:tab w:leader="none" w:pos="2600" w:val="left"/>
        </w:tabs>
        <w:numPr>
          <w:ilvl w:val="0"/>
          <w:numId w:val="520"/>
        </w:numPr>
        <w:rPr>
          <w:rFonts w:ascii="Calibri" w:cs="Calibri" w:eastAsia="Calibri" w:hAnsi="Calibri"/>
          <w:sz w:val="20"/>
          <w:szCs w:val="20"/>
          <w:color w:val="auto"/>
        </w:rPr>
      </w:pPr>
      <w:r>
        <w:rPr>
          <w:rFonts w:ascii="Calibri" w:cs="Calibri" w:eastAsia="Calibri" w:hAnsi="Calibri"/>
          <w:sz w:val="20"/>
          <w:szCs w:val="20"/>
          <w:color w:val="auto"/>
        </w:rPr>
        <w:t>has been prepared in good faith and with due care.</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4.10. </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The Department shall have received evidence of (a) the Recipient’s appointment of the Recipient’s Accountant; and (b) the Sponsor Guarantor’s appointment of the Sponsor Guarantor’s Accountant, in each case, to act as its independent public accountant.</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4.11. </w:t>
      </w:r>
      <w:r>
        <w:rPr>
          <w:rFonts w:ascii="Calibri" w:cs="Calibri" w:eastAsia="Calibri" w:hAnsi="Calibri"/>
          <w:sz w:val="20"/>
          <w:szCs w:val="20"/>
          <w:b w:val="1"/>
          <w:bCs w:val="1"/>
          <w:color w:val="auto"/>
        </w:rPr>
        <w:t>Fees and Expenses</w:t>
      </w:r>
      <w:r>
        <w:rPr>
          <w:rFonts w:ascii="Calibri" w:cs="Calibri" w:eastAsia="Calibri" w:hAnsi="Calibri"/>
          <w:sz w:val="20"/>
          <w:szCs w:val="20"/>
          <w:color w:val="auto"/>
        </w:rPr>
        <w:t>. The Department shall have received evidence that all Periodic Expenses due and payable to the Department and the Department’s Consultants on or prior to the Award Date have been paid or reimbursed in full or, in the case of the Department’s Consultants, arrangements for payment have been made, in each case, in accordance with any applicable fee leters.</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4.12. </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The Department shall have received the Constructon and Tool Installaton Budget consistent with the Base Case Financial Model.</w:t>
      </w:r>
    </w:p>
    <w:p>
      <w:pPr>
        <w:spacing w:after="0" w:line="161"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4.13.</w:t>
      </w:r>
      <w:r>
        <w:rPr>
          <w:sz w:val="20"/>
          <w:szCs w:val="20"/>
          <w:color w:val="auto"/>
        </w:rPr>
        <w:tab/>
      </w:r>
      <w:r>
        <w:rPr>
          <w:rFonts w:ascii="Calibri" w:cs="Calibri" w:eastAsia="Calibri" w:hAnsi="Calibri"/>
          <w:sz w:val="20"/>
          <w:szCs w:val="20"/>
          <w:b w:val="1"/>
          <w:bCs w:val="1"/>
          <w:color w:val="auto"/>
        </w:rPr>
        <w:t>Milestone Based Schedule</w:t>
      </w:r>
      <w:r>
        <w:rPr>
          <w:rFonts w:ascii="Calibri" w:cs="Calibri" w:eastAsia="Calibri" w:hAnsi="Calibri"/>
          <w:sz w:val="20"/>
          <w:szCs w:val="20"/>
          <w:color w:val="auto"/>
        </w:rPr>
        <w:t>. The Department shall have received the Milestone Based Schedule for each Project.</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4.14. </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The Department shall have received a preliminary Advanced Packaging Resiliency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1374" w:right="339" w:bottom="1440" w:gutter="0" w:footer="0" w:header="0"/>
        </w:sectPr>
      </w:pPr>
    </w:p>
    <w:bookmarkStart w:id="450" w:name="page451"/>
    <w:bookmarkEnd w:id="450"/>
    <w:p>
      <w:pPr>
        <w:jc w:val="both"/>
        <w:ind w:firstLine="648"/>
        <w:spacing w:after="0" w:line="205" w:lineRule="auto"/>
        <w:rPr>
          <w:sz w:val="20"/>
          <w:szCs w:val="20"/>
          <w:color w:val="auto"/>
        </w:rPr>
      </w:pPr>
      <w:r>
        <w:rPr>
          <w:rFonts w:ascii="Calibri" w:cs="Calibri" w:eastAsia="Calibri" w:hAnsi="Calibri"/>
          <w:sz w:val="20"/>
          <w:szCs w:val="20"/>
          <w:color w:val="auto"/>
        </w:rPr>
        <w:t xml:space="preserve">Secton 4.15. </w:t>
      </w:r>
      <w:r>
        <w:rPr>
          <w:rFonts w:ascii="Calibri" w:cs="Calibri" w:eastAsia="Calibri" w:hAnsi="Calibri"/>
          <w:sz w:val="20"/>
          <w:szCs w:val="20"/>
          <w:b w:val="1"/>
          <w:bCs w:val="1"/>
          <w:color w:val="auto"/>
        </w:rPr>
        <w:t>No Violaton</w:t>
      </w:r>
      <w:r>
        <w:rPr>
          <w:rFonts w:ascii="Calibri" w:cs="Calibri" w:eastAsia="Calibri" w:hAnsi="Calibri"/>
          <w:sz w:val="20"/>
          <w:szCs w:val="20"/>
          <w:color w:val="auto"/>
        </w:rPr>
        <w:t>. Entering into the Award Documents shall not result in a violaton of any Applicable Law, Financing Document, Governmental Approval, or any other material agreement or consent to which the Recipient is a party, or any material judgment or approval to which the Recipient is subject.</w:t>
      </w:r>
    </w:p>
    <w:p>
      <w:pPr>
        <w:spacing w:after="0" w:line="16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CONDITIONS PRECEDENT TO EACH DISBURSEMENT</w:t>
      </w:r>
    </w:p>
    <w:p>
      <w:pPr>
        <w:spacing w:after="0" w:line="157"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5.1. </w:t>
      </w:r>
      <w:r>
        <w:rPr>
          <w:rFonts w:ascii="Calibri" w:cs="Calibri" w:eastAsia="Calibri" w:hAnsi="Calibri"/>
          <w:sz w:val="20"/>
          <w:szCs w:val="20"/>
          <w:b w:val="1"/>
          <w:bCs w:val="1"/>
          <w:color w:val="auto"/>
        </w:rPr>
        <w:t>Conditons Precedent to Each Direct Funding Disbursement</w:t>
      </w:r>
      <w:r>
        <w:rPr>
          <w:rFonts w:ascii="Calibri" w:cs="Calibri" w:eastAsia="Calibri" w:hAnsi="Calibri"/>
          <w:sz w:val="20"/>
          <w:szCs w:val="20"/>
          <w:color w:val="auto"/>
        </w:rPr>
        <w:t>. With respect to each Project, the obligaton of the Department to make any Direct Funding Disbursement (including the frst Direct Funding Disbursement) shall be subject to the prior satsfacton (or waiver in writng), of each of the following conditons precedent and the delivery to the Department of each of the documents indicated below, all in form and substance satsfactory to the Department as of the Direct Funding Disbursement Date for such Direct Funding Disbursement, unless indicated otherwise, and to their contnued satsfacton on the relevant Direct Funding Disbursement Date. The Department may (but shall not be required to) consult with any of the Department’s Consultants regarding the satsfacton of any conditon precedent.</w:t>
      </w:r>
    </w:p>
    <w:p>
      <w:pPr>
        <w:spacing w:after="0" w:line="176"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5.1.1 </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As set forth in Secton 2.1(b)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 the Department shall have executed and delivered one or more Funding Obligatons acknowledged by the Recipient that cumulatvely obligates, at a minimum, the Scheduled Cumulatve Disbursement Amount (inclusive of the then requested Direct Funding Disbursement).</w:t>
      </w:r>
    </w:p>
    <w:p>
      <w:pPr>
        <w:spacing w:after="0" w:line="157"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5.1.2 </w:t>
      </w:r>
      <w:r>
        <w:rPr>
          <w:rFonts w:ascii="Calibri" w:cs="Calibri" w:eastAsia="Calibri" w:hAnsi="Calibri"/>
          <w:sz w:val="20"/>
          <w:szCs w:val="20"/>
          <w:b w:val="1"/>
          <w:bCs w:val="1"/>
          <w:color w:val="auto"/>
        </w:rPr>
        <w:t>Disbursement Request</w:t>
      </w:r>
      <w:r>
        <w:rPr>
          <w:rFonts w:ascii="Calibri" w:cs="Calibri" w:eastAsia="Calibri" w:hAnsi="Calibri"/>
          <w:sz w:val="20"/>
          <w:szCs w:val="20"/>
          <w:color w:val="auto"/>
        </w:rPr>
        <w:t>. The Department shall have received a Direct Funding Disbursement Request in accordance with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 demonstratng completon of the applicable Disbursement Milestone as required by Secton 5.1.4 (</w:t>
      </w:r>
      <w:r>
        <w:rPr>
          <w:rFonts w:ascii="Calibri" w:cs="Calibri" w:eastAsia="Calibri" w:hAnsi="Calibri"/>
          <w:sz w:val="20"/>
          <w:szCs w:val="20"/>
          <w:b w:val="1"/>
          <w:bCs w:val="1"/>
          <w:color w:val="auto"/>
        </w:rPr>
        <w:t>Completon of Disbursement Milestone</w:t>
      </w:r>
      <w:r>
        <w:rPr>
          <w:rFonts w:ascii="Calibri" w:cs="Calibri" w:eastAsia="Calibri" w:hAnsi="Calibri"/>
          <w:sz w:val="20"/>
          <w:szCs w:val="20"/>
          <w:color w:val="auto"/>
        </w:rPr>
        <w:t>), together with (a) relevant invoices demonstratng that the proceeds of the relevant Direct Funding Disbursement reimburse payment of Eligible Uses of Funds by the Recipient (excluding, for these purposes, Eligible Workforce Costs); and (b) an inventory of invoices describing the categories of spending to be reimbursed with the requested Direct Funding Disbursement.</w:t>
      </w:r>
    </w:p>
    <w:p>
      <w:pPr>
        <w:spacing w:after="0" w:line="176" w:lineRule="exact"/>
        <w:rPr>
          <w:sz w:val="20"/>
          <w:szCs w:val="20"/>
          <w:color w:val="auto"/>
        </w:rPr>
      </w:pPr>
    </w:p>
    <w:p>
      <w:pPr>
        <w:jc w:val="both"/>
        <w:ind w:right="20" w:firstLine="1296"/>
        <w:spacing w:after="0" w:line="208" w:lineRule="auto"/>
        <w:rPr>
          <w:sz w:val="20"/>
          <w:szCs w:val="20"/>
          <w:color w:val="auto"/>
        </w:rPr>
      </w:pPr>
      <w:r>
        <w:rPr>
          <w:rFonts w:ascii="Calibri" w:cs="Calibri" w:eastAsia="Calibri" w:hAnsi="Calibri"/>
          <w:sz w:val="20"/>
          <w:szCs w:val="20"/>
          <w:color w:val="auto"/>
        </w:rPr>
        <w:t xml:space="preserve">5.1.3 </w:t>
      </w:r>
      <w:r>
        <w:rPr>
          <w:rFonts w:ascii="Calibri" w:cs="Calibri" w:eastAsia="Calibri" w:hAnsi="Calibri"/>
          <w:sz w:val="20"/>
          <w:szCs w:val="20"/>
          <w:b w:val="1"/>
          <w:bCs w:val="1"/>
          <w:color w:val="auto"/>
        </w:rPr>
        <w:t>Commencement of Project.</w:t>
      </w:r>
      <w:r>
        <w:rPr>
          <w:rFonts w:ascii="Calibri" w:cs="Calibri" w:eastAsia="Calibri" w:hAnsi="Calibri"/>
          <w:sz w:val="20"/>
          <w:szCs w:val="20"/>
          <w:color w:val="auto"/>
        </w:rPr>
        <w:t xml:space="preserve"> With respect to the frst Direct Funding Disbursement for each Project, the Project Commencement Date for such Project shall have occurred no later than the applicable Project Commencement Clawback Date.</w:t>
      </w:r>
    </w:p>
    <w:p>
      <w:pPr>
        <w:spacing w:after="0" w:line="171"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5.1.4 </w:t>
      </w:r>
      <w:r>
        <w:rPr>
          <w:rFonts w:ascii="Calibri" w:cs="Calibri" w:eastAsia="Calibri" w:hAnsi="Calibri"/>
          <w:sz w:val="20"/>
          <w:szCs w:val="20"/>
          <w:b w:val="1"/>
          <w:bCs w:val="1"/>
          <w:color w:val="auto"/>
        </w:rPr>
        <w:t>Completon of Disbursement Milestone</w:t>
      </w:r>
      <w:r>
        <w:rPr>
          <w:rFonts w:ascii="Calibri" w:cs="Calibri" w:eastAsia="Calibri" w:hAnsi="Calibri"/>
          <w:sz w:val="20"/>
          <w:szCs w:val="20"/>
          <w:color w:val="auto"/>
        </w:rPr>
        <w:t>. The Department shall have received evidence that the Disbursement Milestone for such Project that is required to have been achieved on or prior to the relevant Direct Funding Disbursement Date in accordance with the applicable Disbursement Milestone Schedule has been achieved.</w:t>
      </w:r>
    </w:p>
    <w:p>
      <w:pPr>
        <w:spacing w:after="0" w:line="157"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5.1.5 </w:t>
      </w:r>
      <w:r>
        <w:rPr>
          <w:rFonts w:ascii="Calibri" w:cs="Calibri" w:eastAsia="Calibri" w:hAnsi="Calibri"/>
          <w:sz w:val="20"/>
          <w:szCs w:val="20"/>
          <w:b w:val="1"/>
          <w:bCs w:val="1"/>
          <w:color w:val="auto"/>
        </w:rPr>
        <w:t>Compliance with NEPA and Other Environmental Laws.</w:t>
      </w:r>
      <w:r>
        <w:rPr>
          <w:rFonts w:ascii="Calibri" w:cs="Calibri" w:eastAsia="Calibri" w:hAnsi="Calibri"/>
          <w:sz w:val="20"/>
          <w:szCs w:val="20"/>
          <w:color w:val="auto"/>
        </w:rPr>
        <w:t xml:space="preserve"> Solely with respect to the frst Direct Funding Disbursement for the relevant Project, the Department shall have:</w:t>
      </w:r>
    </w:p>
    <w:p>
      <w:pPr>
        <w:spacing w:after="0" w:line="159" w:lineRule="exact"/>
        <w:rPr>
          <w:sz w:val="20"/>
          <w:szCs w:val="20"/>
          <w:color w:val="auto"/>
        </w:rPr>
      </w:pPr>
    </w:p>
    <w:p>
      <w:pPr>
        <w:ind w:firstLine="1952"/>
        <w:spacing w:after="0" w:line="214" w:lineRule="auto"/>
        <w:tabs>
          <w:tab w:leader="none" w:pos="2596" w:val="left"/>
        </w:tabs>
        <w:numPr>
          <w:ilvl w:val="0"/>
          <w:numId w:val="521"/>
        </w:numPr>
        <w:rPr>
          <w:rFonts w:ascii="Calibri" w:cs="Calibri" w:eastAsia="Calibri" w:hAnsi="Calibri"/>
          <w:sz w:val="20"/>
          <w:szCs w:val="20"/>
          <w:color w:val="auto"/>
        </w:rPr>
      </w:pPr>
      <w:r>
        <w:rPr>
          <w:rFonts w:ascii="Calibri" w:cs="Calibri" w:eastAsia="Calibri" w:hAnsi="Calibri"/>
          <w:sz w:val="20"/>
          <w:szCs w:val="20"/>
          <w:color w:val="auto"/>
        </w:rPr>
        <w:t>completed its review and issued a fnal decision under NEPA, the NEPA regulatons (40 C.F.R Parts 1500-1508) and any other applicable Environmental Laws consistent with the Permitng Plan; and</w:t>
      </w:r>
    </w:p>
    <w:p>
      <w:pPr>
        <w:spacing w:after="0" w:line="158"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21"/>
        </w:numPr>
        <w:rPr>
          <w:rFonts w:ascii="Calibri" w:cs="Calibri" w:eastAsia="Calibri" w:hAnsi="Calibri"/>
          <w:sz w:val="20"/>
          <w:szCs w:val="20"/>
          <w:color w:val="auto"/>
        </w:rPr>
      </w:pPr>
      <w:r>
        <w:rPr>
          <w:rFonts w:ascii="Calibri" w:cs="Calibri" w:eastAsia="Calibri" w:hAnsi="Calibri"/>
          <w:sz w:val="20"/>
          <w:szCs w:val="20"/>
          <w:color w:val="auto"/>
        </w:rPr>
        <w:t>received evidence of satsfacton of any mitgatons, commitments or requirements, environmental permits, and consultatons required in accordance with the relevant fnal decision under NEPA referred to in paragraph (a) above.</w:t>
      </w:r>
    </w:p>
    <w:p>
      <w:pPr>
        <w:spacing w:after="0" w:line="159"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5.1.6 </w:t>
      </w:r>
      <w:r>
        <w:rPr>
          <w:rFonts w:ascii="Calibri" w:cs="Calibri" w:eastAsia="Calibri" w:hAnsi="Calibri"/>
          <w:sz w:val="20"/>
          <w:szCs w:val="20"/>
          <w:b w:val="1"/>
          <w:bCs w:val="1"/>
          <w:color w:val="auto"/>
        </w:rPr>
        <w:t>Equity Contributon</w:t>
      </w:r>
      <w:r>
        <w:rPr>
          <w:rFonts w:ascii="Calibri" w:cs="Calibri" w:eastAsia="Calibri" w:hAnsi="Calibri"/>
          <w:sz w:val="20"/>
          <w:szCs w:val="20"/>
          <w:color w:val="auto"/>
        </w:rPr>
        <w:t>. The Department shall have received evidence that (a) the Sponsor Guarantor has made Equity Contributons to the Recipient in respect of such Project; and (b) such funds have been used exclusively to fund Project Costs with respect to such Project, in each case, in accordance with the Sponsor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384" w:right="339" w:bottom="1440" w:gutter="0" w:footer="0" w:header="0"/>
        </w:sectPr>
      </w:pPr>
    </w:p>
    <w:bookmarkStart w:id="451" w:name="page452"/>
    <w:bookmarkEnd w:id="451"/>
    <w:p>
      <w:pPr>
        <w:jc w:val="both"/>
        <w:ind w:firstLine="1296"/>
        <w:spacing w:after="0" w:line="203" w:lineRule="auto"/>
        <w:rPr>
          <w:sz w:val="20"/>
          <w:szCs w:val="20"/>
          <w:color w:val="auto"/>
        </w:rPr>
      </w:pPr>
      <w:r>
        <w:rPr>
          <w:rFonts w:ascii="Calibri" w:cs="Calibri" w:eastAsia="Calibri" w:hAnsi="Calibri"/>
          <w:sz w:val="20"/>
          <w:szCs w:val="20"/>
          <w:color w:val="auto"/>
        </w:rPr>
        <w:t xml:space="preserve">5.1.7 </w:t>
      </w:r>
      <w:r>
        <w:rPr>
          <w:rFonts w:ascii="Calibri" w:cs="Calibri" w:eastAsia="Calibri" w:hAnsi="Calibri"/>
          <w:sz w:val="20"/>
          <w:szCs w:val="20"/>
          <w:b w:val="1"/>
          <w:bCs w:val="1"/>
          <w:color w:val="auto"/>
        </w:rPr>
        <w:t>Direct Funding Disbursement Date Certfcate</w:t>
      </w:r>
      <w:r>
        <w:rPr>
          <w:rFonts w:ascii="Calibri" w:cs="Calibri" w:eastAsia="Calibri" w:hAnsi="Calibri"/>
          <w:sz w:val="20"/>
          <w:szCs w:val="20"/>
          <w:color w:val="auto"/>
        </w:rPr>
        <w:t>. The Department shall have received one (1) Business Day prior to the Direct Funding Disbursement Date, an Ofcer’s Certfcate of each Recipient Party, each substantally in the form of Exhibit D-1 (</w:t>
      </w:r>
      <w:r>
        <w:rPr>
          <w:rFonts w:ascii="Calibri" w:cs="Calibri" w:eastAsia="Calibri" w:hAnsi="Calibri"/>
          <w:sz w:val="20"/>
          <w:szCs w:val="20"/>
          <w:b w:val="1"/>
          <w:bCs w:val="1"/>
          <w:color w:val="auto"/>
        </w:rPr>
        <w:t>Form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of Recipient Direct Funding Disbursement Date Certfcate</w:t>
      </w:r>
      <w:r>
        <w:rPr>
          <w:rFonts w:ascii="Calibri" w:cs="Calibri" w:eastAsia="Calibri" w:hAnsi="Calibri"/>
          <w:sz w:val="20"/>
          <w:szCs w:val="20"/>
          <w:color w:val="auto"/>
        </w:rPr>
        <w:t>) or Exhibit D-2 (</w:t>
      </w:r>
      <w:r>
        <w:rPr>
          <w:rFonts w:ascii="Calibri" w:cs="Calibri" w:eastAsia="Calibri" w:hAnsi="Calibri"/>
          <w:sz w:val="20"/>
          <w:szCs w:val="20"/>
          <w:b w:val="1"/>
          <w:bCs w:val="1"/>
          <w:color w:val="auto"/>
        </w:rPr>
        <w:t>Form of Sponsor Guarantor Direct Funding Disbursement Date Certfcate</w:t>
      </w:r>
      <w:r>
        <w:rPr>
          <w:rFonts w:ascii="Calibri" w:cs="Calibri" w:eastAsia="Calibri" w:hAnsi="Calibri"/>
          <w:sz w:val="20"/>
          <w:szCs w:val="20"/>
          <w:color w:val="auto"/>
        </w:rPr>
        <w:t>).</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5.1.8</w:t>
      </w:r>
      <w:r>
        <w:rPr>
          <w:sz w:val="20"/>
          <w:szCs w:val="20"/>
          <w:color w:val="auto"/>
        </w:rPr>
        <w:tab/>
      </w:r>
      <w:r>
        <w:rPr>
          <w:rFonts w:ascii="Calibri" w:cs="Calibri" w:eastAsia="Calibri" w:hAnsi="Calibri"/>
          <w:sz w:val="20"/>
          <w:szCs w:val="20"/>
          <w:b w:val="1"/>
          <w:bCs w:val="1"/>
          <w:color w:val="auto"/>
        </w:rPr>
        <w:t xml:space="preserve">Real Property and Land Rights. </w:t>
      </w:r>
      <w:r>
        <w:rPr>
          <w:rFonts w:ascii="Calibri" w:cs="Calibri" w:eastAsia="Calibri" w:hAnsi="Calibri"/>
          <w:sz w:val="20"/>
          <w:szCs w:val="20"/>
          <w:color w:val="auto"/>
        </w:rPr>
        <w:t>With respect to the frst Direct Funding Disbursement for each Project, the</w:t>
      </w:r>
    </w:p>
    <w:p>
      <w:pPr>
        <w:spacing w:after="0" w:line="199" w:lineRule="auto"/>
        <w:rPr>
          <w:sz w:val="20"/>
          <w:szCs w:val="20"/>
          <w:color w:val="auto"/>
        </w:rPr>
      </w:pPr>
      <w:r>
        <w:rPr>
          <w:rFonts w:ascii="Calibri" w:cs="Calibri" w:eastAsia="Calibri" w:hAnsi="Calibri"/>
          <w:sz w:val="20"/>
          <w:szCs w:val="20"/>
          <w:color w:val="auto"/>
        </w:rPr>
        <w:t>Department shall have received:</w:t>
      </w:r>
    </w:p>
    <w:p>
      <w:pPr>
        <w:spacing w:after="0" w:line="157" w:lineRule="exact"/>
        <w:rPr>
          <w:sz w:val="20"/>
          <w:szCs w:val="20"/>
          <w:color w:val="auto"/>
        </w:rPr>
      </w:pPr>
    </w:p>
    <w:p>
      <w:pPr>
        <w:jc w:val="both"/>
        <w:ind w:firstLine="1952"/>
        <w:spacing w:after="0" w:line="203" w:lineRule="auto"/>
        <w:tabs>
          <w:tab w:leader="none" w:pos="2596" w:val="left"/>
        </w:tabs>
        <w:numPr>
          <w:ilvl w:val="0"/>
          <w:numId w:val="522"/>
        </w:numPr>
        <w:rPr>
          <w:rFonts w:ascii="Calibri" w:cs="Calibri" w:eastAsia="Calibri" w:hAnsi="Calibri"/>
          <w:sz w:val="20"/>
          <w:szCs w:val="20"/>
          <w:color w:val="auto"/>
        </w:rPr>
      </w:pPr>
      <w:r>
        <w:rPr>
          <w:rFonts w:ascii="Calibri" w:cs="Calibri" w:eastAsia="Calibri" w:hAnsi="Calibri"/>
          <w:sz w:val="20"/>
          <w:szCs w:val="20"/>
          <w:color w:val="auto"/>
        </w:rPr>
        <w:t>a site plan with respect to each Project, depictng the land and improvements (including then-existng improvements and site plan overlay) consttutng such Project and the relevant Project Site that is in form and substance satsfactory to the Department dated no earlier than six (6) months prior to the frst Direct Funding Disbursement Date (or dated as of such later date as reasonably acceptable to the Department);</w:t>
      </w:r>
    </w:p>
    <w:p>
      <w:pPr>
        <w:spacing w:after="0" w:line="155" w:lineRule="exact"/>
        <w:rPr>
          <w:rFonts w:ascii="Calibri" w:cs="Calibri" w:eastAsia="Calibri" w:hAnsi="Calibri"/>
          <w:sz w:val="20"/>
          <w:szCs w:val="20"/>
          <w:color w:val="auto"/>
        </w:rPr>
      </w:pPr>
    </w:p>
    <w:p>
      <w:pPr>
        <w:ind w:left="2600" w:hanging="648"/>
        <w:spacing w:after="0"/>
        <w:tabs>
          <w:tab w:leader="none" w:pos="2600" w:val="left"/>
        </w:tabs>
        <w:numPr>
          <w:ilvl w:val="0"/>
          <w:numId w:val="522"/>
        </w:numPr>
        <w:rPr>
          <w:rFonts w:ascii="Calibri" w:cs="Calibri" w:eastAsia="Calibri" w:hAnsi="Calibri"/>
          <w:sz w:val="20"/>
          <w:szCs w:val="20"/>
          <w:color w:val="auto"/>
        </w:rPr>
      </w:pPr>
      <w:r>
        <w:rPr>
          <w:rFonts w:ascii="Calibri" w:cs="Calibri" w:eastAsia="Calibri" w:hAnsi="Calibri"/>
          <w:sz w:val="20"/>
          <w:szCs w:val="20"/>
          <w:color w:val="auto"/>
        </w:rPr>
        <w:t>true and correct copies of any related documents material to any Project Site requested by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Department.</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5.1.9</w:t>
      </w:r>
      <w:r>
        <w:rPr>
          <w:sz w:val="20"/>
          <w:szCs w:val="20"/>
          <w:color w:val="auto"/>
        </w:rPr>
        <w:tab/>
      </w:r>
      <w:r>
        <w:rPr>
          <w:rFonts w:ascii="Calibri" w:cs="Calibri" w:eastAsia="Calibri" w:hAnsi="Calibri"/>
          <w:sz w:val="20"/>
          <w:szCs w:val="20"/>
          <w:b w:val="1"/>
          <w:bCs w:val="1"/>
          <w:color w:val="auto"/>
        </w:rPr>
        <w:t xml:space="preserve">Required Approvals. </w:t>
      </w:r>
      <w:r>
        <w:rPr>
          <w:rFonts w:ascii="Calibri" w:cs="Calibri" w:eastAsia="Calibri" w:hAnsi="Calibri"/>
          <w:sz w:val="20"/>
          <w:szCs w:val="20"/>
          <w:color w:val="auto"/>
        </w:rPr>
        <w:t>The Department shall have received:</w:t>
      </w:r>
    </w:p>
    <w:p>
      <w:pPr>
        <w:spacing w:after="0" w:line="157" w:lineRule="exact"/>
        <w:rPr>
          <w:sz w:val="20"/>
          <w:szCs w:val="20"/>
          <w:color w:val="auto"/>
        </w:rPr>
      </w:pPr>
    </w:p>
    <w:p>
      <w:pPr>
        <w:ind w:firstLine="1952"/>
        <w:spacing w:after="0" w:line="208" w:lineRule="auto"/>
        <w:tabs>
          <w:tab w:leader="none" w:pos="2596" w:val="left"/>
        </w:tabs>
        <w:numPr>
          <w:ilvl w:val="0"/>
          <w:numId w:val="523"/>
        </w:numPr>
        <w:rPr>
          <w:rFonts w:ascii="Calibri" w:cs="Calibri" w:eastAsia="Calibri" w:hAnsi="Calibri"/>
          <w:sz w:val="20"/>
          <w:szCs w:val="20"/>
          <w:color w:val="auto"/>
        </w:rPr>
      </w:pPr>
      <w:r>
        <w:rPr>
          <w:rFonts w:ascii="Calibri" w:cs="Calibri" w:eastAsia="Calibri" w:hAnsi="Calibri"/>
          <w:sz w:val="20"/>
          <w:szCs w:val="20"/>
          <w:color w:val="auto"/>
        </w:rPr>
        <w:t>copies of each Required Approval listed on the applicable Permitng Plan as required to have been obtained as of the relevant Direct Funding Disbursement Date and not previously provided by the Recipient to the Department; and</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0"/>
          <w:numId w:val="523"/>
        </w:numPr>
        <w:rPr>
          <w:rFonts w:ascii="Calibri" w:cs="Calibri" w:eastAsia="Calibri" w:hAnsi="Calibri"/>
          <w:sz w:val="20"/>
          <w:szCs w:val="20"/>
          <w:color w:val="auto"/>
        </w:rPr>
      </w:pPr>
      <w:r>
        <w:rPr>
          <w:rFonts w:ascii="Calibri" w:cs="Calibri" w:eastAsia="Calibri" w:hAnsi="Calibri"/>
          <w:sz w:val="20"/>
          <w:szCs w:val="20"/>
          <w:color w:val="auto"/>
        </w:rPr>
        <w:t>an Ofcer’s Certfcate of the Recipient, certfying that:</w:t>
      </w:r>
    </w:p>
    <w:p>
      <w:pPr>
        <w:spacing w:after="0" w:line="157" w:lineRule="exact"/>
        <w:rPr>
          <w:rFonts w:ascii="Calibri" w:cs="Calibri" w:eastAsia="Calibri" w:hAnsi="Calibri"/>
          <w:sz w:val="20"/>
          <w:szCs w:val="20"/>
          <w:color w:val="auto"/>
        </w:rPr>
      </w:pPr>
    </w:p>
    <w:p>
      <w:pPr>
        <w:ind w:right="20" w:firstLine="2600"/>
        <w:spacing w:after="0" w:line="214" w:lineRule="auto"/>
        <w:tabs>
          <w:tab w:leader="none" w:pos="3234" w:val="left"/>
        </w:tabs>
        <w:numPr>
          <w:ilvl w:val="1"/>
          <w:numId w:val="523"/>
        </w:numPr>
        <w:rPr>
          <w:rFonts w:ascii="Calibri" w:cs="Calibri" w:eastAsia="Calibri" w:hAnsi="Calibri"/>
          <w:sz w:val="20"/>
          <w:szCs w:val="20"/>
          <w:color w:val="auto"/>
        </w:rPr>
      </w:pPr>
      <w:r>
        <w:rPr>
          <w:rFonts w:ascii="Calibri" w:cs="Calibri" w:eastAsia="Calibri" w:hAnsi="Calibri"/>
          <w:sz w:val="20"/>
          <w:szCs w:val="20"/>
          <w:color w:val="auto"/>
        </w:rPr>
        <w:t>such copies are true, correct and complete (including all schedules, exhibits, atachments, supplements and amendments thereto and any related protocols or side leters);</w:t>
      </w:r>
    </w:p>
    <w:p>
      <w:pPr>
        <w:spacing w:after="0" w:line="158" w:lineRule="exact"/>
        <w:rPr>
          <w:rFonts w:ascii="Calibri" w:cs="Calibri" w:eastAsia="Calibri" w:hAnsi="Calibri"/>
          <w:sz w:val="20"/>
          <w:szCs w:val="20"/>
          <w:color w:val="auto"/>
        </w:rPr>
      </w:pPr>
    </w:p>
    <w:p>
      <w:pPr>
        <w:ind w:right="20" w:firstLine="2600"/>
        <w:spacing w:after="0" w:line="214" w:lineRule="auto"/>
        <w:tabs>
          <w:tab w:leader="none" w:pos="3240" w:val="left"/>
        </w:tabs>
        <w:numPr>
          <w:ilvl w:val="1"/>
          <w:numId w:val="523"/>
        </w:numPr>
        <w:rPr>
          <w:rFonts w:ascii="Calibri" w:cs="Calibri" w:eastAsia="Calibri" w:hAnsi="Calibri"/>
          <w:sz w:val="20"/>
          <w:szCs w:val="20"/>
          <w:color w:val="auto"/>
        </w:rPr>
      </w:pPr>
      <w:r>
        <w:rPr>
          <w:rFonts w:ascii="Calibri" w:cs="Calibri" w:eastAsia="Calibri" w:hAnsi="Calibri"/>
          <w:sz w:val="20"/>
          <w:szCs w:val="20"/>
          <w:color w:val="auto"/>
        </w:rPr>
        <w:t>no term or conditon of any such Required Approval has been amended from that delivered pursuant to this Secton 5.1.9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and</w:t>
      </w:r>
    </w:p>
    <w:p>
      <w:pPr>
        <w:spacing w:after="0" w:line="158" w:lineRule="exact"/>
        <w:rPr>
          <w:rFonts w:ascii="Calibri" w:cs="Calibri" w:eastAsia="Calibri" w:hAnsi="Calibri"/>
          <w:sz w:val="20"/>
          <w:szCs w:val="20"/>
          <w:color w:val="auto"/>
        </w:rPr>
      </w:pPr>
    </w:p>
    <w:p>
      <w:pPr>
        <w:jc w:val="both"/>
        <w:ind w:right="20" w:firstLine="2600"/>
        <w:spacing w:after="0" w:line="205" w:lineRule="auto"/>
        <w:tabs>
          <w:tab w:leader="none" w:pos="3246" w:val="left"/>
        </w:tabs>
        <w:numPr>
          <w:ilvl w:val="1"/>
          <w:numId w:val="523"/>
        </w:numPr>
        <w:rPr>
          <w:rFonts w:ascii="Calibri" w:cs="Calibri" w:eastAsia="Calibri" w:hAnsi="Calibri"/>
          <w:sz w:val="20"/>
          <w:szCs w:val="20"/>
          <w:color w:val="auto"/>
        </w:rPr>
      </w:pPr>
      <w:r>
        <w:rPr>
          <w:rFonts w:ascii="Calibri" w:cs="Calibri" w:eastAsia="Calibri" w:hAnsi="Calibri"/>
          <w:sz w:val="20"/>
          <w:szCs w:val="20"/>
          <w:color w:val="auto"/>
        </w:rPr>
        <w:t>each such Required Approval, is unconditonal (or, if conditonal, all conditons precedent (if any) to the efectveness of each Required Approval have been satsfed) and the Recipient has no reasonable basis to conclude that any such Required Approval already obtained will be revoked.</w:t>
      </w:r>
    </w:p>
    <w:p>
      <w:pPr>
        <w:spacing w:after="0" w:line="171"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5.1.10 </w:t>
      </w:r>
      <w:r>
        <w:rPr>
          <w:rFonts w:ascii="Calibri" w:cs="Calibri" w:eastAsia="Calibri" w:hAnsi="Calibri"/>
          <w:sz w:val="20"/>
          <w:szCs w:val="20"/>
          <w:b w:val="1"/>
          <w:bCs w:val="1"/>
          <w:color w:val="auto"/>
        </w:rPr>
        <w:t>Representatons and Warrantes</w:t>
      </w:r>
      <w:r>
        <w:rPr>
          <w:rFonts w:ascii="Calibri" w:cs="Calibri" w:eastAsia="Calibri" w:hAnsi="Calibri"/>
          <w:sz w:val="20"/>
          <w:szCs w:val="20"/>
          <w:color w:val="auto"/>
        </w:rPr>
        <w:t>. Each of the representatons and warrantes made (or deemed made) by the Recipient under this Agreement and the Sponsor Guarantor in the Sponsor Guarantee shall be true and correct in all material respects (except to the extent any such representaton and warranty itself is qualifed by “materiality,” “material adverse efect” or a similar qualifer, in which case it shall be true and correct in all respects (subject to any qualifcaton set forth in such representaton) as of the date such representaton or warranty is made (or deemed made), except to the extent such representaton or warranty is made only as of a specifc date or tme (in which event such representaton or warranty shall be true and correct as of such date or tme).</w:t>
      </w:r>
    </w:p>
    <w:p>
      <w:pPr>
        <w:spacing w:after="0" w:line="162"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5.1.11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The Recipient shall be in compliance with the covenants set forth in Annex D (</w:t>
      </w:r>
      <w:r>
        <w:rPr>
          <w:rFonts w:ascii="Calibri" w:cs="Calibri" w:eastAsia="Calibri" w:hAnsi="Calibri"/>
          <w:sz w:val="20"/>
          <w:szCs w:val="20"/>
          <w:b w:val="1"/>
          <w:bCs w:val="1"/>
          <w:color w:val="auto"/>
        </w:rPr>
        <w:t>Program</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applicable as of the Direct Funding Disbursement Date.</w:t>
      </w:r>
    </w:p>
    <w:p>
      <w:pPr>
        <w:spacing w:after="0" w:line="159"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5.1.12 </w:t>
      </w:r>
      <w:r>
        <w:rPr>
          <w:rFonts w:ascii="Calibri" w:cs="Calibri" w:eastAsia="Calibri" w:hAnsi="Calibri"/>
          <w:sz w:val="20"/>
          <w:szCs w:val="20"/>
          <w:b w:val="1"/>
          <w:bCs w:val="1"/>
          <w:color w:val="auto"/>
        </w:rPr>
        <w:t>No Default</w:t>
      </w:r>
      <w:r>
        <w:rPr>
          <w:rFonts w:ascii="Calibri" w:cs="Calibri" w:eastAsia="Calibri" w:hAnsi="Calibri"/>
          <w:sz w:val="20"/>
          <w:szCs w:val="20"/>
          <w:color w:val="auto"/>
        </w:rPr>
        <w:t>. No Event of Default or Potental Event of Default has occurred and is contnuing or would result from the making of such Direct Funding Disbursement or from the applicaton of the proceeds thereof.</w:t>
      </w:r>
    </w:p>
    <w:p>
      <w:pPr>
        <w:spacing w:after="0" w:line="159" w:lineRule="exact"/>
        <w:rPr>
          <w:sz w:val="20"/>
          <w:szCs w:val="20"/>
          <w:color w:val="auto"/>
        </w:rPr>
      </w:pPr>
    </w:p>
    <w:p>
      <w:pPr>
        <w:jc w:val="both"/>
        <w:ind w:firstLine="1296"/>
        <w:spacing w:after="0" w:line="214" w:lineRule="auto"/>
        <w:rPr>
          <w:sz w:val="20"/>
          <w:szCs w:val="20"/>
          <w:color w:val="auto"/>
        </w:rPr>
      </w:pPr>
      <w:r>
        <w:rPr>
          <w:rFonts w:ascii="Calibri" w:cs="Calibri" w:eastAsia="Calibri" w:hAnsi="Calibri"/>
          <w:sz w:val="20"/>
          <w:szCs w:val="20"/>
          <w:color w:val="auto"/>
        </w:rPr>
        <w:t xml:space="preserve">5.1.13 </w:t>
      </w:r>
      <w:r>
        <w:rPr>
          <w:rFonts w:ascii="Calibri" w:cs="Calibri" w:eastAsia="Calibri" w:hAnsi="Calibri"/>
          <w:sz w:val="20"/>
          <w:szCs w:val="20"/>
          <w:b w:val="1"/>
          <w:bCs w:val="1"/>
          <w:color w:val="auto"/>
        </w:rPr>
        <w:t>No Guardrail Suspension</w:t>
      </w:r>
      <w:r>
        <w:rPr>
          <w:rFonts w:ascii="Calibri" w:cs="Calibri" w:eastAsia="Calibri" w:hAnsi="Calibri"/>
          <w:sz w:val="20"/>
          <w:szCs w:val="20"/>
          <w:color w:val="auto"/>
        </w:rPr>
        <w:t>. The Secretary has not made any determinaton in accordance with the Guardrail Provisions to suspend the Recipient’s ability to request Direct Funding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384" w:right="339" w:bottom="1440" w:gutter="0" w:footer="0" w:header="0"/>
        </w:sectPr>
      </w:pPr>
    </w:p>
    <w:bookmarkStart w:id="452" w:name="page453"/>
    <w:bookmarkEnd w:id="452"/>
    <w:p>
      <w:pPr>
        <w:jc w:val="both"/>
        <w:ind w:firstLine="1296"/>
        <w:spacing w:after="0" w:line="205" w:lineRule="auto"/>
        <w:rPr>
          <w:sz w:val="20"/>
          <w:szCs w:val="20"/>
          <w:color w:val="auto"/>
        </w:rPr>
      </w:pPr>
      <w:r>
        <w:rPr>
          <w:rFonts w:ascii="Calibri" w:cs="Calibri" w:eastAsia="Calibri" w:hAnsi="Calibri"/>
          <w:sz w:val="20"/>
          <w:szCs w:val="20"/>
          <w:color w:val="auto"/>
        </w:rPr>
        <w:t xml:space="preserve">5.1.14 </w:t>
      </w:r>
      <w:r>
        <w:rPr>
          <w:rFonts w:ascii="Calibri" w:cs="Calibri" w:eastAsia="Calibri" w:hAnsi="Calibri"/>
          <w:sz w:val="20"/>
          <w:szCs w:val="20"/>
          <w:b w:val="1"/>
          <w:bCs w:val="1"/>
          <w:color w:val="auto"/>
        </w:rPr>
        <w:t>No Material Adverse Efect</w:t>
      </w:r>
      <w:r>
        <w:rPr>
          <w:rFonts w:ascii="Calibri" w:cs="Calibri" w:eastAsia="Calibri" w:hAnsi="Calibri"/>
          <w:sz w:val="20"/>
          <w:szCs w:val="20"/>
          <w:color w:val="auto"/>
        </w:rPr>
        <w:t>. No event or circumstance (including a change in law) shall have occurred or would reasonably be expected to occur with respect to the Recipient, any Recipient Party or any Project that has had, or would reasonably be expected to have, a Material Adverse Efect.</w:t>
      </w:r>
    </w:p>
    <w:p>
      <w:pPr>
        <w:spacing w:after="0" w:line="171" w:lineRule="exact"/>
        <w:rPr>
          <w:sz w:val="20"/>
          <w:szCs w:val="20"/>
          <w:color w:val="auto"/>
        </w:rPr>
      </w:pPr>
    </w:p>
    <w:p>
      <w:pPr>
        <w:jc w:val="both"/>
        <w:ind w:firstLine="1296"/>
        <w:spacing w:after="0" w:line="208" w:lineRule="auto"/>
        <w:rPr>
          <w:sz w:val="20"/>
          <w:szCs w:val="20"/>
          <w:color w:val="auto"/>
        </w:rPr>
      </w:pPr>
      <w:r>
        <w:rPr>
          <w:rFonts w:ascii="Calibri" w:cs="Calibri" w:eastAsia="Calibri" w:hAnsi="Calibri"/>
          <w:sz w:val="20"/>
          <w:szCs w:val="20"/>
          <w:color w:val="auto"/>
        </w:rPr>
        <w:t xml:space="preserve">5.1.15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The conditons precedent in Secton 3 of (</w:t>
      </w:r>
      <w:r>
        <w:rPr>
          <w:rFonts w:ascii="Calibri" w:cs="Calibri" w:eastAsia="Calibri" w:hAnsi="Calibri"/>
          <w:sz w:val="20"/>
          <w:szCs w:val="20"/>
          <w:b w:val="1"/>
          <w:bCs w:val="1"/>
          <w:color w:val="auto"/>
        </w:rPr>
        <w:t>Conditons Precedent to each Direct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Funding Disbursement</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have been satsfed.</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5.2. </w:t>
      </w:r>
      <w:r>
        <w:rPr>
          <w:rFonts w:ascii="Calibri" w:cs="Calibri" w:eastAsia="Calibri" w:hAnsi="Calibri"/>
          <w:sz w:val="20"/>
          <w:szCs w:val="20"/>
          <w:b w:val="1"/>
          <w:bCs w:val="1"/>
          <w:color w:val="auto"/>
        </w:rPr>
        <w:t>Conditons Precedent to Each Workforce Disbursement</w:t>
      </w:r>
      <w:r>
        <w:rPr>
          <w:rFonts w:ascii="Calibri" w:cs="Calibri" w:eastAsia="Calibri" w:hAnsi="Calibri"/>
          <w:sz w:val="20"/>
          <w:szCs w:val="20"/>
          <w:color w:val="auto"/>
        </w:rPr>
        <w:t>. With respect to each Project, the obligaton of the Department to make any Workforce Disbursement shall be subject to the prior satsfacton (or waiver in writng), of each of the conditons precedent set forth in Annex G (</w:t>
      </w:r>
      <w:r>
        <w:rPr>
          <w:rFonts w:ascii="Calibri" w:cs="Calibri" w:eastAsia="Calibri" w:hAnsi="Calibri"/>
          <w:sz w:val="20"/>
          <w:szCs w:val="20"/>
          <w:b w:val="1"/>
          <w:bCs w:val="1"/>
          <w:color w:val="auto"/>
        </w:rPr>
        <w:t>Direct Funding for Workforce Actvites</w:t>
      </w:r>
      <w:r>
        <w:rPr>
          <w:rFonts w:ascii="Calibri" w:cs="Calibri" w:eastAsia="Calibri" w:hAnsi="Calibri"/>
          <w:sz w:val="20"/>
          <w:szCs w:val="20"/>
          <w:color w:val="auto"/>
        </w:rPr>
        <w:t>).</w:t>
      </w:r>
    </w:p>
    <w:p>
      <w:pPr>
        <w:spacing w:after="0" w:line="14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6</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REPRESENTATIONS AND WARRANTIES</w:t>
      </w:r>
    </w:p>
    <w:p>
      <w:pPr>
        <w:spacing w:after="0" w:line="184"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The Recipient makes each of the following representatons and warrantes to and in favor of the Department as of (a) the Award Date; (b) each Disbursement Date; and (c) each Project Completon Date, as applicable (in all cases, both immediately before and immediately afer giving efect to the Disbursements, if any, being made on such date), except as such representatons and warrantes are expressly made as to an earlier date, in which case such representatons and warrantes will be true as of such earlier date:</w:t>
      </w:r>
    </w:p>
    <w:p>
      <w:pPr>
        <w:spacing w:after="0" w:line="172"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6.1. </w:t>
      </w:r>
      <w:r>
        <w:rPr>
          <w:rFonts w:ascii="Calibri" w:cs="Calibri" w:eastAsia="Calibri" w:hAnsi="Calibri"/>
          <w:sz w:val="20"/>
          <w:szCs w:val="20"/>
          <w:b w:val="1"/>
          <w:bCs w:val="1"/>
          <w:color w:val="auto"/>
        </w:rPr>
        <w:t>Organizaton</w:t>
      </w:r>
      <w:r>
        <w:rPr>
          <w:rFonts w:ascii="Calibri" w:cs="Calibri" w:eastAsia="Calibri" w:hAnsi="Calibri"/>
          <w:sz w:val="20"/>
          <w:szCs w:val="20"/>
          <w:color w:val="auto"/>
        </w:rPr>
        <w:t>. The Recipient (a) is a limited liability company, duly organized, validly existng and in good standing under the laws of the State of Delaware; (b) is duly qualifed to do business in the State of New York and in each other jurisdicton where the failure to so qualify would reasonably be expected to have a Material Adverse Efect; and (c) has all requisite company power and authority to (i) own or hold under lease and operate the property it purports to own or hold under lease; (ii) carry on its business as now being conducted and as proposed to be conducted in respect of the Project; (iii) incur Indebtedness and create Liens on all and any of its Propertes; and (iv) execute, deliver, perform and observe the terms and conditons of each of the Financing Documents to which it is a party.</w:t>
      </w:r>
    </w:p>
    <w:p>
      <w:pPr>
        <w:spacing w:after="0" w:line="163"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The Recipient has duly authorized, executed and delivered the Financing Documents to which it is a party, and neither its executon and delivery thereof nor its consummaton of the transactons contemplated hereby or thereby nor its compliance with the terms of this Agreement or thereof does or will (a) contravene its Organizatonal Documents or any Applicable Laws in any material respects; (b) contravene or result in any breach or consttute any default under any material Governmental Judgment; (c) contravene or result in any breach or consttute any default under any material agreement or instrument to which it is a party or by which it or any of its material Propertes related to any Project may be bound; or (d) require any material consent or approval of any Person other than the Required Approvals and any other consents or approvals that have been obtained and are in full force and efect.</w:t>
      </w:r>
    </w:p>
    <w:p>
      <w:pPr>
        <w:spacing w:after="0" w:line="163"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6.3.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The Recipient has conducted and is conductng its business and each Project in compliance with:</w:t>
      </w:r>
    </w:p>
    <w:p>
      <w:pPr>
        <w:spacing w:after="0" w:line="149" w:lineRule="exact"/>
        <w:rPr>
          <w:sz w:val="20"/>
          <w:szCs w:val="20"/>
          <w:color w:val="auto"/>
        </w:rPr>
      </w:pPr>
    </w:p>
    <w:p>
      <w:pPr>
        <w:ind w:left="2600" w:hanging="648"/>
        <w:spacing w:after="0"/>
        <w:tabs>
          <w:tab w:leader="none" w:pos="2600" w:val="left"/>
        </w:tabs>
        <w:numPr>
          <w:ilvl w:val="0"/>
          <w:numId w:val="524"/>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24"/>
        </w:numPr>
        <w:rPr>
          <w:rFonts w:ascii="Calibri" w:cs="Calibri" w:eastAsia="Calibri" w:hAnsi="Calibri"/>
          <w:sz w:val="20"/>
          <w:szCs w:val="20"/>
          <w:color w:val="auto"/>
        </w:rPr>
      </w:pPr>
      <w:r>
        <w:rPr>
          <w:rFonts w:ascii="Calibri" w:cs="Calibri" w:eastAsia="Calibri" w:hAnsi="Calibri"/>
          <w:sz w:val="20"/>
          <w:szCs w:val="20"/>
          <w:color w:val="auto"/>
        </w:rPr>
        <w:t xml:space="preserve">the Program Fraud Civil Remedies Act (31 U.S.C. § 3801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24"/>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24"/>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24"/>
        </w:numPr>
        <w:rPr>
          <w:rFonts w:ascii="Calibri" w:cs="Calibri" w:eastAsia="Calibri" w:hAnsi="Calibri"/>
          <w:sz w:val="20"/>
          <w:szCs w:val="20"/>
          <w:color w:val="auto"/>
        </w:rPr>
      </w:pPr>
      <w:r>
        <w:rPr>
          <w:rFonts w:ascii="Calibri" w:cs="Calibri" w:eastAsia="Calibri" w:hAnsi="Calibri"/>
          <w:sz w:val="20"/>
          <w:szCs w:val="20"/>
          <w:color w:val="auto"/>
        </w:rPr>
        <w:t>Civil False Claims Act (31 U.S.C. §§ 3729 - 3733);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384" w:right="339" w:bottom="1440" w:gutter="0" w:footer="0" w:header="0"/>
        </w:sectPr>
      </w:pPr>
    </w:p>
    <w:bookmarkStart w:id="453" w:name="page454"/>
    <w:bookmarkEnd w:id="453"/>
    <w:p>
      <w:pPr>
        <w:ind w:left="2600" w:hanging="648"/>
        <w:spacing w:after="0"/>
        <w:tabs>
          <w:tab w:leader="none" w:pos="2600" w:val="left"/>
        </w:tabs>
        <w:numPr>
          <w:ilvl w:val="0"/>
          <w:numId w:val="525"/>
        </w:numPr>
        <w:rPr>
          <w:rFonts w:ascii="Calibri" w:cs="Calibri" w:eastAsia="Calibri" w:hAnsi="Calibri"/>
          <w:sz w:val="20"/>
          <w:szCs w:val="20"/>
          <w:color w:val="auto"/>
        </w:rPr>
      </w:pPr>
      <w:r>
        <w:rPr>
          <w:rFonts w:ascii="Calibri" w:cs="Calibri" w:eastAsia="Calibri" w:hAnsi="Calibri"/>
          <w:sz w:val="20"/>
          <w:szCs w:val="20"/>
          <w:color w:val="auto"/>
        </w:rPr>
        <w:t xml:space="preserve">the Uniform Relocaton Assistance and Real Property Acquisiton Policies Act of 1970 (42 U.S.C. § 4601 </w:t>
      </w:r>
      <w:r>
        <w:rPr>
          <w:rFonts w:ascii="Calibri" w:cs="Calibri" w:eastAsia="Calibri" w:hAnsi="Calibri"/>
          <w:sz w:val="20"/>
          <w:szCs w:val="20"/>
          <w:i w:val="1"/>
          <w:iCs w:val="1"/>
          <w:color w:val="auto"/>
        </w:rPr>
        <w:t>et</w:t>
      </w:r>
    </w:p>
    <w:p>
      <w:pPr>
        <w:spacing w:after="0" w:line="199" w:lineRule="auto"/>
        <w:rPr>
          <w:rFonts w:ascii="Calibri" w:cs="Calibri" w:eastAsia="Calibri" w:hAnsi="Calibri"/>
          <w:sz w:val="20"/>
          <w:szCs w:val="20"/>
          <w:color w:val="auto"/>
        </w:rPr>
      </w:pPr>
      <w:r>
        <w:rPr>
          <w:rFonts w:ascii="Calibri" w:cs="Calibri" w:eastAsia="Calibri" w:hAnsi="Calibri"/>
          <w:sz w:val="20"/>
          <w:szCs w:val="20"/>
          <w:i w:val="1"/>
          <w:iCs w:val="1"/>
          <w:color w:val="auto"/>
        </w:rPr>
        <w:t>seq</w:t>
      </w:r>
      <w:r>
        <w:rPr>
          <w:rFonts w:ascii="Calibri" w:cs="Calibri" w:eastAsia="Calibri" w:hAnsi="Calibri"/>
          <w:sz w:val="20"/>
          <w:szCs w:val="20"/>
          <w:color w:val="auto"/>
        </w:rPr>
        <w:t>.) in all material respects;</w:t>
      </w:r>
    </w:p>
    <w:p>
      <w:pPr>
        <w:spacing w:after="0" w:line="157" w:lineRule="exact"/>
        <w:rPr>
          <w:rFonts w:ascii="Calibri" w:cs="Calibri" w:eastAsia="Calibri" w:hAnsi="Calibri"/>
          <w:sz w:val="20"/>
          <w:szCs w:val="20"/>
          <w:color w:val="auto"/>
        </w:rPr>
      </w:pPr>
    </w:p>
    <w:p>
      <w:pPr>
        <w:jc w:val="both"/>
        <w:ind w:firstLine="1952"/>
        <w:spacing w:after="0" w:line="205" w:lineRule="auto"/>
        <w:tabs>
          <w:tab w:leader="none" w:pos="2595" w:val="left"/>
        </w:tabs>
        <w:numPr>
          <w:ilvl w:val="0"/>
          <w:numId w:val="525"/>
        </w:numPr>
        <w:rPr>
          <w:rFonts w:ascii="Calibri" w:cs="Calibri" w:eastAsia="Calibri" w:hAnsi="Calibri"/>
          <w:sz w:val="20"/>
          <w:szCs w:val="20"/>
          <w:color w:val="auto"/>
        </w:rPr>
      </w:pPr>
      <w:r>
        <w:rPr>
          <w:rFonts w:ascii="Calibri" w:cs="Calibri" w:eastAsia="Calibri" w:hAnsi="Calibri"/>
          <w:sz w:val="20"/>
          <w:szCs w:val="20"/>
          <w:color w:val="auto"/>
        </w:rPr>
        <w:t xml:space="preserve">all applicable federal labor and employment laws, including Title VII of the Civil Rights Act of 1964 (42 U.S.C. § 2000e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the Fair Labor Standards Act (29 U.S.C. § 203), the Occupatonal Safety and Health Act (29 U.S.C. § 653) and the Natonal Labor Relatons Act (29 U.S.C. § 151 </w:t>
      </w:r>
      <w:r>
        <w:rPr>
          <w:rFonts w:ascii="Calibri" w:cs="Calibri" w:eastAsia="Calibri" w:hAnsi="Calibri"/>
          <w:sz w:val="20"/>
          <w:szCs w:val="20"/>
          <w:i w:val="1"/>
          <w:iCs w:val="1"/>
          <w:color w:val="auto"/>
        </w:rPr>
        <w:t>et seq</w:t>
      </w:r>
      <w:r>
        <w:rPr>
          <w:rFonts w:ascii="Calibri" w:cs="Calibri" w:eastAsia="Calibri" w:hAnsi="Calibri"/>
          <w:sz w:val="20"/>
          <w:szCs w:val="20"/>
          <w:color w:val="auto"/>
        </w:rPr>
        <w:t>.) in all material respects;</w:t>
      </w:r>
    </w:p>
    <w:p>
      <w:pPr>
        <w:spacing w:after="0" w:line="170"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525"/>
        </w:numPr>
        <w:rPr>
          <w:rFonts w:ascii="Calibri" w:cs="Calibri" w:eastAsia="Calibri" w:hAnsi="Calibri"/>
          <w:sz w:val="20"/>
          <w:szCs w:val="20"/>
          <w:color w:val="auto"/>
        </w:rPr>
      </w:pPr>
      <w:r>
        <w:rPr>
          <w:rFonts w:ascii="Calibri" w:cs="Calibri" w:eastAsia="Calibri" w:hAnsi="Calibri"/>
          <w:sz w:val="20"/>
          <w:szCs w:val="20"/>
          <w:color w:val="auto"/>
        </w:rPr>
        <w:t>all applicable Export Control Laws in all respects, except for any actual or potental violatons that involve only unintentonal minor, technical infractons, which either (i) were voluntarily self-disclosed to BIS within sixty (60) days of the Recipient Party becoming aware of the violaton, and, within sixty (60) days of disclosure resulted in the issuance of a warning or no acton leter by BIS; or (ii) otherwise could not reasonably be expected to give rise to an enforcement acton, or the impositon of any fne or penalty by any Governmental Authority; and</w:t>
      </w:r>
    </w:p>
    <w:p>
      <w:pPr>
        <w:spacing w:after="0" w:line="170" w:lineRule="exact"/>
        <w:rPr>
          <w:rFonts w:ascii="Calibri" w:cs="Calibri" w:eastAsia="Calibri" w:hAnsi="Calibri"/>
          <w:sz w:val="20"/>
          <w:szCs w:val="20"/>
          <w:color w:val="auto"/>
        </w:rPr>
      </w:pPr>
    </w:p>
    <w:p>
      <w:pPr>
        <w:jc w:val="both"/>
        <w:ind w:firstLine="1952"/>
        <w:spacing w:after="0" w:line="203" w:lineRule="auto"/>
        <w:tabs>
          <w:tab w:leader="none" w:pos="2586" w:val="left"/>
        </w:tabs>
        <w:numPr>
          <w:ilvl w:val="0"/>
          <w:numId w:val="525"/>
        </w:numPr>
        <w:rPr>
          <w:rFonts w:ascii="Calibri" w:cs="Calibri" w:eastAsia="Calibri" w:hAnsi="Calibri"/>
          <w:sz w:val="20"/>
          <w:szCs w:val="20"/>
          <w:color w:val="auto"/>
        </w:rPr>
      </w:pPr>
      <w:r>
        <w:rPr>
          <w:rFonts w:ascii="Calibri" w:cs="Calibri" w:eastAsia="Calibri" w:hAnsi="Calibri"/>
          <w:sz w:val="20"/>
          <w:szCs w:val="20"/>
          <w:color w:val="auto"/>
        </w:rPr>
        <w:t>without prejudice to Secton 6.2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Secton 6.3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Secton 6.6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Secton 6.7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Secton 6.15 (</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Secton 6.16 (</w:t>
      </w:r>
      <w:r>
        <w:rPr>
          <w:rFonts w:ascii="Calibri" w:cs="Calibri" w:eastAsia="Calibri" w:hAnsi="Calibri"/>
          <w:sz w:val="20"/>
          <w:szCs w:val="20"/>
          <w:b w:val="1"/>
          <w:bCs w:val="1"/>
          <w:color w:val="auto"/>
        </w:rPr>
        <w:t>Federal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Secton 6.17 (</w:t>
      </w:r>
      <w:r>
        <w:rPr>
          <w:rFonts w:ascii="Calibri" w:cs="Calibri" w:eastAsia="Calibri" w:hAnsi="Calibri"/>
          <w:sz w:val="20"/>
          <w:szCs w:val="20"/>
          <w:b w:val="1"/>
          <w:bCs w:val="1"/>
          <w:color w:val="auto"/>
        </w:rPr>
        <w:t>Foreign Entty of Concern; Prohibited Persons; Sanctons; Export Controls; Ant-Corrupton</w:t>
      </w:r>
      <w:r>
        <w:rPr>
          <w:rFonts w:ascii="Calibri" w:cs="Calibri" w:eastAsia="Calibri" w:hAnsi="Calibri"/>
          <w:sz w:val="20"/>
          <w:szCs w:val="20"/>
          <w:color w:val="auto"/>
        </w:rPr>
        <w:t>), all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Applicable Laws, Required Approvals and its Organizatonal Documents in all material respects.</w:t>
      </w:r>
    </w:p>
    <w:p>
      <w:pPr>
        <w:spacing w:after="0" w:line="160"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6.4. </w:t>
      </w:r>
      <w:r>
        <w:rPr>
          <w:rFonts w:ascii="Calibri" w:cs="Calibri" w:eastAsia="Calibri" w:hAnsi="Calibri"/>
          <w:sz w:val="20"/>
          <w:szCs w:val="20"/>
          <w:b w:val="1"/>
          <w:bCs w:val="1"/>
          <w:color w:val="auto"/>
        </w:rPr>
        <w:t>Legality; Validity; Enforceability</w:t>
      </w:r>
      <w:r>
        <w:rPr>
          <w:rFonts w:ascii="Calibri" w:cs="Calibri" w:eastAsia="Calibri" w:hAnsi="Calibri"/>
          <w:sz w:val="20"/>
          <w:szCs w:val="20"/>
          <w:color w:val="auto"/>
        </w:rPr>
        <w:t>. Assuming the duly authorized executon and delivery thereof by each other party thereto other than Recipient Party, each Financing Document to which the Recipient is (or will be when executed) a party consttutes (or, when executed, will consttute) a legal, valid and binding obligaton of the Recipient, enforceable against the Recipient in accordance with its terms, except as such enforceability may be limited by bankruptcy, insolvency, reorganizaton, receivership, moratorium or other Applicable Laws afectng creditors’ rights generally and by general principles of equity (whether enforcement is sought by proceedings in equity or at law).</w:t>
      </w:r>
    </w:p>
    <w:p>
      <w:pPr>
        <w:spacing w:after="0" w:line="153"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6.5.</w:t>
      </w:r>
      <w:r>
        <w:rPr>
          <w:sz w:val="20"/>
          <w:szCs w:val="20"/>
          <w:color w:val="auto"/>
        </w:rPr>
        <w:tab/>
      </w:r>
      <w:r>
        <w:rPr>
          <w:rFonts w:ascii="Calibri" w:cs="Calibri" w:eastAsia="Calibri" w:hAnsi="Calibri"/>
          <w:sz w:val="20"/>
          <w:szCs w:val="20"/>
          <w:b w:val="1"/>
          <w:bCs w:val="1"/>
          <w:color w:val="auto"/>
        </w:rPr>
        <w:t>Real Property</w:t>
      </w:r>
      <w:r>
        <w:rPr>
          <w:rFonts w:ascii="Calibri" w:cs="Calibri" w:eastAsia="Calibri" w:hAnsi="Calibri"/>
          <w:sz w:val="20"/>
          <w:szCs w:val="20"/>
          <w:color w:val="auto"/>
        </w:rPr>
        <w:t>.</w:t>
      </w:r>
    </w:p>
    <w:p>
      <w:pPr>
        <w:spacing w:after="0" w:line="171" w:lineRule="exact"/>
        <w:rPr>
          <w:sz w:val="20"/>
          <w:szCs w:val="20"/>
          <w:color w:val="auto"/>
        </w:rPr>
      </w:pPr>
    </w:p>
    <w:p>
      <w:pPr>
        <w:jc w:val="both"/>
        <w:ind w:firstLine="1952"/>
        <w:spacing w:after="0" w:line="203" w:lineRule="auto"/>
        <w:tabs>
          <w:tab w:leader="none" w:pos="2596" w:val="left"/>
        </w:tabs>
        <w:numPr>
          <w:ilvl w:val="0"/>
          <w:numId w:val="526"/>
        </w:numPr>
        <w:rPr>
          <w:rFonts w:ascii="Calibri" w:cs="Calibri" w:eastAsia="Calibri" w:hAnsi="Calibri"/>
          <w:sz w:val="20"/>
          <w:szCs w:val="20"/>
          <w:color w:val="auto"/>
        </w:rPr>
      </w:pPr>
      <w:r>
        <w:rPr>
          <w:rFonts w:ascii="Calibri" w:cs="Calibri" w:eastAsia="Calibri" w:hAnsi="Calibri"/>
          <w:sz w:val="20"/>
          <w:szCs w:val="20"/>
          <w:color w:val="auto"/>
        </w:rPr>
        <w:t>All material easements, leasehold and other property interests and utlity and other services, means of transportaton, facilites, other materials and rights held that are reasonably necessary for the constructon, completon and operaton of any Project have been obtained or are commercially available to such Project at the applicable Project Site as and when required to have been obtained for such Project.</w:t>
      </w:r>
    </w:p>
    <w:p>
      <w:pPr>
        <w:spacing w:after="0" w:line="159" w:lineRule="exact"/>
        <w:rPr>
          <w:rFonts w:ascii="Calibri" w:cs="Calibri" w:eastAsia="Calibri" w:hAnsi="Calibri"/>
          <w:sz w:val="20"/>
          <w:szCs w:val="20"/>
          <w:color w:val="auto"/>
        </w:rPr>
      </w:pPr>
    </w:p>
    <w:p>
      <w:pPr>
        <w:jc w:val="both"/>
        <w:ind w:right="20" w:firstLine="1952"/>
        <w:spacing w:after="0" w:line="203" w:lineRule="auto"/>
        <w:tabs>
          <w:tab w:leader="none" w:pos="2592" w:val="left"/>
        </w:tabs>
        <w:numPr>
          <w:ilvl w:val="0"/>
          <w:numId w:val="526"/>
        </w:numPr>
        <w:rPr>
          <w:rFonts w:ascii="Calibri" w:cs="Calibri" w:eastAsia="Calibri" w:hAnsi="Calibri"/>
          <w:sz w:val="20"/>
          <w:szCs w:val="20"/>
          <w:color w:val="auto"/>
        </w:rPr>
      </w:pPr>
      <w:r>
        <w:rPr>
          <w:rFonts w:ascii="Calibri" w:cs="Calibri" w:eastAsia="Calibri" w:hAnsi="Calibri"/>
          <w:sz w:val="20"/>
          <w:szCs w:val="20"/>
          <w:color w:val="auto"/>
        </w:rPr>
        <w:t>(i) Any Leases material to any Project and in existence on the date of this representaton and under which the Recipient is a lessee are valid and subsistng; (ii) the Recipient is not in default under any such Leases; (iii) the Recipient enjoys peaceful and undisturbed possession of all Property subject to such Leases; and (iv) the Recipient has the right to contnue to enjoy such possession during the tme when any Property is necessary for any Project, in each case, in all material respects.</w:t>
      </w:r>
    </w:p>
    <w:p>
      <w:pPr>
        <w:spacing w:after="0" w:line="159"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526"/>
        </w:numPr>
        <w:rPr>
          <w:rFonts w:ascii="Calibri" w:cs="Calibri" w:eastAsia="Calibri" w:hAnsi="Calibri"/>
          <w:sz w:val="20"/>
          <w:szCs w:val="20"/>
          <w:color w:val="auto"/>
        </w:rPr>
      </w:pPr>
      <w:r>
        <w:rPr>
          <w:rFonts w:ascii="Calibri" w:cs="Calibri" w:eastAsia="Calibri" w:hAnsi="Calibri"/>
          <w:sz w:val="20"/>
          <w:szCs w:val="20"/>
          <w:color w:val="auto"/>
        </w:rPr>
        <w:t>To the Recipient’s Knowledge, each Project Site is sufcient and appropriate in all material respects for the development, sitng, design, engineering, constructon, ownership, operaton, maintenance and use of the relevant Project as contemplated by the Award Documents.</w:t>
      </w:r>
    </w:p>
    <w:p>
      <w:pPr>
        <w:spacing w:after="0" w:line="158"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526"/>
        </w:numPr>
        <w:rPr>
          <w:rFonts w:ascii="Calibri" w:cs="Calibri" w:eastAsia="Calibri" w:hAnsi="Calibri"/>
          <w:sz w:val="20"/>
          <w:szCs w:val="20"/>
          <w:color w:val="auto"/>
        </w:rPr>
      </w:pPr>
      <w:r>
        <w:rPr>
          <w:rFonts w:ascii="Calibri" w:cs="Calibri" w:eastAsia="Calibri" w:hAnsi="Calibri"/>
          <w:sz w:val="20"/>
          <w:szCs w:val="20"/>
          <w:color w:val="auto"/>
        </w:rPr>
        <w:t>With respect to each Project Site, all of the improvements on such Project Site lie wholly within the boundaries and building restricton lines of such Project Site, and no improvements on adjoining propertes encroach upon such Project Site, and no improvements on such Project Site encroach upon or violate any easements or other encumbrances upon such Project Site, in each case, so as to materially impair the development, constructon, operaton, or use by (or for the beneft of) the Recipient of such Project Site for the applicable Project.</w:t>
      </w:r>
    </w:p>
    <w:p>
      <w:pPr>
        <w:spacing w:after="0" w:line="160" w:lineRule="exact"/>
        <w:rPr>
          <w:rFonts w:ascii="Calibri" w:cs="Calibri" w:eastAsia="Calibri" w:hAnsi="Calibri"/>
          <w:sz w:val="20"/>
          <w:szCs w:val="20"/>
          <w:color w:val="auto"/>
        </w:rPr>
      </w:pPr>
    </w:p>
    <w:p>
      <w:pPr>
        <w:ind w:firstLine="1952"/>
        <w:spacing w:after="0" w:line="214" w:lineRule="auto"/>
        <w:tabs>
          <w:tab w:leader="none" w:pos="2586" w:val="left"/>
        </w:tabs>
        <w:numPr>
          <w:ilvl w:val="0"/>
          <w:numId w:val="526"/>
        </w:numPr>
        <w:rPr>
          <w:rFonts w:ascii="Calibri" w:cs="Calibri" w:eastAsia="Calibri" w:hAnsi="Calibri"/>
          <w:sz w:val="20"/>
          <w:szCs w:val="20"/>
          <w:color w:val="auto"/>
        </w:rPr>
      </w:pPr>
      <w:r>
        <w:rPr>
          <w:rFonts w:ascii="Calibri" w:cs="Calibri" w:eastAsia="Calibri" w:hAnsi="Calibri"/>
          <w:sz w:val="20"/>
          <w:szCs w:val="20"/>
          <w:color w:val="auto"/>
        </w:rPr>
        <w:t>No condemnaton or adverse zoning or usage change proceeding has occurred been threatened against any of the Real Property that would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40"/>
          </w:cols>
          <w:pgMar w:left="320" w:top="1374" w:right="339" w:bottom="1440" w:gutter="0" w:footer="0" w:header="0"/>
        </w:sectPr>
      </w:pPr>
    </w:p>
    <w:bookmarkStart w:id="454" w:name="page455"/>
    <w:bookmarkEnd w:id="454"/>
    <w:p>
      <w:pPr>
        <w:ind w:right="20"/>
        <w:spacing w:after="0" w:line="214" w:lineRule="auto"/>
        <w:rPr>
          <w:sz w:val="20"/>
          <w:szCs w:val="20"/>
          <w:color w:val="auto"/>
        </w:rPr>
      </w:pPr>
      <w:r>
        <w:rPr>
          <w:rFonts w:ascii="Calibri" w:cs="Calibri" w:eastAsia="Calibri" w:hAnsi="Calibri"/>
          <w:sz w:val="20"/>
          <w:szCs w:val="20"/>
          <w:color w:val="auto"/>
        </w:rPr>
        <w:t>materially impair the development, constructon, operaton, access to or use by (or for the beneft of) the Recipient of any Project Site for any Project.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6.6.</w:t>
      </w:r>
      <w:r>
        <w:rPr>
          <w:sz w:val="20"/>
          <w:szCs w:val="20"/>
          <w:color w:val="auto"/>
        </w:rPr>
        <w:tab/>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w:t>
      </w:r>
    </w:p>
    <w:p>
      <w:pPr>
        <w:spacing w:after="0" w:line="147" w:lineRule="exact"/>
        <w:rPr>
          <w:sz w:val="20"/>
          <w:szCs w:val="20"/>
          <w:color w:val="auto"/>
        </w:rPr>
      </w:pPr>
    </w:p>
    <w:p>
      <w:pPr>
        <w:ind w:left="2600" w:hanging="648"/>
        <w:spacing w:after="0"/>
        <w:tabs>
          <w:tab w:leader="none" w:pos="2600" w:val="left"/>
        </w:tabs>
        <w:numPr>
          <w:ilvl w:val="0"/>
          <w:numId w:val="527"/>
        </w:numPr>
        <w:rPr>
          <w:rFonts w:ascii="Calibri" w:cs="Calibri" w:eastAsia="Calibri" w:hAnsi="Calibri"/>
          <w:sz w:val="20"/>
          <w:szCs w:val="20"/>
          <w:color w:val="auto"/>
        </w:rPr>
      </w:pPr>
      <w:r>
        <w:rPr>
          <w:rFonts w:ascii="Calibri" w:cs="Calibri" w:eastAsia="Calibri" w:hAnsi="Calibri"/>
          <w:sz w:val="20"/>
          <w:szCs w:val="20"/>
          <w:color w:val="auto"/>
        </w:rPr>
        <w:t>The Permitng Plans set forth all Required Approvals.</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27"/>
        </w:numPr>
        <w:rPr>
          <w:rFonts w:ascii="Calibri" w:cs="Calibri" w:eastAsia="Calibri" w:hAnsi="Calibri"/>
          <w:sz w:val="20"/>
          <w:szCs w:val="20"/>
          <w:color w:val="auto"/>
        </w:rPr>
      </w:pPr>
      <w:r>
        <w:rPr>
          <w:rFonts w:ascii="Calibri" w:cs="Calibri" w:eastAsia="Calibri" w:hAnsi="Calibri"/>
          <w:sz w:val="20"/>
          <w:szCs w:val="20"/>
          <w:color w:val="auto"/>
        </w:rPr>
        <w:t>Each Required Approval listed on the applicable Permitng Plan that is required to be obtained as of any date on which this representaton is made has been issued, and the Recipient has no reasonable basis to conclude that any such Required Approvals already obtained will be revoked.</w:t>
      </w:r>
    </w:p>
    <w:p>
      <w:pPr>
        <w:spacing w:after="0" w:line="157"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527"/>
        </w:numPr>
        <w:rPr>
          <w:rFonts w:ascii="Calibri" w:cs="Calibri" w:eastAsia="Calibri" w:hAnsi="Calibri"/>
          <w:sz w:val="20"/>
          <w:szCs w:val="20"/>
          <w:color w:val="auto"/>
        </w:rPr>
      </w:pPr>
      <w:r>
        <w:rPr>
          <w:rFonts w:ascii="Calibri" w:cs="Calibri" w:eastAsia="Calibri" w:hAnsi="Calibri"/>
          <w:sz w:val="20"/>
          <w:szCs w:val="20"/>
          <w:color w:val="auto"/>
        </w:rPr>
        <w:t>The Recipient has no reasonable basis to conclude that it or any other Recipient Party will be unable to obtain the Required Approvals applicable to it in the ordinary course of business and at such tme or tmes as may be necessary to avoid any material delay in, or impairment to the transactons contemplated by the Financing Documents.</w:t>
      </w:r>
    </w:p>
    <w:p>
      <w:pPr>
        <w:spacing w:after="0" w:line="158"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27"/>
        </w:numPr>
        <w:rPr>
          <w:rFonts w:ascii="Calibri" w:cs="Calibri" w:eastAsia="Calibri" w:hAnsi="Calibri"/>
          <w:sz w:val="20"/>
          <w:szCs w:val="20"/>
          <w:color w:val="auto"/>
        </w:rPr>
      </w:pPr>
      <w:r>
        <w:rPr>
          <w:rFonts w:ascii="Calibri" w:cs="Calibri" w:eastAsia="Calibri" w:hAnsi="Calibri"/>
          <w:sz w:val="20"/>
          <w:szCs w:val="20"/>
          <w:color w:val="auto"/>
        </w:rPr>
        <w:t>Each Recipient Party is in compliance in all material respects with all Required Approvals that have been obtained by, or are otherwise applicable to, such Recipient Party.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6.7.</w:t>
      </w:r>
      <w:r>
        <w:rPr>
          <w:sz w:val="20"/>
          <w:szCs w:val="20"/>
          <w:color w:val="auto"/>
        </w:rPr>
        <w:tab/>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w:t>
      </w:r>
    </w:p>
    <w:p>
      <w:pPr>
        <w:spacing w:after="0" w:line="157" w:lineRule="exact"/>
        <w:rPr>
          <w:sz w:val="20"/>
          <w:szCs w:val="20"/>
          <w:color w:val="auto"/>
        </w:rPr>
      </w:pPr>
    </w:p>
    <w:p>
      <w:pPr>
        <w:ind w:firstLine="1952"/>
        <w:spacing w:after="0" w:line="214" w:lineRule="auto"/>
        <w:tabs>
          <w:tab w:leader="none" w:pos="2596" w:val="left"/>
        </w:tabs>
        <w:numPr>
          <w:ilvl w:val="0"/>
          <w:numId w:val="528"/>
        </w:numPr>
        <w:rPr>
          <w:rFonts w:ascii="Calibri" w:cs="Calibri" w:eastAsia="Calibri" w:hAnsi="Calibri"/>
          <w:sz w:val="20"/>
          <w:szCs w:val="20"/>
          <w:color w:val="auto"/>
        </w:rPr>
      </w:pPr>
      <w:r>
        <w:rPr>
          <w:rFonts w:ascii="Calibri" w:cs="Calibri" w:eastAsia="Calibri" w:hAnsi="Calibri"/>
          <w:sz w:val="20"/>
          <w:szCs w:val="20"/>
          <w:color w:val="auto"/>
        </w:rPr>
        <w:t>The Recipient owns or holds a valid and enforceable license, permit, certfcate, franchise, or other authorizaton or right to use all know-how included in the Project IP.</w:t>
      </w:r>
    </w:p>
    <w:p>
      <w:pPr>
        <w:spacing w:after="0" w:line="158"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28"/>
        </w:numPr>
        <w:rPr>
          <w:rFonts w:ascii="Calibri" w:cs="Calibri" w:eastAsia="Calibri" w:hAnsi="Calibri"/>
          <w:sz w:val="20"/>
          <w:szCs w:val="20"/>
          <w:color w:val="auto"/>
        </w:rPr>
      </w:pPr>
      <w:r>
        <w:rPr>
          <w:rFonts w:ascii="Calibri" w:cs="Calibri" w:eastAsia="Calibri" w:hAnsi="Calibri"/>
          <w:sz w:val="20"/>
          <w:szCs w:val="20"/>
          <w:color w:val="auto"/>
        </w:rPr>
        <w:t>To the Recipient’s Knowledge, neither the Recipient nor the Sponsor Guarantor is in material breach of or default under any Project IP Agreement then in efect. To the Recipient’s Knowledge, there are no facts or circumstances that would be reasonably expected (afer the giving of notce, the lapse of tme, or both) to give rise to any revocaton or terminaton of any material Project IP Agreement, or the Recipient’s rights or licenses to Project IP thereunder.</w:t>
      </w:r>
    </w:p>
    <w:p>
      <w:pPr>
        <w:spacing w:after="0" w:line="159" w:lineRule="exact"/>
        <w:rPr>
          <w:rFonts w:ascii="Calibri" w:cs="Calibri" w:eastAsia="Calibri" w:hAnsi="Calibri"/>
          <w:sz w:val="20"/>
          <w:szCs w:val="20"/>
          <w:color w:val="auto"/>
        </w:rPr>
      </w:pPr>
    </w:p>
    <w:p>
      <w:pPr>
        <w:ind w:firstLine="1952"/>
        <w:spacing w:after="0" w:line="214" w:lineRule="auto"/>
        <w:tabs>
          <w:tab w:leader="none" w:pos="2584" w:val="left"/>
        </w:tabs>
        <w:numPr>
          <w:ilvl w:val="0"/>
          <w:numId w:val="528"/>
        </w:numPr>
        <w:rPr>
          <w:rFonts w:ascii="Calibri" w:cs="Calibri" w:eastAsia="Calibri" w:hAnsi="Calibri"/>
          <w:sz w:val="20"/>
          <w:szCs w:val="20"/>
          <w:color w:val="auto"/>
        </w:rPr>
      </w:pPr>
      <w:r>
        <w:rPr>
          <w:rFonts w:ascii="Calibri" w:cs="Calibri" w:eastAsia="Calibri" w:hAnsi="Calibri"/>
          <w:sz w:val="20"/>
          <w:szCs w:val="20"/>
          <w:color w:val="auto"/>
        </w:rPr>
        <w:t>The Recipient owns or holds a valid and enforceable license or other authorizaton or right to use, sufcient know-how to operate and maintain the Existng Facilites to manufacture the Product.</w:t>
      </w:r>
    </w:p>
    <w:p>
      <w:pPr>
        <w:spacing w:after="0" w:line="158"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28"/>
        </w:numPr>
        <w:rPr>
          <w:rFonts w:ascii="Calibri" w:cs="Calibri" w:eastAsia="Calibri" w:hAnsi="Calibri"/>
          <w:sz w:val="20"/>
          <w:szCs w:val="20"/>
          <w:color w:val="auto"/>
        </w:rPr>
      </w:pPr>
      <w:r>
        <w:rPr>
          <w:rFonts w:ascii="Calibri" w:cs="Calibri" w:eastAsia="Calibri" w:hAnsi="Calibri"/>
          <w:sz w:val="20"/>
          <w:szCs w:val="20"/>
          <w:color w:val="auto"/>
        </w:rPr>
        <w:t>There is no agreement that materially restricts Recipient’s ability to use Project IP to achieve any Disbursement Milestone by the respectve Milestone Completon Longstop Date.</w:t>
      </w:r>
    </w:p>
    <w:p>
      <w:pPr>
        <w:spacing w:after="0" w:line="159"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6.8. </w:t>
      </w:r>
      <w:r>
        <w:rPr>
          <w:rFonts w:ascii="Calibri" w:cs="Calibri" w:eastAsia="Calibri" w:hAnsi="Calibri"/>
          <w:sz w:val="20"/>
          <w:szCs w:val="20"/>
          <w:b w:val="1"/>
          <w:bCs w:val="1"/>
          <w:color w:val="auto"/>
        </w:rPr>
        <w:t>Litgaton</w:t>
      </w:r>
      <w:r>
        <w:rPr>
          <w:rFonts w:ascii="Calibri" w:cs="Calibri" w:eastAsia="Calibri" w:hAnsi="Calibri"/>
          <w:sz w:val="20"/>
          <w:szCs w:val="20"/>
          <w:color w:val="auto"/>
        </w:rPr>
        <w:t>. Except (x) as expressly set forth on Schedule E (</w:t>
      </w:r>
      <w:r>
        <w:rPr>
          <w:rFonts w:ascii="Calibri" w:cs="Calibri" w:eastAsia="Calibri" w:hAnsi="Calibri"/>
          <w:sz w:val="20"/>
          <w:szCs w:val="20"/>
          <w:b w:val="1"/>
          <w:bCs w:val="1"/>
          <w:color w:val="auto"/>
        </w:rPr>
        <w:t>Litgaton</w:t>
      </w:r>
      <w:r>
        <w:rPr>
          <w:rFonts w:ascii="Calibri" w:cs="Calibri" w:eastAsia="Calibri" w:hAnsi="Calibri"/>
          <w:sz w:val="20"/>
          <w:szCs w:val="20"/>
          <w:color w:val="auto"/>
        </w:rPr>
        <w:t>) (as such schedule may be updated from tme to tme upon writen notce to the Department), and (y) as set forth in forms, reports, statements or certfcatons and other documents (including all exhibits, amendments and supplements thereto) furnished to or fled from tme to tme (including afer the date hereof) with the U.S. Securites and Exchange Commission by the Sponsor Guarantor, there is no pending material Acton or, to the Recipient’s Knowledge, threatened Acton (in writng) that the Recipient reasonably believes is likely to result in a material Acton that relates to:</w:t>
      </w:r>
    </w:p>
    <w:p>
      <w:pPr>
        <w:spacing w:after="0" w:line="160" w:lineRule="exact"/>
        <w:rPr>
          <w:sz w:val="20"/>
          <w:szCs w:val="20"/>
          <w:color w:val="auto"/>
        </w:rPr>
      </w:pPr>
    </w:p>
    <w:p>
      <w:pPr>
        <w:ind w:left="1960"/>
        <w:spacing w:after="0"/>
        <w:tabs>
          <w:tab w:leader="none" w:pos="2580" w:val="left"/>
        </w:tabs>
        <w:rPr>
          <w:sz w:val="20"/>
          <w:szCs w:val="20"/>
          <w:color w:val="auto"/>
        </w:rPr>
      </w:pPr>
      <w:r>
        <w:rPr>
          <w:rFonts w:ascii="Calibri" w:cs="Calibri" w:eastAsia="Calibri" w:hAnsi="Calibri"/>
          <w:sz w:val="20"/>
          <w:szCs w:val="20"/>
          <w:color w:val="auto"/>
        </w:rPr>
        <w:t>(a)</w:t>
      </w:r>
      <w:r>
        <w:rPr>
          <w:sz w:val="20"/>
          <w:szCs w:val="20"/>
          <w:color w:val="auto"/>
        </w:rPr>
        <w:tab/>
      </w:r>
      <w:r>
        <w:rPr>
          <w:rFonts w:ascii="Calibri" w:cs="Calibri" w:eastAsia="Calibri" w:hAnsi="Calibri"/>
          <w:sz w:val="20"/>
          <w:szCs w:val="20"/>
          <w:color w:val="auto"/>
        </w:rPr>
        <w:t>the legality, validity or enforceability of any Financing Document or any transacton contemplated</w:t>
      </w:r>
    </w:p>
    <w:p>
      <w:pPr>
        <w:spacing w:after="0" w:line="199" w:lineRule="auto"/>
        <w:rPr>
          <w:sz w:val="20"/>
          <w:szCs w:val="20"/>
          <w:color w:val="auto"/>
        </w:rPr>
      </w:pPr>
      <w:r>
        <w:rPr>
          <w:rFonts w:ascii="Calibri" w:cs="Calibri" w:eastAsia="Calibri" w:hAnsi="Calibri"/>
          <w:sz w:val="20"/>
          <w:szCs w:val="20"/>
          <w:color w:val="auto"/>
        </w:rPr>
        <w:t>thereby;</w:t>
      </w:r>
    </w:p>
    <w:p>
      <w:pPr>
        <w:spacing w:after="0" w:line="147" w:lineRule="exact"/>
        <w:rPr>
          <w:sz w:val="20"/>
          <w:szCs w:val="20"/>
          <w:color w:val="auto"/>
        </w:rPr>
      </w:pPr>
    </w:p>
    <w:p>
      <w:pPr>
        <w:ind w:left="2600" w:hanging="648"/>
        <w:spacing w:after="0"/>
        <w:tabs>
          <w:tab w:leader="none" w:pos="2600" w:val="left"/>
        </w:tabs>
        <w:numPr>
          <w:ilvl w:val="0"/>
          <w:numId w:val="529"/>
        </w:numPr>
        <w:rPr>
          <w:rFonts w:ascii="Calibri" w:cs="Calibri" w:eastAsia="Calibri" w:hAnsi="Calibri"/>
          <w:sz w:val="20"/>
          <w:szCs w:val="20"/>
          <w:color w:val="auto"/>
        </w:rPr>
      </w:pPr>
      <w:r>
        <w:rPr>
          <w:rFonts w:ascii="Calibri" w:cs="Calibri" w:eastAsia="Calibri" w:hAnsi="Calibri"/>
          <w:sz w:val="20"/>
          <w:szCs w:val="20"/>
          <w:color w:val="auto"/>
        </w:rPr>
        <w:t>any Project and that has, or would reasonably be expected to cause, a Material Adverse Efect; or</w:t>
      </w:r>
    </w:p>
    <w:p>
      <w:pPr>
        <w:spacing w:after="0" w:line="157" w:lineRule="exact"/>
        <w:rPr>
          <w:rFonts w:ascii="Calibri" w:cs="Calibri" w:eastAsia="Calibri" w:hAnsi="Calibri"/>
          <w:sz w:val="20"/>
          <w:szCs w:val="20"/>
          <w:color w:val="auto"/>
        </w:rPr>
      </w:pPr>
    </w:p>
    <w:p>
      <w:pPr>
        <w:ind w:firstLine="1952"/>
        <w:spacing w:after="0" w:line="214" w:lineRule="auto"/>
        <w:tabs>
          <w:tab w:leader="none" w:pos="2584" w:val="left"/>
        </w:tabs>
        <w:numPr>
          <w:ilvl w:val="0"/>
          <w:numId w:val="529"/>
        </w:numPr>
        <w:rPr>
          <w:rFonts w:ascii="Calibri" w:cs="Calibri" w:eastAsia="Calibri" w:hAnsi="Calibri"/>
          <w:sz w:val="20"/>
          <w:szCs w:val="20"/>
          <w:color w:val="auto"/>
        </w:rPr>
      </w:pPr>
      <w:r>
        <w:rPr>
          <w:rFonts w:ascii="Calibri" w:cs="Calibri" w:eastAsia="Calibri" w:hAnsi="Calibri"/>
          <w:sz w:val="20"/>
          <w:szCs w:val="20"/>
          <w:color w:val="auto"/>
        </w:rPr>
        <w:t>any Recipient Party that, either individually or in the aggregate, has, or would reasonably be expected to cause, a Material Adverse 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384" w:right="339" w:bottom="1440" w:gutter="0" w:footer="0" w:header="0"/>
        </w:sectPr>
      </w:pPr>
    </w:p>
    <w:bookmarkStart w:id="455" w:name="page456"/>
    <w:bookmarkEnd w:id="455"/>
    <w:p>
      <w:pPr>
        <w:ind w:firstLine="648"/>
        <w:spacing w:after="0" w:line="214" w:lineRule="auto"/>
        <w:rPr>
          <w:sz w:val="20"/>
          <w:szCs w:val="20"/>
          <w:color w:val="auto"/>
        </w:rPr>
      </w:pPr>
      <w:r>
        <w:rPr>
          <w:rFonts w:ascii="Calibri" w:cs="Calibri" w:eastAsia="Calibri" w:hAnsi="Calibri"/>
          <w:sz w:val="20"/>
          <w:szCs w:val="20"/>
          <w:color w:val="auto"/>
        </w:rPr>
        <w:t xml:space="preserve">Secton 6.9. </w:t>
      </w:r>
      <w:r>
        <w:rPr>
          <w:rFonts w:ascii="Calibri" w:cs="Calibri" w:eastAsia="Calibri" w:hAnsi="Calibri"/>
          <w:sz w:val="20"/>
          <w:szCs w:val="20"/>
          <w:b w:val="1"/>
          <w:bCs w:val="1"/>
          <w:color w:val="auto"/>
        </w:rPr>
        <w:t>Labor Disputes</w:t>
      </w:r>
      <w:r>
        <w:rPr>
          <w:rFonts w:ascii="Calibri" w:cs="Calibri" w:eastAsia="Calibri" w:hAnsi="Calibri"/>
          <w:sz w:val="20"/>
          <w:szCs w:val="20"/>
          <w:color w:val="auto"/>
        </w:rPr>
        <w:t>. There are no strikes, slowdowns or work stoppages ongoing or threatened in writng by the employees of any Recipient that have caused or would reasonably be expected to cause a Material Adverse Efect.</w:t>
      </w:r>
    </w:p>
    <w:p>
      <w:pPr>
        <w:spacing w:after="0" w:line="149"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6.10.</w:t>
      </w:r>
      <w:r>
        <w:rPr>
          <w:sz w:val="20"/>
          <w:szCs w:val="20"/>
          <w:color w:val="auto"/>
        </w:rPr>
        <w:tab/>
      </w:r>
      <w:r>
        <w:rPr>
          <w:rFonts w:ascii="Calibri" w:cs="Calibri" w:eastAsia="Calibri" w:hAnsi="Calibri"/>
          <w:sz w:val="19"/>
          <w:szCs w:val="19"/>
          <w:b w:val="1"/>
          <w:bCs w:val="1"/>
          <w:color w:val="auto"/>
        </w:rPr>
        <w:t>Taxes</w:t>
      </w:r>
      <w:r>
        <w:rPr>
          <w:rFonts w:ascii="Calibri" w:cs="Calibri" w:eastAsia="Calibri" w:hAnsi="Calibri"/>
          <w:sz w:val="19"/>
          <w:szCs w:val="19"/>
          <w:color w:val="auto"/>
        </w:rPr>
        <w:t>.</w:t>
      </w:r>
    </w:p>
    <w:p>
      <w:pPr>
        <w:spacing w:after="0" w:line="147" w:lineRule="exact"/>
        <w:rPr>
          <w:sz w:val="20"/>
          <w:szCs w:val="20"/>
          <w:color w:val="auto"/>
        </w:rPr>
      </w:pPr>
    </w:p>
    <w:p>
      <w:pPr>
        <w:ind w:left="2600" w:hanging="648"/>
        <w:spacing w:after="0"/>
        <w:tabs>
          <w:tab w:leader="none" w:pos="2600" w:val="left"/>
        </w:tabs>
        <w:numPr>
          <w:ilvl w:val="1"/>
          <w:numId w:val="530"/>
        </w:numPr>
        <w:rPr>
          <w:rFonts w:ascii="Calibri" w:cs="Calibri" w:eastAsia="Calibri" w:hAnsi="Calibri"/>
          <w:sz w:val="20"/>
          <w:szCs w:val="20"/>
          <w:color w:val="auto"/>
        </w:rPr>
      </w:pPr>
      <w:r>
        <w:rPr>
          <w:rFonts w:ascii="Calibri" w:cs="Calibri" w:eastAsia="Calibri" w:hAnsi="Calibri"/>
          <w:sz w:val="20"/>
          <w:szCs w:val="20"/>
          <w:color w:val="auto"/>
        </w:rPr>
        <w:t>The Recipient has (i) fled all tax returns required by Applicable Laws to be fled by it; and (ii) has paid:</w:t>
      </w:r>
    </w:p>
    <w:p>
      <w:pPr>
        <w:jc w:val="both"/>
        <w:ind w:firstLine="8"/>
        <w:spacing w:after="0" w:line="194" w:lineRule="auto"/>
        <w:tabs>
          <w:tab w:leader="none" w:pos="295" w:val="left"/>
        </w:tabs>
        <w:numPr>
          <w:ilvl w:val="0"/>
          <w:numId w:val="531"/>
        </w:numPr>
        <w:rPr>
          <w:rFonts w:ascii="Calibri" w:cs="Calibri" w:eastAsia="Calibri" w:hAnsi="Calibri"/>
          <w:sz w:val="20"/>
          <w:szCs w:val="20"/>
          <w:color w:val="auto"/>
        </w:rPr>
      </w:pPr>
      <w:r>
        <w:rPr>
          <w:rFonts w:ascii="Calibri" w:cs="Calibri" w:eastAsia="Calibri" w:hAnsi="Calibri"/>
          <w:sz w:val="20"/>
          <w:szCs w:val="20"/>
          <w:color w:val="auto"/>
        </w:rPr>
        <w:t>all income Taxes that have become due pursuant to such tax returns; and (B) all other material Taxes and assessments payable by it that have become due (other than those Taxes that it is contestng in good faith and by appropriate proceedings, for which reserves have been established to the extent required by the Applicable Accountng Requirements on the books of the applicable Recipient Party).</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1"/>
          <w:numId w:val="531"/>
        </w:numPr>
        <w:rPr>
          <w:rFonts w:ascii="Calibri" w:cs="Calibri" w:eastAsia="Calibri" w:hAnsi="Calibri"/>
          <w:sz w:val="20"/>
          <w:szCs w:val="20"/>
          <w:color w:val="auto"/>
        </w:rPr>
      </w:pPr>
      <w:r>
        <w:rPr>
          <w:rFonts w:ascii="Calibri" w:cs="Calibri" w:eastAsia="Calibri" w:hAnsi="Calibri"/>
          <w:sz w:val="20"/>
          <w:szCs w:val="20"/>
          <w:color w:val="auto"/>
        </w:rPr>
        <w:t>The Recipient has not been convicted of a criminal ofense under the Internal Revenue Code.</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6.11.</w:t>
      </w:r>
      <w:r>
        <w:rPr>
          <w:sz w:val="20"/>
          <w:szCs w:val="20"/>
          <w:color w:val="auto"/>
        </w:rPr>
        <w:tab/>
      </w:r>
      <w:r>
        <w:rPr>
          <w:rFonts w:ascii="Calibri" w:cs="Calibri" w:eastAsia="Calibri" w:hAnsi="Calibri"/>
          <w:sz w:val="19"/>
          <w:szCs w:val="19"/>
          <w:b w:val="1"/>
          <w:bCs w:val="1"/>
          <w:color w:val="auto"/>
        </w:rPr>
        <w:t>Financial Statements</w:t>
      </w:r>
      <w:r>
        <w:rPr>
          <w:rFonts w:ascii="Calibri" w:cs="Calibri" w:eastAsia="Calibri" w:hAnsi="Calibri"/>
          <w:sz w:val="19"/>
          <w:szCs w:val="19"/>
          <w:color w:val="auto"/>
        </w:rPr>
        <w:t>.</w:t>
      </w:r>
    </w:p>
    <w:p>
      <w:pPr>
        <w:spacing w:after="0" w:line="157" w:lineRule="exact"/>
        <w:rPr>
          <w:sz w:val="20"/>
          <w:szCs w:val="20"/>
          <w:color w:val="auto"/>
        </w:rPr>
      </w:pPr>
    </w:p>
    <w:p>
      <w:pPr>
        <w:jc w:val="both"/>
        <w:ind w:firstLine="1952"/>
        <w:spacing w:after="0" w:line="199" w:lineRule="auto"/>
        <w:tabs>
          <w:tab w:leader="none" w:pos="2596" w:val="left"/>
        </w:tabs>
        <w:numPr>
          <w:ilvl w:val="0"/>
          <w:numId w:val="532"/>
        </w:numPr>
        <w:rPr>
          <w:rFonts w:ascii="Calibri" w:cs="Calibri" w:eastAsia="Calibri" w:hAnsi="Calibri"/>
          <w:sz w:val="20"/>
          <w:szCs w:val="20"/>
          <w:color w:val="auto"/>
        </w:rPr>
      </w:pPr>
      <w:r>
        <w:rPr>
          <w:rFonts w:ascii="Calibri" w:cs="Calibri" w:eastAsia="Calibri" w:hAnsi="Calibri"/>
          <w:sz w:val="20"/>
          <w:szCs w:val="20"/>
          <w:color w:val="auto"/>
        </w:rPr>
        <w:t>Each of the Financial Statements of each Recipient Party delivered to the Department pursuant to Annex F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(i) has been prepared in accordance with the Applicable Accountng Requirements, on a Consolidated Basis, and presents fairly, in all material respects, the fnancial conditon of such Recipient Party as of the respectve dates of the Financial Statements for the respectve periods covered therein; and (ii) refects all liabilites or obligatons of such Recipient Party and other informaton of any nature whatsoever for the period to which such Financial Statements relate and that are required to be disclosed in accordance with Applicable Accountng Requirements.</w:t>
      </w:r>
    </w:p>
    <w:p>
      <w:pPr>
        <w:spacing w:after="0" w:line="175"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32"/>
        </w:numPr>
        <w:rPr>
          <w:rFonts w:ascii="Calibri" w:cs="Calibri" w:eastAsia="Calibri" w:hAnsi="Calibri"/>
          <w:sz w:val="20"/>
          <w:szCs w:val="20"/>
          <w:color w:val="auto"/>
        </w:rPr>
      </w:pPr>
      <w:r>
        <w:rPr>
          <w:rFonts w:ascii="Calibri" w:cs="Calibri" w:eastAsia="Calibri" w:hAnsi="Calibri"/>
          <w:sz w:val="20"/>
          <w:szCs w:val="20"/>
          <w:color w:val="auto"/>
        </w:rPr>
        <w:t>Since the date of delivery of such Financial Statements, or the respectve date of such Financial Statements, whichever is earlier, such Recipient Party, has not incurred or assumed any liabilites or obligatons that would be required to be recognized in such Financial Statements in accordance with the Applicable Accountng Requirements, except to the extent such liabilites or obligatons have been disclosed to the Department in writng.</w:t>
      </w:r>
    </w:p>
    <w:p>
      <w:pPr>
        <w:spacing w:after="0" w:line="150"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6.12.</w:t>
      </w:r>
      <w:r>
        <w:rPr>
          <w:sz w:val="20"/>
          <w:szCs w:val="20"/>
          <w:color w:val="auto"/>
        </w:rPr>
        <w:tab/>
      </w:r>
      <w:r>
        <w:rPr>
          <w:rFonts w:ascii="Calibri" w:cs="Calibri" w:eastAsia="Calibri" w:hAnsi="Calibri"/>
          <w:sz w:val="20"/>
          <w:szCs w:val="20"/>
          <w:b w:val="1"/>
          <w:bCs w:val="1"/>
          <w:color w:val="auto"/>
        </w:rPr>
        <w:t>Contracts; Other Transactons.</w:t>
      </w:r>
    </w:p>
    <w:p>
      <w:pPr>
        <w:spacing w:after="0" w:line="157" w:lineRule="exact"/>
        <w:rPr>
          <w:sz w:val="20"/>
          <w:szCs w:val="20"/>
          <w:color w:val="auto"/>
        </w:rPr>
      </w:pPr>
    </w:p>
    <w:p>
      <w:pPr>
        <w:ind w:firstLine="1952"/>
        <w:spacing w:after="0" w:line="214" w:lineRule="auto"/>
        <w:tabs>
          <w:tab w:leader="none" w:pos="2596" w:val="left"/>
        </w:tabs>
        <w:numPr>
          <w:ilvl w:val="0"/>
          <w:numId w:val="533"/>
        </w:numPr>
        <w:rPr>
          <w:rFonts w:ascii="Calibri" w:cs="Calibri" w:eastAsia="Calibri" w:hAnsi="Calibri"/>
          <w:sz w:val="20"/>
          <w:szCs w:val="20"/>
          <w:color w:val="auto"/>
        </w:rPr>
      </w:pPr>
      <w:r>
        <w:rPr>
          <w:rFonts w:ascii="Calibri" w:cs="Calibri" w:eastAsia="Calibri" w:hAnsi="Calibri"/>
          <w:sz w:val="20"/>
          <w:szCs w:val="20"/>
          <w:color w:val="auto"/>
        </w:rPr>
        <w:t>Except as expressly set forth on Schedule E (</w:t>
      </w:r>
      <w:r>
        <w:rPr>
          <w:rFonts w:ascii="Calibri" w:cs="Calibri" w:eastAsia="Calibri" w:hAnsi="Calibri"/>
          <w:sz w:val="20"/>
          <w:szCs w:val="20"/>
          <w:b w:val="1"/>
          <w:bCs w:val="1"/>
          <w:color w:val="auto"/>
        </w:rPr>
        <w:t>Afliate Transacton)</w:t>
      </w:r>
      <w:r>
        <w:rPr>
          <w:rFonts w:ascii="Calibri" w:cs="Calibri" w:eastAsia="Calibri" w:hAnsi="Calibri"/>
          <w:sz w:val="20"/>
          <w:szCs w:val="20"/>
          <w:color w:val="auto"/>
        </w:rPr>
        <w:t xml:space="preserve"> or as set forth in clause (b) below, the Recipient is not a party to any contract or agreement with, and does not have any other loan commitment to, any Afliate.</w:t>
      </w:r>
    </w:p>
    <w:p>
      <w:pPr>
        <w:spacing w:after="0" w:line="158"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533"/>
        </w:numPr>
        <w:rPr>
          <w:rFonts w:ascii="Calibri" w:cs="Calibri" w:eastAsia="Calibri" w:hAnsi="Calibri"/>
          <w:sz w:val="20"/>
          <w:szCs w:val="20"/>
          <w:color w:val="auto"/>
        </w:rPr>
      </w:pPr>
      <w:r>
        <w:rPr>
          <w:rFonts w:ascii="Calibri" w:cs="Calibri" w:eastAsia="Calibri" w:hAnsi="Calibri"/>
          <w:sz w:val="20"/>
          <w:szCs w:val="20"/>
          <w:color w:val="auto"/>
        </w:rPr>
        <w:t>The Recipient has not (i) entered into any transacton or series of related transactons with respect to any Project with any Person (including any Afliate) other than in the ordinary course of business and on an arm’s-length basis; or (ii) entered into any transacton with respect to any Project whereby the Recipient might pay more than the fair market value for products of others.</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33"/>
        </w:numPr>
        <w:rPr>
          <w:rFonts w:ascii="Calibri" w:cs="Calibri" w:eastAsia="Calibri" w:hAnsi="Calibri"/>
          <w:sz w:val="20"/>
          <w:szCs w:val="20"/>
          <w:color w:val="auto"/>
        </w:rPr>
      </w:pPr>
      <w:r>
        <w:rPr>
          <w:rFonts w:ascii="Calibri" w:cs="Calibri" w:eastAsia="Calibri" w:hAnsi="Calibri"/>
          <w:sz w:val="20"/>
          <w:szCs w:val="20"/>
          <w:color w:val="auto"/>
        </w:rPr>
        <w:t>The Recipient has no Subsidiaries and does not legally or benefcially own any Equity Interests of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other Person.</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6.13.</w:t>
      </w:r>
      <w:r>
        <w:rPr>
          <w:sz w:val="20"/>
          <w:szCs w:val="20"/>
          <w:color w:val="auto"/>
        </w:rPr>
        <w:tab/>
      </w:r>
      <w:r>
        <w:rPr>
          <w:rFonts w:ascii="Calibri" w:cs="Calibri" w:eastAsia="Calibri" w:hAnsi="Calibri"/>
          <w:sz w:val="20"/>
          <w:szCs w:val="20"/>
          <w:b w:val="1"/>
          <w:bCs w:val="1"/>
          <w:color w:val="auto"/>
        </w:rPr>
        <w:t>Constructon and Tool Installaton Budget; Project Schedule</w:t>
      </w:r>
      <w:r>
        <w:rPr>
          <w:rFonts w:ascii="Calibri" w:cs="Calibri" w:eastAsia="Calibri" w:hAnsi="Calibri"/>
          <w:sz w:val="20"/>
          <w:szCs w:val="20"/>
          <w:color w:val="auto"/>
        </w:rPr>
        <w:t>.</w:t>
      </w:r>
    </w:p>
    <w:p>
      <w:pPr>
        <w:spacing w:after="0" w:line="147" w:lineRule="exact"/>
        <w:rPr>
          <w:sz w:val="20"/>
          <w:szCs w:val="20"/>
          <w:color w:val="auto"/>
        </w:rPr>
      </w:pPr>
    </w:p>
    <w:p>
      <w:pPr>
        <w:ind w:left="2600" w:hanging="648"/>
        <w:spacing w:after="0"/>
        <w:tabs>
          <w:tab w:leader="none" w:pos="2600" w:val="left"/>
        </w:tabs>
        <w:numPr>
          <w:ilvl w:val="0"/>
          <w:numId w:val="534"/>
        </w:numPr>
        <w:rPr>
          <w:rFonts w:ascii="Calibri" w:cs="Calibri" w:eastAsia="Calibri" w:hAnsi="Calibri"/>
          <w:sz w:val="20"/>
          <w:szCs w:val="20"/>
          <w:color w:val="auto"/>
        </w:rPr>
      </w:pPr>
      <w:r>
        <w:rPr>
          <w:rFonts w:ascii="Calibri" w:cs="Calibri" w:eastAsia="Calibri" w:hAnsi="Calibri"/>
          <w:sz w:val="20"/>
          <w:szCs w:val="20"/>
          <w:color w:val="auto"/>
        </w:rPr>
        <w:t>The Constructon and Tool Installaton Budget as of the Award Date and each Disbursement Date:</w:t>
      </w:r>
    </w:p>
    <w:p>
      <w:pPr>
        <w:spacing w:after="0" w:line="170" w:lineRule="exact"/>
        <w:rPr>
          <w:rFonts w:ascii="Calibri" w:cs="Calibri" w:eastAsia="Calibri" w:hAnsi="Calibri"/>
          <w:sz w:val="20"/>
          <w:szCs w:val="20"/>
          <w:color w:val="auto"/>
        </w:rPr>
      </w:pPr>
    </w:p>
    <w:p>
      <w:pPr>
        <w:ind w:right="20" w:firstLine="2600"/>
        <w:spacing w:after="0" w:line="208" w:lineRule="auto"/>
        <w:tabs>
          <w:tab w:leader="none" w:pos="3234" w:val="left"/>
        </w:tabs>
        <w:numPr>
          <w:ilvl w:val="1"/>
          <w:numId w:val="534"/>
        </w:numPr>
        <w:rPr>
          <w:rFonts w:ascii="Calibri" w:cs="Calibri" w:eastAsia="Calibri" w:hAnsi="Calibri"/>
          <w:sz w:val="20"/>
          <w:szCs w:val="20"/>
          <w:color w:val="auto"/>
        </w:rPr>
      </w:pPr>
      <w:r>
        <w:rPr>
          <w:rFonts w:ascii="Calibri" w:cs="Calibri" w:eastAsia="Calibri" w:hAnsi="Calibri"/>
          <w:sz w:val="20"/>
          <w:szCs w:val="20"/>
          <w:color w:val="auto"/>
        </w:rPr>
        <w:t>is complete, in all material respects, and based upon assumptons believed by the Recipient to be reasonable as of the tme such Constructon and Tool Installaton Budget was prepared;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14</w:t>
      </w:r>
    </w:p>
    <w:p>
      <w:pPr>
        <w:sectPr>
          <w:pgSz w:w="11900" w:h="16838" w:orient="portrait"/>
          <w:cols w:equalWidth="0" w:num="1">
            <w:col w:w="11240"/>
          </w:cols>
          <w:pgMar w:left="320" w:top="1384" w:right="339" w:bottom="1440" w:gutter="0" w:footer="0" w:header="0"/>
        </w:sectPr>
      </w:pPr>
    </w:p>
    <w:bookmarkStart w:id="456" w:name="page457"/>
    <w:bookmarkEnd w:id="456"/>
    <w:p>
      <w:pPr>
        <w:ind w:left="3240" w:hanging="640"/>
        <w:spacing w:after="0"/>
        <w:tabs>
          <w:tab w:leader="none" w:pos="3240" w:val="left"/>
        </w:tabs>
        <w:numPr>
          <w:ilvl w:val="0"/>
          <w:numId w:val="535"/>
        </w:numPr>
        <w:rPr>
          <w:rFonts w:ascii="Calibri" w:cs="Calibri" w:eastAsia="Calibri" w:hAnsi="Calibri"/>
          <w:sz w:val="20"/>
          <w:szCs w:val="20"/>
          <w:color w:val="auto"/>
        </w:rPr>
      </w:pPr>
      <w:r>
        <w:rPr>
          <w:rFonts w:ascii="Calibri" w:cs="Calibri" w:eastAsia="Calibri" w:hAnsi="Calibri"/>
          <w:sz w:val="20"/>
          <w:szCs w:val="20"/>
          <w:color w:val="auto"/>
        </w:rPr>
        <w:t>is consistent, in all material respects, with the provisions of the applicable Project Documents;</w:t>
      </w:r>
    </w:p>
    <w:p>
      <w:pPr>
        <w:spacing w:after="0" w:line="199" w:lineRule="auto"/>
        <w:rPr>
          <w:sz w:val="20"/>
          <w:szCs w:val="20"/>
          <w:color w:val="auto"/>
        </w:rPr>
      </w:pPr>
      <w:r>
        <w:rPr>
          <w:rFonts w:ascii="Calibri" w:cs="Calibri" w:eastAsia="Calibri" w:hAnsi="Calibri"/>
          <w:sz w:val="20"/>
          <w:szCs w:val="20"/>
          <w:color w:val="auto"/>
        </w:rPr>
        <w:t>and</w:t>
      </w:r>
    </w:p>
    <w:p>
      <w:pPr>
        <w:spacing w:after="0" w:line="147" w:lineRule="exact"/>
        <w:rPr>
          <w:sz w:val="20"/>
          <w:szCs w:val="20"/>
          <w:color w:val="auto"/>
        </w:rPr>
      </w:pPr>
    </w:p>
    <w:p>
      <w:pPr>
        <w:ind w:left="3260" w:hanging="660"/>
        <w:spacing w:after="0"/>
        <w:tabs>
          <w:tab w:leader="none" w:pos="3260" w:val="left"/>
        </w:tabs>
        <w:numPr>
          <w:ilvl w:val="1"/>
          <w:numId w:val="536"/>
        </w:numPr>
        <w:rPr>
          <w:rFonts w:ascii="Calibri" w:cs="Calibri" w:eastAsia="Calibri" w:hAnsi="Calibri"/>
          <w:sz w:val="20"/>
          <w:szCs w:val="20"/>
          <w:color w:val="auto"/>
        </w:rPr>
      </w:pPr>
      <w:r>
        <w:rPr>
          <w:rFonts w:ascii="Calibri" w:cs="Calibri" w:eastAsia="Calibri" w:hAnsi="Calibri"/>
          <w:sz w:val="20"/>
          <w:szCs w:val="20"/>
          <w:color w:val="auto"/>
        </w:rPr>
        <w:t>has been prepared in good faith and with due care.</w:t>
      </w:r>
    </w:p>
    <w:p>
      <w:pPr>
        <w:spacing w:after="0" w:line="157"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37"/>
        </w:numPr>
        <w:rPr>
          <w:rFonts w:ascii="Calibri" w:cs="Calibri" w:eastAsia="Calibri" w:hAnsi="Calibri"/>
          <w:sz w:val="20"/>
          <w:szCs w:val="20"/>
          <w:color w:val="auto"/>
        </w:rPr>
      </w:pPr>
      <w:r>
        <w:rPr>
          <w:rFonts w:ascii="Calibri" w:cs="Calibri" w:eastAsia="Calibri" w:hAnsi="Calibri"/>
          <w:sz w:val="20"/>
          <w:szCs w:val="20"/>
          <w:color w:val="auto"/>
        </w:rPr>
        <w:t>With respect to each Project, the Constructon and Tool Installaton Budget as of the Award Date and each Disbursement Date represents the Recipient’s best estmate of Total Project Costs antcipated to be incurred to achieve the Project Completon Date for such Project by the fnal Milestone Completon Longstop Date set forth in Schedule B (</w:t>
      </w:r>
      <w:r>
        <w:rPr>
          <w:rFonts w:ascii="Calibri" w:cs="Calibri" w:eastAsia="Calibri" w:hAnsi="Calibri"/>
          <w:sz w:val="20"/>
          <w:szCs w:val="20"/>
          <w:b w:val="1"/>
          <w:bCs w:val="1"/>
          <w:color w:val="auto"/>
        </w:rPr>
        <w:t>Project Milestone Schedule</w:t>
      </w:r>
      <w:r>
        <w:rPr>
          <w:rFonts w:ascii="Calibri" w:cs="Calibri" w:eastAsia="Calibri" w:hAnsi="Calibri"/>
          <w:sz w:val="20"/>
          <w:szCs w:val="20"/>
          <w:color w:val="auto"/>
        </w:rPr>
        <w:t>) based on reasonable assumptons as of the tme such Constructon and Tool Installaton Budget was prepared.</w:t>
      </w:r>
    </w:p>
    <w:p>
      <w:pPr>
        <w:spacing w:after="0" w:line="173" w:lineRule="exact"/>
        <w:rPr>
          <w:rFonts w:ascii="Calibri" w:cs="Calibri" w:eastAsia="Calibri" w:hAnsi="Calibri"/>
          <w:sz w:val="20"/>
          <w:szCs w:val="20"/>
          <w:color w:val="auto"/>
        </w:rPr>
      </w:pPr>
    </w:p>
    <w:p>
      <w:pPr>
        <w:jc w:val="both"/>
        <w:ind w:firstLine="1952"/>
        <w:spacing w:after="0" w:line="198" w:lineRule="auto"/>
        <w:tabs>
          <w:tab w:leader="none" w:pos="2584" w:val="left"/>
        </w:tabs>
        <w:numPr>
          <w:ilvl w:val="0"/>
          <w:numId w:val="537"/>
        </w:numPr>
        <w:rPr>
          <w:rFonts w:ascii="Calibri" w:cs="Calibri" w:eastAsia="Calibri" w:hAnsi="Calibri"/>
          <w:sz w:val="20"/>
          <w:szCs w:val="20"/>
          <w:color w:val="auto"/>
        </w:rPr>
      </w:pPr>
      <w:r>
        <w:rPr>
          <w:rFonts w:ascii="Calibri" w:cs="Calibri" w:eastAsia="Calibri" w:hAnsi="Calibri"/>
          <w:sz w:val="20"/>
          <w:szCs w:val="20"/>
          <w:color w:val="auto"/>
        </w:rPr>
        <w:t>As of the applicable Disbursement Date, (i) no Constructon and Tool Installaton Budget for any Project has been amended or changed to refect that the Total Project Costs for such Project exceed ffeen percent (15%) (or ten percent (10%) if the Sponsor Guarantor does not hold an Investment Grade Ratng as of such Disbursement Date) of the Total Project Costs for such Project as set forth in the Base Case Financial Model; or (ii) (A) the Constructon and Tool Installaton Budget for a Project has been amended or changed to refect that the Total Project Costs for such Project exceed ffeen percent (15%) (or ten percent (10%) if the Sponsor Guarantor does not hold an Investment Grade Ratng as of such Disbursement Date) of the Total Project Costs for such Project as set forth in the Base Case Financial Model; and (B) the Recipient is commited to contnue implementaton of such Project and does not have any intentons to Abandon such Project.</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537"/>
        </w:numPr>
        <w:rPr>
          <w:rFonts w:ascii="Calibri" w:cs="Calibri" w:eastAsia="Calibri" w:hAnsi="Calibri"/>
          <w:sz w:val="20"/>
          <w:szCs w:val="20"/>
          <w:color w:val="auto"/>
        </w:rPr>
      </w:pPr>
      <w:r>
        <w:rPr>
          <w:rFonts w:ascii="Calibri" w:cs="Calibri" w:eastAsia="Calibri" w:hAnsi="Calibri"/>
          <w:sz w:val="20"/>
          <w:szCs w:val="20"/>
          <w:color w:val="auto"/>
        </w:rPr>
        <w:t>The Recipient’s good faith estmate and belief is that, for each Project, the Project Completon Date will occur no later than the applicable Project Completon Clawback Date.</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6.14. </w:t>
      </w:r>
      <w:r>
        <w:rPr>
          <w:rFonts w:ascii="Calibri" w:cs="Calibri" w:eastAsia="Calibri" w:hAnsi="Calibri"/>
          <w:sz w:val="20"/>
          <w:szCs w:val="20"/>
          <w:b w:val="1"/>
          <w:bCs w:val="1"/>
          <w:color w:val="auto"/>
        </w:rPr>
        <w:t>Adequate Project Funding</w:t>
      </w:r>
      <w:r>
        <w:rPr>
          <w:rFonts w:ascii="Calibri" w:cs="Calibri" w:eastAsia="Calibri" w:hAnsi="Calibri"/>
          <w:sz w:val="20"/>
          <w:szCs w:val="20"/>
          <w:color w:val="auto"/>
        </w:rPr>
        <w:t>. The Total Funding Available for each Project (taking into account the fnancial resources of the Sponsor Guarantor to increase its Equity Commitment thereunder) will be sufcient to pay all remaining Project Costs for such Project and to achieve the Project Completon Date for such Project by no later than the fnal Milestone Completon Longstop Date set forth in the Disbursement Milestone Schedule for such Project.</w:t>
      </w:r>
    </w:p>
    <w:p>
      <w:pPr>
        <w:spacing w:after="0" w:line="16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6.15.</w:t>
      </w:r>
      <w:r>
        <w:rPr>
          <w:sz w:val="20"/>
          <w:szCs w:val="20"/>
          <w:color w:val="auto"/>
        </w:rPr>
        <w:tab/>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3" w:lineRule="auto"/>
        <w:tabs>
          <w:tab w:leader="none" w:pos="2596" w:val="left"/>
        </w:tabs>
        <w:numPr>
          <w:ilvl w:val="0"/>
          <w:numId w:val="538"/>
        </w:numPr>
        <w:rPr>
          <w:rFonts w:ascii="Calibri" w:cs="Calibri" w:eastAsia="Calibri" w:hAnsi="Calibri"/>
          <w:sz w:val="20"/>
          <w:szCs w:val="20"/>
          <w:color w:val="auto"/>
        </w:rPr>
      </w:pPr>
      <w:r>
        <w:rPr>
          <w:rFonts w:ascii="Calibri" w:cs="Calibri" w:eastAsia="Calibri" w:hAnsi="Calibri"/>
          <w:sz w:val="20"/>
          <w:szCs w:val="20"/>
          <w:color w:val="auto"/>
        </w:rPr>
        <w:t>All Required Approvals that are required to be obtained for any Project as of each date on which this representaton is given relatng to (i) air emissions; (ii) discharges to surface water or ground water; (iii) noise emissions; (iv) the use, generaton, storage, transportaton or disposal of Hazardous Substances; or (v) otherwise required under applicable Environmental Law have been obtained.</w:t>
      </w:r>
    </w:p>
    <w:p>
      <w:pPr>
        <w:spacing w:after="0" w:line="159"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538"/>
        </w:numPr>
        <w:rPr>
          <w:rFonts w:ascii="Calibri" w:cs="Calibri" w:eastAsia="Calibri" w:hAnsi="Calibri"/>
          <w:sz w:val="20"/>
          <w:szCs w:val="20"/>
          <w:color w:val="auto"/>
        </w:rPr>
      </w:pPr>
      <w:r>
        <w:rPr>
          <w:rFonts w:ascii="Calibri" w:cs="Calibri" w:eastAsia="Calibri" w:hAnsi="Calibri"/>
          <w:sz w:val="20"/>
          <w:szCs w:val="20"/>
          <w:color w:val="auto"/>
        </w:rPr>
        <w:t>The Recipient has not received, and is not aware of, any facts or circumstances that would reasonably be expected to result in, any complaint, order, directve, claim, citaton or notce arising under Environmental Law by any Governmental Authority that has, or would reasonably be expected to become, material.</w:t>
      </w:r>
    </w:p>
    <w:p>
      <w:pPr>
        <w:spacing w:after="0" w:line="158"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538"/>
        </w:numPr>
        <w:rPr>
          <w:rFonts w:ascii="Calibri" w:cs="Calibri" w:eastAsia="Calibri" w:hAnsi="Calibri"/>
          <w:sz w:val="20"/>
          <w:szCs w:val="20"/>
          <w:color w:val="auto"/>
        </w:rPr>
      </w:pPr>
      <w:r>
        <w:rPr>
          <w:rFonts w:ascii="Calibri" w:cs="Calibri" w:eastAsia="Calibri" w:hAnsi="Calibri"/>
          <w:sz w:val="20"/>
          <w:szCs w:val="20"/>
          <w:color w:val="auto"/>
        </w:rPr>
        <w:t>The Recipient has not received notce of, and is not aware of, any conditon, circumstance, acton, actvity or event with respect to any Project, the Recipient, or any Project Site that would reasonably form the basis of any material violaton of any Environmental Law or that would reasonably be expected to have a Material Adverse Efect.</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0"/>
          <w:numId w:val="538"/>
        </w:numPr>
        <w:rPr>
          <w:rFonts w:ascii="Calibri" w:cs="Calibri" w:eastAsia="Calibri" w:hAnsi="Calibri"/>
          <w:sz w:val="20"/>
          <w:szCs w:val="20"/>
          <w:color w:val="auto"/>
        </w:rPr>
      </w:pPr>
      <w:r>
        <w:rPr>
          <w:rFonts w:ascii="Calibri" w:cs="Calibri" w:eastAsia="Calibri" w:hAnsi="Calibri"/>
          <w:sz w:val="20"/>
          <w:szCs w:val="20"/>
          <w:color w:val="auto"/>
        </w:rPr>
        <w:t>The Recipient is in compliance with all applicable Environmental Laws in all material respects.</w:t>
      </w:r>
    </w:p>
    <w:p>
      <w:pPr>
        <w:spacing w:after="0" w:line="157" w:lineRule="exact"/>
        <w:rPr>
          <w:rFonts w:ascii="Calibri" w:cs="Calibri" w:eastAsia="Calibri" w:hAnsi="Calibri"/>
          <w:sz w:val="20"/>
          <w:szCs w:val="20"/>
          <w:color w:val="auto"/>
        </w:rPr>
      </w:pPr>
    </w:p>
    <w:p>
      <w:pPr>
        <w:jc w:val="both"/>
        <w:ind w:firstLine="1952"/>
        <w:spacing w:after="0" w:line="203" w:lineRule="auto"/>
        <w:tabs>
          <w:tab w:leader="none" w:pos="2586" w:val="left"/>
        </w:tabs>
        <w:numPr>
          <w:ilvl w:val="0"/>
          <w:numId w:val="538"/>
        </w:numPr>
        <w:rPr>
          <w:rFonts w:ascii="Calibri" w:cs="Calibri" w:eastAsia="Calibri" w:hAnsi="Calibri"/>
          <w:sz w:val="20"/>
          <w:szCs w:val="20"/>
          <w:color w:val="auto"/>
        </w:rPr>
      </w:pPr>
      <w:r>
        <w:rPr>
          <w:rFonts w:ascii="Calibri" w:cs="Calibri" w:eastAsia="Calibri" w:hAnsi="Calibri"/>
          <w:sz w:val="20"/>
          <w:szCs w:val="20"/>
          <w:color w:val="auto"/>
        </w:rPr>
        <w:t>None of the Recipient, any Recipient Party nor, to the Recipient’s Knowledge, any other Person, has used, generated, manufactured, produced, stored, or Released, on, under or about any Facility or transported thereto or therefrom, any Hazardous Substances in a manner that would reasonably be expected to: (i) form the basis of a material Environmental Claim by a Governmental Authority; (ii) cause any Project to be in violaton of any Environmental Law in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240"/>
          </w:cols>
          <w:pgMar w:left="320" w:top="1374" w:right="339" w:bottom="1440" w:gutter="0" w:footer="0" w:header="0"/>
        </w:sectPr>
      </w:pPr>
    </w:p>
    <w:bookmarkStart w:id="457" w:name="page458"/>
    <w:bookmarkEnd w:id="457"/>
    <w:p>
      <w:pPr>
        <w:spacing w:after="0"/>
        <w:rPr>
          <w:sz w:val="20"/>
          <w:szCs w:val="20"/>
          <w:color w:val="auto"/>
        </w:rPr>
      </w:pPr>
      <w:r>
        <w:rPr>
          <w:rFonts w:ascii="Calibri" w:cs="Calibri" w:eastAsia="Calibri" w:hAnsi="Calibri"/>
          <w:sz w:val="20"/>
          <w:szCs w:val="20"/>
          <w:color w:val="auto"/>
        </w:rPr>
        <w:t>respect; or (iii) have a Material Adverse Efect; or (iv) result in material harm to the environment, health or safety;</w:t>
      </w:r>
    </w:p>
    <w:p>
      <w:pPr>
        <w:spacing w:after="0" w:line="174" w:lineRule="exact"/>
        <w:rPr>
          <w:sz w:val="20"/>
          <w:szCs w:val="20"/>
          <w:color w:val="auto"/>
        </w:rPr>
      </w:pPr>
    </w:p>
    <w:p>
      <w:pPr>
        <w:ind w:left="660" w:hanging="652"/>
        <w:spacing w:after="0"/>
        <w:tabs>
          <w:tab w:leader="none" w:pos="660" w:val="left"/>
        </w:tabs>
        <w:numPr>
          <w:ilvl w:val="0"/>
          <w:numId w:val="539"/>
        </w:numPr>
        <w:rPr>
          <w:rFonts w:ascii="Calibri" w:cs="Calibri" w:eastAsia="Calibri" w:hAnsi="Calibri"/>
          <w:sz w:val="20"/>
          <w:szCs w:val="20"/>
          <w:color w:val="auto"/>
        </w:rPr>
      </w:pPr>
      <w:r>
        <w:rPr>
          <w:rFonts w:ascii="Calibri" w:cs="Calibri" w:eastAsia="Calibri" w:hAnsi="Calibri"/>
          <w:sz w:val="20"/>
          <w:szCs w:val="20"/>
          <w:color w:val="auto"/>
        </w:rPr>
        <w:t>provided that, notwithstanding the foregoing, the Recipient does not make any representaton or warrantes under clauses (a)-</w:t>
      </w:r>
    </w:p>
    <w:p>
      <w:pPr>
        <w:spacing w:after="0" w:line="8" w:lineRule="exact"/>
        <w:rPr>
          <w:rFonts w:ascii="Calibri" w:cs="Calibri" w:eastAsia="Calibri" w:hAnsi="Calibri"/>
          <w:sz w:val="20"/>
          <w:szCs w:val="20"/>
          <w:color w:val="auto"/>
        </w:rPr>
      </w:pPr>
    </w:p>
    <w:p>
      <w:pPr>
        <w:jc w:val="both"/>
        <w:ind w:firstLine="8"/>
        <w:spacing w:after="0" w:line="233" w:lineRule="auto"/>
        <w:tabs>
          <w:tab w:leader="none" w:pos="287" w:val="left"/>
        </w:tabs>
        <w:numPr>
          <w:ilvl w:val="0"/>
          <w:numId w:val="540"/>
        </w:numPr>
        <w:rPr>
          <w:rFonts w:ascii="Calibri" w:cs="Calibri" w:eastAsia="Calibri" w:hAnsi="Calibri"/>
          <w:sz w:val="20"/>
          <w:szCs w:val="20"/>
          <w:color w:val="auto"/>
        </w:rPr>
      </w:pPr>
      <w:r>
        <w:rPr>
          <w:rFonts w:ascii="Calibri" w:cs="Calibri" w:eastAsia="Calibri" w:hAnsi="Calibri"/>
          <w:sz w:val="20"/>
          <w:szCs w:val="20"/>
          <w:color w:val="auto"/>
        </w:rPr>
        <w:t>above with respect to any actual or potental violatons of Environmental Law, harm, or efect that involve only minor or technical infractons, which (A) were voluntarily disclosed to the relevant Governmental Authority within sixty (60) days of the Recipient Party becoming aware of the violaton; or (B) otherwise could not reasonably be expected to give rise to an enforcement acton that results in a fne or penalty by any Governmental Authority in excess of one million Dollars ($1,000,000).</w:t>
      </w:r>
    </w:p>
    <w:p>
      <w:pPr>
        <w:spacing w:after="0" w:line="16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6.16.</w:t>
      </w:r>
      <w:r>
        <w:rPr>
          <w:sz w:val="20"/>
          <w:szCs w:val="20"/>
          <w:color w:val="auto"/>
        </w:rPr>
        <w:tab/>
      </w:r>
      <w:r>
        <w:rPr>
          <w:rFonts w:ascii="Calibri" w:cs="Calibri" w:eastAsia="Calibri" w:hAnsi="Calibri"/>
          <w:sz w:val="19"/>
          <w:szCs w:val="19"/>
          <w:b w:val="1"/>
          <w:bCs w:val="1"/>
          <w:color w:val="auto"/>
        </w:rPr>
        <w:t>Federal Requirements</w:t>
      </w:r>
      <w:r>
        <w:rPr>
          <w:rFonts w:ascii="Calibri" w:cs="Calibri" w:eastAsia="Calibri" w:hAnsi="Calibri"/>
          <w:sz w:val="19"/>
          <w:szCs w:val="19"/>
          <w:color w:val="auto"/>
        </w:rPr>
        <w:t>.</w:t>
      </w:r>
    </w:p>
    <w:p>
      <w:pPr>
        <w:spacing w:after="0" w:line="157" w:lineRule="exact"/>
        <w:rPr>
          <w:sz w:val="20"/>
          <w:szCs w:val="20"/>
          <w:color w:val="auto"/>
        </w:rPr>
      </w:pPr>
    </w:p>
    <w:p>
      <w:pPr>
        <w:ind w:firstLine="1952"/>
        <w:spacing w:after="0" w:line="214" w:lineRule="auto"/>
        <w:tabs>
          <w:tab w:leader="none" w:pos="2596" w:val="left"/>
        </w:tabs>
        <w:numPr>
          <w:ilvl w:val="0"/>
          <w:numId w:val="541"/>
        </w:numPr>
        <w:rPr>
          <w:rFonts w:ascii="Calibri" w:cs="Calibri" w:eastAsia="Calibri" w:hAnsi="Calibri"/>
          <w:sz w:val="20"/>
          <w:szCs w:val="20"/>
          <w:color w:val="auto"/>
        </w:rPr>
      </w:pP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Each representaton and warranty set forth in Secton 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Representatons and Warrantes</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 is true and correct.</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41"/>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3240" w:hanging="640"/>
        <w:spacing w:after="0"/>
        <w:tabs>
          <w:tab w:leader="none" w:pos="3240" w:val="left"/>
        </w:tabs>
        <w:numPr>
          <w:ilvl w:val="1"/>
          <w:numId w:val="541"/>
        </w:numPr>
        <w:rPr>
          <w:rFonts w:ascii="Calibri" w:cs="Calibri" w:eastAsia="Calibri" w:hAnsi="Calibri"/>
          <w:sz w:val="20"/>
          <w:szCs w:val="20"/>
          <w:color w:val="auto"/>
        </w:rPr>
      </w:pPr>
      <w:r>
        <w:rPr>
          <w:rFonts w:ascii="Calibri" w:cs="Calibri" w:eastAsia="Calibri" w:hAnsi="Calibri"/>
          <w:sz w:val="20"/>
          <w:szCs w:val="20"/>
          <w:color w:val="auto"/>
        </w:rPr>
        <w:t>Each Recipient Party is in compliance with all applicable Guardrail Provisions.</w:t>
      </w:r>
    </w:p>
    <w:p>
      <w:pPr>
        <w:spacing w:after="0" w:line="157"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1"/>
          <w:numId w:val="541"/>
        </w:numPr>
        <w:rPr>
          <w:rFonts w:ascii="Calibri" w:cs="Calibri" w:eastAsia="Calibri" w:hAnsi="Calibri"/>
          <w:sz w:val="20"/>
          <w:szCs w:val="20"/>
          <w:color w:val="auto"/>
        </w:rPr>
      </w:pPr>
      <w:r>
        <w:rPr>
          <w:rFonts w:ascii="Calibri" w:cs="Calibri" w:eastAsia="Calibri" w:hAnsi="Calibri"/>
          <w:sz w:val="20"/>
          <w:szCs w:val="20"/>
          <w:color w:val="auto"/>
        </w:rPr>
        <w:t>Each of the lists of existng facilites and ongoing Joint Research and Technology Licensing, each as atached as Appendix 1 to the Guardrail Provisions, is true and correct, and such appendices memorialize all informaton required to be set forth herein pursuant to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and Secton 2 (</w:t>
      </w:r>
      <w:r>
        <w:rPr>
          <w:rFonts w:ascii="Calibri" w:cs="Calibri" w:eastAsia="Calibri" w:hAnsi="Calibri"/>
          <w:sz w:val="20"/>
          <w:szCs w:val="20"/>
          <w:b w:val="1"/>
          <w:bCs w:val="1"/>
          <w:color w:val="auto"/>
        </w:rPr>
        <w:t>Prohibiton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of the Guardrail Provisions.</w:t>
      </w:r>
    </w:p>
    <w:p>
      <w:pPr>
        <w:spacing w:after="0" w:line="159" w:lineRule="exact"/>
        <w:rPr>
          <w:rFonts w:ascii="Calibri" w:cs="Calibri" w:eastAsia="Calibri" w:hAnsi="Calibri"/>
          <w:sz w:val="20"/>
          <w:szCs w:val="20"/>
          <w:color w:val="auto"/>
        </w:rPr>
      </w:pPr>
    </w:p>
    <w:p>
      <w:pPr>
        <w:jc w:val="both"/>
        <w:ind w:firstLine="2600"/>
        <w:spacing w:after="0" w:line="203" w:lineRule="auto"/>
        <w:tabs>
          <w:tab w:leader="none" w:pos="3246" w:val="left"/>
        </w:tabs>
        <w:numPr>
          <w:ilvl w:val="1"/>
          <w:numId w:val="541"/>
        </w:numPr>
        <w:rPr>
          <w:rFonts w:ascii="Calibri" w:cs="Calibri" w:eastAsia="Calibri" w:hAnsi="Calibri"/>
          <w:sz w:val="20"/>
          <w:szCs w:val="20"/>
          <w:color w:val="auto"/>
        </w:rPr>
      </w:pPr>
      <w:r>
        <w:rPr>
          <w:rFonts w:ascii="Calibri" w:cs="Calibri" w:eastAsia="Calibri" w:hAnsi="Calibri"/>
          <w:sz w:val="20"/>
          <w:szCs w:val="20"/>
          <w:color w:val="auto"/>
        </w:rPr>
        <w:t>Each Person that as of the date hereof is a member of the Recipient’s “afliated group,” as such term is defned under 26 U.S.C. § 1504(a), without regard to 26 U.S.C. § 1504(b)(3), directly, or indirectly through one or more intermediaries, Controls or is Controlled by, or is under common Control with, the Recipient as of the date hereof is set forth in Part 4 (</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of Appendix 1 of the Guardrail Provisions.</w:t>
      </w:r>
    </w:p>
    <w:p>
      <w:pPr>
        <w:spacing w:after="0" w:line="149" w:lineRule="exact"/>
        <w:rPr>
          <w:rFonts w:ascii="Calibri" w:cs="Calibri" w:eastAsia="Calibri" w:hAnsi="Calibri"/>
          <w:sz w:val="20"/>
          <w:szCs w:val="20"/>
          <w:color w:val="auto"/>
        </w:rPr>
      </w:pPr>
    </w:p>
    <w:p>
      <w:pPr>
        <w:ind w:left="3260" w:hanging="660"/>
        <w:spacing w:after="0"/>
        <w:tabs>
          <w:tab w:leader="none" w:pos="3260" w:val="left"/>
        </w:tabs>
        <w:numPr>
          <w:ilvl w:val="1"/>
          <w:numId w:val="541"/>
        </w:numPr>
        <w:rPr>
          <w:rFonts w:ascii="Calibri" w:cs="Calibri" w:eastAsia="Calibri" w:hAnsi="Calibri"/>
          <w:sz w:val="20"/>
          <w:szCs w:val="20"/>
          <w:color w:val="auto"/>
        </w:rPr>
      </w:pPr>
      <w:r>
        <w:rPr>
          <w:rFonts w:ascii="Calibri" w:cs="Calibri" w:eastAsia="Calibri" w:hAnsi="Calibri"/>
          <w:sz w:val="20"/>
          <w:szCs w:val="20"/>
          <w:color w:val="auto"/>
        </w:rPr>
        <w:t>Each Related Entty as of the date hereof is set forth in [***].</w:t>
      </w:r>
    </w:p>
    <w:p>
      <w:pPr>
        <w:spacing w:after="0" w:line="153" w:lineRule="exact"/>
        <w:rPr>
          <w:rFonts w:ascii="Calibri" w:cs="Calibri" w:eastAsia="Calibri" w:hAnsi="Calibri"/>
          <w:sz w:val="20"/>
          <w:szCs w:val="20"/>
          <w:color w:val="auto"/>
        </w:rPr>
      </w:pPr>
    </w:p>
    <w:p>
      <w:pPr>
        <w:ind w:left="3240" w:hanging="640"/>
        <w:spacing w:after="0"/>
        <w:tabs>
          <w:tab w:leader="none" w:pos="3240" w:val="left"/>
        </w:tabs>
        <w:numPr>
          <w:ilvl w:val="1"/>
          <w:numId w:val="541"/>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Part 5 </w:t>
      </w:r>
      <w:r>
        <w:rPr>
          <w:rFonts w:ascii="Calibri" w:cs="Calibri" w:eastAsia="Calibri" w:hAnsi="Calibri"/>
          <w:sz w:val="20"/>
          <w:szCs w:val="20"/>
          <w:color w:val="auto"/>
        </w:rPr>
        <w:t>(</w:t>
      </w:r>
      <w:r>
        <w:rPr>
          <w:rFonts w:ascii="Calibri" w:cs="Calibri" w:eastAsia="Calibri" w:hAnsi="Calibri"/>
          <w:sz w:val="20"/>
          <w:szCs w:val="20"/>
          <w:b w:val="1"/>
          <w:bCs w:val="1"/>
          <w:color w:val="auto"/>
        </w:rPr>
        <w:t>Related Enttes Subject to Secton 3 of Annex C (Guardrail Provisions)</w:t>
      </w:r>
      <w:r>
        <w:rPr>
          <w:rFonts w:ascii="Calibri" w:cs="Calibri" w:eastAsia="Calibri" w:hAnsi="Calibri"/>
          <w:sz w:val="20"/>
          <w:szCs w:val="20"/>
          <w:color w:val="auto"/>
        </w:rPr>
        <w:t>) of Appendix 1 of</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the Guardrail Provisions.</w:t>
      </w:r>
    </w:p>
    <w:p>
      <w:pPr>
        <w:spacing w:after="0" w:line="170" w:lineRule="exact"/>
        <w:rPr>
          <w:rFonts w:ascii="Calibri" w:cs="Calibri" w:eastAsia="Calibri" w:hAnsi="Calibri"/>
          <w:sz w:val="20"/>
          <w:szCs w:val="20"/>
          <w:color w:val="auto"/>
        </w:rPr>
      </w:pPr>
    </w:p>
    <w:p>
      <w:pPr>
        <w:ind w:firstLine="2600"/>
        <w:spacing w:after="0" w:line="208" w:lineRule="auto"/>
        <w:tabs>
          <w:tab w:leader="none" w:pos="3244" w:val="left"/>
        </w:tabs>
        <w:numPr>
          <w:ilvl w:val="1"/>
          <w:numId w:val="541"/>
        </w:numPr>
        <w:rPr>
          <w:rFonts w:ascii="Calibri" w:cs="Calibri" w:eastAsia="Calibri" w:hAnsi="Calibri"/>
          <w:sz w:val="20"/>
          <w:szCs w:val="20"/>
          <w:color w:val="auto"/>
        </w:rPr>
      </w:pPr>
      <w:r>
        <w:rPr>
          <w:rFonts w:ascii="Calibri" w:cs="Calibri" w:eastAsia="Calibri" w:hAnsi="Calibri"/>
          <w:sz w:val="20"/>
          <w:szCs w:val="20"/>
          <w:color w:val="auto"/>
        </w:rPr>
        <w:t>Each Mitgaton Agreement, if any, required pursuant to the Guardrail Provisions, is in full force and efect and no violaton thereof has occurred.</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541"/>
        </w:numPr>
        <w:rPr>
          <w:rFonts w:ascii="Calibri" w:cs="Calibri" w:eastAsia="Calibri" w:hAnsi="Calibri"/>
          <w:sz w:val="20"/>
          <w:szCs w:val="20"/>
          <w:color w:val="auto"/>
        </w:rPr>
      </w:pPr>
      <w:r>
        <w:rPr>
          <w:rFonts w:ascii="Calibri" w:cs="Calibri" w:eastAsia="Calibri" w:hAnsi="Calibri"/>
          <w:sz w:val="20"/>
          <w:szCs w:val="20"/>
          <w:b w:val="1"/>
          <w:bCs w:val="1"/>
          <w:color w:val="auto"/>
        </w:rPr>
        <w:t>Inverted Corporaton Requirement</w:t>
      </w:r>
      <w:r>
        <w:rPr>
          <w:rFonts w:ascii="Calibri" w:cs="Calibri" w:eastAsia="Calibri" w:hAnsi="Calibri"/>
          <w:sz w:val="20"/>
          <w:szCs w:val="20"/>
          <w:color w:val="auto"/>
        </w:rPr>
        <w:t>. The Recipient represents that it is not a foreign incorporated entty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which is treated as an inverted domestc corporaton under Secton 835(b) of the Homeland Security Act of 2002 (6 U.S.C. § 395(b)) or a Subsidiary of such an entty.</w:t>
      </w:r>
    </w:p>
    <w:p>
      <w:pPr>
        <w:spacing w:after="0" w:line="157"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6.17. </w:t>
      </w:r>
      <w:r>
        <w:rPr>
          <w:rFonts w:ascii="Calibri" w:cs="Calibri" w:eastAsia="Calibri" w:hAnsi="Calibri"/>
          <w:sz w:val="20"/>
          <w:szCs w:val="20"/>
          <w:b w:val="1"/>
          <w:bCs w:val="1"/>
          <w:color w:val="auto"/>
        </w:rPr>
        <w:t>Foreign Entty of Concern; Prohibited Persons; Sanctons; Export Controls; Ant-Corrupton; Ant-Money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Laundering Laws</w:t>
      </w:r>
      <w:r>
        <w:rPr>
          <w:rFonts w:ascii="Calibri" w:cs="Calibri" w:eastAsia="Calibri" w:hAnsi="Calibri"/>
          <w:sz w:val="20"/>
          <w:szCs w:val="20"/>
          <w:color w:val="auto"/>
        </w:rPr>
        <w:t>.</w:t>
      </w:r>
    </w:p>
    <w:p>
      <w:pPr>
        <w:spacing w:after="0" w:line="149" w:lineRule="exact"/>
        <w:rPr>
          <w:sz w:val="20"/>
          <w:szCs w:val="20"/>
          <w:color w:val="auto"/>
        </w:rPr>
      </w:pPr>
    </w:p>
    <w:p>
      <w:pPr>
        <w:ind w:left="2600" w:hanging="648"/>
        <w:spacing w:after="0"/>
        <w:tabs>
          <w:tab w:leader="none" w:pos="2600" w:val="left"/>
        </w:tabs>
        <w:numPr>
          <w:ilvl w:val="0"/>
          <w:numId w:val="542"/>
        </w:numPr>
        <w:rPr>
          <w:rFonts w:ascii="Calibri" w:cs="Calibri" w:eastAsia="Calibri" w:hAnsi="Calibri"/>
          <w:sz w:val="20"/>
          <w:szCs w:val="20"/>
          <w:color w:val="auto"/>
        </w:rPr>
      </w:pPr>
      <w:r>
        <w:rPr>
          <w:rFonts w:ascii="Calibri" w:cs="Calibri" w:eastAsia="Calibri" w:hAnsi="Calibri"/>
          <w:sz w:val="20"/>
          <w:szCs w:val="20"/>
          <w:color w:val="auto"/>
        </w:rPr>
        <w:t>The Recipient is not a Foreign Entty of Concern.</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42"/>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a Prohibited Person, and to the Recipient’s Knowledge, none of the employees, agents or representatves of any Recipient Party actng in such capacites is a Prohibited Person.</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542"/>
        </w:numPr>
        <w:rPr>
          <w:rFonts w:ascii="Calibri" w:cs="Calibri" w:eastAsia="Calibri" w:hAnsi="Calibri"/>
          <w:sz w:val="20"/>
          <w:szCs w:val="20"/>
          <w:color w:val="auto"/>
        </w:rPr>
      </w:pPr>
      <w:r>
        <w:rPr>
          <w:rFonts w:ascii="Calibri" w:cs="Calibri" w:eastAsia="Calibri" w:hAnsi="Calibri"/>
          <w:sz w:val="20"/>
          <w:szCs w:val="20"/>
          <w:color w:val="auto"/>
        </w:rPr>
        <w:t>To the Recipient’s Knowledge, no event has occurred, and no conditon exists, that is reasonably likely to result in any Recipient Party becoming a Prohibited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16</w:t>
      </w:r>
    </w:p>
    <w:p>
      <w:pPr>
        <w:sectPr>
          <w:pgSz w:w="11900" w:h="16838" w:orient="portrait"/>
          <w:cols w:equalWidth="0" w:num="1">
            <w:col w:w="11240"/>
          </w:cols>
          <w:pgMar w:left="320" w:top="1374" w:right="339" w:bottom="1440" w:gutter="0" w:footer="0" w:header="0"/>
        </w:sectPr>
      </w:pPr>
    </w:p>
    <w:bookmarkStart w:id="458" w:name="page459"/>
    <w:bookmarkEnd w:id="458"/>
    <w:p>
      <w:pPr>
        <w:jc w:val="both"/>
        <w:ind w:firstLine="1952"/>
        <w:spacing w:after="0" w:line="205" w:lineRule="auto"/>
        <w:tabs>
          <w:tab w:leader="none" w:pos="2592" w:val="left"/>
        </w:tabs>
        <w:numPr>
          <w:ilvl w:val="1"/>
          <w:numId w:val="543"/>
        </w:numPr>
        <w:rPr>
          <w:rFonts w:ascii="Calibri" w:cs="Calibri" w:eastAsia="Calibri" w:hAnsi="Calibri"/>
          <w:sz w:val="20"/>
          <w:szCs w:val="20"/>
          <w:color w:val="auto"/>
        </w:rPr>
      </w:pPr>
      <w:r>
        <w:rPr>
          <w:rFonts w:ascii="Calibri" w:cs="Calibri" w:eastAsia="Calibri" w:hAnsi="Calibri"/>
          <w:sz w:val="20"/>
          <w:szCs w:val="20"/>
          <w:color w:val="auto"/>
        </w:rPr>
        <w:t>There are no Actons pending or, to the Recipient’s Knowledge, threatened, against or afectng any Recipient Party or their respectve members, directors, ofcers, employees, agents or representatves actng in such capacites regarding any actual or alleged non-compliance with any Sanctons, Export Control Laws, Ant-Money Laundering Laws, or Ant-Corrupton Laws.</w:t>
      </w:r>
    </w:p>
    <w:p>
      <w:pPr>
        <w:spacing w:after="0" w:line="170" w:lineRule="exact"/>
        <w:rPr>
          <w:rFonts w:ascii="Calibri" w:cs="Calibri" w:eastAsia="Calibri" w:hAnsi="Calibri"/>
          <w:sz w:val="20"/>
          <w:szCs w:val="20"/>
          <w:color w:val="auto"/>
        </w:rPr>
      </w:pPr>
    </w:p>
    <w:p>
      <w:pPr>
        <w:jc w:val="both"/>
        <w:ind w:firstLine="1952"/>
        <w:spacing w:after="0"/>
        <w:tabs>
          <w:tab w:leader="none" w:pos="2586" w:val="left"/>
        </w:tabs>
        <w:numPr>
          <w:ilvl w:val="1"/>
          <w:numId w:val="543"/>
        </w:numPr>
        <w:rPr>
          <w:rFonts w:ascii="Calibri" w:cs="Calibri" w:eastAsia="Calibri" w:hAnsi="Calibri"/>
          <w:sz w:val="20"/>
          <w:szCs w:val="20"/>
          <w:color w:val="auto"/>
        </w:rPr>
      </w:pPr>
      <w:r>
        <w:rPr>
          <w:rFonts w:ascii="Calibri" w:cs="Calibri" w:eastAsia="Calibri" w:hAnsi="Calibri"/>
          <w:sz w:val="20"/>
          <w:szCs w:val="20"/>
          <w:color w:val="auto"/>
        </w:rPr>
        <w:t>The Recipient has adopted and implemented and maintains policies and procedures designed to promote and achieve compliance with all applicable Sanctons, Export Control Laws, Ant-Money Laundering Laws, and Ant-Corrupton Laws.</w:t>
      </w:r>
    </w:p>
    <w:p>
      <w:pPr>
        <w:spacing w:after="0" w:line="294" w:lineRule="exact"/>
        <w:rPr>
          <w:rFonts w:ascii="Calibri" w:cs="Calibri" w:eastAsia="Calibri" w:hAnsi="Calibri"/>
          <w:sz w:val="20"/>
          <w:szCs w:val="20"/>
          <w:color w:val="auto"/>
        </w:rPr>
      </w:pPr>
    </w:p>
    <w:p>
      <w:pPr>
        <w:jc w:val="both"/>
        <w:ind w:firstLine="1952"/>
        <w:spacing w:after="0" w:line="214" w:lineRule="auto"/>
        <w:tabs>
          <w:tab w:leader="none" w:pos="2590" w:val="left"/>
        </w:tabs>
        <w:numPr>
          <w:ilvl w:val="1"/>
          <w:numId w:val="543"/>
        </w:numPr>
        <w:rPr>
          <w:rFonts w:ascii="Calibri" w:cs="Calibri" w:eastAsia="Calibri" w:hAnsi="Calibri"/>
          <w:sz w:val="20"/>
          <w:szCs w:val="20"/>
          <w:color w:val="auto"/>
        </w:rPr>
      </w:pPr>
      <w:r>
        <w:rPr>
          <w:rFonts w:ascii="Calibri" w:cs="Calibri" w:eastAsia="Calibri" w:hAnsi="Calibri"/>
          <w:sz w:val="20"/>
          <w:szCs w:val="20"/>
          <w:color w:val="auto"/>
        </w:rPr>
        <w:t>Each Recipient Party and the respectve members, directors, ofcers, and, to the Recipient’s Knowledge, employees, agents and representatves thereof actng in such capacites, are, and for the last fve (5) years have been, in compliance with</w:t>
      </w:r>
    </w:p>
    <w:p>
      <w:pPr>
        <w:spacing w:after="0" w:line="1" w:lineRule="exact"/>
        <w:rPr>
          <w:rFonts w:ascii="Calibri" w:cs="Calibri" w:eastAsia="Calibri" w:hAnsi="Calibri"/>
          <w:sz w:val="20"/>
          <w:szCs w:val="20"/>
          <w:color w:val="auto"/>
        </w:rPr>
      </w:pPr>
    </w:p>
    <w:p>
      <w:pPr>
        <w:jc w:val="both"/>
        <w:ind w:firstLine="8"/>
        <w:spacing w:after="0" w:line="193" w:lineRule="auto"/>
        <w:tabs>
          <w:tab w:leader="none" w:pos="223" w:val="left"/>
        </w:tabs>
        <w:numPr>
          <w:ilvl w:val="0"/>
          <w:numId w:val="544"/>
        </w:numPr>
        <w:rPr>
          <w:rFonts w:ascii="Calibri" w:cs="Calibri" w:eastAsia="Calibri" w:hAnsi="Calibri"/>
          <w:sz w:val="20"/>
          <w:szCs w:val="20"/>
          <w:color w:val="auto"/>
        </w:rPr>
      </w:pPr>
      <w:r>
        <w:rPr>
          <w:rFonts w:ascii="Calibri" w:cs="Calibri" w:eastAsia="Calibri" w:hAnsi="Calibri"/>
          <w:sz w:val="20"/>
          <w:szCs w:val="20"/>
          <w:color w:val="auto"/>
        </w:rPr>
        <w:t>all Sanctons and all applicable Ant-Money Laundering Laws; and (ii) all applicable Export Control Laws in all respects, except for any actual or potental violatons that involve only unintentonal minor, technical infractons, which either (A) were voluntarily self-disclosed to BIS within sixty (60) 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74" w:lineRule="exact"/>
        <w:rPr>
          <w:rFonts w:ascii="Calibri" w:cs="Calibri" w:eastAsia="Calibri" w:hAnsi="Calibri"/>
          <w:sz w:val="20"/>
          <w:szCs w:val="20"/>
          <w:color w:val="auto"/>
        </w:rPr>
      </w:pPr>
    </w:p>
    <w:p>
      <w:pPr>
        <w:jc w:val="both"/>
        <w:ind w:firstLine="1952"/>
        <w:spacing w:after="0" w:line="199" w:lineRule="auto"/>
        <w:tabs>
          <w:tab w:leader="none" w:pos="2595" w:val="left"/>
        </w:tabs>
        <w:numPr>
          <w:ilvl w:val="1"/>
          <w:numId w:val="544"/>
        </w:numPr>
        <w:rPr>
          <w:rFonts w:ascii="Calibri" w:cs="Calibri" w:eastAsia="Calibri" w:hAnsi="Calibri"/>
          <w:sz w:val="20"/>
          <w:szCs w:val="20"/>
          <w:color w:val="auto"/>
        </w:rPr>
      </w:pPr>
      <w:r>
        <w:rPr>
          <w:rFonts w:ascii="Calibri" w:cs="Calibri" w:eastAsia="Calibri" w:hAnsi="Calibri"/>
          <w:sz w:val="20"/>
          <w:szCs w:val="20"/>
          <w:color w:val="auto"/>
        </w:rPr>
        <w:t>Each Recipient Party and each of their respectve Principal Persons, and, to the Recipient’s Knowledge, their employees, agents, and representatves actng in such capacites have complied with all applicable Sanctons, Export Control Laws (except as provided in the excepton in Secton 6.3(h)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Ant-Money Laundering Laws and Ant-Corrupton Laws in obtaining any consents, licenses, approvals, authorizatons, rights, or privileges with respect to any Project and, otherwise, have conducted each Project in compliance with all applicable Sanctons, Export Control Laws (except as provided in the excepton in Secton 6.3(h)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Ant-Money Laundering Laws, and Ant-Corrupton Laws.</w:t>
      </w:r>
    </w:p>
    <w:p>
      <w:pPr>
        <w:spacing w:after="0" w:line="162"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1"/>
          <w:numId w:val="544"/>
        </w:numPr>
        <w:rPr>
          <w:rFonts w:ascii="Calibri" w:cs="Calibri" w:eastAsia="Calibri" w:hAnsi="Calibri"/>
          <w:sz w:val="20"/>
          <w:szCs w:val="20"/>
          <w:color w:val="auto"/>
        </w:rPr>
      </w:pPr>
      <w:r>
        <w:rPr>
          <w:rFonts w:ascii="Calibri" w:cs="Calibri" w:eastAsia="Calibri" w:hAnsi="Calibri"/>
          <w:sz w:val="20"/>
          <w:szCs w:val="20"/>
          <w:color w:val="auto"/>
        </w:rPr>
        <w:t>None of the Recipient, nor its members, directors, ofcers, nor, to the Recipient’s Knowledge, employees, agents or representatves actng in such capacites, has made, ofered or promised to make, provided or paid any unlawful contributons, entertainment or anything of value to any local or foreign ofcial (including employees of state-owned or controlled enttes), foreign politcal party or party ofcial or any candidate for foreign politcal ofce:</w:t>
      </w:r>
    </w:p>
    <w:p>
      <w:pPr>
        <w:spacing w:after="0" w:line="159" w:lineRule="exact"/>
        <w:rPr>
          <w:rFonts w:ascii="Calibri" w:cs="Calibri" w:eastAsia="Calibri" w:hAnsi="Calibri"/>
          <w:sz w:val="20"/>
          <w:szCs w:val="20"/>
          <w:color w:val="auto"/>
        </w:rPr>
      </w:pPr>
    </w:p>
    <w:p>
      <w:pPr>
        <w:ind w:firstLine="2600"/>
        <w:spacing w:after="0" w:line="214" w:lineRule="auto"/>
        <w:tabs>
          <w:tab w:leader="none" w:pos="3234" w:val="left"/>
        </w:tabs>
        <w:numPr>
          <w:ilvl w:val="2"/>
          <w:numId w:val="544"/>
        </w:numPr>
        <w:rPr>
          <w:rFonts w:ascii="Calibri" w:cs="Calibri" w:eastAsia="Calibri" w:hAnsi="Calibri"/>
          <w:sz w:val="20"/>
          <w:szCs w:val="20"/>
          <w:color w:val="auto"/>
        </w:rPr>
      </w:pPr>
      <w:r>
        <w:rPr>
          <w:rFonts w:ascii="Calibri" w:cs="Calibri" w:eastAsia="Calibri" w:hAnsi="Calibri"/>
          <w:sz w:val="20"/>
          <w:szCs w:val="20"/>
          <w:color w:val="auto"/>
        </w:rPr>
        <w:t>in order to infuence any act or decision of any foreign ofcial, foreign politcal party, party ofcial or candidate for foreign politcal ofce in his or her ofcial capacity, including a decision to fail to perform his or her ofcial functons;</w:t>
      </w:r>
    </w:p>
    <w:p>
      <w:pPr>
        <w:spacing w:after="0" w:line="148" w:lineRule="exact"/>
        <w:rPr>
          <w:rFonts w:ascii="Calibri" w:cs="Calibri" w:eastAsia="Calibri" w:hAnsi="Calibri"/>
          <w:sz w:val="20"/>
          <w:szCs w:val="20"/>
          <w:color w:val="auto"/>
        </w:rPr>
      </w:pPr>
    </w:p>
    <w:p>
      <w:pPr>
        <w:ind w:left="3240" w:hanging="640"/>
        <w:spacing w:after="0"/>
        <w:tabs>
          <w:tab w:leader="none" w:pos="3240" w:val="left"/>
        </w:tabs>
        <w:numPr>
          <w:ilvl w:val="2"/>
          <w:numId w:val="544"/>
        </w:numPr>
        <w:rPr>
          <w:rFonts w:ascii="Calibri" w:cs="Calibri" w:eastAsia="Calibri" w:hAnsi="Calibri"/>
          <w:sz w:val="20"/>
          <w:szCs w:val="20"/>
          <w:color w:val="auto"/>
        </w:rPr>
      </w:pPr>
      <w:r>
        <w:rPr>
          <w:rFonts w:ascii="Calibri" w:cs="Calibri" w:eastAsia="Calibri" w:hAnsi="Calibri"/>
          <w:sz w:val="20"/>
          <w:szCs w:val="20"/>
          <w:color w:val="auto"/>
        </w:rPr>
        <w:t>to secure an advantage; or</w:t>
      </w:r>
    </w:p>
    <w:p>
      <w:pPr>
        <w:spacing w:after="0" w:line="170" w:lineRule="exact"/>
        <w:rPr>
          <w:rFonts w:ascii="Calibri" w:cs="Calibri" w:eastAsia="Calibri" w:hAnsi="Calibri"/>
          <w:sz w:val="20"/>
          <w:szCs w:val="20"/>
          <w:color w:val="auto"/>
        </w:rPr>
      </w:pPr>
    </w:p>
    <w:p>
      <w:pPr>
        <w:ind w:right="20" w:firstLine="2600"/>
        <w:spacing w:after="0" w:line="208" w:lineRule="auto"/>
        <w:tabs>
          <w:tab w:leader="none" w:pos="3246" w:val="left"/>
        </w:tabs>
        <w:numPr>
          <w:ilvl w:val="2"/>
          <w:numId w:val="544"/>
        </w:numPr>
        <w:rPr>
          <w:rFonts w:ascii="Calibri" w:cs="Calibri" w:eastAsia="Calibri" w:hAnsi="Calibri"/>
          <w:sz w:val="20"/>
          <w:szCs w:val="20"/>
          <w:color w:val="auto"/>
        </w:rPr>
      </w:pPr>
      <w:r>
        <w:rPr>
          <w:rFonts w:ascii="Calibri" w:cs="Calibri" w:eastAsia="Calibri" w:hAnsi="Calibri"/>
          <w:sz w:val="20"/>
          <w:szCs w:val="20"/>
          <w:color w:val="auto"/>
        </w:rPr>
        <w:t>with the intent to induce the Recipient to misuse his or her ofcial positon to direct business to the Recipient or any of its Afliates or to any other Person,</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in each case, in violaton of any applicable Ant-Corrupton Laws or any other Applicable Law.</w:t>
      </w:r>
    </w:p>
    <w:p>
      <w:pPr>
        <w:spacing w:after="0" w:line="161"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6.18.</w:t>
      </w:r>
      <w:r>
        <w:rPr>
          <w:sz w:val="20"/>
          <w:szCs w:val="20"/>
          <w:color w:val="auto"/>
        </w:rPr>
        <w:tab/>
      </w:r>
      <w:r>
        <w:rPr>
          <w:rFonts w:ascii="Calibri" w:cs="Calibri" w:eastAsia="Calibri" w:hAnsi="Calibri"/>
          <w:sz w:val="20"/>
          <w:szCs w:val="20"/>
          <w:b w:val="1"/>
          <w:bCs w:val="1"/>
          <w:color w:val="auto"/>
        </w:rPr>
        <w:t>Insolvency Proceedings</w:t>
      </w:r>
      <w:r>
        <w:rPr>
          <w:rFonts w:ascii="Calibri" w:cs="Calibri" w:eastAsia="Calibri" w:hAnsi="Calibri"/>
          <w:sz w:val="20"/>
          <w:szCs w:val="20"/>
          <w:color w:val="auto"/>
        </w:rPr>
        <w:t>.</w:t>
      </w:r>
    </w:p>
    <w:p>
      <w:pPr>
        <w:spacing w:after="0" w:line="157" w:lineRule="exact"/>
        <w:rPr>
          <w:sz w:val="20"/>
          <w:szCs w:val="20"/>
          <w:color w:val="auto"/>
        </w:rPr>
      </w:pPr>
    </w:p>
    <w:p>
      <w:pPr>
        <w:ind w:firstLine="1952"/>
        <w:spacing w:after="0" w:line="214" w:lineRule="auto"/>
        <w:tabs>
          <w:tab w:leader="none" w:pos="2596" w:val="left"/>
        </w:tabs>
        <w:numPr>
          <w:ilvl w:val="0"/>
          <w:numId w:val="545"/>
        </w:numPr>
        <w:rPr>
          <w:rFonts w:ascii="Calibri" w:cs="Calibri" w:eastAsia="Calibri" w:hAnsi="Calibri"/>
          <w:sz w:val="20"/>
          <w:szCs w:val="20"/>
          <w:color w:val="auto"/>
        </w:rPr>
      </w:pPr>
      <w:r>
        <w:rPr>
          <w:rFonts w:ascii="Calibri" w:cs="Calibri" w:eastAsia="Calibri" w:hAnsi="Calibri"/>
          <w:sz w:val="20"/>
          <w:szCs w:val="20"/>
          <w:color w:val="auto"/>
        </w:rPr>
        <w:t>No Recipient Party is the subject of any pending, or to the Recipient’s Knowledge, threatened (in writng), Insolvency Proceedings, in each case, to extent such Insolvency Proceedings are bona fde and non-frivolous.</w:t>
      </w:r>
    </w:p>
    <w:p>
      <w:pPr>
        <w:spacing w:after="0" w:line="158"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545"/>
        </w:numPr>
        <w:rPr>
          <w:rFonts w:ascii="Calibri" w:cs="Calibri" w:eastAsia="Calibri" w:hAnsi="Calibri"/>
          <w:sz w:val="20"/>
          <w:szCs w:val="20"/>
          <w:color w:val="auto"/>
        </w:rPr>
      </w:pPr>
      <w:r>
        <w:rPr>
          <w:rFonts w:ascii="Calibri" w:cs="Calibri" w:eastAsia="Calibri" w:hAnsi="Calibri"/>
          <w:sz w:val="20"/>
          <w:szCs w:val="20"/>
          <w:color w:val="auto"/>
        </w:rPr>
        <w:t>The Recipient is and, afer giving efect to any requested Disbursement, will be solvent. For purposes of the preceding sentence, “solvent” means (i) the fair saleable value (on a going concern basis) of the Recipient’s assets exceed its liabilites, contngent or otherwise, fairly valued; (ii) the Recipient will be able to pay its debts as they become due; and (iii) upon paying its debts as they become due, the Recipient will not be lef with unreasonably small capital as is necessary to satsfy all of its current and reasonably antcipated obligatons.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17</w:t>
      </w:r>
    </w:p>
    <w:p>
      <w:pPr>
        <w:sectPr>
          <w:pgSz w:w="11900" w:h="16838" w:orient="portrait"/>
          <w:cols w:equalWidth="0" w:num="1">
            <w:col w:w="11240"/>
          </w:cols>
          <w:pgMar w:left="320" w:top="1384" w:right="339" w:bottom="1440" w:gutter="0" w:footer="0" w:header="0"/>
        </w:sectPr>
      </w:pPr>
    </w:p>
    <w:bookmarkStart w:id="459" w:name="page460"/>
    <w:bookmarkEnd w:id="459"/>
    <w:p>
      <w:pPr>
        <w:ind w:left="660"/>
        <w:spacing w:after="0"/>
        <w:tabs>
          <w:tab w:leader="none" w:pos="1960" w:val="left"/>
        </w:tabs>
        <w:rPr>
          <w:sz w:val="20"/>
          <w:szCs w:val="20"/>
          <w:color w:val="auto"/>
        </w:rPr>
      </w:pPr>
      <w:r>
        <w:rPr>
          <w:rFonts w:ascii="Calibri" w:cs="Calibri" w:eastAsia="Calibri" w:hAnsi="Calibri"/>
          <w:sz w:val="20"/>
          <w:szCs w:val="20"/>
          <w:color w:val="auto"/>
        </w:rPr>
        <w:t>Secton 6.19.</w:t>
      </w:r>
      <w:r>
        <w:rPr>
          <w:sz w:val="20"/>
          <w:szCs w:val="20"/>
          <w:color w:val="auto"/>
        </w:rPr>
        <w:tab/>
      </w:r>
      <w:r>
        <w:rPr>
          <w:rFonts w:ascii="Calibri" w:cs="Calibri" w:eastAsia="Calibri" w:hAnsi="Calibri"/>
          <w:sz w:val="20"/>
          <w:szCs w:val="20"/>
          <w:b w:val="1"/>
          <w:bCs w:val="1"/>
          <w:color w:val="auto"/>
        </w:rPr>
        <w:t>No Defaults</w:t>
      </w:r>
      <w:r>
        <w:rPr>
          <w:rFonts w:ascii="Calibri" w:cs="Calibri" w:eastAsia="Calibri" w:hAnsi="Calibri"/>
          <w:sz w:val="20"/>
          <w:szCs w:val="20"/>
          <w:color w:val="auto"/>
        </w:rPr>
        <w:t>. No Event of Default or Potental Event of Default has occurred and is contnuing.</w:t>
      </w:r>
    </w:p>
    <w:p>
      <w:pPr>
        <w:spacing w:after="0" w:line="157"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6.20. </w:t>
      </w:r>
      <w:r>
        <w:rPr>
          <w:rFonts w:ascii="Calibri" w:cs="Calibri" w:eastAsia="Calibri" w:hAnsi="Calibri"/>
          <w:sz w:val="20"/>
          <w:szCs w:val="20"/>
          <w:b w:val="1"/>
          <w:bCs w:val="1"/>
          <w:color w:val="auto"/>
        </w:rPr>
        <w:t>Material Adverse Efect</w:t>
      </w:r>
      <w:r>
        <w:rPr>
          <w:rFonts w:ascii="Calibri" w:cs="Calibri" w:eastAsia="Calibri" w:hAnsi="Calibri"/>
          <w:sz w:val="20"/>
          <w:szCs w:val="20"/>
          <w:color w:val="auto"/>
        </w:rPr>
        <w:t>. No event or circumstance (including any legal, arbitral or other dispute review proceeding or any change in law) has occurred and is contnuing that has or would reasonably be expected to have or result in a Material Adverse Efect.</w:t>
      </w:r>
    </w:p>
    <w:p>
      <w:pPr>
        <w:spacing w:after="0" w:line="308"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6.21. </w:t>
      </w:r>
      <w:r>
        <w:rPr>
          <w:rFonts w:ascii="Calibri" w:cs="Calibri" w:eastAsia="Calibri" w:hAnsi="Calibri"/>
          <w:sz w:val="20"/>
          <w:szCs w:val="20"/>
          <w:b w:val="1"/>
          <w:bCs w:val="1"/>
          <w:color w:val="auto"/>
        </w:rPr>
        <w:t>Full Disclosure.</w:t>
      </w:r>
      <w:r>
        <w:rPr>
          <w:rFonts w:ascii="Calibri" w:cs="Calibri" w:eastAsia="Calibri" w:hAnsi="Calibri"/>
          <w:sz w:val="20"/>
          <w:szCs w:val="20"/>
          <w:color w:val="auto"/>
        </w:rPr>
        <w:t xml:space="preserve"> The statements and informaton contained in the Financing Documents, taken together with all documents, reports or other writen informaton pertaining to any Project that have been furnished by or on behalf of the Recipient or any other Recipient Party to the Department or any Consultant from tme to tme, are true and correct in all material respects and do not contain any material misstatement of fact or omit to state a material fact or any fact necessary to make the statements contained therein not materially misleading at the tme they were made.</w:t>
      </w:r>
    </w:p>
    <w:p>
      <w:pPr>
        <w:spacing w:after="0" w:line="16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6.22. </w:t>
      </w:r>
      <w:r>
        <w:rPr>
          <w:rFonts w:ascii="Calibri" w:cs="Calibri" w:eastAsia="Calibri" w:hAnsi="Calibri"/>
          <w:sz w:val="20"/>
          <w:szCs w:val="20"/>
          <w:b w:val="1"/>
          <w:bCs w:val="1"/>
          <w:color w:val="auto"/>
        </w:rPr>
        <w:t>No Immunity</w:t>
      </w:r>
      <w:r>
        <w:rPr>
          <w:rFonts w:ascii="Calibri" w:cs="Calibri" w:eastAsia="Calibri" w:hAnsi="Calibri"/>
          <w:sz w:val="20"/>
          <w:szCs w:val="20"/>
          <w:color w:val="auto"/>
        </w:rPr>
        <w:t>. The Recipient nor any of its assets is enttled to immunity in any jurisdicton in which judicial proceedings would reasonably be expected at any tme be commenced with respect to this Agreement or any other Financing Document.</w:t>
      </w:r>
    </w:p>
    <w:p>
      <w:pPr>
        <w:spacing w:after="0" w:line="308"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6.23. </w:t>
      </w:r>
      <w:r>
        <w:rPr>
          <w:rFonts w:ascii="Calibri" w:cs="Calibri" w:eastAsia="Calibri" w:hAnsi="Calibri"/>
          <w:sz w:val="20"/>
          <w:szCs w:val="20"/>
          <w:b w:val="1"/>
          <w:bCs w:val="1"/>
          <w:color w:val="auto"/>
        </w:rPr>
        <w:t>No Federal Debt Delinquency.</w:t>
      </w:r>
      <w:r>
        <w:rPr>
          <w:rFonts w:ascii="Calibri" w:cs="Calibri" w:eastAsia="Calibri" w:hAnsi="Calibri"/>
          <w:sz w:val="20"/>
          <w:szCs w:val="20"/>
          <w:color w:val="auto"/>
        </w:rPr>
        <w:t xml:space="preserve"> No Recipient Party has (a) any judgment Lien against any of its Property for a debt owed to the United States; or (b) any Indebtedness owed to the United States or any Governmental Authority thereof that is in delinquent status, as the term “delinquent status” is defned in in 31 C.F.R. 285.13(d), including any Tax liabilites (other than those Taxes that it is contestng in good faith and by appropriate proceedings, for which reserves have been established to the extent required by the Applicable Accountng Requirements except to the extent such delinquency has been resolved with the appropriate Governmental Authority in accordance with Applicable Law.</w:t>
      </w:r>
    </w:p>
    <w:p>
      <w:pPr>
        <w:spacing w:after="0" w:line="15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6.24.</w:t>
      </w:r>
      <w:r>
        <w:rPr>
          <w:sz w:val="20"/>
          <w:szCs w:val="20"/>
          <w:color w:val="auto"/>
        </w:rPr>
        <w:tab/>
      </w:r>
      <w:r>
        <w:rPr>
          <w:rFonts w:ascii="Calibri" w:cs="Calibri" w:eastAsia="Calibri" w:hAnsi="Calibri"/>
          <w:sz w:val="20"/>
          <w:szCs w:val="20"/>
          <w:b w:val="1"/>
          <w:bCs w:val="1"/>
          <w:color w:val="auto"/>
        </w:rPr>
        <w:t>No Debarment</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9" w:lineRule="auto"/>
        <w:tabs>
          <w:tab w:leader="none" w:pos="2596" w:val="left"/>
        </w:tabs>
        <w:numPr>
          <w:ilvl w:val="0"/>
          <w:numId w:val="546"/>
        </w:numPr>
        <w:rPr>
          <w:rFonts w:ascii="Calibri" w:cs="Calibri" w:eastAsia="Calibri" w:hAnsi="Calibri"/>
          <w:sz w:val="20"/>
          <w:szCs w:val="20"/>
          <w:color w:val="auto"/>
        </w:rPr>
      </w:pPr>
      <w:r>
        <w:rPr>
          <w:rFonts w:ascii="Calibri" w:cs="Calibri" w:eastAsia="Calibri" w:hAnsi="Calibri"/>
          <w:sz w:val="20"/>
          <w:szCs w:val="20"/>
          <w:color w:val="auto"/>
        </w:rPr>
        <w:t>No event has occurred and no conditon exists that is likely to result in the debarment or suspension of any Recipient Party or their respectve members, directors, ofcers or employees from contractng with the U.S. government or any agency or instrumentality thereof.</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46"/>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or has been subject to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debarment or suspension.</w:t>
      </w:r>
    </w:p>
    <w:p>
      <w:pPr>
        <w:spacing w:after="0" w:line="14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6.25.</w:t>
      </w:r>
      <w:r>
        <w:rPr>
          <w:sz w:val="20"/>
          <w:szCs w:val="20"/>
          <w:color w:val="auto"/>
        </w:rPr>
        <w:tab/>
      </w:r>
      <w:r>
        <w:rPr>
          <w:rFonts w:ascii="Calibri" w:cs="Calibri" w:eastAsia="Calibri" w:hAnsi="Calibri"/>
          <w:sz w:val="20"/>
          <w:szCs w:val="20"/>
          <w:b w:val="1"/>
          <w:bCs w:val="1"/>
          <w:color w:val="auto"/>
        </w:rPr>
        <w:t>Informaton Technology; Cyber Security.</w:t>
      </w:r>
    </w:p>
    <w:p>
      <w:pPr>
        <w:spacing w:after="0" w:line="157" w:lineRule="exact"/>
        <w:rPr>
          <w:sz w:val="20"/>
          <w:szCs w:val="20"/>
          <w:color w:val="auto"/>
        </w:rPr>
      </w:pPr>
    </w:p>
    <w:p>
      <w:pPr>
        <w:jc w:val="both"/>
        <w:ind w:firstLine="1952"/>
        <w:spacing w:after="0" w:line="202" w:lineRule="auto"/>
        <w:tabs>
          <w:tab w:leader="none" w:pos="2596" w:val="left"/>
        </w:tabs>
        <w:numPr>
          <w:ilvl w:val="1"/>
          <w:numId w:val="547"/>
        </w:numPr>
        <w:rPr>
          <w:rFonts w:ascii="Calibri" w:cs="Calibri" w:eastAsia="Calibri" w:hAnsi="Calibri"/>
          <w:sz w:val="20"/>
          <w:szCs w:val="20"/>
          <w:color w:val="auto"/>
        </w:rPr>
      </w:pPr>
      <w:r>
        <w:rPr>
          <w:rFonts w:ascii="Calibri" w:cs="Calibri" w:eastAsia="Calibri" w:hAnsi="Calibri"/>
          <w:sz w:val="20"/>
          <w:szCs w:val="20"/>
          <w:color w:val="auto"/>
        </w:rPr>
        <w:t>The informaton technology (including data communicatons systems, equipment and devices) used in the business of the Recipient (collectvely, the “</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operates and performs in all material respects as necessary: (i) for the development, design, engineering, procurement, constructon, startng up, commissioning, ownership, operaton or maintenance of the Projects; (ii) to complete the actvites designated to achieve, for each Project, the Project Completon Date; and (iii) to exercise the Recipient’s rights and perform its obligatons under the Financing Documents in a tmely manner.</w:t>
      </w:r>
    </w:p>
    <w:p>
      <w:pPr>
        <w:spacing w:after="0" w:line="160"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1"/>
          <w:numId w:val="547"/>
        </w:numPr>
        <w:rPr>
          <w:rFonts w:ascii="Calibri" w:cs="Calibri" w:eastAsia="Calibri" w:hAnsi="Calibri"/>
          <w:sz w:val="20"/>
          <w:szCs w:val="20"/>
          <w:color w:val="auto"/>
        </w:rPr>
      </w:pPr>
      <w:r>
        <w:rPr>
          <w:rFonts w:ascii="Calibri" w:cs="Calibri" w:eastAsia="Calibri" w:hAnsi="Calibri"/>
          <w:sz w:val="20"/>
          <w:szCs w:val="20"/>
          <w:color w:val="auto"/>
        </w:rPr>
        <w:t>The Recipient has implemented and maintains, and has caused, or no later than the frst Disbursement Date for the relevant Project, will have caused, each other Recipient Party to implement and maintain in connecton with each Project, commercially reasonable privacy, informaton security, cyber security, disaster recovery, business contnuity, data backup and incident response plans, policies and procedures consistent with Prudent Industry Practce (including administratve, technical and physical safeguards) designed to protect: (i) Sensitve Informaton from any unauthorized, accidental, or unlawful Processing or loss; (ii) each applicable IT System from any unauthorized or unlawful access, acquisiton, use, control, disrupton, destructon, or modifcaton; and</w:t>
      </w:r>
    </w:p>
    <w:p>
      <w:pPr>
        <w:spacing w:after="0" w:line="5" w:lineRule="exact"/>
        <w:rPr>
          <w:rFonts w:ascii="Calibri" w:cs="Calibri" w:eastAsia="Calibri" w:hAnsi="Calibri"/>
          <w:sz w:val="20"/>
          <w:szCs w:val="20"/>
          <w:color w:val="auto"/>
        </w:rPr>
      </w:pPr>
    </w:p>
    <w:p>
      <w:pPr>
        <w:ind w:left="320" w:hanging="312"/>
        <w:spacing w:after="0" w:line="193" w:lineRule="auto"/>
        <w:tabs>
          <w:tab w:leader="none" w:pos="320" w:val="left"/>
        </w:tabs>
        <w:numPr>
          <w:ilvl w:val="0"/>
          <w:numId w:val="548"/>
        </w:numPr>
        <w:rPr>
          <w:rFonts w:ascii="Calibri" w:cs="Calibri" w:eastAsia="Calibri" w:hAnsi="Calibri"/>
          <w:sz w:val="20"/>
          <w:szCs w:val="20"/>
          <w:color w:val="auto"/>
        </w:rPr>
      </w:pPr>
      <w:r>
        <w:rPr>
          <w:rFonts w:ascii="Calibri" w:cs="Calibri" w:eastAsia="Calibri" w:hAnsi="Calibri"/>
          <w:sz w:val="20"/>
          <w:szCs w:val="20"/>
          <w:color w:val="auto"/>
        </w:rPr>
        <w:t>the integrity, security and availability of the Sensitve Informaton and IT Systems.</w:t>
      </w:r>
    </w:p>
    <w:p>
      <w:pPr>
        <w:spacing w:after="0" w:line="171" w:lineRule="exact"/>
        <w:rPr>
          <w:sz w:val="20"/>
          <w:szCs w:val="20"/>
          <w:color w:val="auto"/>
        </w:rPr>
      </w:pPr>
    </w:p>
    <w:p>
      <w:pPr>
        <w:ind w:right="20" w:firstLine="648"/>
        <w:spacing w:after="0" w:line="208" w:lineRule="auto"/>
        <w:rPr>
          <w:sz w:val="20"/>
          <w:szCs w:val="20"/>
          <w:color w:val="auto"/>
        </w:rPr>
      </w:pPr>
      <w:r>
        <w:rPr>
          <w:rFonts w:ascii="Calibri" w:cs="Calibri" w:eastAsia="Calibri" w:hAnsi="Calibri"/>
          <w:sz w:val="20"/>
          <w:szCs w:val="20"/>
          <w:color w:val="auto"/>
        </w:rPr>
        <w:t xml:space="preserve">Secton 6.26. </w:t>
      </w:r>
      <w:r>
        <w:rPr>
          <w:rFonts w:ascii="Calibri" w:cs="Calibri" w:eastAsia="Calibri" w:hAnsi="Calibri"/>
          <w:sz w:val="20"/>
          <w:szCs w:val="20"/>
          <w:b w:val="1"/>
          <w:bCs w:val="1"/>
          <w:color w:val="auto"/>
        </w:rPr>
        <w:t>Acknowledgement Regarding Use of Data.</w:t>
      </w:r>
      <w:r>
        <w:rPr>
          <w:rFonts w:ascii="Calibri" w:cs="Calibri" w:eastAsia="Calibri" w:hAnsi="Calibri"/>
          <w:sz w:val="20"/>
          <w:szCs w:val="20"/>
          <w:color w:val="auto"/>
        </w:rPr>
        <w:t xml:space="preserve"> The Recipient has taken commercially reasonable measures to safeguard protected personally identfable informaton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18</w:t>
      </w:r>
    </w:p>
    <w:p>
      <w:pPr>
        <w:sectPr>
          <w:pgSz w:w="11900" w:h="16838" w:orient="portrait"/>
          <w:cols w:equalWidth="0" w:num="1">
            <w:col w:w="11240"/>
          </w:cols>
          <w:pgMar w:left="320" w:top="1374" w:right="339" w:bottom="1440" w:gutter="0" w:footer="0" w:header="0"/>
        </w:sectPr>
      </w:pPr>
    </w:p>
    <w:bookmarkStart w:id="460" w:name="page461"/>
    <w:bookmarkEnd w:id="460"/>
    <w:p>
      <w:pPr>
        <w:spacing w:after="0"/>
        <w:rPr>
          <w:sz w:val="20"/>
          <w:szCs w:val="20"/>
          <w:color w:val="auto"/>
        </w:rPr>
      </w:pPr>
      <w:r>
        <w:rPr>
          <w:rFonts w:ascii="Calibri" w:cs="Calibri" w:eastAsia="Calibri" w:hAnsi="Calibri"/>
          <w:sz w:val="20"/>
          <w:szCs w:val="20"/>
          <w:color w:val="auto"/>
        </w:rPr>
        <w:t>confdental or sensitve personal or business informaton created or obtained in connecton with the Award.</w:t>
      </w:r>
    </w:p>
    <w:p>
      <w:pPr>
        <w:spacing w:after="0" w:line="147"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7</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AFFIRMATIVE COVENANTS</w:t>
      </w:r>
    </w:p>
    <w:p>
      <w:pPr>
        <w:spacing w:after="0" w:line="157"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7.1.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The Recipient covenants and agrees that, unless the Department waives compliance in writng the Recipient shall, at its own expense, furnish, or cause to be furnished, to the Department, all informaton as and when required in accordance with Annex F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w:t>
      </w:r>
    </w:p>
    <w:p>
      <w:pPr>
        <w:spacing w:after="0" w:line="154"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7.2.</w:t>
      </w:r>
      <w:r>
        <w:rPr>
          <w:sz w:val="20"/>
          <w:szCs w:val="20"/>
          <w:color w:val="auto"/>
        </w:rPr>
        <w:tab/>
      </w:r>
      <w:r>
        <w:rPr>
          <w:rFonts w:ascii="Calibri" w:cs="Calibri" w:eastAsia="Calibri" w:hAnsi="Calibri"/>
          <w:sz w:val="20"/>
          <w:szCs w:val="20"/>
          <w:b w:val="1"/>
          <w:bCs w:val="1"/>
          <w:color w:val="auto"/>
        </w:rPr>
        <w:t>Afrmatve Covenants during the Period of Performance</w:t>
      </w:r>
      <w:r>
        <w:rPr>
          <w:rFonts w:ascii="Calibri" w:cs="Calibri" w:eastAsia="Calibri" w:hAnsi="Calibri"/>
          <w:sz w:val="20"/>
          <w:szCs w:val="20"/>
          <w:color w:val="auto"/>
        </w:rPr>
        <w:t>. The Recipient covenants and agrees that during the</w:t>
      </w:r>
    </w:p>
    <w:p>
      <w:pPr>
        <w:spacing w:after="0" w:line="193" w:lineRule="auto"/>
        <w:rPr>
          <w:sz w:val="20"/>
          <w:szCs w:val="20"/>
          <w:color w:val="auto"/>
        </w:rPr>
      </w:pPr>
      <w:r>
        <w:rPr>
          <w:rFonts w:ascii="Calibri" w:cs="Calibri" w:eastAsia="Calibri" w:hAnsi="Calibri"/>
          <w:sz w:val="20"/>
          <w:szCs w:val="20"/>
          <w:color w:val="auto"/>
        </w:rPr>
        <w:t>Period of Performance, unless the Department waives compliance in writng:</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7.2.1</w:t>
      </w:r>
      <w:r>
        <w:rPr>
          <w:sz w:val="20"/>
          <w:szCs w:val="20"/>
          <w:color w:val="auto"/>
        </w:rPr>
        <w:tab/>
      </w:r>
      <w:r>
        <w:rPr>
          <w:rFonts w:ascii="Calibri" w:cs="Calibri" w:eastAsia="Calibri" w:hAnsi="Calibri"/>
          <w:sz w:val="20"/>
          <w:szCs w:val="20"/>
          <w:b w:val="1"/>
          <w:bCs w:val="1"/>
          <w:color w:val="auto"/>
        </w:rPr>
        <w:t>Internal Controls; Monitoring and Reportng .</w:t>
      </w:r>
    </w:p>
    <w:p>
      <w:pPr>
        <w:spacing w:after="0" w:line="157" w:lineRule="exact"/>
        <w:rPr>
          <w:sz w:val="20"/>
          <w:szCs w:val="20"/>
          <w:color w:val="auto"/>
        </w:rPr>
      </w:pPr>
    </w:p>
    <w:p>
      <w:pPr>
        <w:ind w:right="20" w:firstLine="1952"/>
        <w:spacing w:after="0" w:line="214" w:lineRule="auto"/>
        <w:tabs>
          <w:tab w:leader="none" w:pos="2596" w:val="left"/>
        </w:tabs>
        <w:numPr>
          <w:ilvl w:val="0"/>
          <w:numId w:val="549"/>
        </w:numPr>
        <w:rPr>
          <w:rFonts w:ascii="Calibri" w:cs="Calibri" w:eastAsia="Calibri" w:hAnsi="Calibri"/>
          <w:sz w:val="20"/>
          <w:szCs w:val="20"/>
          <w:color w:val="auto"/>
        </w:rPr>
      </w:pPr>
      <w:r>
        <w:rPr>
          <w:rFonts w:ascii="Calibri" w:cs="Calibri" w:eastAsia="Calibri" w:hAnsi="Calibri"/>
          <w:sz w:val="20"/>
          <w:szCs w:val="20"/>
          <w:color w:val="auto"/>
        </w:rPr>
        <w:t>The Recipient acknowledges and understands that the Department is responsible for protectng taxpayer resources, including by ensuring strong compliance and accountability measures for the Recipient with respect to any Disbursement.</w:t>
      </w:r>
    </w:p>
    <w:p>
      <w:pPr>
        <w:spacing w:after="0" w:line="158"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49"/>
        </w:numPr>
        <w:rPr>
          <w:rFonts w:ascii="Calibri" w:cs="Calibri" w:eastAsia="Calibri" w:hAnsi="Calibri"/>
          <w:sz w:val="20"/>
          <w:szCs w:val="20"/>
          <w:color w:val="auto"/>
        </w:rPr>
      </w:pPr>
      <w:r>
        <w:rPr>
          <w:rFonts w:ascii="Calibri" w:cs="Calibri" w:eastAsia="Calibri" w:hAnsi="Calibri"/>
          <w:sz w:val="20"/>
          <w:szCs w:val="20"/>
          <w:color w:val="auto"/>
        </w:rPr>
        <w:t>The Recipient shall establish and maintain efectve internal control over the proceeds of any Disbursements to provide reasonable assurance that any costs of the Recipient or any Person paid or reimbursed with such Disbursement consttute Eligible Uses of Funds.</w:t>
      </w:r>
    </w:p>
    <w:p>
      <w:pPr>
        <w:spacing w:after="0" w:line="157"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549"/>
        </w:numPr>
        <w:rPr>
          <w:rFonts w:ascii="Calibri" w:cs="Calibri" w:eastAsia="Calibri" w:hAnsi="Calibri"/>
          <w:sz w:val="20"/>
          <w:szCs w:val="20"/>
          <w:color w:val="auto"/>
        </w:rPr>
      </w:pPr>
      <w:r>
        <w:rPr>
          <w:rFonts w:ascii="Calibri" w:cs="Calibri" w:eastAsia="Calibri" w:hAnsi="Calibri"/>
          <w:sz w:val="20"/>
          <w:szCs w:val="20"/>
          <w:color w:val="auto"/>
        </w:rPr>
        <w:t>The Recipient shall monitor actvites funded by any Disbursement to provide reasonable assurance that the proceeds of such Disbursement are used in compliance with the terms of this Agreement and performance expectatons with respect to the Project. Upon reasonable request by the Department, the Recipient shall provide any invoices, other fnancial records, and performance reportng informaton provided by any third party that has received proceeds of any Disbursement from the Recipient for the purpose of demonstratng performance in alignment with this Agreement.</w:t>
      </w:r>
    </w:p>
    <w:p>
      <w:pPr>
        <w:spacing w:after="0" w:line="161"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7.2.2 </w:t>
      </w:r>
      <w:r>
        <w:rPr>
          <w:rFonts w:ascii="Calibri" w:cs="Calibri" w:eastAsia="Calibri" w:hAnsi="Calibri"/>
          <w:sz w:val="20"/>
          <w:szCs w:val="20"/>
          <w:b w:val="1"/>
          <w:bCs w:val="1"/>
          <w:color w:val="auto"/>
        </w:rPr>
        <w:t>Operatons.</w:t>
      </w:r>
      <w:r>
        <w:rPr>
          <w:rFonts w:ascii="Calibri" w:cs="Calibri" w:eastAsia="Calibri" w:hAnsi="Calibri"/>
          <w:sz w:val="20"/>
          <w:szCs w:val="20"/>
          <w:color w:val="auto"/>
        </w:rPr>
        <w:t xml:space="preserve"> The Recipient shall own, operate and maintain (or cause to be owned, operated and maintained) each Project in all material respects in accordance with Prudent Industry Practce.</w:t>
      </w:r>
    </w:p>
    <w:p>
      <w:pPr>
        <w:spacing w:after="0" w:line="159"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7.2.3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The Recipient shall comply with and conduct its business, operatons, assets, equipment, property, leaseholds, each Project and each Facility in compliance with:</w:t>
      </w:r>
    </w:p>
    <w:p>
      <w:pPr>
        <w:spacing w:after="0" w:line="149" w:lineRule="exact"/>
        <w:rPr>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 xml:space="preserve">the Program Fraud Civil Remedies Act (31 U.S.C. § 3801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the Civil False Claims Act (31 U.S.C. §§ 3729 - 3733);</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9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any mitgaton measures and best management practces set forth in any NEPA decision document of the Department relatng to the Projects;</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50"/>
        </w:numPr>
        <w:rPr>
          <w:rFonts w:ascii="Calibri" w:cs="Calibri" w:eastAsia="Calibri" w:hAnsi="Calibri"/>
          <w:sz w:val="20"/>
          <w:szCs w:val="20"/>
          <w:color w:val="auto"/>
        </w:rPr>
      </w:pPr>
      <w:r>
        <w:rPr>
          <w:rFonts w:ascii="Calibri" w:cs="Calibri" w:eastAsia="Calibri" w:hAnsi="Calibri"/>
          <w:sz w:val="20"/>
          <w:szCs w:val="20"/>
          <w:color w:val="auto"/>
        </w:rPr>
        <w:t xml:space="preserve">the Uniform Relocaton Assistance and Real Property Acquisiton Policies Act of 1970 (42 U.S.C. § 4601 </w:t>
      </w:r>
      <w:r>
        <w:rPr>
          <w:rFonts w:ascii="Calibri" w:cs="Calibri" w:eastAsia="Calibri" w:hAnsi="Calibri"/>
          <w:sz w:val="20"/>
          <w:szCs w:val="20"/>
          <w:i w:val="1"/>
          <w:iCs w:val="1"/>
          <w:color w:val="auto"/>
        </w:rPr>
        <w:t>et</w:t>
      </w:r>
    </w:p>
    <w:p>
      <w:pPr>
        <w:spacing w:after="0" w:line="199" w:lineRule="auto"/>
        <w:rPr>
          <w:rFonts w:ascii="Calibri" w:cs="Calibri" w:eastAsia="Calibri" w:hAnsi="Calibri"/>
          <w:sz w:val="20"/>
          <w:szCs w:val="20"/>
          <w:color w:val="auto"/>
        </w:rPr>
      </w:pPr>
      <w:r>
        <w:rPr>
          <w:rFonts w:ascii="Calibri" w:cs="Calibri" w:eastAsia="Calibri" w:hAnsi="Calibri"/>
          <w:sz w:val="20"/>
          <w:szCs w:val="20"/>
          <w:i w:val="1"/>
          <w:iCs w:val="1"/>
          <w:color w:val="auto"/>
        </w:rPr>
        <w:t>seq</w:t>
      </w:r>
      <w:r>
        <w:rPr>
          <w:rFonts w:ascii="Calibri" w:cs="Calibri" w:eastAsia="Calibri" w:hAnsi="Calibri"/>
          <w:sz w:val="20"/>
          <w:szCs w:val="20"/>
          <w:color w:val="auto"/>
        </w:rPr>
        <w: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19</w:t>
      </w:r>
    </w:p>
    <w:p>
      <w:pPr>
        <w:sectPr>
          <w:pgSz w:w="11900" w:h="16838" w:orient="portrait"/>
          <w:cols w:equalWidth="0" w:num="1">
            <w:col w:w="11240"/>
          </w:cols>
          <w:pgMar w:left="320" w:top="1374" w:right="339" w:bottom="1440" w:gutter="0" w:footer="0" w:header="0"/>
        </w:sectPr>
      </w:pPr>
    </w:p>
    <w:bookmarkStart w:id="461" w:name="page462"/>
    <w:bookmarkEnd w:id="461"/>
    <w:p>
      <w:pPr>
        <w:jc w:val="both"/>
        <w:ind w:firstLine="1952"/>
        <w:spacing w:after="0" w:line="199" w:lineRule="auto"/>
        <w:tabs>
          <w:tab w:leader="none" w:pos="2592" w:val="left"/>
        </w:tabs>
        <w:numPr>
          <w:ilvl w:val="0"/>
          <w:numId w:val="551"/>
        </w:numPr>
        <w:rPr>
          <w:rFonts w:ascii="Calibri" w:cs="Calibri" w:eastAsia="Calibri" w:hAnsi="Calibri"/>
          <w:sz w:val="20"/>
          <w:szCs w:val="20"/>
          <w:color w:val="auto"/>
        </w:rPr>
      </w:pPr>
      <w:r>
        <w:rPr>
          <w:rFonts w:ascii="Calibri" w:cs="Calibri" w:eastAsia="Calibri" w:hAnsi="Calibri"/>
          <w:sz w:val="20"/>
          <w:szCs w:val="20"/>
          <w:color w:val="auto"/>
        </w:rPr>
        <w:t>all applicable federal labor and employment laws, including Title VII of the Civil Rights Act of 1964 (42 U.S.C. § 2000e et seq.), the Fair Labor Standards Act (29 U.S.C. § 203), the Occupatonal Safety and Health Act (29 U.S.C. § 653) and the Natonal Labor Relatons Act (29 U.S.C. § 151 et seq.) in all material respects; all applicable Export Control Laws in all respects, except for any actual or potental violatons that involve only unintentonal minor, technical infractons, which either (A) were voluntarily self-disclosed to BIS within sixty (60) 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 and</w:t>
      </w:r>
    </w:p>
    <w:p>
      <w:pPr>
        <w:spacing w:after="0" w:line="162" w:lineRule="exact"/>
        <w:rPr>
          <w:rFonts w:ascii="Calibri" w:cs="Calibri" w:eastAsia="Calibri" w:hAnsi="Calibri"/>
          <w:sz w:val="20"/>
          <w:szCs w:val="20"/>
          <w:color w:val="auto"/>
        </w:rPr>
      </w:pPr>
    </w:p>
    <w:p>
      <w:pPr>
        <w:ind w:firstLine="1952"/>
        <w:spacing w:after="0" w:line="214" w:lineRule="auto"/>
        <w:tabs>
          <w:tab w:leader="none" w:pos="2586" w:val="left"/>
        </w:tabs>
        <w:numPr>
          <w:ilvl w:val="0"/>
          <w:numId w:val="551"/>
        </w:numPr>
        <w:rPr>
          <w:rFonts w:ascii="Calibri" w:cs="Calibri" w:eastAsia="Calibri" w:hAnsi="Calibri"/>
          <w:sz w:val="20"/>
          <w:szCs w:val="20"/>
          <w:color w:val="auto"/>
        </w:rPr>
      </w:pPr>
      <w:r>
        <w:rPr>
          <w:rFonts w:ascii="Calibri" w:cs="Calibri" w:eastAsia="Calibri" w:hAnsi="Calibri"/>
          <w:sz w:val="20"/>
          <w:szCs w:val="20"/>
          <w:color w:val="auto"/>
        </w:rPr>
        <w:t>without prejudice to Secton 7.2.3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Secton 7.2.9 (</w:t>
      </w:r>
      <w:r>
        <w:rPr>
          <w:rFonts w:ascii="Calibri" w:cs="Calibri" w:eastAsia="Calibri" w:hAnsi="Calibri"/>
          <w:sz w:val="20"/>
          <w:szCs w:val="20"/>
          <w:b w:val="1"/>
          <w:bCs w:val="1"/>
          <w:color w:val="auto"/>
        </w:rPr>
        <w:t>Intellectual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Property</w:t>
      </w:r>
      <w:r>
        <w:rPr>
          <w:rFonts w:ascii="Calibri" w:cs="Calibri" w:eastAsia="Calibri" w:hAnsi="Calibri"/>
          <w:sz w:val="20"/>
          <w:szCs w:val="20"/>
          <w:color w:val="auto"/>
        </w:rPr>
        <w:t>), Secton 7.2.10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Secton 7.2.13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 all other Applicable Law in all material respects.</w:t>
      </w:r>
    </w:p>
    <w:p>
      <w:pPr>
        <w:spacing w:after="0" w:line="159"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7.2.4 </w:t>
      </w:r>
      <w:r>
        <w:rPr>
          <w:rFonts w:ascii="Calibri" w:cs="Calibri" w:eastAsia="Calibri" w:hAnsi="Calibri"/>
          <w:sz w:val="20"/>
          <w:szCs w:val="20"/>
          <w:b w:val="1"/>
          <w:bCs w:val="1"/>
          <w:color w:val="auto"/>
        </w:rPr>
        <w:t>Insurance.</w:t>
      </w:r>
      <w:r>
        <w:rPr>
          <w:rFonts w:ascii="Calibri" w:cs="Calibri" w:eastAsia="Calibri" w:hAnsi="Calibri"/>
          <w:sz w:val="20"/>
          <w:szCs w:val="20"/>
          <w:color w:val="auto"/>
        </w:rPr>
        <w:t xml:space="preserve"> The Recipient shall maintain, or cause to be maintained, in efect at all tmes insurance with reputable insurance companies (or self-insurance), with respect to its present and future Propertes (including liability and business interrupton coverage), against such risks and hazards, in such amounts, and in such form, as is usually carried by companies of a similar size that are engaged in the same or a similar business (afer giving efect to any self-insurance which in the good faith judgment and management of the Recipient is reasonable and prudent in light of the size and nature of its business).</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7.2.5</w:t>
      </w:r>
      <w:r>
        <w:rPr>
          <w:sz w:val="20"/>
          <w:szCs w:val="20"/>
          <w:color w:val="auto"/>
        </w:rPr>
        <w:tab/>
      </w:r>
      <w:r>
        <w:rPr>
          <w:rFonts w:ascii="Calibri" w:cs="Calibri" w:eastAsia="Calibri" w:hAnsi="Calibri"/>
          <w:sz w:val="19"/>
          <w:szCs w:val="19"/>
          <w:b w:val="1"/>
          <w:bCs w:val="1"/>
          <w:color w:val="auto"/>
        </w:rPr>
        <w:t>Taxes.</w:t>
      </w:r>
    </w:p>
    <w:p>
      <w:pPr>
        <w:spacing w:after="0" w:line="157" w:lineRule="exact"/>
        <w:rPr>
          <w:sz w:val="20"/>
          <w:szCs w:val="20"/>
          <w:color w:val="auto"/>
        </w:rPr>
      </w:pPr>
    </w:p>
    <w:p>
      <w:pPr>
        <w:jc w:val="both"/>
        <w:ind w:firstLine="1952"/>
        <w:spacing w:after="0" w:line="202" w:lineRule="auto"/>
        <w:tabs>
          <w:tab w:leader="none" w:pos="2596" w:val="left"/>
        </w:tabs>
        <w:numPr>
          <w:ilvl w:val="0"/>
          <w:numId w:val="552"/>
        </w:numPr>
        <w:rPr>
          <w:rFonts w:ascii="Calibri" w:cs="Calibri" w:eastAsia="Calibri" w:hAnsi="Calibri"/>
          <w:sz w:val="20"/>
          <w:szCs w:val="20"/>
          <w:color w:val="auto"/>
        </w:rPr>
      </w:pPr>
      <w:r>
        <w:rPr>
          <w:rFonts w:ascii="Calibri" w:cs="Calibri" w:eastAsia="Calibri" w:hAnsi="Calibri"/>
          <w:sz w:val="20"/>
          <w:szCs w:val="20"/>
          <w:color w:val="auto"/>
        </w:rPr>
        <w:t>The Recipient shall pay or cause to be paid on or before the date payment is due all applicable Taxes (including stamp taxes), dutes, fees, Periodic Expenses, or other charges payable on or in connecton with the executon, issue, delivery, registraton, or notarizaton, or for the legality, validity, or enforceability, of the Award Documents (other than those Taxes that it is contestng in good faith and by appropriate proceedings for which reserves have been established to the extent required by the Applicable Accountng Requirements); provided that, the Recipient shall promptly pay any valid, fnal judgment rendered upon the conclusion of any relevant Acton enforcing any Tax and cause it to be satsfed of record.</w:t>
      </w:r>
    </w:p>
    <w:p>
      <w:pPr>
        <w:spacing w:after="0" w:line="157"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52"/>
        </w:numPr>
        <w:rPr>
          <w:rFonts w:ascii="Calibri" w:cs="Calibri" w:eastAsia="Calibri" w:hAnsi="Calibri"/>
          <w:sz w:val="20"/>
          <w:szCs w:val="20"/>
          <w:color w:val="auto"/>
        </w:rPr>
      </w:pPr>
      <w:r>
        <w:rPr>
          <w:rFonts w:ascii="Calibri" w:cs="Calibri" w:eastAsia="Calibri" w:hAnsi="Calibri"/>
          <w:sz w:val="20"/>
          <w:szCs w:val="20"/>
          <w:color w:val="auto"/>
        </w:rPr>
        <w:t>The Recipient shall fle all tax returns required by Applicable Laws to be fled by it and shall pay or cause to be paid on or before the date payment is due (i) all income Taxes required to be paid by it; and (ii) all other material Taxes and assessments required to be paid by it (other than those Taxes that it contests in good faith and by appropriate proceedings, for which reserves are established to the extent required by the Applicable Accountng Requirements).</w:t>
      </w:r>
    </w:p>
    <w:p>
      <w:pPr>
        <w:spacing w:after="0" w:line="160"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7.2.6 </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xml:space="preserve"> The Recipient shall apply the proceeds of each Direct Funding Disbursement for any Project exclusively to reimburse the Recipient for Eligible Uses of Funds incurred in connecton with the relevant Disbursement Milestone for which the Direct Funding Disbursement was made which Eligible Uses of Funds have not been paid with the proceeds of (i) any federal grants, assistance or loans; (ii) other funds guaranteed by the federal government; or (iii) tax credits. For the avoidance of doubt, Eligible Uses of Funds may have been incurred by the Recipient on or afer the Eligible Start Date.</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7.2.7</w:t>
      </w:r>
      <w:r>
        <w:rPr>
          <w:sz w:val="20"/>
          <w:szCs w:val="20"/>
          <w:color w:val="auto"/>
        </w:rPr>
        <w:tab/>
      </w:r>
      <w:r>
        <w:rPr>
          <w:rFonts w:ascii="Calibri" w:cs="Calibri" w:eastAsia="Calibri" w:hAnsi="Calibri"/>
          <w:sz w:val="20"/>
          <w:szCs w:val="20"/>
          <w:b w:val="1"/>
          <w:bCs w:val="1"/>
          <w:color w:val="auto"/>
        </w:rPr>
        <w:t>Diligent Executon of Project</w:t>
      </w:r>
      <w:r>
        <w:rPr>
          <w:rFonts w:ascii="Calibri" w:cs="Calibri" w:eastAsia="Calibri" w:hAnsi="Calibri"/>
          <w:sz w:val="20"/>
          <w:szCs w:val="20"/>
          <w:color w:val="auto"/>
        </w:rPr>
        <w:t>.</w:t>
      </w:r>
    </w:p>
    <w:p>
      <w:pPr>
        <w:spacing w:after="0" w:line="171" w:lineRule="exact"/>
        <w:rPr>
          <w:sz w:val="20"/>
          <w:szCs w:val="20"/>
          <w:color w:val="auto"/>
        </w:rPr>
      </w:pPr>
    </w:p>
    <w:p>
      <w:pPr>
        <w:ind w:firstLine="1952"/>
        <w:spacing w:after="0" w:line="208" w:lineRule="auto"/>
        <w:tabs>
          <w:tab w:leader="none" w:pos="2596" w:val="left"/>
        </w:tabs>
        <w:numPr>
          <w:ilvl w:val="0"/>
          <w:numId w:val="553"/>
        </w:numPr>
        <w:rPr>
          <w:rFonts w:ascii="Calibri" w:cs="Calibri" w:eastAsia="Calibri" w:hAnsi="Calibri"/>
          <w:sz w:val="20"/>
          <w:szCs w:val="20"/>
          <w:color w:val="auto"/>
        </w:rPr>
      </w:pPr>
      <w:r>
        <w:rPr>
          <w:rFonts w:ascii="Calibri" w:cs="Calibri" w:eastAsia="Calibri" w:hAnsi="Calibri"/>
          <w:sz w:val="20"/>
          <w:szCs w:val="20"/>
          <w:color w:val="auto"/>
        </w:rPr>
        <w:t>The Recipient shall use commercially reasonable eforts to achieve each Disbursement Milestone for each Project by the relevant Antcipated Completon Date.</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53"/>
        </w:numPr>
        <w:rPr>
          <w:rFonts w:ascii="Calibri" w:cs="Calibri" w:eastAsia="Calibri" w:hAnsi="Calibri"/>
          <w:sz w:val="20"/>
          <w:szCs w:val="20"/>
          <w:color w:val="auto"/>
        </w:rPr>
      </w:pPr>
      <w:r>
        <w:rPr>
          <w:rFonts w:ascii="Calibri" w:cs="Calibri" w:eastAsia="Calibri" w:hAnsi="Calibri"/>
          <w:sz w:val="20"/>
          <w:szCs w:val="20"/>
          <w:color w:val="auto"/>
        </w:rPr>
        <w:t>The Recipient shall construct and complete, or cause to be constructed and completed, each Project diligently in accordance with the applicable Constructon Contracts and the other applicable Project Documents, in all material respects, as each is permited to be amended, supplemented or otherwise modifed under this Agreement, and Prudent Industry Practce.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240"/>
          </w:cols>
          <w:pgMar w:left="320" w:top="1384" w:right="339" w:bottom="1440" w:gutter="0" w:footer="0" w:header="0"/>
        </w:sectPr>
      </w:pPr>
    </w:p>
    <w:bookmarkStart w:id="462" w:name="page463"/>
    <w:bookmarkEnd w:id="462"/>
    <w:p>
      <w:pPr>
        <w:jc w:val="both"/>
        <w:ind w:right="20" w:firstLine="1296"/>
        <w:spacing w:after="0" w:line="205" w:lineRule="auto"/>
        <w:rPr>
          <w:sz w:val="20"/>
          <w:szCs w:val="20"/>
          <w:color w:val="auto"/>
        </w:rPr>
      </w:pPr>
      <w:r>
        <w:rPr>
          <w:rFonts w:ascii="Calibri" w:cs="Calibri" w:eastAsia="Calibri" w:hAnsi="Calibri"/>
          <w:sz w:val="20"/>
          <w:szCs w:val="20"/>
          <w:color w:val="auto"/>
        </w:rPr>
        <w:t xml:space="preserve">7.2.8 </w:t>
      </w:r>
      <w:r>
        <w:rPr>
          <w:rFonts w:ascii="Calibri" w:cs="Calibri" w:eastAsia="Calibri" w:hAnsi="Calibri"/>
          <w:sz w:val="20"/>
          <w:szCs w:val="20"/>
          <w:b w:val="1"/>
          <w:bCs w:val="1"/>
          <w:color w:val="auto"/>
        </w:rPr>
        <w:t>Equipment.</w:t>
      </w:r>
      <w:r>
        <w:rPr>
          <w:rFonts w:ascii="Calibri" w:cs="Calibri" w:eastAsia="Calibri" w:hAnsi="Calibri"/>
          <w:sz w:val="20"/>
          <w:szCs w:val="20"/>
          <w:color w:val="auto"/>
        </w:rPr>
        <w:t xml:space="preserve"> The Recipient shall own, maintain, repair and replace (or cause to be owned, maintained, repaired and replaced) all material Propertes and equipment, spare parts, and inventory necessary for the operaton and maintenance of any Project in accordance with Prudent Industry Practce.</w:t>
      </w:r>
    </w:p>
    <w:p>
      <w:pPr>
        <w:spacing w:after="0" w:line="171"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7.2.9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The Recipient shall at all tmes acquire and maintain ownership of, or obtain and maintain licenses or other authorizatons or rights to use, know-how sufcient to operate and maintain the Existng Facilites to manufacture the Products.</w:t>
      </w:r>
    </w:p>
    <w:p>
      <w:pPr>
        <w:spacing w:after="0" w:line="157"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7.2.10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The Recipient shall (a) procure (or renew, as applicable) each Required Approval at or prior to such tme as such Required Approval is required or necessary and in any event in accordance with any applicable deadline set forth in the relevant Permitng Plan; and (b) maintain each such Required Approval in full force and efect and comply with the terms thereof in all material respects.</w:t>
      </w:r>
    </w:p>
    <w:p>
      <w:pPr>
        <w:spacing w:after="0" w:line="163"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7.2.11  </w:t>
      </w:r>
      <w:r>
        <w:rPr>
          <w:rFonts w:ascii="Calibri" w:cs="Calibri" w:eastAsia="Calibri" w:hAnsi="Calibri"/>
          <w:sz w:val="20"/>
          <w:szCs w:val="20"/>
          <w:b w:val="1"/>
          <w:bCs w:val="1"/>
          <w:color w:val="auto"/>
        </w:rPr>
        <w:t>ASAP Account.</w:t>
      </w:r>
      <w:r>
        <w:rPr>
          <w:rFonts w:ascii="Calibri" w:cs="Calibri" w:eastAsia="Calibri" w:hAnsi="Calibri"/>
          <w:sz w:val="20"/>
          <w:szCs w:val="20"/>
          <w:color w:val="auto"/>
        </w:rPr>
        <w:t xml:space="preserve"> The Recipient shall maintain an account in ASAP at all tmes.</w:t>
      </w:r>
    </w:p>
    <w:p>
      <w:pPr>
        <w:spacing w:after="0" w:line="157" w:lineRule="exact"/>
        <w:rPr>
          <w:sz w:val="20"/>
          <w:szCs w:val="20"/>
          <w:color w:val="auto"/>
        </w:rPr>
      </w:pPr>
    </w:p>
    <w:p>
      <w:pPr>
        <w:jc w:val="both"/>
        <w:ind w:firstLine="1296"/>
        <w:spacing w:after="0"/>
        <w:rPr>
          <w:sz w:val="20"/>
          <w:szCs w:val="20"/>
          <w:color w:val="auto"/>
        </w:rPr>
      </w:pPr>
      <w:r>
        <w:rPr>
          <w:rFonts w:ascii="Calibri" w:cs="Calibri" w:eastAsia="Calibri" w:hAnsi="Calibri"/>
          <w:sz w:val="20"/>
          <w:szCs w:val="20"/>
          <w:color w:val="auto"/>
        </w:rPr>
        <w:t xml:space="preserve">7.2.12 </w:t>
      </w:r>
      <w:r>
        <w:rPr>
          <w:rFonts w:ascii="Calibri" w:cs="Calibri" w:eastAsia="Calibri" w:hAnsi="Calibri"/>
          <w:sz w:val="20"/>
          <w:szCs w:val="20"/>
          <w:b w:val="1"/>
          <w:bCs w:val="1"/>
          <w:color w:val="auto"/>
        </w:rPr>
        <w:t>Public Announcements</w:t>
      </w:r>
      <w:r>
        <w:rPr>
          <w:rFonts w:ascii="Calibri" w:cs="Calibri" w:eastAsia="Calibri" w:hAnsi="Calibri"/>
          <w:sz w:val="20"/>
          <w:szCs w:val="20"/>
          <w:color w:val="auto"/>
        </w:rPr>
        <w:t>. The Recipient shall, prior to the making thereof, provide reasonable advance notce to the Department with respect to any public announcement made by the Recipient or, to the Recipient’s Knowledge, any other Recipient Party:</w:t>
      </w:r>
    </w:p>
    <w:p>
      <w:pPr>
        <w:spacing w:after="0" w:line="295" w:lineRule="exact"/>
        <w:rPr>
          <w:sz w:val="20"/>
          <w:szCs w:val="20"/>
          <w:color w:val="auto"/>
        </w:rPr>
      </w:pPr>
    </w:p>
    <w:p>
      <w:pPr>
        <w:ind w:firstLine="1952"/>
        <w:spacing w:after="0" w:line="214" w:lineRule="auto"/>
        <w:tabs>
          <w:tab w:leader="none" w:pos="2596" w:val="left"/>
        </w:tabs>
        <w:numPr>
          <w:ilvl w:val="0"/>
          <w:numId w:val="554"/>
        </w:numPr>
        <w:rPr>
          <w:rFonts w:ascii="Calibri" w:cs="Calibri" w:eastAsia="Calibri" w:hAnsi="Calibri"/>
          <w:sz w:val="20"/>
          <w:szCs w:val="20"/>
          <w:color w:val="auto"/>
        </w:rPr>
      </w:pPr>
      <w:r>
        <w:rPr>
          <w:rFonts w:ascii="Calibri" w:cs="Calibri" w:eastAsia="Calibri" w:hAnsi="Calibri"/>
          <w:sz w:val="20"/>
          <w:szCs w:val="20"/>
          <w:color w:val="auto"/>
        </w:rPr>
        <w:t xml:space="preserve">in connecton with material developments in respect of any Project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any Project’s ground-breaking ceremony or going into operaton) or satsfacton of any Disbursement Milestone); and</w:t>
      </w:r>
    </w:p>
    <w:p>
      <w:pPr>
        <w:spacing w:after="0" w:line="158"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554"/>
        </w:numPr>
        <w:rPr>
          <w:rFonts w:ascii="Calibri" w:cs="Calibri" w:eastAsia="Calibri" w:hAnsi="Calibri"/>
          <w:sz w:val="20"/>
          <w:szCs w:val="20"/>
          <w:color w:val="auto"/>
        </w:rPr>
      </w:pPr>
      <w:r>
        <w:rPr>
          <w:rFonts w:ascii="Calibri" w:cs="Calibri" w:eastAsia="Calibri" w:hAnsi="Calibri"/>
          <w:sz w:val="20"/>
          <w:szCs w:val="20"/>
          <w:color w:val="auto"/>
        </w:rPr>
        <w:t>that directly refers to the Award or any Award Document (including by submitng the full text of any proposed public statement to the Department for review and refraining from making any such public statement without the Department’s prior writen approval), other than any such statements that are, as may be determined by any Recipient Party or any Afliate thereof: (i) required by or to comply with Applicable Law or stock exchange rules or regulatons applicable to such Person; or (ii) made in connecton with any Acton brought by or against any Recipient Party or any of its Afliates.</w:t>
      </w:r>
    </w:p>
    <w:p>
      <w:pPr>
        <w:spacing w:after="0" w:line="151"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7.2.13  </w:t>
      </w:r>
      <w:r>
        <w:rPr>
          <w:rFonts w:ascii="Calibri" w:cs="Calibri" w:eastAsia="Calibri" w:hAnsi="Calibri"/>
          <w:sz w:val="20"/>
          <w:szCs w:val="20"/>
          <w:b w:val="1"/>
          <w:bCs w:val="1"/>
          <w:color w:val="auto"/>
        </w:rPr>
        <w:t>Federal Requirements.</w:t>
      </w:r>
    </w:p>
    <w:p>
      <w:pPr>
        <w:spacing w:after="0" w:line="153" w:lineRule="exact"/>
        <w:rPr>
          <w:sz w:val="20"/>
          <w:szCs w:val="20"/>
          <w:color w:val="auto"/>
        </w:rPr>
      </w:pPr>
    </w:p>
    <w:p>
      <w:pPr>
        <w:ind w:left="2600" w:hanging="648"/>
        <w:spacing w:after="0"/>
        <w:tabs>
          <w:tab w:leader="none" w:pos="2600" w:val="left"/>
        </w:tabs>
        <w:numPr>
          <w:ilvl w:val="0"/>
          <w:numId w:val="555"/>
        </w:numPr>
        <w:rPr>
          <w:rFonts w:ascii="Calibri" w:cs="Calibri" w:eastAsia="Calibri" w:hAnsi="Calibri"/>
          <w:sz w:val="20"/>
          <w:szCs w:val="20"/>
          <w:color w:val="auto"/>
        </w:rPr>
      </w:pPr>
      <w:r>
        <w:rPr>
          <w:rFonts w:ascii="Calibri" w:cs="Calibri" w:eastAsia="Calibri" w:hAnsi="Calibri"/>
          <w:sz w:val="20"/>
          <w:szCs w:val="20"/>
          <w:b w:val="1"/>
          <w:bCs w:val="1"/>
          <w:color w:val="auto"/>
        </w:rPr>
        <w:t>Sanctons, Export Control Laws, Ant-Money Laundering Laws, and Ant-Corrupton Laws</w:t>
      </w:r>
      <w:r>
        <w:rPr>
          <w:rFonts w:ascii="Calibri" w:cs="Calibri" w:eastAsia="Calibri" w:hAnsi="Calibri"/>
          <w:sz w:val="20"/>
          <w:szCs w:val="20"/>
          <w:color w:val="auto"/>
        </w:rPr>
        <w:t>. The Recipient</w:t>
      </w:r>
    </w:p>
    <w:p>
      <w:pPr>
        <w:spacing w:after="0" w:line="193" w:lineRule="auto"/>
        <w:rPr>
          <w:sz w:val="20"/>
          <w:szCs w:val="20"/>
          <w:color w:val="auto"/>
        </w:rPr>
      </w:pPr>
      <w:r>
        <w:rPr>
          <w:rFonts w:ascii="Calibri" w:cs="Calibri" w:eastAsia="Calibri" w:hAnsi="Calibri"/>
          <w:sz w:val="20"/>
          <w:szCs w:val="20"/>
          <w:color w:val="auto"/>
        </w:rPr>
        <w:t>shall:</w:t>
      </w:r>
    </w:p>
    <w:p>
      <w:pPr>
        <w:spacing w:after="0" w:line="161" w:lineRule="exact"/>
        <w:rPr>
          <w:sz w:val="20"/>
          <w:szCs w:val="20"/>
          <w:color w:val="auto"/>
        </w:rPr>
      </w:pPr>
    </w:p>
    <w:p>
      <w:pPr>
        <w:ind w:left="3240" w:hanging="640"/>
        <w:spacing w:after="0"/>
        <w:tabs>
          <w:tab w:leader="none" w:pos="3240" w:val="left"/>
        </w:tabs>
        <w:numPr>
          <w:ilvl w:val="0"/>
          <w:numId w:val="556"/>
        </w:numPr>
        <w:rPr>
          <w:rFonts w:ascii="Calibri" w:cs="Calibri" w:eastAsia="Calibri" w:hAnsi="Calibri"/>
          <w:sz w:val="20"/>
          <w:szCs w:val="20"/>
          <w:color w:val="auto"/>
        </w:rPr>
      </w:pPr>
      <w:r>
        <w:rPr>
          <w:rFonts w:ascii="Calibri" w:cs="Calibri" w:eastAsia="Calibri" w:hAnsi="Calibri"/>
          <w:sz w:val="20"/>
          <w:szCs w:val="20"/>
          <w:color w:val="auto"/>
        </w:rPr>
        <w:t>comply with all Sanctons, Ant-Money Laundering Laws, and Ant-Corrupton Laws;</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0"/>
          <w:numId w:val="556"/>
        </w:numPr>
        <w:rPr>
          <w:rFonts w:ascii="Calibri" w:cs="Calibri" w:eastAsia="Calibri" w:hAnsi="Calibri"/>
          <w:sz w:val="20"/>
          <w:szCs w:val="20"/>
          <w:color w:val="auto"/>
        </w:rPr>
      </w:pPr>
      <w:r>
        <w:rPr>
          <w:rFonts w:ascii="Calibri" w:cs="Calibri" w:eastAsia="Calibri" w:hAnsi="Calibri"/>
          <w:sz w:val="20"/>
          <w:szCs w:val="20"/>
          <w:color w:val="auto"/>
        </w:rPr>
        <w:t>comply with all applicable Export Control Laws in all respects. except for any actual or potental</w:t>
      </w:r>
    </w:p>
    <w:p>
      <w:pPr>
        <w:spacing w:after="0" w:line="191" w:lineRule="auto"/>
        <w:rPr>
          <w:sz w:val="20"/>
          <w:szCs w:val="20"/>
          <w:color w:val="auto"/>
        </w:rPr>
      </w:pPr>
      <w:r>
        <w:rPr>
          <w:rFonts w:ascii="Calibri" w:cs="Calibri" w:eastAsia="Calibri" w:hAnsi="Calibri"/>
          <w:sz w:val="20"/>
          <w:szCs w:val="20"/>
          <w:color w:val="auto"/>
        </w:rPr>
        <w:t>violatons that involve only unintentonal minor, technical infractons, which either (A) were voluntarily self-disclosed to BIS within sixty</w:t>
      </w:r>
    </w:p>
    <w:p>
      <w:pPr>
        <w:spacing w:after="0" w:line="1" w:lineRule="exact"/>
        <w:rPr>
          <w:sz w:val="20"/>
          <w:szCs w:val="20"/>
          <w:color w:val="auto"/>
        </w:rPr>
      </w:pPr>
    </w:p>
    <w:p>
      <w:pPr>
        <w:jc w:val="both"/>
        <w:ind w:firstLine="8"/>
        <w:spacing w:after="0" w:line="197" w:lineRule="auto"/>
        <w:tabs>
          <w:tab w:leader="none" w:pos="387" w:val="left"/>
        </w:tabs>
        <w:numPr>
          <w:ilvl w:val="0"/>
          <w:numId w:val="557"/>
        </w:numPr>
        <w:rPr>
          <w:rFonts w:ascii="Calibri" w:cs="Calibri" w:eastAsia="Calibri" w:hAnsi="Calibri"/>
          <w:sz w:val="20"/>
          <w:szCs w:val="20"/>
          <w:color w:val="auto"/>
        </w:rPr>
      </w:pPr>
      <w:r>
        <w:rPr>
          <w:rFonts w:ascii="Calibri" w:cs="Calibri" w:eastAsia="Calibri" w:hAnsi="Calibri"/>
          <w:sz w:val="20"/>
          <w:szCs w:val="20"/>
          <w:color w:val="auto"/>
        </w:rPr>
        <w:t>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557"/>
        </w:numPr>
        <w:rPr>
          <w:rFonts w:ascii="Calibri" w:cs="Calibri" w:eastAsia="Calibri" w:hAnsi="Calibri"/>
          <w:sz w:val="20"/>
          <w:szCs w:val="20"/>
          <w:color w:val="auto"/>
        </w:rPr>
      </w:pPr>
      <w:r>
        <w:rPr>
          <w:rFonts w:ascii="Calibri" w:cs="Calibri" w:eastAsia="Calibri" w:hAnsi="Calibri"/>
          <w:sz w:val="20"/>
          <w:szCs w:val="20"/>
          <w:color w:val="auto"/>
        </w:rPr>
        <w:t>maintain in efect policies and procedures designed to promote and achieve compliance with all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applicable Sanctons, Export Control Laws, Ant-Money Laundering Laws, and Ant-Corrupton Laws;</w:t>
      </w:r>
    </w:p>
    <w:p>
      <w:pPr>
        <w:spacing w:after="0" w:line="157" w:lineRule="exact"/>
        <w:rPr>
          <w:rFonts w:ascii="Calibri" w:cs="Calibri" w:eastAsia="Calibri" w:hAnsi="Calibri"/>
          <w:sz w:val="20"/>
          <w:szCs w:val="20"/>
          <w:color w:val="auto"/>
        </w:rPr>
      </w:pPr>
    </w:p>
    <w:p>
      <w:pPr>
        <w:jc w:val="both"/>
        <w:ind w:firstLine="2600"/>
        <w:spacing w:after="0" w:line="205" w:lineRule="auto"/>
        <w:tabs>
          <w:tab w:leader="none" w:pos="3244" w:val="left"/>
        </w:tabs>
        <w:numPr>
          <w:ilvl w:val="1"/>
          <w:numId w:val="557"/>
        </w:numPr>
        <w:rPr>
          <w:rFonts w:ascii="Calibri" w:cs="Calibri" w:eastAsia="Calibri" w:hAnsi="Calibri"/>
          <w:sz w:val="20"/>
          <w:szCs w:val="20"/>
          <w:color w:val="auto"/>
        </w:rPr>
      </w:pPr>
      <w:r>
        <w:rPr>
          <w:rFonts w:ascii="Calibri" w:cs="Calibri" w:eastAsia="Calibri" w:hAnsi="Calibri"/>
          <w:sz w:val="20"/>
          <w:szCs w:val="20"/>
          <w:color w:val="auto"/>
        </w:rPr>
        <w:t>maintain in efect disclosure controls and procedures to provide reasonable assurance that material informaton regarding the Recipient’s compliance with Applicable Laws (including Sanctons, Export Control Laws, Ant-Money Laundering Laws, and Ant-Corrupton Laws) is made known to Principal Persons of the Recipient;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21</w:t>
      </w:r>
    </w:p>
    <w:p>
      <w:pPr>
        <w:sectPr>
          <w:pgSz w:w="11900" w:h="16838" w:orient="portrait"/>
          <w:cols w:equalWidth="0" w:num="1">
            <w:col w:w="11240"/>
          </w:cols>
          <w:pgMar w:left="320" w:top="1384" w:right="339" w:bottom="1440" w:gutter="0" w:footer="0" w:header="0"/>
        </w:sectPr>
      </w:pPr>
    </w:p>
    <w:bookmarkStart w:id="463" w:name="page464"/>
    <w:bookmarkEnd w:id="463"/>
    <w:p>
      <w:pPr>
        <w:jc w:val="both"/>
        <w:ind w:firstLine="2600"/>
        <w:spacing w:after="0"/>
        <w:tabs>
          <w:tab w:leader="none" w:pos="3238" w:val="left"/>
        </w:tabs>
        <w:numPr>
          <w:ilvl w:val="2"/>
          <w:numId w:val="558"/>
        </w:numPr>
        <w:rPr>
          <w:rFonts w:ascii="Calibri" w:cs="Calibri" w:eastAsia="Calibri" w:hAnsi="Calibri"/>
          <w:sz w:val="20"/>
          <w:szCs w:val="20"/>
          <w:color w:val="auto"/>
        </w:rPr>
      </w:pPr>
      <w:r>
        <w:rPr>
          <w:rFonts w:ascii="Calibri" w:cs="Calibri" w:eastAsia="Calibri" w:hAnsi="Calibri"/>
          <w:sz w:val="20"/>
          <w:szCs w:val="20"/>
          <w:color w:val="auto"/>
        </w:rPr>
        <w:t>take all responsible and prudent steps to ensure that each of its directors, ofcers, employees, agents, and representatves comply with applicable Sanctons, Export Control Laws, Ant-Money Laundering Laws and Ant-Corrupton Laws.</w:t>
      </w:r>
    </w:p>
    <w:p>
      <w:pPr>
        <w:spacing w:after="0" w:line="308" w:lineRule="exact"/>
        <w:rPr>
          <w:rFonts w:ascii="Calibri" w:cs="Calibri" w:eastAsia="Calibri" w:hAnsi="Calibri"/>
          <w:sz w:val="20"/>
          <w:szCs w:val="20"/>
          <w:color w:val="auto"/>
        </w:rPr>
      </w:pPr>
    </w:p>
    <w:p>
      <w:pPr>
        <w:jc w:val="both"/>
        <w:ind w:firstLine="1952"/>
        <w:spacing w:after="0" w:line="198" w:lineRule="auto"/>
        <w:tabs>
          <w:tab w:leader="none" w:pos="2592" w:val="left"/>
        </w:tabs>
        <w:numPr>
          <w:ilvl w:val="1"/>
          <w:numId w:val="559"/>
        </w:numPr>
        <w:rPr>
          <w:rFonts w:ascii="Calibri" w:cs="Calibri" w:eastAsia="Calibri" w:hAnsi="Calibri"/>
          <w:sz w:val="20"/>
          <w:szCs w:val="20"/>
          <w:color w:val="auto"/>
        </w:rPr>
      </w:pP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 The Recipient shall provide writen notce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Department as soon as practcable from the date that the Recipient knew or should have known that any Principal Person of the Recipient has become a Prohibited Person or the Recipient has become a Foreign Entty of Concern. For the purposes of this paragraph (b), (i) the date that the Recipient “should have known” such Principal Person became a Prohibited Person shall include, if applicable, (A) the date on which such Principal Person was identfed on any Sanctons List; and (b) the date on which such Principal Person became domiciled in a Sanctoned Country; and (ii) the date that the Recipient “should have known” that the Recipient became a Foreign Entty of Concern shall include, if applicable, the date on which the change in ownership or management that made the Recipient a Foreign Entty of Concern occurred.</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1"/>
          <w:numId w:val="55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Lobbying Restricton. </w:t>
      </w:r>
      <w:r>
        <w:rPr>
          <w:rFonts w:ascii="Calibri" w:cs="Calibri" w:eastAsia="Calibri" w:hAnsi="Calibri"/>
          <w:sz w:val="20"/>
          <w:szCs w:val="20"/>
          <w:color w:val="auto"/>
        </w:rPr>
        <w:t>The Recipient shall:</w:t>
      </w:r>
    </w:p>
    <w:p>
      <w:pPr>
        <w:spacing w:after="0" w:line="157" w:lineRule="exact"/>
        <w:rPr>
          <w:rFonts w:ascii="Calibri" w:cs="Calibri" w:eastAsia="Calibri" w:hAnsi="Calibri"/>
          <w:sz w:val="20"/>
          <w:szCs w:val="20"/>
          <w:color w:val="auto"/>
        </w:rPr>
      </w:pPr>
    </w:p>
    <w:p>
      <w:pPr>
        <w:jc w:val="both"/>
        <w:ind w:firstLine="2600"/>
        <w:spacing w:after="0" w:line="201" w:lineRule="auto"/>
        <w:tabs>
          <w:tab w:leader="none" w:pos="3234" w:val="left"/>
        </w:tabs>
        <w:numPr>
          <w:ilvl w:val="2"/>
          <w:numId w:val="559"/>
        </w:numPr>
        <w:rPr>
          <w:rFonts w:ascii="Calibri" w:cs="Calibri" w:eastAsia="Calibri" w:hAnsi="Calibri"/>
          <w:sz w:val="20"/>
          <w:szCs w:val="20"/>
          <w:color w:val="auto"/>
        </w:rPr>
      </w:pPr>
      <w:r>
        <w:rPr>
          <w:rFonts w:ascii="Calibri" w:cs="Calibri" w:eastAsia="Calibri" w:hAnsi="Calibri"/>
          <w:sz w:val="20"/>
          <w:szCs w:val="20"/>
          <w:color w:val="auto"/>
        </w:rPr>
        <w:t>comply with all requirements of 31 U.S.C. § 1352, as amended, including the requirement that no proceeds of any Disbursement be expended by the Recipient or any of its Afliates to pay any Person for infuencing or atemptng to infuence an ofcer or employee of any federal agency, a member of the U.S. Congress, an ofcer or employee of the U.S. Congress, or an employee of a member of Congress in connecton with the making of the Award or any other acton described in 31 U.S.C. § 1352(a)</w:t>
      </w:r>
    </w:p>
    <w:p>
      <w:pPr>
        <w:spacing w:after="0" w:line="3" w:lineRule="exact"/>
        <w:rPr>
          <w:rFonts w:ascii="Calibri" w:cs="Calibri" w:eastAsia="Calibri" w:hAnsi="Calibri"/>
          <w:sz w:val="20"/>
          <w:szCs w:val="20"/>
          <w:color w:val="auto"/>
        </w:rPr>
      </w:pPr>
    </w:p>
    <w:p>
      <w:pPr>
        <w:ind w:left="280" w:hanging="272"/>
        <w:spacing w:after="0" w:line="193" w:lineRule="auto"/>
        <w:tabs>
          <w:tab w:leader="none" w:pos="280" w:val="left"/>
        </w:tabs>
        <w:numPr>
          <w:ilvl w:val="0"/>
          <w:numId w:val="560"/>
        </w:numPr>
        <w:rPr>
          <w:rFonts w:ascii="Calibri" w:cs="Calibri" w:eastAsia="Calibri" w:hAnsi="Calibri"/>
          <w:sz w:val="20"/>
          <w:szCs w:val="20"/>
          <w:color w:val="auto"/>
        </w:rPr>
      </w:pPr>
      <w:r>
        <w:rPr>
          <w:rFonts w:ascii="Calibri" w:cs="Calibri" w:eastAsia="Calibri" w:hAnsi="Calibri"/>
          <w:sz w:val="20"/>
          <w:szCs w:val="20"/>
          <w:color w:val="auto"/>
        </w:rPr>
        <w:t>and with the implementng regulatons at 15 C.F.R. Part 28; and</w:t>
      </w:r>
    </w:p>
    <w:p>
      <w:pPr>
        <w:spacing w:after="0" w:line="153" w:lineRule="exact"/>
        <w:rPr>
          <w:rFonts w:ascii="Calibri" w:cs="Calibri" w:eastAsia="Calibri" w:hAnsi="Calibri"/>
          <w:sz w:val="20"/>
          <w:szCs w:val="20"/>
          <w:color w:val="auto"/>
        </w:rPr>
      </w:pPr>
    </w:p>
    <w:p>
      <w:pPr>
        <w:ind w:left="3240" w:hanging="640"/>
        <w:spacing w:after="0"/>
        <w:tabs>
          <w:tab w:leader="none" w:pos="3240" w:val="left"/>
        </w:tabs>
        <w:numPr>
          <w:ilvl w:val="2"/>
          <w:numId w:val="560"/>
        </w:numPr>
        <w:rPr>
          <w:rFonts w:ascii="Calibri" w:cs="Calibri" w:eastAsia="Calibri" w:hAnsi="Calibri"/>
          <w:sz w:val="20"/>
          <w:szCs w:val="20"/>
          <w:color w:val="auto"/>
        </w:rPr>
      </w:pPr>
      <w:r>
        <w:rPr>
          <w:rFonts w:ascii="Calibri" w:cs="Calibri" w:eastAsia="Calibri" w:hAnsi="Calibri"/>
          <w:sz w:val="20"/>
          <w:szCs w:val="20"/>
          <w:color w:val="auto"/>
        </w:rPr>
        <w:t>disclose to the Department any registratons as required under the Lobbying Disclosure Act (2</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 xml:space="preserve">U.S.C. § 1601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or the Foreign Agents Registraton Act (22 U.S.C. § 611 </w:t>
      </w:r>
      <w:r>
        <w:rPr>
          <w:rFonts w:ascii="Calibri" w:cs="Calibri" w:eastAsia="Calibri" w:hAnsi="Calibri"/>
          <w:sz w:val="20"/>
          <w:szCs w:val="20"/>
          <w:i w:val="1"/>
          <w:iCs w:val="1"/>
          <w:color w:val="auto"/>
        </w:rPr>
        <w:t>et seq</w:t>
      </w:r>
      <w:r>
        <w:rPr>
          <w:rFonts w:ascii="Calibri" w:cs="Calibri" w:eastAsia="Calibri" w:hAnsi="Calibri"/>
          <w:sz w:val="20"/>
          <w:szCs w:val="20"/>
          <w:color w:val="auto"/>
        </w:rPr>
        <w:t>.) related to the Projects.</w:t>
      </w:r>
    </w:p>
    <w:p>
      <w:pPr>
        <w:spacing w:after="0" w:line="153" w:lineRule="exact"/>
        <w:rPr>
          <w:rFonts w:ascii="Calibri" w:cs="Calibri" w:eastAsia="Calibri" w:hAnsi="Calibri"/>
          <w:sz w:val="20"/>
          <w:szCs w:val="20"/>
          <w:color w:val="auto"/>
        </w:rPr>
      </w:pPr>
    </w:p>
    <w:p>
      <w:pPr>
        <w:ind w:left="2600" w:hanging="648"/>
        <w:spacing w:after="0"/>
        <w:tabs>
          <w:tab w:leader="none" w:pos="2600" w:val="left"/>
        </w:tabs>
        <w:numPr>
          <w:ilvl w:val="1"/>
          <w:numId w:val="560"/>
        </w:numPr>
        <w:rPr>
          <w:rFonts w:ascii="Calibri" w:cs="Calibri" w:eastAsia="Calibri" w:hAnsi="Calibri"/>
          <w:sz w:val="20"/>
          <w:szCs w:val="20"/>
          <w:color w:val="auto"/>
        </w:rPr>
      </w:pP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The Recipient shall comply with all applicable covenants set forth in Annex D</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ind w:firstLine="1952"/>
        <w:spacing w:after="0" w:line="208" w:lineRule="auto"/>
        <w:tabs>
          <w:tab w:leader="none" w:pos="2586" w:val="left"/>
        </w:tabs>
        <w:numPr>
          <w:ilvl w:val="1"/>
          <w:numId w:val="560"/>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Davis-Bacon Act. </w:t>
      </w:r>
      <w:r>
        <w:rPr>
          <w:rFonts w:ascii="Calibri" w:cs="Calibri" w:eastAsia="Calibri" w:hAnsi="Calibri"/>
          <w:sz w:val="20"/>
          <w:szCs w:val="20"/>
          <w:color w:val="auto"/>
        </w:rPr>
        <w:t>The Recipient shall comply with the afrmatve covenants set forth in Secton 5</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Afrmatve Covenants</w:t>
      </w:r>
      <w:r>
        <w:rPr>
          <w:rFonts w:ascii="Calibri" w:cs="Calibri" w:eastAsia="Calibri" w:hAnsi="Calibri"/>
          <w:sz w:val="20"/>
          <w:szCs w:val="20"/>
          <w:color w:val="auto"/>
        </w:rPr>
        <w:t>) of Annex E (</w:t>
      </w:r>
      <w:r>
        <w:rPr>
          <w:rFonts w:ascii="Calibri" w:cs="Calibri" w:eastAsia="Calibri" w:hAnsi="Calibri"/>
          <w:sz w:val="20"/>
          <w:szCs w:val="20"/>
          <w:b w:val="1"/>
          <w:bCs w:val="1"/>
          <w:color w:val="auto"/>
        </w:rPr>
        <w:t>Davis-Bacon Act Requirements</w:t>
      </w:r>
      <w:r>
        <w:rPr>
          <w:rFonts w:ascii="Calibri" w:cs="Calibri" w:eastAsia="Calibri" w:hAnsi="Calibri"/>
          <w:sz w:val="20"/>
          <w:szCs w:val="20"/>
          <w:color w:val="auto"/>
        </w:rPr>
        <w:t>).</w:t>
      </w:r>
    </w:p>
    <w:p>
      <w:pPr>
        <w:spacing w:after="0" w:line="161" w:lineRule="exact"/>
        <w:rPr>
          <w:rFonts w:ascii="Calibri" w:cs="Calibri" w:eastAsia="Calibri" w:hAnsi="Calibri"/>
          <w:sz w:val="20"/>
          <w:szCs w:val="20"/>
          <w:color w:val="auto"/>
        </w:rPr>
      </w:pPr>
    </w:p>
    <w:p>
      <w:pPr>
        <w:ind w:left="2600" w:hanging="648"/>
        <w:spacing w:after="0"/>
        <w:tabs>
          <w:tab w:leader="none" w:pos="2600" w:val="left"/>
        </w:tabs>
        <w:numPr>
          <w:ilvl w:val="1"/>
          <w:numId w:val="560"/>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2"/>
          <w:numId w:val="561"/>
        </w:numPr>
        <w:rPr>
          <w:rFonts w:ascii="Calibri" w:cs="Calibri" w:eastAsia="Calibri" w:hAnsi="Calibri"/>
          <w:sz w:val="20"/>
          <w:szCs w:val="20"/>
          <w:color w:val="auto"/>
        </w:rPr>
      </w:pPr>
      <w:r>
        <w:rPr>
          <w:rFonts w:ascii="Calibri" w:cs="Calibri" w:eastAsia="Calibri" w:hAnsi="Calibri"/>
          <w:sz w:val="20"/>
          <w:szCs w:val="20"/>
          <w:color w:val="auto"/>
        </w:rPr>
        <w:t>The Recipient shall, and shall cause each other Recipient Party to, comply with the Guardrail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Provisions.</w:t>
      </w:r>
    </w:p>
    <w:p>
      <w:pPr>
        <w:spacing w:after="0" w:line="147" w:lineRule="exact"/>
        <w:rPr>
          <w:sz w:val="20"/>
          <w:szCs w:val="20"/>
          <w:color w:val="auto"/>
        </w:rPr>
      </w:pPr>
    </w:p>
    <w:p>
      <w:pPr>
        <w:ind w:left="3240" w:hanging="640"/>
        <w:spacing w:after="0"/>
        <w:tabs>
          <w:tab w:leader="none" w:pos="3240" w:val="left"/>
        </w:tabs>
        <w:numPr>
          <w:ilvl w:val="0"/>
          <w:numId w:val="562"/>
        </w:numPr>
        <w:rPr>
          <w:rFonts w:ascii="Calibri" w:cs="Calibri" w:eastAsia="Calibri" w:hAnsi="Calibri"/>
          <w:sz w:val="20"/>
          <w:szCs w:val="20"/>
          <w:color w:val="auto"/>
        </w:rPr>
      </w:pPr>
      <w:r>
        <w:rPr>
          <w:rFonts w:ascii="Calibri" w:cs="Calibri" w:eastAsia="Calibri" w:hAnsi="Calibri"/>
          <w:sz w:val="20"/>
          <w:szCs w:val="20"/>
          <w:color w:val="auto"/>
        </w:rPr>
        <w:t>The Recipient shall comply with each Mitgaton Agreement, if any, required pursuant to the</w:t>
      </w:r>
    </w:p>
    <w:p>
      <w:pPr>
        <w:spacing w:after="0" w:line="199" w:lineRule="auto"/>
        <w:rPr>
          <w:sz w:val="20"/>
          <w:szCs w:val="20"/>
          <w:color w:val="auto"/>
        </w:rPr>
      </w:pPr>
      <w:r>
        <w:rPr>
          <w:rFonts w:ascii="Calibri" w:cs="Calibri" w:eastAsia="Calibri" w:hAnsi="Calibri"/>
          <w:sz w:val="20"/>
          <w:szCs w:val="20"/>
          <w:color w:val="auto"/>
        </w:rPr>
        <w:t>Guardrail Provisions.</w:t>
      </w:r>
    </w:p>
    <w:p>
      <w:pPr>
        <w:spacing w:after="0" w:line="157" w:lineRule="exact"/>
        <w:rPr>
          <w:sz w:val="20"/>
          <w:szCs w:val="20"/>
          <w:color w:val="auto"/>
        </w:rPr>
      </w:pPr>
    </w:p>
    <w:p>
      <w:pPr>
        <w:ind w:firstLine="1952"/>
        <w:spacing w:after="0" w:line="214" w:lineRule="auto"/>
        <w:tabs>
          <w:tab w:leader="none" w:pos="2595" w:val="left"/>
        </w:tabs>
        <w:numPr>
          <w:ilvl w:val="0"/>
          <w:numId w:val="56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Non-Discriminaton Laws. </w:t>
      </w:r>
      <w:r>
        <w:rPr>
          <w:rFonts w:ascii="Calibri" w:cs="Calibri" w:eastAsia="Calibri" w:hAnsi="Calibri"/>
          <w:sz w:val="20"/>
          <w:szCs w:val="20"/>
          <w:color w:val="auto"/>
        </w:rPr>
        <w:t>The Recipient shall comply in all material respects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following non-discriminaton statutes and authorites:</w:t>
      </w:r>
    </w:p>
    <w:p>
      <w:pPr>
        <w:spacing w:after="0" w:line="158" w:lineRule="exact"/>
        <w:rPr>
          <w:rFonts w:ascii="Calibri" w:cs="Calibri" w:eastAsia="Calibri" w:hAnsi="Calibri"/>
          <w:sz w:val="20"/>
          <w:szCs w:val="20"/>
          <w:color w:val="auto"/>
        </w:rPr>
      </w:pPr>
    </w:p>
    <w:p>
      <w:pPr>
        <w:ind w:right="20" w:firstLine="2600"/>
        <w:spacing w:after="0" w:line="214" w:lineRule="auto"/>
        <w:tabs>
          <w:tab w:leader="none" w:pos="3234" w:val="left"/>
        </w:tabs>
        <w:numPr>
          <w:ilvl w:val="1"/>
          <w:numId w:val="563"/>
        </w:numPr>
        <w:rPr>
          <w:rFonts w:ascii="Calibri" w:cs="Calibri" w:eastAsia="Calibri" w:hAnsi="Calibri"/>
          <w:sz w:val="20"/>
          <w:szCs w:val="20"/>
          <w:color w:val="auto"/>
        </w:rPr>
      </w:pPr>
      <w:r>
        <w:rPr>
          <w:rFonts w:ascii="Calibri" w:cs="Calibri" w:eastAsia="Calibri" w:hAnsi="Calibri"/>
          <w:sz w:val="20"/>
          <w:szCs w:val="20"/>
          <w:color w:val="auto"/>
        </w:rPr>
        <w:t xml:space="preserve">Title VI of the Civil Rights Act of 1964 (42 U.S.C. § 2000d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8);</w:t>
      </w:r>
    </w:p>
    <w:p>
      <w:pPr>
        <w:spacing w:after="0" w:line="158" w:lineRule="exact"/>
        <w:rPr>
          <w:rFonts w:ascii="Calibri" w:cs="Calibri" w:eastAsia="Calibri" w:hAnsi="Calibri"/>
          <w:sz w:val="20"/>
          <w:szCs w:val="20"/>
          <w:color w:val="auto"/>
        </w:rPr>
      </w:pPr>
    </w:p>
    <w:p>
      <w:pPr>
        <w:ind w:right="20" w:firstLine="2600"/>
        <w:spacing w:after="0" w:line="214" w:lineRule="auto"/>
        <w:tabs>
          <w:tab w:leader="none" w:pos="3240" w:val="left"/>
        </w:tabs>
        <w:numPr>
          <w:ilvl w:val="1"/>
          <w:numId w:val="563"/>
        </w:numPr>
        <w:rPr>
          <w:rFonts w:ascii="Calibri" w:cs="Calibri" w:eastAsia="Calibri" w:hAnsi="Calibri"/>
          <w:sz w:val="20"/>
          <w:szCs w:val="20"/>
          <w:color w:val="auto"/>
        </w:rPr>
      </w:pPr>
      <w:r>
        <w:rPr>
          <w:rFonts w:ascii="Calibri" w:cs="Calibri" w:eastAsia="Calibri" w:hAnsi="Calibri"/>
          <w:sz w:val="20"/>
          <w:szCs w:val="20"/>
          <w:color w:val="auto"/>
        </w:rPr>
        <w:t xml:space="preserve">Title IX of the Educaton Amendments of 1972 (20 U.S.C. § 1681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8a) prohibitng discriminaton on the basis of sex;</w:t>
      </w:r>
    </w:p>
    <w:p>
      <w:pPr>
        <w:spacing w:after="0" w:line="158"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563"/>
        </w:numPr>
        <w:rPr>
          <w:rFonts w:ascii="Calibri" w:cs="Calibri" w:eastAsia="Calibri" w:hAnsi="Calibri"/>
          <w:sz w:val="20"/>
          <w:szCs w:val="20"/>
          <w:color w:val="auto"/>
        </w:rPr>
      </w:pPr>
      <w:r>
        <w:rPr>
          <w:rFonts w:ascii="Calibri" w:cs="Calibri" w:eastAsia="Calibri" w:hAnsi="Calibri"/>
          <w:sz w:val="20"/>
          <w:szCs w:val="20"/>
          <w:color w:val="auto"/>
        </w:rPr>
        <w:t>Sectons 503 and 504 of the Rehabilitaton Act of 1973, as amended (29 U.S.C. §§ 793, 794), and the implementng regulatons (15 C.F.R. Part 8b, 41 C.F.R. § 60-741) prohibitng discriminaton on the basis of handicap;</w:t>
      </w:r>
    </w:p>
    <w:p>
      <w:pPr>
        <w:spacing w:after="0" w:line="158" w:lineRule="exact"/>
        <w:rPr>
          <w:rFonts w:ascii="Calibri" w:cs="Calibri" w:eastAsia="Calibri" w:hAnsi="Calibri"/>
          <w:sz w:val="20"/>
          <w:szCs w:val="20"/>
          <w:color w:val="auto"/>
        </w:rPr>
      </w:pPr>
    </w:p>
    <w:p>
      <w:pPr>
        <w:ind w:right="20" w:firstLine="2600"/>
        <w:spacing w:after="0" w:line="208" w:lineRule="auto"/>
        <w:tabs>
          <w:tab w:leader="none" w:pos="3244" w:val="left"/>
        </w:tabs>
        <w:numPr>
          <w:ilvl w:val="1"/>
          <w:numId w:val="563"/>
        </w:numPr>
        <w:rPr>
          <w:rFonts w:ascii="Calibri" w:cs="Calibri" w:eastAsia="Calibri" w:hAnsi="Calibri"/>
          <w:sz w:val="20"/>
          <w:szCs w:val="20"/>
          <w:color w:val="auto"/>
        </w:rPr>
      </w:pPr>
      <w:r>
        <w:rPr>
          <w:rFonts w:ascii="Calibri" w:cs="Calibri" w:eastAsia="Calibri" w:hAnsi="Calibri"/>
          <w:sz w:val="20"/>
          <w:szCs w:val="20"/>
          <w:color w:val="auto"/>
        </w:rPr>
        <w:t xml:space="preserve">the Age Discriminaton Act of 1975, as amended (42 U.S.C. § 6101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and the Department’s implementng regulatons (15 C.F.R. Part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22</w:t>
      </w:r>
    </w:p>
    <w:p>
      <w:pPr>
        <w:sectPr>
          <w:pgSz w:w="11900" w:h="16838" w:orient="portrait"/>
          <w:cols w:equalWidth="0" w:num="1">
            <w:col w:w="11240"/>
          </w:cols>
          <w:pgMar w:left="320" w:top="1384" w:right="339" w:bottom="1440" w:gutter="0" w:footer="0" w:header="0"/>
        </w:sectPr>
      </w:pPr>
    </w:p>
    <w:bookmarkStart w:id="464" w:name="page465"/>
    <w:bookmarkEnd w:id="464"/>
    <w:p>
      <w:pPr>
        <w:ind w:left="3240" w:hanging="640"/>
        <w:spacing w:after="0"/>
        <w:tabs>
          <w:tab w:leader="none" w:pos="3240" w:val="left"/>
        </w:tabs>
        <w:numPr>
          <w:ilvl w:val="0"/>
          <w:numId w:val="564"/>
        </w:numPr>
        <w:rPr>
          <w:rFonts w:ascii="Calibri" w:cs="Calibri" w:eastAsia="Calibri" w:hAnsi="Calibri"/>
          <w:sz w:val="20"/>
          <w:szCs w:val="20"/>
          <w:color w:val="auto"/>
        </w:rPr>
      </w:pPr>
      <w:r>
        <w:rPr>
          <w:rFonts w:ascii="Calibri" w:cs="Calibri" w:eastAsia="Calibri" w:hAnsi="Calibri"/>
          <w:sz w:val="20"/>
          <w:szCs w:val="20"/>
          <w:color w:val="auto"/>
        </w:rPr>
        <w:t>Sectons 202(1)-(3) of Executve Order 11246;</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0"/>
          <w:numId w:val="564"/>
        </w:numPr>
        <w:rPr>
          <w:rFonts w:ascii="Calibri" w:cs="Calibri" w:eastAsia="Calibri" w:hAnsi="Calibri"/>
          <w:sz w:val="20"/>
          <w:szCs w:val="20"/>
          <w:color w:val="auto"/>
        </w:rPr>
      </w:pPr>
      <w:r>
        <w:rPr>
          <w:rFonts w:ascii="Calibri" w:cs="Calibri" w:eastAsia="Calibri" w:hAnsi="Calibri"/>
          <w:sz w:val="20"/>
          <w:szCs w:val="20"/>
          <w:color w:val="auto"/>
        </w:rPr>
        <w:t>the implementng regulatons of the Vietnam Era Veterans’ Readjustment Assistance Act (41</w:t>
      </w:r>
    </w:p>
    <w:p>
      <w:pPr>
        <w:spacing w:after="0" w:line="199" w:lineRule="auto"/>
        <w:rPr>
          <w:sz w:val="20"/>
          <w:szCs w:val="20"/>
          <w:color w:val="auto"/>
        </w:rPr>
      </w:pPr>
      <w:r>
        <w:rPr>
          <w:rFonts w:ascii="Calibri" w:cs="Calibri" w:eastAsia="Calibri" w:hAnsi="Calibri"/>
          <w:sz w:val="20"/>
          <w:szCs w:val="20"/>
          <w:color w:val="auto"/>
        </w:rPr>
        <w:t>C.F.R. §§ 60-300.20-21); and</w:t>
      </w:r>
    </w:p>
    <w:p>
      <w:pPr>
        <w:spacing w:after="0" w:line="147" w:lineRule="exact"/>
        <w:rPr>
          <w:sz w:val="20"/>
          <w:szCs w:val="20"/>
          <w:color w:val="auto"/>
        </w:rPr>
      </w:pPr>
    </w:p>
    <w:p>
      <w:pPr>
        <w:ind w:left="3240" w:hanging="640"/>
        <w:spacing w:after="0"/>
        <w:tabs>
          <w:tab w:leader="none" w:pos="3240" w:val="left"/>
        </w:tabs>
        <w:numPr>
          <w:ilvl w:val="1"/>
          <w:numId w:val="565"/>
        </w:numPr>
        <w:rPr>
          <w:rFonts w:ascii="Calibri" w:cs="Calibri" w:eastAsia="Calibri" w:hAnsi="Calibri"/>
          <w:sz w:val="20"/>
          <w:szCs w:val="20"/>
          <w:color w:val="auto"/>
        </w:rPr>
      </w:pPr>
      <w:r>
        <w:rPr>
          <w:rFonts w:ascii="Calibri" w:cs="Calibri" w:eastAsia="Calibri" w:hAnsi="Calibri"/>
          <w:sz w:val="20"/>
          <w:szCs w:val="20"/>
          <w:color w:val="auto"/>
        </w:rPr>
        <w:t>any other applicable non-discriminaton laws.</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6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Whistleblower Protectons . </w:t>
      </w:r>
      <w:r>
        <w:rPr>
          <w:rFonts w:ascii="Calibri" w:cs="Calibri" w:eastAsia="Calibri" w:hAnsi="Calibri"/>
          <w:sz w:val="20"/>
          <w:szCs w:val="20"/>
          <w:color w:val="auto"/>
        </w:rPr>
        <w:t>The Recipient shall:</w:t>
      </w:r>
    </w:p>
    <w:p>
      <w:pPr>
        <w:spacing w:after="0" w:line="157" w:lineRule="exact"/>
        <w:rPr>
          <w:rFonts w:ascii="Calibri" w:cs="Calibri" w:eastAsia="Calibri" w:hAnsi="Calibri"/>
          <w:sz w:val="20"/>
          <w:szCs w:val="20"/>
          <w:color w:val="auto"/>
        </w:rPr>
      </w:pPr>
    </w:p>
    <w:p>
      <w:pPr>
        <w:jc w:val="both"/>
        <w:ind w:firstLine="2600"/>
        <w:spacing w:after="0" w:line="199" w:lineRule="auto"/>
        <w:tabs>
          <w:tab w:leader="none" w:pos="3234" w:val="left"/>
        </w:tabs>
        <w:numPr>
          <w:ilvl w:val="1"/>
          <w:numId w:val="566"/>
        </w:numPr>
        <w:rPr>
          <w:rFonts w:ascii="Calibri" w:cs="Calibri" w:eastAsia="Calibri" w:hAnsi="Calibri"/>
          <w:sz w:val="20"/>
          <w:szCs w:val="20"/>
          <w:color w:val="auto"/>
        </w:rPr>
      </w:pPr>
      <w:r>
        <w:rPr>
          <w:rFonts w:ascii="Calibri" w:cs="Calibri" w:eastAsia="Calibri" w:hAnsi="Calibri"/>
          <w:sz w:val="20"/>
          <w:szCs w:val="20"/>
          <w:color w:val="auto"/>
        </w:rPr>
        <w:t xml:space="preserve">promptly disclose in writng, (A) to each of the Director of the CHIPS Program Ofce, the Department’s Chief Counsel for Semiconductor Incentves and the OIG, whenever, in connecton with this Agreement or a Project, the Recipient has credible evidence that a principal, ofcer, director, employee, agent, or entty has commited a violaton of (1) federal criminal law involving fraud, confict of interest, bribery, or gratuity violatons (see Title 18 of the United States Code); or (2) the Civil False Claims Act (see 31 U.S.C. §§ 3729-3733); and (B) to the OIG (through </w:t>
      </w:r>
      <w:r>
        <w:rPr>
          <w:rFonts w:ascii="Calibri" w:cs="Calibri" w:eastAsia="Calibri" w:hAnsi="Calibri"/>
          <w:sz w:val="20"/>
          <w:szCs w:val="20"/>
          <w:u w:val="single" w:color="auto"/>
          <w:color w:val="0000FF"/>
        </w:rPr>
        <w:t>htps://www.oig.doc.gov/Pages/Hotline.aspx</w:t>
      </w:r>
      <w:r>
        <w:rPr>
          <w:rFonts w:ascii="Calibri" w:cs="Calibri" w:eastAsia="Calibri" w:hAnsi="Calibri"/>
          <w:sz w:val="20"/>
          <w:szCs w:val="20"/>
          <w:color w:val="auto"/>
        </w:rPr>
        <w:t>), whenever, in connecton with this Agreement or a Project, the Recipient has credible evidence of fraud, waste, and abuse;</w:t>
      </w:r>
    </w:p>
    <w:p>
      <w:pPr>
        <w:spacing w:after="0" w:line="175" w:lineRule="exact"/>
        <w:rPr>
          <w:rFonts w:ascii="Calibri" w:cs="Calibri" w:eastAsia="Calibri" w:hAnsi="Calibri"/>
          <w:sz w:val="20"/>
          <w:szCs w:val="20"/>
          <w:color w:val="auto"/>
        </w:rPr>
      </w:pPr>
    </w:p>
    <w:p>
      <w:pPr>
        <w:jc w:val="both"/>
        <w:ind w:firstLine="2600"/>
        <w:spacing w:after="0" w:line="200" w:lineRule="auto"/>
        <w:tabs>
          <w:tab w:leader="none" w:pos="3240" w:val="left"/>
        </w:tabs>
        <w:numPr>
          <w:ilvl w:val="1"/>
          <w:numId w:val="566"/>
        </w:numPr>
        <w:rPr>
          <w:rFonts w:ascii="Calibri" w:cs="Calibri" w:eastAsia="Calibri" w:hAnsi="Calibri"/>
          <w:sz w:val="20"/>
          <w:szCs w:val="20"/>
          <w:color w:val="auto"/>
        </w:rPr>
      </w:pPr>
      <w:r>
        <w:rPr>
          <w:rFonts w:ascii="Calibri" w:cs="Calibri" w:eastAsia="Calibri" w:hAnsi="Calibri"/>
          <w:sz w:val="20"/>
          <w:szCs w:val="20"/>
          <w:color w:val="auto"/>
        </w:rPr>
        <w:t>comply with 41 U.S.C. § 4712 and the whistleblower protectons aforded to employees thereby to not discharge, demote, or otherwise discriminate against an employee as a reprisal for disclosing to a Body of Informaton that the employee reasonably believes is evidence of gross mismanagement of the Award, a gross waste of the Award, an abuse of authority relatng to the Award, a substantal and specifc danger to public health or safety, or a violaton of law, rule, or regulaton related to a Federal award, subaward, or contract under a Federal award or subaward; and</w:t>
      </w:r>
    </w:p>
    <w:p>
      <w:pPr>
        <w:spacing w:after="0" w:line="157"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566"/>
        </w:numPr>
        <w:rPr>
          <w:rFonts w:ascii="Calibri" w:cs="Calibri" w:eastAsia="Calibri" w:hAnsi="Calibri"/>
          <w:sz w:val="20"/>
          <w:szCs w:val="20"/>
          <w:color w:val="auto"/>
        </w:rPr>
      </w:pPr>
      <w:r>
        <w:rPr>
          <w:rFonts w:ascii="Calibri" w:cs="Calibri" w:eastAsia="Calibri" w:hAnsi="Calibri"/>
          <w:sz w:val="20"/>
          <w:szCs w:val="20"/>
          <w:color w:val="auto"/>
        </w:rPr>
        <w:t>inform the Recipient’s employees and contractors in writng, in the predominant natve language of the workforce, of the rights under this paragraph (h).</w:t>
      </w:r>
    </w:p>
    <w:p>
      <w:pPr>
        <w:spacing w:after="0" w:line="158" w:lineRule="exact"/>
        <w:rPr>
          <w:rFonts w:ascii="Calibri" w:cs="Calibri" w:eastAsia="Calibri" w:hAnsi="Calibri"/>
          <w:sz w:val="20"/>
          <w:szCs w:val="20"/>
          <w:color w:val="auto"/>
        </w:rPr>
      </w:pPr>
    </w:p>
    <w:p>
      <w:pPr>
        <w:jc w:val="both"/>
        <w:ind w:firstLine="1952"/>
        <w:spacing w:after="0" w:line="209" w:lineRule="auto"/>
        <w:tabs>
          <w:tab w:leader="none" w:pos="2586" w:val="left"/>
        </w:tabs>
        <w:numPr>
          <w:ilvl w:val="0"/>
          <w:numId w:val="56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Trafcking in Persons Laws. </w:t>
      </w:r>
      <w:r>
        <w:rPr>
          <w:rFonts w:ascii="Calibri" w:cs="Calibri" w:eastAsia="Calibri" w:hAnsi="Calibri"/>
          <w:sz w:val="20"/>
          <w:szCs w:val="20"/>
          <w:color w:val="auto"/>
        </w:rPr>
        <w:t>The Recipient and its employees shall not (a) engage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severe forms of trafcking in persons (as defned in the TVPA at 22 U.S.C. § 7102); (b) procure a commercial sex act (as defned in the TVPA at 22 U.S.C. § 7102); or (c) use forced labor in the performance of the Award.</w:t>
      </w:r>
    </w:p>
    <w:p>
      <w:pPr>
        <w:spacing w:after="0" w:line="158" w:lineRule="exact"/>
        <w:rPr>
          <w:rFonts w:ascii="Calibri" w:cs="Calibri" w:eastAsia="Calibri" w:hAnsi="Calibri"/>
          <w:sz w:val="20"/>
          <w:szCs w:val="20"/>
          <w:color w:val="auto"/>
        </w:rPr>
      </w:pPr>
    </w:p>
    <w:p>
      <w:pPr>
        <w:jc w:val="both"/>
        <w:ind w:firstLine="1952"/>
        <w:spacing w:after="0" w:line="202" w:lineRule="auto"/>
        <w:tabs>
          <w:tab w:leader="none" w:pos="2594" w:val="left"/>
        </w:tabs>
        <w:numPr>
          <w:ilvl w:val="0"/>
          <w:numId w:val="56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Compliance with Fly America Act. </w:t>
      </w:r>
      <w:r>
        <w:rPr>
          <w:rFonts w:ascii="Calibri" w:cs="Calibri" w:eastAsia="Calibri" w:hAnsi="Calibri"/>
          <w:sz w:val="20"/>
          <w:szCs w:val="20"/>
          <w:color w:val="auto"/>
        </w:rPr>
        <w:t>If the Recipient requests a Direct Funding Disbursement to pay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expenses for air travel in connecton with the Projects, such air travel shall be on a U.S. fag certfed air carrier in compliance with the Fly America Act (49 U.S.C. § 40118), unless (a) a bilateral or multlateral agreement with the United States provides otherwise; (b) air travel on a U.S. fag certfed air carrier between locatons outside of the United States is not reasonably available; or (c) air travel on a U.S. fag certfed air carrier between the United States and a locaton outside of the United States is not available.</w:t>
      </w:r>
    </w:p>
    <w:p>
      <w:pPr>
        <w:spacing w:after="0" w:line="151"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7.2.14  </w:t>
      </w:r>
      <w:r>
        <w:rPr>
          <w:rFonts w:ascii="Calibri" w:cs="Calibri" w:eastAsia="Calibri" w:hAnsi="Calibri"/>
          <w:sz w:val="20"/>
          <w:szCs w:val="20"/>
          <w:b w:val="1"/>
          <w:bCs w:val="1"/>
          <w:color w:val="auto"/>
        </w:rPr>
        <w:t>Code of Conduct; Confict of Interest</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3" w:lineRule="auto"/>
        <w:tabs>
          <w:tab w:leader="none" w:pos="2596" w:val="left"/>
        </w:tabs>
        <w:numPr>
          <w:ilvl w:val="0"/>
          <w:numId w:val="567"/>
        </w:numPr>
        <w:rPr>
          <w:rFonts w:ascii="Calibri" w:cs="Calibri" w:eastAsia="Calibri" w:hAnsi="Calibri"/>
          <w:sz w:val="20"/>
          <w:szCs w:val="20"/>
          <w:color w:val="auto"/>
        </w:rPr>
      </w:pPr>
      <w:r>
        <w:rPr>
          <w:rFonts w:ascii="Calibri" w:cs="Calibri" w:eastAsia="Calibri" w:hAnsi="Calibri"/>
          <w:sz w:val="20"/>
          <w:szCs w:val="20"/>
          <w:color w:val="auto"/>
        </w:rPr>
        <w:t>The Recipient shall establish and maintain writen standards of conduct that include (i) safeguards to prohibit any Principal Persons and the Recipient’s employees from using their positons for a purpose that consttutes or presents the appearance of personal or organizatonal Confict of Interest, or personal gain in the administraton of the Award; and (ii) the performance of the Recipient’s employees engaged in the selecton, award and administraton of contracts.</w:t>
      </w:r>
    </w:p>
    <w:p>
      <w:pPr>
        <w:spacing w:after="0" w:line="173"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67"/>
        </w:numPr>
        <w:rPr>
          <w:rFonts w:ascii="Calibri" w:cs="Calibri" w:eastAsia="Calibri" w:hAnsi="Calibri"/>
          <w:sz w:val="20"/>
          <w:szCs w:val="20"/>
          <w:color w:val="auto"/>
        </w:rPr>
      </w:pPr>
      <w:r>
        <w:rPr>
          <w:rFonts w:ascii="Calibri" w:cs="Calibri" w:eastAsia="Calibri" w:hAnsi="Calibri"/>
          <w:sz w:val="20"/>
          <w:szCs w:val="20"/>
          <w:color w:val="auto"/>
        </w:rPr>
        <w:t xml:space="preserve">The Recipient shall only provide any in-kind goods or services for the purposes of transportaton, travel, or any other expenses for any federal government employee to the extent it falls within a permissible excepton or </w:t>
      </w:r>
      <w:r>
        <w:rPr>
          <w:rFonts w:ascii="Calibri" w:cs="Calibri" w:eastAsia="Calibri" w:hAnsi="Calibri"/>
          <w:sz w:val="20"/>
          <w:szCs w:val="20"/>
          <w:i w:val="1"/>
          <w:iCs w:val="1"/>
          <w:color w:val="auto"/>
        </w:rPr>
        <w:t>de minimis</w:t>
      </w:r>
      <w:r>
        <w:rPr>
          <w:rFonts w:ascii="Calibri" w:cs="Calibri" w:eastAsia="Calibri" w:hAnsi="Calibri"/>
          <w:sz w:val="20"/>
          <w:szCs w:val="20"/>
          <w:color w:val="auto"/>
        </w:rPr>
        <w:t xml:space="preserve"> threshold in accordance with Applicable Law.</w:t>
      </w:r>
    </w:p>
    <w:p>
      <w:pPr>
        <w:spacing w:after="0" w:line="157"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7.2.15 </w:t>
      </w:r>
      <w:r>
        <w:rPr>
          <w:rFonts w:ascii="Calibri" w:cs="Calibri" w:eastAsia="Calibri" w:hAnsi="Calibri"/>
          <w:sz w:val="20"/>
          <w:szCs w:val="20"/>
          <w:b w:val="1"/>
          <w:bCs w:val="1"/>
          <w:color w:val="auto"/>
        </w:rPr>
        <w:t>Authorized Purpose of the Project</w:t>
      </w:r>
      <w:r>
        <w:rPr>
          <w:rFonts w:ascii="Calibri" w:cs="Calibri" w:eastAsia="Calibri" w:hAnsi="Calibri"/>
          <w:sz w:val="20"/>
          <w:szCs w:val="20"/>
          <w:color w:val="auto"/>
        </w:rPr>
        <w:t>. The Recipient shall use, construct and operate each Project in accordance with its Authorized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240"/>
          </w:cols>
          <w:pgMar w:left="320" w:top="1374" w:right="339" w:bottom="1440" w:gutter="0" w:footer="0" w:header="0"/>
        </w:sectPr>
      </w:pPr>
    </w:p>
    <w:bookmarkStart w:id="465" w:name="page466"/>
    <w:bookmarkEnd w:id="465"/>
    <w:p>
      <w:pPr>
        <w:jc w:val="both"/>
        <w:ind w:firstLine="1296"/>
        <w:spacing w:after="0" w:line="205" w:lineRule="auto"/>
        <w:rPr>
          <w:sz w:val="20"/>
          <w:szCs w:val="20"/>
          <w:color w:val="auto"/>
        </w:rPr>
      </w:pPr>
      <w:r>
        <w:rPr>
          <w:rFonts w:ascii="Calibri" w:cs="Calibri" w:eastAsia="Calibri" w:hAnsi="Calibri"/>
          <w:sz w:val="20"/>
          <w:szCs w:val="20"/>
          <w:color w:val="auto"/>
        </w:rPr>
        <w:t xml:space="preserve">7.2.16 </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The Recipient Partes shall (a) implement the Advanced Packaging Resiliency Plan in accordance with its terms; and (b) achieve the Advanced Packaging Resiliency Objectves as and when required by the Advanced Packaging Resiliency Plan.</w:t>
      </w:r>
    </w:p>
    <w:p>
      <w:pPr>
        <w:spacing w:after="0" w:line="154"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7.3.</w:t>
      </w:r>
      <w:r>
        <w:rPr>
          <w:sz w:val="20"/>
          <w:szCs w:val="20"/>
          <w:color w:val="auto"/>
        </w:rPr>
        <w:tab/>
      </w:r>
      <w:r>
        <w:rPr>
          <w:rFonts w:ascii="Calibri" w:cs="Calibri" w:eastAsia="Calibri" w:hAnsi="Calibri"/>
          <w:sz w:val="20"/>
          <w:szCs w:val="20"/>
          <w:b w:val="1"/>
          <w:bCs w:val="1"/>
          <w:color w:val="auto"/>
        </w:rPr>
        <w:t>Afrmatve Covenants during the Upside Sharing Term</w:t>
      </w:r>
      <w:r>
        <w:rPr>
          <w:rFonts w:ascii="Calibri" w:cs="Calibri" w:eastAsia="Calibri" w:hAnsi="Calibri"/>
          <w:sz w:val="20"/>
          <w:szCs w:val="20"/>
          <w:color w:val="auto"/>
        </w:rPr>
        <w:t>. The Recipient covenants and agrees that during the</w:t>
      </w:r>
    </w:p>
    <w:p>
      <w:pPr>
        <w:spacing w:after="0" w:line="193" w:lineRule="auto"/>
        <w:rPr>
          <w:sz w:val="20"/>
          <w:szCs w:val="20"/>
          <w:color w:val="auto"/>
        </w:rPr>
      </w:pPr>
      <w:r>
        <w:rPr>
          <w:rFonts w:ascii="Calibri" w:cs="Calibri" w:eastAsia="Calibri" w:hAnsi="Calibri"/>
          <w:sz w:val="20"/>
          <w:szCs w:val="20"/>
          <w:color w:val="auto"/>
        </w:rPr>
        <w:t>Upside Sharing Term, unless the Department waives compliance in writng:</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7.3.1</w:t>
      </w:r>
      <w:r>
        <w:rPr>
          <w:sz w:val="20"/>
          <w:szCs w:val="20"/>
          <w:color w:val="auto"/>
        </w:rPr>
        <w:tab/>
      </w:r>
      <w:r>
        <w:rPr>
          <w:rFonts w:ascii="Calibri" w:cs="Calibri" w:eastAsia="Calibri" w:hAnsi="Calibri"/>
          <w:sz w:val="20"/>
          <w:szCs w:val="20"/>
          <w:b w:val="1"/>
          <w:bCs w:val="1"/>
          <w:color w:val="auto"/>
        </w:rPr>
        <w:t>Books, Records and Inspectons; Accountng and Auditng Maters.</w:t>
      </w:r>
    </w:p>
    <w:p>
      <w:pPr>
        <w:spacing w:after="0" w:line="147" w:lineRule="exact"/>
        <w:rPr>
          <w:sz w:val="20"/>
          <w:szCs w:val="20"/>
          <w:color w:val="auto"/>
        </w:rPr>
      </w:pPr>
    </w:p>
    <w:p>
      <w:pPr>
        <w:ind w:left="2600" w:hanging="648"/>
        <w:spacing w:after="0"/>
        <w:tabs>
          <w:tab w:leader="none" w:pos="2600" w:val="left"/>
        </w:tabs>
        <w:numPr>
          <w:ilvl w:val="1"/>
          <w:numId w:val="568"/>
        </w:numPr>
        <w:rPr>
          <w:rFonts w:ascii="Calibri" w:cs="Calibri" w:eastAsia="Calibri" w:hAnsi="Calibri"/>
          <w:sz w:val="20"/>
          <w:szCs w:val="20"/>
          <w:color w:val="auto"/>
        </w:rPr>
      </w:pPr>
      <w:r>
        <w:rPr>
          <w:rFonts w:ascii="Calibri" w:cs="Calibri" w:eastAsia="Calibri" w:hAnsi="Calibri"/>
          <w:sz w:val="20"/>
          <w:szCs w:val="20"/>
          <w:color w:val="auto"/>
        </w:rPr>
        <w:t>The Recipient shall:</w:t>
      </w:r>
    </w:p>
    <w:p>
      <w:pPr>
        <w:spacing w:after="0" w:line="157" w:lineRule="exact"/>
        <w:rPr>
          <w:rFonts w:ascii="Calibri" w:cs="Calibri" w:eastAsia="Calibri" w:hAnsi="Calibri"/>
          <w:sz w:val="20"/>
          <w:szCs w:val="20"/>
          <w:color w:val="auto"/>
        </w:rPr>
      </w:pPr>
    </w:p>
    <w:p>
      <w:pPr>
        <w:jc w:val="both"/>
        <w:ind w:firstLine="2600"/>
        <w:spacing w:after="0" w:line="209" w:lineRule="auto"/>
        <w:tabs>
          <w:tab w:leader="none" w:pos="3234" w:val="left"/>
        </w:tabs>
        <w:numPr>
          <w:ilvl w:val="2"/>
          <w:numId w:val="568"/>
        </w:numPr>
        <w:rPr>
          <w:rFonts w:ascii="Calibri" w:cs="Calibri" w:eastAsia="Calibri" w:hAnsi="Calibri"/>
          <w:sz w:val="20"/>
          <w:szCs w:val="20"/>
          <w:color w:val="auto"/>
        </w:rPr>
      </w:pPr>
      <w:r>
        <w:rPr>
          <w:rFonts w:ascii="Calibri" w:cs="Calibri" w:eastAsia="Calibri" w:hAnsi="Calibri"/>
          <w:sz w:val="20"/>
          <w:szCs w:val="20"/>
          <w:color w:val="auto"/>
        </w:rPr>
        <w:t>keep proper records and books of account in which full, true and correct entries in accordance with the Applicable Accountng Requirements and all Applicable Laws in all material respects are made in respect of all dealing and transactons relatng to the Project-related business and actvites of the Recipient; and</w:t>
      </w:r>
    </w:p>
    <w:p>
      <w:pPr>
        <w:spacing w:after="0" w:line="158" w:lineRule="exact"/>
        <w:rPr>
          <w:rFonts w:ascii="Calibri" w:cs="Calibri" w:eastAsia="Calibri" w:hAnsi="Calibri"/>
          <w:sz w:val="20"/>
          <w:szCs w:val="20"/>
          <w:color w:val="auto"/>
        </w:rPr>
      </w:pPr>
    </w:p>
    <w:p>
      <w:pPr>
        <w:ind w:firstLine="2600"/>
        <w:spacing w:after="0" w:line="214" w:lineRule="auto"/>
        <w:tabs>
          <w:tab w:leader="none" w:pos="3240" w:val="left"/>
        </w:tabs>
        <w:numPr>
          <w:ilvl w:val="2"/>
          <w:numId w:val="568"/>
        </w:numPr>
        <w:rPr>
          <w:rFonts w:ascii="Calibri" w:cs="Calibri" w:eastAsia="Calibri" w:hAnsi="Calibri"/>
          <w:sz w:val="20"/>
          <w:szCs w:val="20"/>
          <w:color w:val="auto"/>
        </w:rPr>
      </w:pPr>
      <w:r>
        <w:rPr>
          <w:rFonts w:ascii="Calibri" w:cs="Calibri" w:eastAsia="Calibri" w:hAnsi="Calibri"/>
          <w:sz w:val="20"/>
          <w:szCs w:val="20"/>
          <w:color w:val="auto"/>
        </w:rPr>
        <w:t>maintain adequate internal controls, reportng systems and cost control systems that are designed to ensure that the Recipient satsfes its obligatons under the Financing Documents:</w:t>
      </w:r>
    </w:p>
    <w:p>
      <w:pPr>
        <w:spacing w:after="0" w:line="141" w:lineRule="exact"/>
        <w:rPr>
          <w:rFonts w:ascii="Calibri" w:cs="Calibri" w:eastAsia="Calibri" w:hAnsi="Calibri"/>
          <w:sz w:val="20"/>
          <w:szCs w:val="20"/>
          <w:color w:val="auto"/>
        </w:rPr>
      </w:pPr>
    </w:p>
    <w:p>
      <w:pPr>
        <w:ind w:left="3900" w:hanging="652"/>
        <w:spacing w:after="0"/>
        <w:tabs>
          <w:tab w:leader="none" w:pos="3900" w:val="left"/>
        </w:tabs>
        <w:numPr>
          <w:ilvl w:val="3"/>
          <w:numId w:val="568"/>
        </w:numPr>
        <w:rPr>
          <w:rFonts w:ascii="Calibri" w:cs="Calibri" w:eastAsia="Calibri" w:hAnsi="Calibri"/>
          <w:sz w:val="20"/>
          <w:szCs w:val="20"/>
          <w:color w:val="auto"/>
        </w:rPr>
      </w:pPr>
      <w:r>
        <w:rPr>
          <w:rFonts w:ascii="Calibri" w:cs="Calibri" w:eastAsia="Calibri" w:hAnsi="Calibri"/>
          <w:sz w:val="20"/>
          <w:szCs w:val="20"/>
          <w:color w:val="auto"/>
        </w:rPr>
        <w:t>for overseeing the fnancial operatons of the Recipient, including its cash management,</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accountng and fnancial reportng;</w:t>
      </w:r>
    </w:p>
    <w:p>
      <w:pPr>
        <w:spacing w:after="0" w:line="153" w:lineRule="exact"/>
        <w:rPr>
          <w:rFonts w:ascii="Calibri" w:cs="Calibri" w:eastAsia="Calibri" w:hAnsi="Calibri"/>
          <w:sz w:val="20"/>
          <w:szCs w:val="20"/>
          <w:color w:val="auto"/>
        </w:rPr>
      </w:pPr>
    </w:p>
    <w:p>
      <w:pPr>
        <w:ind w:left="3900" w:hanging="652"/>
        <w:spacing w:after="0"/>
        <w:tabs>
          <w:tab w:leader="none" w:pos="3900" w:val="left"/>
        </w:tabs>
        <w:numPr>
          <w:ilvl w:val="3"/>
          <w:numId w:val="568"/>
        </w:numPr>
        <w:rPr>
          <w:rFonts w:ascii="Calibri" w:cs="Calibri" w:eastAsia="Calibri" w:hAnsi="Calibri"/>
          <w:sz w:val="20"/>
          <w:szCs w:val="20"/>
          <w:color w:val="auto"/>
        </w:rPr>
      </w:pPr>
      <w:r>
        <w:rPr>
          <w:rFonts w:ascii="Calibri" w:cs="Calibri" w:eastAsia="Calibri" w:hAnsi="Calibri"/>
          <w:sz w:val="20"/>
          <w:szCs w:val="20"/>
          <w:color w:val="auto"/>
        </w:rPr>
        <w:t>for overseeing the Recipient’s relatonship with the Department and the Recipient’s</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Accountant;</w:t>
      </w:r>
    </w:p>
    <w:p>
      <w:pPr>
        <w:spacing w:after="0" w:line="153" w:lineRule="exact"/>
        <w:rPr>
          <w:rFonts w:ascii="Calibri" w:cs="Calibri" w:eastAsia="Calibri" w:hAnsi="Calibri"/>
          <w:sz w:val="20"/>
          <w:szCs w:val="20"/>
          <w:color w:val="auto"/>
        </w:rPr>
      </w:pPr>
    </w:p>
    <w:p>
      <w:pPr>
        <w:ind w:left="3900" w:hanging="652"/>
        <w:spacing w:after="0"/>
        <w:tabs>
          <w:tab w:leader="none" w:pos="3900" w:val="left"/>
        </w:tabs>
        <w:numPr>
          <w:ilvl w:val="3"/>
          <w:numId w:val="568"/>
        </w:numPr>
        <w:rPr>
          <w:rFonts w:ascii="Calibri" w:cs="Calibri" w:eastAsia="Calibri" w:hAnsi="Calibri"/>
          <w:sz w:val="20"/>
          <w:szCs w:val="20"/>
          <w:color w:val="auto"/>
        </w:rPr>
      </w:pPr>
      <w:r>
        <w:rPr>
          <w:rFonts w:ascii="Calibri" w:cs="Calibri" w:eastAsia="Calibri" w:hAnsi="Calibri"/>
          <w:sz w:val="20"/>
          <w:szCs w:val="20"/>
          <w:color w:val="auto"/>
        </w:rPr>
        <w:t>for facilitatng the efectve and accurate audit and performance evaluaton of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Projects; and</w:t>
      </w:r>
    </w:p>
    <w:p>
      <w:pPr>
        <w:spacing w:after="0" w:line="153" w:lineRule="exact"/>
        <w:rPr>
          <w:rFonts w:ascii="Calibri" w:cs="Calibri" w:eastAsia="Calibri" w:hAnsi="Calibri"/>
          <w:sz w:val="20"/>
          <w:szCs w:val="20"/>
          <w:color w:val="auto"/>
        </w:rPr>
      </w:pPr>
    </w:p>
    <w:p>
      <w:pPr>
        <w:ind w:left="3900" w:hanging="652"/>
        <w:spacing w:after="0"/>
        <w:tabs>
          <w:tab w:leader="none" w:pos="3900" w:val="left"/>
        </w:tabs>
        <w:numPr>
          <w:ilvl w:val="3"/>
          <w:numId w:val="568"/>
        </w:numPr>
        <w:rPr>
          <w:rFonts w:ascii="Calibri" w:cs="Calibri" w:eastAsia="Calibri" w:hAnsi="Calibri"/>
          <w:sz w:val="20"/>
          <w:szCs w:val="20"/>
          <w:color w:val="auto"/>
        </w:rPr>
      </w:pPr>
      <w:r>
        <w:rPr>
          <w:rFonts w:ascii="Calibri" w:cs="Calibri" w:eastAsia="Calibri" w:hAnsi="Calibri"/>
          <w:sz w:val="20"/>
          <w:szCs w:val="20"/>
          <w:color w:val="auto"/>
        </w:rPr>
        <w:t>for maintaining such records as are necessary to facilitate an efectve and accurate audit</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and performance evaluaton of the Projects as required by the CHIPS Act and the Guardrail Provisions.</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1"/>
          <w:numId w:val="568"/>
        </w:numPr>
        <w:rPr>
          <w:rFonts w:ascii="Calibri" w:cs="Calibri" w:eastAsia="Calibri" w:hAnsi="Calibri"/>
          <w:sz w:val="20"/>
          <w:szCs w:val="20"/>
          <w:color w:val="auto"/>
        </w:rPr>
      </w:pPr>
      <w:r>
        <w:rPr>
          <w:rFonts w:ascii="Calibri" w:cs="Calibri" w:eastAsia="Calibri" w:hAnsi="Calibri"/>
          <w:sz w:val="20"/>
          <w:szCs w:val="20"/>
          <w:color w:val="auto"/>
        </w:rPr>
        <w:t>The Recipient shall:</w:t>
      </w:r>
    </w:p>
    <w:p>
      <w:pPr>
        <w:spacing w:after="0" w:line="157" w:lineRule="exact"/>
        <w:rPr>
          <w:rFonts w:ascii="Calibri" w:cs="Calibri" w:eastAsia="Calibri" w:hAnsi="Calibri"/>
          <w:sz w:val="20"/>
          <w:szCs w:val="20"/>
          <w:color w:val="auto"/>
        </w:rPr>
      </w:pPr>
    </w:p>
    <w:p>
      <w:pPr>
        <w:jc w:val="both"/>
        <w:ind w:firstLine="2600"/>
        <w:spacing w:after="0" w:line="205" w:lineRule="auto"/>
        <w:tabs>
          <w:tab w:leader="none" w:pos="3234" w:val="left"/>
        </w:tabs>
        <w:numPr>
          <w:ilvl w:val="2"/>
          <w:numId w:val="568"/>
        </w:numPr>
        <w:rPr>
          <w:rFonts w:ascii="Calibri" w:cs="Calibri" w:eastAsia="Calibri" w:hAnsi="Calibri"/>
          <w:sz w:val="20"/>
          <w:szCs w:val="20"/>
          <w:color w:val="auto"/>
        </w:rPr>
      </w:pPr>
      <w:r>
        <w:rPr>
          <w:rFonts w:ascii="Calibri" w:cs="Calibri" w:eastAsia="Calibri" w:hAnsi="Calibri"/>
          <w:sz w:val="20"/>
          <w:szCs w:val="20"/>
          <w:color w:val="auto"/>
        </w:rPr>
        <w:t>reasonably cooperate with the Department, OIG and the Consultants regarding any Project upon the Department’s reasonable request in connecton with monitoring the constructon, operaton and performance of such Project and the compliance by the Recipient Partes with the Financing Documents;</w:t>
      </w:r>
    </w:p>
    <w:p>
      <w:pPr>
        <w:spacing w:after="0" w:line="170" w:lineRule="exact"/>
        <w:rPr>
          <w:rFonts w:ascii="Calibri" w:cs="Calibri" w:eastAsia="Calibri" w:hAnsi="Calibri"/>
          <w:sz w:val="20"/>
          <w:szCs w:val="20"/>
          <w:color w:val="auto"/>
        </w:rPr>
      </w:pPr>
    </w:p>
    <w:p>
      <w:pPr>
        <w:jc w:val="both"/>
        <w:ind w:firstLine="2600"/>
        <w:spacing w:after="0" w:line="200" w:lineRule="auto"/>
        <w:tabs>
          <w:tab w:leader="none" w:pos="3240" w:val="left"/>
        </w:tabs>
        <w:numPr>
          <w:ilvl w:val="2"/>
          <w:numId w:val="568"/>
        </w:numPr>
        <w:rPr>
          <w:rFonts w:ascii="Calibri" w:cs="Calibri" w:eastAsia="Calibri" w:hAnsi="Calibri"/>
          <w:sz w:val="20"/>
          <w:szCs w:val="20"/>
          <w:color w:val="auto"/>
        </w:rPr>
      </w:pPr>
      <w:r>
        <w:rPr>
          <w:rFonts w:ascii="Calibri" w:cs="Calibri" w:eastAsia="Calibri" w:hAnsi="Calibri"/>
          <w:sz w:val="20"/>
          <w:szCs w:val="20"/>
          <w:color w:val="auto"/>
        </w:rPr>
        <w:t>upon reasonable notce and at reasonable tmes during normal business hours, and subject to reasonable access restrictons and security controls, permit ofcers and designated representatves of the Department, its employees, its agents, OIG, the Comptroller General and the Consultants to visit, audit and inspect each Project and any other facilites and Propertes of the Recipient, in connecton with (A) determining whether Disbursement Milestones have been achieved or the calculaton of the True-Up Amount; (B) monitoring the Recipient’s progress on any Disbursement Milestone or the calculaton of the True-Up Amount; or</w:t>
      </w:r>
    </w:p>
    <w:p>
      <w:pPr>
        <w:ind w:firstLine="8"/>
        <w:spacing w:after="0" w:line="199" w:lineRule="auto"/>
        <w:tabs>
          <w:tab w:leader="none" w:pos="291" w:val="left"/>
        </w:tabs>
        <w:numPr>
          <w:ilvl w:val="0"/>
          <w:numId w:val="569"/>
        </w:numPr>
        <w:rPr>
          <w:rFonts w:ascii="Calibri" w:cs="Calibri" w:eastAsia="Calibri" w:hAnsi="Calibri"/>
          <w:sz w:val="20"/>
          <w:szCs w:val="20"/>
          <w:color w:val="auto"/>
        </w:rPr>
      </w:pPr>
      <w:r>
        <w:rPr>
          <w:rFonts w:ascii="Calibri" w:cs="Calibri" w:eastAsia="Calibri" w:hAnsi="Calibri"/>
          <w:sz w:val="20"/>
          <w:szCs w:val="20"/>
          <w:color w:val="auto"/>
        </w:rPr>
        <w:t>performing any audit or investgaton of a Project or the Recipient; provided that such access shall not unreasonably interfere with the business and operatons of the Recipient or the Project;</w:t>
      </w:r>
    </w:p>
    <w:p>
      <w:pPr>
        <w:spacing w:after="0" w:line="157" w:lineRule="exact"/>
        <w:rPr>
          <w:rFonts w:ascii="Calibri" w:cs="Calibri" w:eastAsia="Calibri" w:hAnsi="Calibri"/>
          <w:sz w:val="20"/>
          <w:szCs w:val="20"/>
          <w:color w:val="auto"/>
        </w:rPr>
      </w:pPr>
    </w:p>
    <w:p>
      <w:pPr>
        <w:ind w:right="20" w:firstLine="2600"/>
        <w:spacing w:after="0" w:line="214" w:lineRule="auto"/>
        <w:tabs>
          <w:tab w:leader="none" w:pos="3246" w:val="left"/>
        </w:tabs>
        <w:numPr>
          <w:ilvl w:val="2"/>
          <w:numId w:val="569"/>
        </w:numPr>
        <w:rPr>
          <w:rFonts w:ascii="Calibri" w:cs="Calibri" w:eastAsia="Calibri" w:hAnsi="Calibri"/>
          <w:sz w:val="20"/>
          <w:szCs w:val="20"/>
          <w:color w:val="auto"/>
        </w:rPr>
      </w:pPr>
      <w:r>
        <w:rPr>
          <w:rFonts w:ascii="Calibri" w:cs="Calibri" w:eastAsia="Calibri" w:hAnsi="Calibri"/>
          <w:sz w:val="20"/>
          <w:szCs w:val="20"/>
          <w:color w:val="auto"/>
        </w:rPr>
        <w:t>perform an audit of the Recipient in accordance with generally accepted auditng standards, if so requested by the Department, its employees, its agents, OIG, the Comptroller General or their authorized representatves;</w:t>
      </w:r>
    </w:p>
    <w:p>
      <w:pPr>
        <w:spacing w:after="0" w:line="158" w:lineRule="exact"/>
        <w:rPr>
          <w:rFonts w:ascii="Calibri" w:cs="Calibri" w:eastAsia="Calibri" w:hAnsi="Calibri"/>
          <w:sz w:val="20"/>
          <w:szCs w:val="20"/>
          <w:color w:val="auto"/>
        </w:rPr>
      </w:pPr>
    </w:p>
    <w:p>
      <w:pPr>
        <w:jc w:val="both"/>
        <w:ind w:firstLine="2600"/>
        <w:spacing w:after="0" w:line="205" w:lineRule="auto"/>
        <w:tabs>
          <w:tab w:leader="none" w:pos="3244" w:val="left"/>
        </w:tabs>
        <w:numPr>
          <w:ilvl w:val="2"/>
          <w:numId w:val="569"/>
        </w:numPr>
        <w:rPr>
          <w:rFonts w:ascii="Calibri" w:cs="Calibri" w:eastAsia="Calibri" w:hAnsi="Calibri"/>
          <w:sz w:val="20"/>
          <w:szCs w:val="20"/>
          <w:color w:val="auto"/>
        </w:rPr>
      </w:pPr>
      <w:r>
        <w:rPr>
          <w:rFonts w:ascii="Calibri" w:cs="Calibri" w:eastAsia="Calibri" w:hAnsi="Calibri"/>
          <w:sz w:val="20"/>
          <w:szCs w:val="20"/>
          <w:color w:val="auto"/>
        </w:rPr>
        <w:t>cooperate with any reasonable request of the Department, its employees, its agents, OIG, the Comptroller General or their authorized representatves for informaton or documentaton deemed necessary by such party to respond to any audit, evaluaton,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24</w:t>
      </w:r>
    </w:p>
    <w:p>
      <w:pPr>
        <w:sectPr>
          <w:pgSz w:w="11900" w:h="16838" w:orient="portrait"/>
          <w:cols w:equalWidth="0" w:num="1">
            <w:col w:w="11240"/>
          </w:cols>
          <w:pgMar w:left="320" w:top="1384" w:right="339" w:bottom="1440" w:gutter="0" w:footer="0" w:header="0"/>
        </w:sectPr>
      </w:pPr>
    </w:p>
    <w:bookmarkStart w:id="466" w:name="page467"/>
    <w:bookmarkEnd w:id="466"/>
    <w:p>
      <w:pPr>
        <w:jc w:val="both"/>
        <w:spacing w:after="0" w:line="205" w:lineRule="auto"/>
        <w:rPr>
          <w:sz w:val="20"/>
          <w:szCs w:val="20"/>
          <w:color w:val="auto"/>
        </w:rPr>
      </w:pPr>
      <w:r>
        <w:rPr>
          <w:rFonts w:ascii="Calibri" w:cs="Calibri" w:eastAsia="Calibri" w:hAnsi="Calibri"/>
          <w:sz w:val="20"/>
          <w:szCs w:val="20"/>
          <w:color w:val="auto"/>
        </w:rPr>
        <w:t>review, or congressional inquiry, including, but not limited to, the biannual GAO audit requirement described in 15 U.S.C. § 4652(c) of the CHIPS Act and the compliance review authorized by 15 U.S.C. § 4652(a)(6)(C) of the CHIPS Act with respect to an Event of Default set forth in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and</w:t>
      </w:r>
    </w:p>
    <w:p>
      <w:pPr>
        <w:spacing w:after="0" w:line="171" w:lineRule="exact"/>
        <w:rPr>
          <w:sz w:val="20"/>
          <w:szCs w:val="20"/>
          <w:color w:val="auto"/>
        </w:rPr>
      </w:pPr>
    </w:p>
    <w:p>
      <w:pPr>
        <w:jc w:val="both"/>
        <w:ind w:firstLine="2600"/>
        <w:spacing w:after="0" w:line="203" w:lineRule="auto"/>
        <w:tabs>
          <w:tab w:leader="none" w:pos="3238" w:val="left"/>
        </w:tabs>
        <w:numPr>
          <w:ilvl w:val="1"/>
          <w:numId w:val="570"/>
        </w:numPr>
        <w:rPr>
          <w:rFonts w:ascii="Calibri" w:cs="Calibri" w:eastAsia="Calibri" w:hAnsi="Calibri"/>
          <w:sz w:val="20"/>
          <w:szCs w:val="20"/>
          <w:color w:val="auto"/>
        </w:rPr>
      </w:pPr>
      <w:r>
        <w:rPr>
          <w:rFonts w:ascii="Calibri" w:cs="Calibri" w:eastAsia="Calibri" w:hAnsi="Calibri"/>
          <w:sz w:val="20"/>
          <w:szCs w:val="20"/>
          <w:color w:val="auto"/>
        </w:rPr>
        <w:t>provide to ofcers and designated representatves of the Department, its employees, its agents, OIG, the Comptroller General and the Consultants access to any pertnent books, documents, papers and records of the Recipient related to any Project for the purpose of audit, examinaton, inspecton and monitoring as may be reasonably requested by the Department in connecton with the Financing Documents.</w:t>
      </w:r>
    </w:p>
    <w:p>
      <w:pPr>
        <w:spacing w:after="0" w:line="159"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571"/>
        </w:numPr>
        <w:rPr>
          <w:rFonts w:ascii="Calibri" w:cs="Calibri" w:eastAsia="Calibri" w:hAnsi="Calibri"/>
          <w:sz w:val="20"/>
          <w:szCs w:val="20"/>
          <w:color w:val="auto"/>
        </w:rPr>
      </w:pPr>
      <w:r>
        <w:rPr>
          <w:rFonts w:ascii="Calibri" w:cs="Calibri" w:eastAsia="Calibri" w:hAnsi="Calibri"/>
          <w:sz w:val="20"/>
          <w:szCs w:val="20"/>
          <w:color w:val="auto"/>
        </w:rPr>
        <w:t>The Recipient shall retain all records relatng to Eligible Uses of Funds with respect to which Disbursements were made for three (3) years afer the Period of Performance.</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7.3.2</w:t>
      </w:r>
      <w:r>
        <w:rPr>
          <w:sz w:val="20"/>
          <w:szCs w:val="20"/>
          <w:color w:val="auto"/>
        </w:rPr>
        <w:tab/>
      </w:r>
      <w:r>
        <w:rPr>
          <w:rFonts w:ascii="Calibri" w:cs="Calibri" w:eastAsia="Calibri" w:hAnsi="Calibri"/>
          <w:sz w:val="20"/>
          <w:szCs w:val="20"/>
          <w:b w:val="1"/>
          <w:bCs w:val="1"/>
          <w:color w:val="auto"/>
        </w:rPr>
        <w:t>Maintenance of Existence, Property.</w:t>
      </w:r>
    </w:p>
    <w:p>
      <w:pPr>
        <w:spacing w:after="0" w:line="157" w:lineRule="exact"/>
        <w:rPr>
          <w:sz w:val="20"/>
          <w:szCs w:val="20"/>
          <w:color w:val="auto"/>
        </w:rPr>
      </w:pPr>
    </w:p>
    <w:p>
      <w:pPr>
        <w:ind w:firstLine="1952"/>
        <w:spacing w:after="0" w:line="214" w:lineRule="auto"/>
        <w:tabs>
          <w:tab w:leader="none" w:pos="2596" w:val="left"/>
        </w:tabs>
        <w:numPr>
          <w:ilvl w:val="0"/>
          <w:numId w:val="572"/>
        </w:numPr>
        <w:rPr>
          <w:rFonts w:ascii="Calibri" w:cs="Calibri" w:eastAsia="Calibri" w:hAnsi="Calibri"/>
          <w:sz w:val="20"/>
          <w:szCs w:val="20"/>
          <w:color w:val="auto"/>
        </w:rPr>
      </w:pPr>
      <w:r>
        <w:rPr>
          <w:rFonts w:ascii="Calibri" w:cs="Calibri" w:eastAsia="Calibri" w:hAnsi="Calibri"/>
          <w:sz w:val="20"/>
          <w:szCs w:val="20"/>
          <w:color w:val="auto"/>
        </w:rPr>
        <w:t>The Recipient shall preserve and maintain (i) its legal existence and corporate status; and (ii) all of its licenses, rights, privileges and franchises material to the conduct of its business or any Project.</w:t>
      </w:r>
    </w:p>
    <w:p>
      <w:pPr>
        <w:spacing w:after="0" w:line="158"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72"/>
        </w:numPr>
        <w:rPr>
          <w:rFonts w:ascii="Calibri" w:cs="Calibri" w:eastAsia="Calibri" w:hAnsi="Calibri"/>
          <w:sz w:val="20"/>
          <w:szCs w:val="20"/>
          <w:color w:val="auto"/>
        </w:rPr>
      </w:pPr>
      <w:r>
        <w:rPr>
          <w:rFonts w:ascii="Calibri" w:cs="Calibri" w:eastAsia="Calibri" w:hAnsi="Calibri"/>
          <w:sz w:val="20"/>
          <w:szCs w:val="20"/>
          <w:color w:val="auto"/>
        </w:rPr>
        <w:t>The Recipient shall keep (or cause to be kept) all its Propertes and IT Systems, to the extent material and related to the Project, in good working order and conditon to the extent necessary to ensure that its business can be conducted properly and in compliance with (i) the CHIPS Act and its Organizatonal Documents; and (ii) all other Applicable Laws and Required Approvals in all material respects.</w:t>
      </w:r>
    </w:p>
    <w:p>
      <w:pPr>
        <w:spacing w:after="0" w:line="159"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572"/>
        </w:numPr>
        <w:rPr>
          <w:rFonts w:ascii="Calibri" w:cs="Calibri" w:eastAsia="Calibri" w:hAnsi="Calibri"/>
          <w:sz w:val="20"/>
          <w:szCs w:val="20"/>
          <w:color w:val="auto"/>
        </w:rPr>
      </w:pPr>
      <w:r>
        <w:rPr>
          <w:rFonts w:ascii="Calibri" w:cs="Calibri" w:eastAsia="Calibri" w:hAnsi="Calibri"/>
          <w:sz w:val="20"/>
          <w:szCs w:val="20"/>
          <w:color w:val="auto"/>
        </w:rPr>
        <w:t>Except as otherwise permited hereunder, the Recipient shall preserve and maintain good and marketable ttle to or leasehold interest in or rights to the Property material to the Project and such rights to use each Project Site as are necessary to construct, operate and maintain the Projects in accordance with the requirements of the Financing Documents and shall, at its own expense, take all actons to ensure that it has sufcient rights to the Project Sites as is necessary for the development, constructon and operaton of the Projects as contemplated by the Financing Documents.</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7.3.3</w:t>
      </w:r>
      <w:r>
        <w:rPr>
          <w:sz w:val="20"/>
          <w:szCs w:val="20"/>
          <w:color w:val="auto"/>
        </w:rPr>
        <w:tab/>
      </w:r>
      <w:r>
        <w:rPr>
          <w:rFonts w:ascii="Calibri" w:cs="Calibri" w:eastAsia="Calibri" w:hAnsi="Calibri"/>
          <w:sz w:val="20"/>
          <w:szCs w:val="20"/>
          <w:b w:val="1"/>
          <w:bCs w:val="1"/>
          <w:color w:val="auto"/>
        </w:rPr>
        <w:t>SAM Registraton</w:t>
      </w:r>
      <w:r>
        <w:rPr>
          <w:rFonts w:ascii="Calibri" w:cs="Calibri" w:eastAsia="Calibri" w:hAnsi="Calibri"/>
          <w:sz w:val="20"/>
          <w:szCs w:val="20"/>
          <w:color w:val="auto"/>
        </w:rPr>
        <w:t>. The Recipient shall maintain its SAM database registraton at all tmes.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7.3.4</w:t>
      </w:r>
      <w:r>
        <w:rPr>
          <w:sz w:val="20"/>
          <w:szCs w:val="20"/>
          <w:color w:val="auto"/>
        </w:rPr>
        <w:tab/>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The Recipient shall:</w:t>
      </w:r>
    </w:p>
    <w:p>
      <w:pPr>
        <w:spacing w:after="0" w:line="147" w:lineRule="exact"/>
        <w:rPr>
          <w:sz w:val="20"/>
          <w:szCs w:val="20"/>
          <w:color w:val="auto"/>
        </w:rPr>
      </w:pPr>
    </w:p>
    <w:p>
      <w:pPr>
        <w:ind w:left="2600" w:hanging="648"/>
        <w:spacing w:after="0"/>
        <w:tabs>
          <w:tab w:leader="none" w:pos="2600" w:val="left"/>
        </w:tabs>
        <w:numPr>
          <w:ilvl w:val="0"/>
          <w:numId w:val="573"/>
        </w:numPr>
        <w:rPr>
          <w:rFonts w:ascii="Calibri" w:cs="Calibri" w:eastAsia="Calibri" w:hAnsi="Calibri"/>
          <w:sz w:val="20"/>
          <w:szCs w:val="20"/>
          <w:color w:val="auto"/>
        </w:rPr>
      </w:pPr>
      <w:r>
        <w:rPr>
          <w:rFonts w:ascii="Calibri" w:cs="Calibri" w:eastAsia="Calibri" w:hAnsi="Calibri"/>
          <w:sz w:val="20"/>
          <w:szCs w:val="20"/>
          <w:color w:val="auto"/>
        </w:rPr>
        <w:t>maintain engagement of the Recipient’s Accountant at all tmes; and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73"/>
        </w:numPr>
        <w:rPr>
          <w:rFonts w:ascii="Calibri" w:cs="Calibri" w:eastAsia="Calibri" w:hAnsi="Calibri"/>
          <w:sz w:val="20"/>
          <w:szCs w:val="20"/>
          <w:color w:val="auto"/>
        </w:rPr>
      </w:pPr>
      <w:r>
        <w:rPr>
          <w:rFonts w:ascii="Calibri" w:cs="Calibri" w:eastAsia="Calibri" w:hAnsi="Calibri"/>
          <w:sz w:val="20"/>
          <w:szCs w:val="20"/>
          <w:color w:val="auto"/>
        </w:rPr>
        <w:t>promptly provide notce to the Department of any change of the Recipient’s Accountant.</w:t>
      </w:r>
    </w:p>
    <w:p>
      <w:pPr>
        <w:spacing w:after="0" w:line="198" w:lineRule="exact"/>
        <w:rPr>
          <w:sz w:val="20"/>
          <w:szCs w:val="20"/>
          <w:color w:val="auto"/>
        </w:rPr>
      </w:pPr>
    </w:p>
    <w:p>
      <w:pPr>
        <w:jc w:val="both"/>
        <w:ind w:firstLine="1296"/>
        <w:spacing w:after="0" w:line="231" w:lineRule="auto"/>
        <w:rPr>
          <w:sz w:val="20"/>
          <w:szCs w:val="20"/>
          <w:color w:val="auto"/>
        </w:rPr>
      </w:pPr>
      <w:r>
        <w:rPr>
          <w:rFonts w:ascii="Calibri" w:cs="Calibri" w:eastAsia="Calibri" w:hAnsi="Calibri"/>
          <w:sz w:val="20"/>
          <w:szCs w:val="20"/>
          <w:color w:val="auto"/>
        </w:rPr>
        <w:t xml:space="preserve">7.3.5 </w:t>
      </w:r>
      <w:r>
        <w:rPr>
          <w:rFonts w:ascii="Calibri" w:cs="Calibri" w:eastAsia="Calibri" w:hAnsi="Calibri"/>
          <w:sz w:val="20"/>
          <w:szCs w:val="20"/>
          <w:b w:val="1"/>
          <w:bCs w:val="1"/>
          <w:color w:val="auto"/>
        </w:rPr>
        <w:t>Close Out Procedure.</w:t>
      </w:r>
      <w:r>
        <w:rPr>
          <w:rFonts w:ascii="Calibri" w:cs="Calibri" w:eastAsia="Calibri" w:hAnsi="Calibri"/>
          <w:sz w:val="20"/>
          <w:szCs w:val="20"/>
          <w:color w:val="auto"/>
        </w:rPr>
        <w:t xml:space="preserve"> The Recipient shall cooperate with the Department to complete the Recipient’s fnal reports, reconcile all accountng maters, enable the Department to complete its fnal reports and otherwise perform reasonable tasks as requested by the Department to close out the Award at the expiraton of the applicable Period of Performance.</w:t>
      </w:r>
    </w:p>
    <w:p>
      <w:pPr>
        <w:spacing w:after="0" w:line="163"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8</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NEGATIVE COVENANTS</w:t>
      </w:r>
    </w:p>
    <w:p>
      <w:pPr>
        <w:spacing w:after="0" w:line="153" w:lineRule="exact"/>
        <w:rPr>
          <w:sz w:val="20"/>
          <w:szCs w:val="20"/>
          <w:color w:val="auto"/>
        </w:rPr>
      </w:pPr>
    </w:p>
    <w:p>
      <w:pPr>
        <w:ind w:left="660"/>
        <w:spacing w:after="0"/>
        <w:tabs>
          <w:tab w:leader="none" w:pos="1980" w:val="left"/>
        </w:tabs>
        <w:rPr>
          <w:sz w:val="20"/>
          <w:szCs w:val="20"/>
          <w:color w:val="auto"/>
        </w:rPr>
      </w:pPr>
      <w:r>
        <w:rPr>
          <w:rFonts w:ascii="Calibri" w:cs="Calibri" w:eastAsia="Calibri" w:hAnsi="Calibri"/>
          <w:sz w:val="20"/>
          <w:szCs w:val="20"/>
          <w:color w:val="auto"/>
        </w:rPr>
        <w:t>Secton 8.1.</w:t>
      </w:r>
      <w:r>
        <w:rPr>
          <w:sz w:val="20"/>
          <w:szCs w:val="20"/>
          <w:color w:val="auto"/>
        </w:rPr>
        <w:tab/>
      </w:r>
      <w:r>
        <w:rPr>
          <w:rFonts w:ascii="Calibri" w:cs="Calibri" w:eastAsia="Calibri" w:hAnsi="Calibri"/>
          <w:sz w:val="20"/>
          <w:szCs w:val="20"/>
          <w:b w:val="1"/>
          <w:bCs w:val="1"/>
          <w:color w:val="auto"/>
        </w:rPr>
        <w:t>Negatve Covenants during the Period of Performance</w:t>
      </w:r>
      <w:r>
        <w:rPr>
          <w:rFonts w:ascii="Calibri" w:cs="Calibri" w:eastAsia="Calibri" w:hAnsi="Calibri"/>
          <w:sz w:val="20"/>
          <w:szCs w:val="20"/>
          <w:color w:val="auto"/>
        </w:rPr>
        <w:t>. The Recipient covenants and agrees that during the</w:t>
      </w:r>
    </w:p>
    <w:p>
      <w:pPr>
        <w:spacing w:after="0" w:line="193" w:lineRule="auto"/>
        <w:rPr>
          <w:sz w:val="20"/>
          <w:szCs w:val="20"/>
          <w:color w:val="auto"/>
        </w:rPr>
      </w:pPr>
      <w:r>
        <w:rPr>
          <w:rFonts w:ascii="Calibri" w:cs="Calibri" w:eastAsia="Calibri" w:hAnsi="Calibri"/>
          <w:sz w:val="20"/>
          <w:szCs w:val="20"/>
          <w:color w:val="auto"/>
        </w:rPr>
        <w:t>Period of Performance, unless the Department waives compliance in writng:</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8.1.1</w:t>
      </w:r>
      <w:r>
        <w:rPr>
          <w:sz w:val="20"/>
          <w:szCs w:val="20"/>
          <w:color w:val="auto"/>
        </w:rPr>
        <w:tab/>
      </w:r>
      <w:r>
        <w:rPr>
          <w:rFonts w:ascii="Calibri" w:cs="Calibri" w:eastAsia="Calibri" w:hAnsi="Calibri"/>
          <w:sz w:val="20"/>
          <w:szCs w:val="20"/>
          <w:b w:val="1"/>
          <w:bCs w:val="1"/>
          <w:color w:val="auto"/>
        </w:rPr>
        <w:t>Prohibited Persons; Foreign Enttes of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25</w:t>
      </w:r>
    </w:p>
    <w:p>
      <w:pPr>
        <w:sectPr>
          <w:pgSz w:w="11900" w:h="16838" w:orient="portrait"/>
          <w:cols w:equalWidth="0" w:num="1">
            <w:col w:w="11240"/>
          </w:cols>
          <w:pgMar w:left="320" w:top="1384" w:right="339" w:bottom="1440" w:gutter="0" w:footer="0" w:header="0"/>
        </w:sectPr>
      </w:pPr>
    </w:p>
    <w:bookmarkStart w:id="467" w:name="page468"/>
    <w:bookmarkEnd w:id="467"/>
    <w:p>
      <w:pPr>
        <w:ind w:left="2600" w:hanging="648"/>
        <w:spacing w:after="0"/>
        <w:tabs>
          <w:tab w:leader="none" w:pos="2600" w:val="left"/>
        </w:tabs>
        <w:numPr>
          <w:ilvl w:val="0"/>
          <w:numId w:val="574"/>
        </w:numPr>
        <w:rPr>
          <w:rFonts w:ascii="Calibri" w:cs="Calibri" w:eastAsia="Calibri" w:hAnsi="Calibri"/>
          <w:sz w:val="20"/>
          <w:szCs w:val="20"/>
          <w:color w:val="auto"/>
        </w:rPr>
      </w:pPr>
      <w:r>
        <w:rPr>
          <w:rFonts w:ascii="Calibri" w:cs="Calibri" w:eastAsia="Calibri" w:hAnsi="Calibri"/>
          <w:sz w:val="20"/>
          <w:szCs w:val="20"/>
          <w:color w:val="auto"/>
        </w:rPr>
        <w:t>Each Recipient Party shall not become (whether through a transfer or otherwise) a Prohibited Person or a</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Foreign Entty of Concern.</w:t>
      </w:r>
    </w:p>
    <w:p>
      <w:pPr>
        <w:spacing w:after="0" w:line="157"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74"/>
        </w:numPr>
        <w:rPr>
          <w:rFonts w:ascii="Calibri" w:cs="Calibri" w:eastAsia="Calibri" w:hAnsi="Calibri"/>
          <w:sz w:val="20"/>
          <w:szCs w:val="20"/>
          <w:color w:val="auto"/>
        </w:rPr>
      </w:pPr>
      <w:r>
        <w:rPr>
          <w:rFonts w:ascii="Calibri" w:cs="Calibri" w:eastAsia="Calibri" w:hAnsi="Calibri"/>
          <w:sz w:val="20"/>
          <w:szCs w:val="20"/>
          <w:color w:val="auto"/>
        </w:rPr>
        <w:t>The Recipient shall not use any proceeds of any Direct Funding Disbursement, or lend, contribute, or otherwise make available such funds to any Person:</w:t>
      </w:r>
    </w:p>
    <w:p>
      <w:pPr>
        <w:spacing w:after="0" w:line="148" w:lineRule="exact"/>
        <w:rPr>
          <w:rFonts w:ascii="Calibri" w:cs="Calibri" w:eastAsia="Calibri" w:hAnsi="Calibri"/>
          <w:sz w:val="20"/>
          <w:szCs w:val="20"/>
          <w:color w:val="auto"/>
        </w:rPr>
      </w:pPr>
    </w:p>
    <w:p>
      <w:pPr>
        <w:ind w:left="3240" w:hanging="640"/>
        <w:spacing w:after="0"/>
        <w:tabs>
          <w:tab w:leader="none" w:pos="3240" w:val="left"/>
        </w:tabs>
        <w:numPr>
          <w:ilvl w:val="1"/>
          <w:numId w:val="574"/>
        </w:numPr>
        <w:rPr>
          <w:rFonts w:ascii="Calibri" w:cs="Calibri" w:eastAsia="Calibri" w:hAnsi="Calibri"/>
          <w:sz w:val="20"/>
          <w:szCs w:val="20"/>
          <w:color w:val="auto"/>
        </w:rPr>
      </w:pPr>
      <w:r>
        <w:rPr>
          <w:rFonts w:ascii="Calibri" w:cs="Calibri" w:eastAsia="Calibri" w:hAnsi="Calibri"/>
          <w:sz w:val="20"/>
          <w:szCs w:val="20"/>
          <w:color w:val="auto"/>
        </w:rPr>
        <w:t>to fund any actvites or business of or with any Prohibited Person, or in or with any Sanctoned</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Country; or</w:t>
      </w:r>
    </w:p>
    <w:p>
      <w:pPr>
        <w:spacing w:after="0" w:line="157" w:lineRule="exact"/>
        <w:rPr>
          <w:rFonts w:ascii="Calibri" w:cs="Calibri" w:eastAsia="Calibri" w:hAnsi="Calibri"/>
          <w:sz w:val="20"/>
          <w:szCs w:val="20"/>
          <w:color w:val="auto"/>
        </w:rPr>
      </w:pPr>
    </w:p>
    <w:p>
      <w:pPr>
        <w:ind w:firstLine="2600"/>
        <w:spacing w:after="0" w:line="214" w:lineRule="auto"/>
        <w:tabs>
          <w:tab w:leader="none" w:pos="3240" w:val="left"/>
        </w:tabs>
        <w:numPr>
          <w:ilvl w:val="1"/>
          <w:numId w:val="574"/>
        </w:numPr>
        <w:rPr>
          <w:rFonts w:ascii="Calibri" w:cs="Calibri" w:eastAsia="Calibri" w:hAnsi="Calibri"/>
          <w:sz w:val="20"/>
          <w:szCs w:val="20"/>
          <w:color w:val="auto"/>
        </w:rPr>
      </w:pPr>
      <w:r>
        <w:rPr>
          <w:rFonts w:ascii="Calibri" w:cs="Calibri" w:eastAsia="Calibri" w:hAnsi="Calibri"/>
          <w:sz w:val="20"/>
          <w:szCs w:val="20"/>
          <w:color w:val="auto"/>
        </w:rPr>
        <w:t>in any other manner that would result in a violaton of Sanctons, Export Control Laws, Ant-Money Laundering Laws, or Ant-Corrupton Laws by any Person.</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8.1.2</w:t>
      </w:r>
      <w:r>
        <w:rPr>
          <w:sz w:val="20"/>
          <w:szCs w:val="20"/>
          <w:color w:val="auto"/>
        </w:rPr>
        <w:tab/>
      </w:r>
      <w:r>
        <w:rPr>
          <w:rFonts w:ascii="Calibri" w:cs="Calibri" w:eastAsia="Calibri" w:hAnsi="Calibri"/>
          <w:sz w:val="20"/>
          <w:szCs w:val="20"/>
          <w:b w:val="1"/>
          <w:bCs w:val="1"/>
          <w:color w:val="auto"/>
        </w:rPr>
        <w:t>Debarment Regulatons.</w:t>
      </w:r>
    </w:p>
    <w:p>
      <w:pPr>
        <w:spacing w:after="0" w:line="157" w:lineRule="exact"/>
        <w:rPr>
          <w:sz w:val="20"/>
          <w:szCs w:val="20"/>
          <w:color w:val="auto"/>
        </w:rPr>
      </w:pPr>
    </w:p>
    <w:p>
      <w:pPr>
        <w:jc w:val="both"/>
        <w:ind w:firstLine="1952"/>
        <w:spacing w:after="0" w:line="203" w:lineRule="auto"/>
        <w:tabs>
          <w:tab w:leader="none" w:pos="2596" w:val="left"/>
        </w:tabs>
        <w:numPr>
          <w:ilvl w:val="0"/>
          <w:numId w:val="575"/>
        </w:numPr>
        <w:rPr>
          <w:rFonts w:ascii="Calibri" w:cs="Calibri" w:eastAsia="Calibri" w:hAnsi="Calibri"/>
          <w:sz w:val="20"/>
          <w:szCs w:val="20"/>
          <w:color w:val="auto"/>
        </w:rPr>
      </w:pPr>
      <w:r>
        <w:rPr>
          <w:rFonts w:ascii="Calibri" w:cs="Calibri" w:eastAsia="Calibri" w:hAnsi="Calibri"/>
          <w:sz w:val="20"/>
          <w:szCs w:val="20"/>
          <w:color w:val="auto"/>
        </w:rPr>
        <w:t>Unless authorized by the Department in writng, the Recipient shall not enter into any transactons in connecton with the constructon, operaton or maintenance of any Project with any Person who is debarred, suspended, declared ineligible or voluntarily excluded from partcipaton in procurement or non-procurement transactons with any United States federal government department or agency pursuant to any of the Debarment Regulatons.</w:t>
      </w:r>
    </w:p>
    <w:p>
      <w:pPr>
        <w:spacing w:after="0" w:line="159"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575"/>
        </w:numPr>
        <w:rPr>
          <w:rFonts w:ascii="Calibri" w:cs="Calibri" w:eastAsia="Calibri" w:hAnsi="Calibri"/>
          <w:sz w:val="20"/>
          <w:szCs w:val="20"/>
          <w:color w:val="auto"/>
        </w:rPr>
      </w:pPr>
      <w:r>
        <w:rPr>
          <w:rFonts w:ascii="Calibri" w:cs="Calibri" w:eastAsia="Calibri" w:hAnsi="Calibri"/>
          <w:sz w:val="20"/>
          <w:szCs w:val="20"/>
          <w:color w:val="auto"/>
        </w:rPr>
        <w:t>The Recipient shall not fail to comply with any or all Debarment Regulatons in a manner which results in the Recipient being debarred, suspended, declared ineligible or voluntarily excluded from partcipaton in procurement or non-procurement transactons with any United States federal government department or agency pursuant to any Debarment Regulatons.</w:t>
      </w:r>
    </w:p>
    <w:p>
      <w:pPr>
        <w:spacing w:after="0" w:line="159"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8.1.3 </w:t>
      </w:r>
      <w:r>
        <w:rPr>
          <w:rFonts w:ascii="Calibri" w:cs="Calibri" w:eastAsia="Calibri" w:hAnsi="Calibri"/>
          <w:sz w:val="20"/>
          <w:szCs w:val="20"/>
          <w:b w:val="1"/>
          <w:bCs w:val="1"/>
          <w:color w:val="auto"/>
        </w:rPr>
        <w:t>No Afliate Transactons</w:t>
      </w:r>
      <w:r>
        <w:rPr>
          <w:rFonts w:ascii="Calibri" w:cs="Calibri" w:eastAsia="Calibri" w:hAnsi="Calibri"/>
          <w:sz w:val="20"/>
          <w:szCs w:val="20"/>
          <w:color w:val="auto"/>
        </w:rPr>
        <w:t>. The Recipient shall not, directly or indirectly: (a) enter into any transacton or series of related transactons related to any Project with any Person (including any Afliate) other than in the ordinary course of business and on an arm’s-length basis; (b) except as permited pursuant to clause (a) above, enter into any transacton or series of related transactons related to any Project with any Afliate, other than any transacton contemplated in a contract or agreement set forth on Schedule E (</w:t>
      </w:r>
      <w:r>
        <w:rPr>
          <w:rFonts w:ascii="Calibri" w:cs="Calibri" w:eastAsia="Calibri" w:hAnsi="Calibri"/>
          <w:sz w:val="20"/>
          <w:szCs w:val="20"/>
          <w:b w:val="1"/>
          <w:bCs w:val="1"/>
          <w:color w:val="auto"/>
        </w:rPr>
        <w:t>Afliate Transactons</w:t>
      </w:r>
      <w:r>
        <w:rPr>
          <w:rFonts w:ascii="Calibri" w:cs="Calibri" w:eastAsia="Calibri" w:hAnsi="Calibri"/>
          <w:sz w:val="20"/>
          <w:szCs w:val="20"/>
          <w:color w:val="auto"/>
        </w:rPr>
        <w:t>) or entered into in substantally the form of Exhibit E (</w:t>
      </w:r>
      <w:r>
        <w:rPr>
          <w:rFonts w:ascii="Calibri" w:cs="Calibri" w:eastAsia="Calibri" w:hAnsi="Calibri"/>
          <w:sz w:val="20"/>
          <w:szCs w:val="20"/>
          <w:b w:val="1"/>
          <w:bCs w:val="1"/>
          <w:color w:val="auto"/>
        </w:rPr>
        <w:t>Form of Intercompany Agreement</w:t>
      </w:r>
      <w:r>
        <w:rPr>
          <w:rFonts w:ascii="Calibri" w:cs="Calibri" w:eastAsia="Calibri" w:hAnsi="Calibri"/>
          <w:sz w:val="20"/>
          <w:szCs w:val="20"/>
          <w:color w:val="auto"/>
        </w:rPr>
        <w:t>); or (c) establish any sole and exclusive purchasing or sales agency, or enter into any transacton, whereby the Recipient might pay more than the fair market value for products or services of others with respect to the Projects.</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8.1.4</w:t>
      </w:r>
      <w:r>
        <w:rPr>
          <w:sz w:val="20"/>
          <w:szCs w:val="20"/>
          <w:color w:val="auto"/>
        </w:rPr>
        <w:tab/>
      </w:r>
      <w:r>
        <w:rPr>
          <w:rFonts w:ascii="Calibri" w:cs="Calibri" w:eastAsia="Calibri" w:hAnsi="Calibri"/>
          <w:sz w:val="20"/>
          <w:szCs w:val="20"/>
          <w:b w:val="1"/>
          <w:bCs w:val="1"/>
          <w:color w:val="auto"/>
        </w:rPr>
        <w:t>Subsidiaries; Partnerships</w:t>
      </w:r>
      <w:r>
        <w:rPr>
          <w:rFonts w:ascii="Calibri" w:cs="Calibri" w:eastAsia="Calibri" w:hAnsi="Calibri"/>
          <w:sz w:val="20"/>
          <w:szCs w:val="20"/>
          <w:color w:val="auto"/>
        </w:rPr>
        <w:t>. The Recipient shall not:</w:t>
      </w:r>
    </w:p>
    <w:p>
      <w:pPr>
        <w:spacing w:after="0" w:line="161" w:lineRule="exact"/>
        <w:rPr>
          <w:sz w:val="20"/>
          <w:szCs w:val="20"/>
          <w:color w:val="auto"/>
        </w:rPr>
      </w:pPr>
    </w:p>
    <w:p>
      <w:pPr>
        <w:ind w:left="2600" w:hanging="648"/>
        <w:spacing w:after="0"/>
        <w:tabs>
          <w:tab w:leader="none" w:pos="2600" w:val="left"/>
        </w:tabs>
        <w:numPr>
          <w:ilvl w:val="0"/>
          <w:numId w:val="576"/>
        </w:numPr>
        <w:rPr>
          <w:rFonts w:ascii="Calibri" w:cs="Calibri" w:eastAsia="Calibri" w:hAnsi="Calibri"/>
          <w:sz w:val="20"/>
          <w:szCs w:val="20"/>
          <w:color w:val="auto"/>
        </w:rPr>
      </w:pPr>
      <w:r>
        <w:rPr>
          <w:rFonts w:ascii="Calibri" w:cs="Calibri" w:eastAsia="Calibri" w:hAnsi="Calibri"/>
          <w:sz w:val="20"/>
          <w:szCs w:val="20"/>
          <w:color w:val="auto"/>
        </w:rPr>
        <w:t>form or have any Subsidiaries;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76"/>
        </w:numPr>
        <w:rPr>
          <w:rFonts w:ascii="Calibri" w:cs="Calibri" w:eastAsia="Calibri" w:hAnsi="Calibri"/>
          <w:sz w:val="20"/>
          <w:szCs w:val="20"/>
          <w:color w:val="auto"/>
        </w:rPr>
      </w:pPr>
      <w:r>
        <w:rPr>
          <w:rFonts w:ascii="Calibri" w:cs="Calibri" w:eastAsia="Calibri" w:hAnsi="Calibri"/>
          <w:sz w:val="20"/>
          <w:szCs w:val="20"/>
          <w:color w:val="auto"/>
        </w:rPr>
        <w:t>enter into any partnership or a joint venture;</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76"/>
        </w:numPr>
        <w:rPr>
          <w:rFonts w:ascii="Calibri" w:cs="Calibri" w:eastAsia="Calibri" w:hAnsi="Calibri"/>
          <w:sz w:val="20"/>
          <w:szCs w:val="20"/>
          <w:color w:val="auto"/>
        </w:rPr>
      </w:pPr>
      <w:r>
        <w:rPr>
          <w:rFonts w:ascii="Calibri" w:cs="Calibri" w:eastAsia="Calibri" w:hAnsi="Calibri"/>
          <w:sz w:val="20"/>
          <w:szCs w:val="20"/>
          <w:color w:val="auto"/>
        </w:rPr>
        <w:t>acquire any Equity Interests in or make any capital contributon to any other Person;</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76"/>
        </w:numPr>
        <w:rPr>
          <w:rFonts w:ascii="Calibri" w:cs="Calibri" w:eastAsia="Calibri" w:hAnsi="Calibri"/>
          <w:sz w:val="20"/>
          <w:szCs w:val="20"/>
          <w:color w:val="auto"/>
        </w:rPr>
      </w:pPr>
      <w:r>
        <w:rPr>
          <w:rFonts w:ascii="Calibri" w:cs="Calibri" w:eastAsia="Calibri" w:hAnsi="Calibri"/>
          <w:sz w:val="20"/>
          <w:szCs w:val="20"/>
          <w:color w:val="auto"/>
        </w:rPr>
        <w:t>enter into any partnership, proft-sharing or royalty agreement or other similar arrangement whereby the Recipient’s income or profts are, or might be, shared with any other Person other than the Sponsor Guarantor (or another entty wholly owned directly or indirectly by the Sponsor Guarantor); or</w:t>
      </w:r>
    </w:p>
    <w:p>
      <w:pPr>
        <w:spacing w:after="0" w:line="157" w:lineRule="exact"/>
        <w:rPr>
          <w:rFonts w:ascii="Calibri" w:cs="Calibri" w:eastAsia="Calibri" w:hAnsi="Calibri"/>
          <w:sz w:val="20"/>
          <w:szCs w:val="20"/>
          <w:color w:val="auto"/>
        </w:rPr>
      </w:pPr>
    </w:p>
    <w:p>
      <w:pPr>
        <w:jc w:val="both"/>
        <w:ind w:firstLine="1952"/>
        <w:spacing w:after="0" w:line="209" w:lineRule="auto"/>
        <w:tabs>
          <w:tab w:leader="none" w:pos="2586" w:val="left"/>
        </w:tabs>
        <w:numPr>
          <w:ilvl w:val="0"/>
          <w:numId w:val="576"/>
        </w:numPr>
        <w:rPr>
          <w:rFonts w:ascii="Calibri" w:cs="Calibri" w:eastAsia="Calibri" w:hAnsi="Calibri"/>
          <w:sz w:val="20"/>
          <w:szCs w:val="20"/>
          <w:color w:val="auto"/>
        </w:rPr>
      </w:pPr>
      <w:r>
        <w:rPr>
          <w:rFonts w:ascii="Calibri" w:cs="Calibri" w:eastAsia="Calibri" w:hAnsi="Calibri"/>
          <w:sz w:val="20"/>
          <w:szCs w:val="20"/>
          <w:color w:val="auto"/>
        </w:rPr>
        <w:t>enter into any management contract or similar arrangement whereby its business or operatons are managed by any other Person other than the Sponsor Guarantor (or another entty wholly owned directly or indirectly by the Sponsor Guarantor).</w:t>
      </w:r>
    </w:p>
    <w:p>
      <w:pPr>
        <w:spacing w:after="0" w:line="149" w:lineRule="exact"/>
        <w:rPr>
          <w:sz w:val="20"/>
          <w:szCs w:val="20"/>
          <w:color w:val="auto"/>
        </w:rPr>
      </w:pPr>
    </w:p>
    <w:p>
      <w:pPr>
        <w:jc w:val="center"/>
        <w:ind w:right="120"/>
        <w:spacing w:after="0"/>
        <w:tabs>
          <w:tab w:leader="none" w:pos="220" w:val="left"/>
        </w:tabs>
        <w:rPr>
          <w:sz w:val="20"/>
          <w:szCs w:val="20"/>
          <w:color w:val="auto"/>
        </w:rPr>
      </w:pPr>
      <w:r>
        <w:rPr>
          <w:rFonts w:ascii="Calibri" w:cs="Calibri" w:eastAsia="Calibri" w:hAnsi="Calibri"/>
          <w:sz w:val="20"/>
          <w:szCs w:val="20"/>
          <w:color w:val="auto"/>
        </w:rPr>
        <w:t>8.1.5</w:t>
      </w:r>
      <w:r>
        <w:rPr>
          <w:sz w:val="20"/>
          <w:szCs w:val="20"/>
          <w:color w:val="auto"/>
        </w:rPr>
        <w:tab/>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 The Recipient shall not, and shall not agree to:</w:t>
      </w:r>
    </w:p>
    <w:p>
      <w:pPr>
        <w:spacing w:after="0" w:line="147" w:lineRule="exact"/>
        <w:rPr>
          <w:sz w:val="20"/>
          <w:szCs w:val="20"/>
          <w:color w:val="auto"/>
        </w:rPr>
      </w:pPr>
    </w:p>
    <w:p>
      <w:pPr>
        <w:ind w:left="2600" w:hanging="648"/>
        <w:spacing w:after="0"/>
        <w:tabs>
          <w:tab w:leader="none" w:pos="2600" w:val="left"/>
        </w:tabs>
        <w:numPr>
          <w:ilvl w:val="0"/>
          <w:numId w:val="577"/>
        </w:numPr>
        <w:rPr>
          <w:rFonts w:ascii="Calibri" w:cs="Calibri" w:eastAsia="Calibri" w:hAnsi="Calibri"/>
          <w:sz w:val="20"/>
          <w:szCs w:val="20"/>
          <w:color w:val="auto"/>
        </w:rPr>
      </w:pPr>
      <w:r>
        <w:rPr>
          <w:rFonts w:ascii="Calibri" w:cs="Calibri" w:eastAsia="Calibri" w:hAnsi="Calibri"/>
          <w:sz w:val="20"/>
          <w:szCs w:val="20"/>
          <w:color w:val="auto"/>
        </w:rPr>
        <w:t>enter into any transacton of merger or consolidaton;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1">
            <w:col w:w="11240"/>
          </w:cols>
          <w:pgMar w:left="320" w:top="1374" w:right="339" w:bottom="1440" w:gutter="0" w:footer="0" w:header="0"/>
        </w:sectPr>
      </w:pPr>
    </w:p>
    <w:bookmarkStart w:id="468" w:name="page469"/>
    <w:bookmarkEnd w:id="468"/>
    <w:p>
      <w:pPr>
        <w:jc w:val="both"/>
        <w:ind w:firstLine="1952"/>
        <w:spacing w:after="0" w:line="203" w:lineRule="auto"/>
        <w:tabs>
          <w:tab w:leader="none" w:pos="2592" w:val="left"/>
        </w:tabs>
        <w:numPr>
          <w:ilvl w:val="0"/>
          <w:numId w:val="578"/>
        </w:numPr>
        <w:rPr>
          <w:rFonts w:ascii="Calibri" w:cs="Calibri" w:eastAsia="Calibri" w:hAnsi="Calibri"/>
          <w:sz w:val="20"/>
          <w:szCs w:val="20"/>
          <w:color w:val="auto"/>
        </w:rPr>
      </w:pPr>
      <w:r>
        <w:rPr>
          <w:rFonts w:ascii="Calibri" w:cs="Calibri" w:eastAsia="Calibri" w:hAnsi="Calibri"/>
          <w:sz w:val="20"/>
          <w:szCs w:val="20"/>
          <w:color w:val="auto"/>
        </w:rPr>
        <w:t>carry out a Dispositon of all or any part of its ownership interests in any Project or any other part of its business or Propertes (other than Property that is acquired or improved with the Direct Funding Award, which shall be governed by clause (c) below), of any kind whatsoever, whether real, personal or mixed and whether tangible or intangible, whether now or hereafer acquired, except for than Permited Dispositons;</w:t>
      </w:r>
    </w:p>
    <w:p>
      <w:pPr>
        <w:spacing w:after="0" w:line="159"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578"/>
        </w:numPr>
        <w:rPr>
          <w:rFonts w:ascii="Calibri" w:cs="Calibri" w:eastAsia="Calibri" w:hAnsi="Calibri"/>
          <w:sz w:val="20"/>
          <w:szCs w:val="20"/>
          <w:color w:val="auto"/>
        </w:rPr>
      </w:pPr>
      <w:r>
        <w:rPr>
          <w:rFonts w:ascii="Calibri" w:cs="Calibri" w:eastAsia="Calibri" w:hAnsi="Calibri"/>
          <w:sz w:val="20"/>
          <w:szCs w:val="20"/>
          <w:color w:val="auto"/>
        </w:rPr>
        <w:t>carry out a Dispositon of Property acquired or improved with the Direct Funding Award unless (i) the proceeds of such Dispositon are applied by the Recipient to the acquisiton of replacement assets for use in connecton with any Project within one hundred eighty (180) days of such Dispositon; or (ii) to the extent such net proceeds are not applied to the acquisiton of such replacement assets within one hundred eighty (180) days of such Dispositon, the Recipient has paid the Department an amount equal to the product of (A) the net proceeds from the Dispositon of the relevant Disposed property; and (B) the percentage of the Department’s partcipaton in the original cost of acquiring or improving such property for the relevant Project; or</w:t>
      </w:r>
    </w:p>
    <w:p>
      <w:pPr>
        <w:spacing w:after="0" w:line="157"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78"/>
        </w:numPr>
        <w:rPr>
          <w:rFonts w:ascii="Calibri" w:cs="Calibri" w:eastAsia="Calibri" w:hAnsi="Calibri"/>
          <w:sz w:val="20"/>
          <w:szCs w:val="20"/>
          <w:color w:val="auto"/>
        </w:rPr>
      </w:pPr>
      <w:r>
        <w:rPr>
          <w:rFonts w:ascii="Calibri" w:cs="Calibri" w:eastAsia="Calibri" w:hAnsi="Calibri"/>
          <w:sz w:val="20"/>
          <w:szCs w:val="20"/>
          <w:color w:val="auto"/>
        </w:rPr>
        <w:t>enter into any shared facilites agreement or other similar arrangement whereby any Project, any Project Site or any of the Recipient’s Propertes are, or might be, shared with any other Person.</w:t>
      </w:r>
    </w:p>
    <w:p>
      <w:pPr>
        <w:spacing w:after="0" w:line="159"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8.1.6 </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xml:space="preserve"> The Recipient shall not undertake any acton or Release any Hazardous Substances in violaton of any Environmental Law or construct, operate or otherwise carry out any Project in any manner in violaton of Environmental Law that would pose a hazard to public health or safety or to the environment or violate any Environmental Law in all material respects, except for, in each case, any actual or potental violatons that involve only minor or technical infractons, which (i) were voluntarily disclosed to a Governmental Authority within sixty (60) days of the Recipient Party becoming aware of the violaton, or (ii) otherwise could not reasonably be expected to give rise to an enforcement acton that results in impositon of a fne or penalty by any Governmental Authority in excess of one million Dollars ($1,000,000).</w:t>
      </w:r>
    </w:p>
    <w:p>
      <w:pPr>
        <w:spacing w:after="0" w:line="163"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8.1.7 </w:t>
      </w:r>
      <w:r>
        <w:rPr>
          <w:rFonts w:ascii="Calibri" w:cs="Calibri" w:eastAsia="Calibri" w:hAnsi="Calibri"/>
          <w:sz w:val="20"/>
          <w:szCs w:val="20"/>
          <w:b w:val="1"/>
          <w:bCs w:val="1"/>
          <w:color w:val="auto"/>
        </w:rPr>
        <w:t>Telecommunicaton and Video Surveillance.</w:t>
      </w:r>
      <w:r>
        <w:rPr>
          <w:rFonts w:ascii="Calibri" w:cs="Calibri" w:eastAsia="Calibri" w:hAnsi="Calibri"/>
          <w:sz w:val="20"/>
          <w:szCs w:val="20"/>
          <w:color w:val="auto"/>
        </w:rPr>
        <w:t xml:space="preserve"> The Recipient shall not, and shall cause any contractors or subrecipients of proceeds of the Award not to, obligate or expend any proceeds of the Award to procure or obtain, or extend or renew a contract to procure or obtain, covered telecommunicaton and video surveillance services or equipment as described in Secton 889 of the Natonal Defense Authorizaton Act of 2019 (Pub. L. No. 115- 232).</w:t>
      </w:r>
    </w:p>
    <w:p>
      <w:pPr>
        <w:spacing w:after="0" w:line="160"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8.1.8 </w:t>
      </w:r>
      <w:r>
        <w:rPr>
          <w:rFonts w:ascii="Calibri" w:cs="Calibri" w:eastAsia="Calibri" w:hAnsi="Calibri"/>
          <w:sz w:val="20"/>
          <w:szCs w:val="20"/>
          <w:b w:val="1"/>
          <w:bCs w:val="1"/>
          <w:color w:val="auto"/>
        </w:rPr>
        <w:t>No Subawards.</w:t>
      </w:r>
      <w:r>
        <w:rPr>
          <w:rFonts w:ascii="Calibri" w:cs="Calibri" w:eastAsia="Calibri" w:hAnsi="Calibri"/>
          <w:sz w:val="20"/>
          <w:szCs w:val="20"/>
          <w:color w:val="auto"/>
        </w:rPr>
        <w:t xml:space="preserve"> The Recipient shall not enter into any constructon Subawards for any part of the Direct Funding Award to any agency or employee of the Department or to any other federal employee, department, agency, or instrumentality, without the Department’s prior writen consent.</w:t>
      </w:r>
    </w:p>
    <w:p>
      <w:pPr>
        <w:spacing w:after="0" w:line="149" w:lineRule="exact"/>
        <w:rPr>
          <w:sz w:val="20"/>
          <w:szCs w:val="20"/>
          <w:color w:val="auto"/>
        </w:rPr>
      </w:pPr>
    </w:p>
    <w:p>
      <w:pPr>
        <w:ind w:left="660"/>
        <w:spacing w:after="0"/>
        <w:tabs>
          <w:tab w:leader="none" w:pos="1980" w:val="left"/>
        </w:tabs>
        <w:rPr>
          <w:sz w:val="20"/>
          <w:szCs w:val="20"/>
          <w:color w:val="auto"/>
        </w:rPr>
      </w:pPr>
      <w:r>
        <w:rPr>
          <w:rFonts w:ascii="Calibri" w:cs="Calibri" w:eastAsia="Calibri" w:hAnsi="Calibri"/>
          <w:sz w:val="20"/>
          <w:szCs w:val="20"/>
          <w:color w:val="auto"/>
        </w:rPr>
        <w:t>Secton 8.2.</w:t>
      </w:r>
      <w:r>
        <w:rPr>
          <w:sz w:val="20"/>
          <w:szCs w:val="20"/>
          <w:color w:val="auto"/>
        </w:rPr>
        <w:tab/>
      </w:r>
      <w:r>
        <w:rPr>
          <w:rFonts w:ascii="Calibri" w:cs="Calibri" w:eastAsia="Calibri" w:hAnsi="Calibri"/>
          <w:sz w:val="20"/>
          <w:szCs w:val="20"/>
          <w:b w:val="1"/>
          <w:bCs w:val="1"/>
          <w:color w:val="auto"/>
        </w:rPr>
        <w:t>Negatve Covenants during the Upside Sharing Term</w:t>
      </w:r>
      <w:r>
        <w:rPr>
          <w:rFonts w:ascii="Calibri" w:cs="Calibri" w:eastAsia="Calibri" w:hAnsi="Calibri"/>
          <w:sz w:val="20"/>
          <w:szCs w:val="20"/>
          <w:color w:val="auto"/>
        </w:rPr>
        <w:t>. The Recipient covenants and agrees that during the</w:t>
      </w:r>
    </w:p>
    <w:p>
      <w:pPr>
        <w:spacing w:after="0" w:line="199" w:lineRule="auto"/>
        <w:rPr>
          <w:sz w:val="20"/>
          <w:szCs w:val="20"/>
          <w:color w:val="auto"/>
        </w:rPr>
      </w:pPr>
      <w:r>
        <w:rPr>
          <w:rFonts w:ascii="Calibri" w:cs="Calibri" w:eastAsia="Calibri" w:hAnsi="Calibri"/>
          <w:sz w:val="20"/>
          <w:szCs w:val="20"/>
          <w:color w:val="auto"/>
        </w:rPr>
        <w:t>Upside Sharing Term, unless the Department waives compliance in writng:</w:t>
      </w:r>
    </w:p>
    <w:p>
      <w:pPr>
        <w:spacing w:after="0" w:line="157"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8.2.1 </w:t>
      </w:r>
      <w:r>
        <w:rPr>
          <w:rFonts w:ascii="Calibri" w:cs="Calibri" w:eastAsia="Calibri" w:hAnsi="Calibri"/>
          <w:sz w:val="20"/>
          <w:szCs w:val="20"/>
          <w:b w:val="1"/>
          <w:bCs w:val="1"/>
          <w:color w:val="auto"/>
        </w:rPr>
        <w:t>Accountng Policies; Corporate Form.</w:t>
      </w:r>
      <w:r>
        <w:rPr>
          <w:rFonts w:ascii="Calibri" w:cs="Calibri" w:eastAsia="Calibri" w:hAnsi="Calibri"/>
          <w:sz w:val="20"/>
          <w:szCs w:val="20"/>
          <w:color w:val="auto"/>
        </w:rPr>
        <w:t xml:space="preserve"> Unless otherwise required by GAAP, the Recipient shall not amend or modify its accountng policies, reportng practces, or corporate form if such change would reasonably be expected to have a Material Adverse Efect on the Department’s rights to receive the Upside Sharing Amount or any porton thereof.</w:t>
      </w:r>
    </w:p>
    <w:p>
      <w:pPr>
        <w:spacing w:after="0" w:line="16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9</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EVENTS OF DEFAULT; REMEDIES</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 xml:space="preserve"> The occurrence of any of the following events described in this 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 shall consttute an Event of Default. For the avoidance of doubt, each clause of this Secton 9.1 (</w:t>
      </w:r>
      <w:r>
        <w:rPr>
          <w:rFonts w:ascii="Calibri" w:cs="Calibri" w:eastAsia="Calibri" w:hAnsi="Calibri"/>
          <w:sz w:val="20"/>
          <w:szCs w:val="20"/>
          <w:b w:val="1"/>
          <w:bCs w:val="1"/>
          <w:color w:val="auto"/>
        </w:rPr>
        <w:t>Events of Default</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shall operate independently, and the occurrence of any such event shall consttute an Event of Default.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9.1.1</w:t>
      </w:r>
      <w:r>
        <w:rPr>
          <w:sz w:val="20"/>
          <w:szCs w:val="20"/>
          <w:color w:val="auto"/>
        </w:rPr>
        <w:tab/>
      </w:r>
      <w:r>
        <w:rPr>
          <w:rFonts w:ascii="Calibri" w:cs="Calibri" w:eastAsia="Calibri" w:hAnsi="Calibri"/>
          <w:sz w:val="20"/>
          <w:szCs w:val="20"/>
          <w:b w:val="1"/>
          <w:bCs w:val="1"/>
          <w:color w:val="auto"/>
        </w:rPr>
        <w:t>Clawback Events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1240"/>
          </w:cols>
          <w:pgMar w:left="320" w:top="1384" w:right="339" w:bottom="1440" w:gutter="0" w:footer="0" w:header="0"/>
        </w:sectPr>
      </w:pPr>
    </w:p>
    <w:bookmarkStart w:id="469" w:name="page470"/>
    <w:bookmarkEnd w:id="469"/>
    <w:p>
      <w:pPr>
        <w:ind w:right="20" w:firstLine="1952"/>
        <w:spacing w:after="0" w:line="214" w:lineRule="auto"/>
        <w:tabs>
          <w:tab w:leader="none" w:pos="2596"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Project Completon Clawback Event </w:t>
      </w:r>
      <w:r>
        <w:rPr>
          <w:rFonts w:ascii="Calibri" w:cs="Calibri" w:eastAsia="Calibri" w:hAnsi="Calibri"/>
          <w:sz w:val="20"/>
          <w:szCs w:val="20"/>
          <w:color w:val="auto"/>
        </w:rPr>
        <w:t>. The Project Completon Date for any Project shall not have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occurred by the applicable Project Completon Clawback Date.</w:t>
      </w:r>
    </w:p>
    <w:p>
      <w:pPr>
        <w:spacing w:after="0" w:line="158"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Technology Clawback Event </w:t>
      </w:r>
      <w:r>
        <w:rPr>
          <w:rFonts w:ascii="Calibri" w:cs="Calibri" w:eastAsia="Calibri" w:hAnsi="Calibri"/>
          <w:sz w:val="20"/>
          <w:szCs w:val="20"/>
          <w:color w:val="auto"/>
        </w:rPr>
        <w:t>. During the Technology Clawback Term for any Project, the Recipient or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Related Entty engages in any Joint Research or Technology Licensing actvity with any Foreign Entty of Concern in violaton of the Guardrail Provisions.</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Expansion Clawback Event </w:t>
      </w:r>
      <w:r>
        <w:rPr>
          <w:rFonts w:ascii="Calibri" w:cs="Calibri" w:eastAsia="Calibri" w:hAnsi="Calibri"/>
          <w:sz w:val="20"/>
          <w:szCs w:val="20"/>
          <w:color w:val="auto"/>
        </w:rPr>
        <w:t>. During the Expansion Clawback Term, the Recipient or any Member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Afliated Group engages in any Signifcant Transacton involving the Material Expansion of Semiconductor Manufacturing Capacity in any Foreign Country of Concern in violaton of the Guardrail Provisions.</w:t>
      </w:r>
    </w:p>
    <w:p>
      <w:pPr>
        <w:spacing w:after="0" w:line="157"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Authorized Purpose Clawback Event . </w:t>
      </w:r>
      <w:r>
        <w:rPr>
          <w:rFonts w:ascii="Calibri" w:cs="Calibri" w:eastAsia="Calibri" w:hAnsi="Calibri"/>
          <w:sz w:val="20"/>
          <w:szCs w:val="20"/>
          <w:color w:val="auto"/>
        </w:rPr>
        <w:t>The occurrence of an Event of Default under Secton 9.1.3 (</w:t>
      </w:r>
      <w:r>
        <w:rPr>
          <w:rFonts w:ascii="Calibri" w:cs="Calibri" w:eastAsia="Calibri" w:hAnsi="Calibri"/>
          <w:sz w:val="20"/>
          <w:szCs w:val="20"/>
          <w:b w:val="1"/>
          <w:bCs w:val="1"/>
          <w:color w:val="auto"/>
        </w:rPr>
        <w:t>Other Breaches Under Financing Documents</w:t>
      </w:r>
      <w:r>
        <w:rPr>
          <w:rFonts w:ascii="Calibri" w:cs="Calibri" w:eastAsia="Calibri" w:hAnsi="Calibri"/>
          <w:sz w:val="20"/>
          <w:szCs w:val="20"/>
          <w:color w:val="auto"/>
        </w:rPr>
        <w:t>) with respect to Secton 7.2.15 (</w:t>
      </w:r>
      <w:r>
        <w:rPr>
          <w:rFonts w:ascii="Calibri" w:cs="Calibri" w:eastAsia="Calibri" w:hAnsi="Calibri"/>
          <w:sz w:val="20"/>
          <w:szCs w:val="20"/>
          <w:b w:val="1"/>
          <w:bCs w:val="1"/>
          <w:color w:val="auto"/>
        </w:rPr>
        <w:t>Authorized Purpose of the Project</w:t>
      </w:r>
      <w:r>
        <w:rPr>
          <w:rFonts w:ascii="Calibri" w:cs="Calibri" w:eastAsia="Calibri" w:hAnsi="Calibri"/>
          <w:sz w:val="20"/>
          <w:szCs w:val="20"/>
          <w:color w:val="auto"/>
        </w:rPr>
        <w:t>).</w:t>
      </w:r>
    </w:p>
    <w:p>
      <w:pPr>
        <w:spacing w:after="0" w:line="158" w:lineRule="exact"/>
        <w:rPr>
          <w:rFonts w:ascii="Calibri" w:cs="Calibri" w:eastAsia="Calibri" w:hAnsi="Calibri"/>
          <w:sz w:val="20"/>
          <w:szCs w:val="20"/>
          <w:color w:val="auto"/>
        </w:rPr>
      </w:pPr>
    </w:p>
    <w:p>
      <w:pPr>
        <w:ind w:firstLine="1952"/>
        <w:spacing w:after="0" w:line="214" w:lineRule="auto"/>
        <w:tabs>
          <w:tab w:leader="none" w:pos="2586"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Property Dispositon Clawback Event . </w:t>
      </w:r>
      <w:r>
        <w:rPr>
          <w:rFonts w:ascii="Calibri" w:cs="Calibri" w:eastAsia="Calibri" w:hAnsi="Calibri"/>
          <w:sz w:val="20"/>
          <w:szCs w:val="20"/>
          <w:color w:val="auto"/>
        </w:rPr>
        <w:t>Any Dispositon in breach of Secton 8.1.5(c) (</w:t>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w:t>
      </w:r>
    </w:p>
    <w:p>
      <w:pPr>
        <w:spacing w:after="0" w:line="158" w:lineRule="exact"/>
        <w:rPr>
          <w:rFonts w:ascii="Calibri" w:cs="Calibri" w:eastAsia="Calibri" w:hAnsi="Calibri"/>
          <w:sz w:val="20"/>
          <w:szCs w:val="20"/>
          <w:color w:val="auto"/>
        </w:rPr>
      </w:pPr>
    </w:p>
    <w:p>
      <w:pPr>
        <w:ind w:right="20" w:firstLine="1952"/>
        <w:spacing w:after="0" w:line="214" w:lineRule="auto"/>
        <w:tabs>
          <w:tab w:leader="none" w:pos="2590" w:val="left"/>
        </w:tabs>
        <w:numPr>
          <w:ilvl w:val="0"/>
          <w:numId w:val="579"/>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NY Fab 2 Project Clawback Event . </w:t>
      </w:r>
      <w:r>
        <w:rPr>
          <w:rFonts w:ascii="Calibri" w:cs="Calibri" w:eastAsia="Calibri" w:hAnsi="Calibri"/>
          <w:sz w:val="20"/>
          <w:szCs w:val="20"/>
          <w:color w:val="auto"/>
        </w:rPr>
        <w:t>The failure of the Recipient to achieve the [***] at the NY Fab 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Project Facility by [***] for the NY Fab 2 Project.</w:t>
      </w:r>
    </w:p>
    <w:p>
      <w:pPr>
        <w:spacing w:after="0" w:line="159"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9.1.2 </w:t>
      </w:r>
      <w:r>
        <w:rPr>
          <w:rFonts w:ascii="Calibri" w:cs="Calibri" w:eastAsia="Calibri" w:hAnsi="Calibri"/>
          <w:sz w:val="20"/>
          <w:szCs w:val="20"/>
          <w:b w:val="1"/>
          <w:bCs w:val="1"/>
          <w:color w:val="auto"/>
        </w:rPr>
        <w:t>Payment Defaults.</w:t>
      </w:r>
      <w:r>
        <w:rPr>
          <w:rFonts w:ascii="Calibri" w:cs="Calibri" w:eastAsia="Calibri" w:hAnsi="Calibri"/>
          <w:sz w:val="20"/>
          <w:szCs w:val="20"/>
          <w:color w:val="auto"/>
        </w:rPr>
        <w:t xml:space="preserve"> Any Recipient Party fails to pay, in accordance with the terms of any Financing Document, any fee, charge or any other amount due under any Financing Document on or before the date such amount is due and such failure to pay shall contnue unremedied for a period of (a) in the case of any payment of the Upside Sharing Amount, forty-fve (45) days afer the date on which such Upside Sharing Amount was due; and (b) in the case of any other payment, thirty (30) days afer the date on which such amount was due.</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9.1.3</w:t>
      </w:r>
      <w:r>
        <w:rPr>
          <w:sz w:val="20"/>
          <w:szCs w:val="20"/>
          <w:color w:val="auto"/>
        </w:rPr>
        <w:tab/>
      </w:r>
      <w:r>
        <w:rPr>
          <w:rFonts w:ascii="Calibri" w:cs="Calibri" w:eastAsia="Calibri" w:hAnsi="Calibri"/>
          <w:sz w:val="20"/>
          <w:szCs w:val="20"/>
          <w:b w:val="1"/>
          <w:bCs w:val="1"/>
          <w:color w:val="auto"/>
        </w:rPr>
        <w:t>Other Breaches Under Financing Documents.</w:t>
      </w:r>
    </w:p>
    <w:p>
      <w:pPr>
        <w:spacing w:after="0" w:line="157" w:lineRule="exact"/>
        <w:rPr>
          <w:sz w:val="20"/>
          <w:szCs w:val="20"/>
          <w:color w:val="auto"/>
        </w:rPr>
      </w:pPr>
    </w:p>
    <w:p>
      <w:pPr>
        <w:jc w:val="both"/>
        <w:ind w:right="20" w:firstLine="1952"/>
        <w:spacing w:after="0" w:line="209" w:lineRule="auto"/>
        <w:tabs>
          <w:tab w:leader="none" w:pos="2596" w:val="left"/>
        </w:tabs>
        <w:numPr>
          <w:ilvl w:val="0"/>
          <w:numId w:val="580"/>
        </w:numPr>
        <w:rPr>
          <w:rFonts w:ascii="Calibri" w:cs="Calibri" w:eastAsia="Calibri" w:hAnsi="Calibri"/>
          <w:sz w:val="20"/>
          <w:szCs w:val="20"/>
          <w:color w:val="auto"/>
        </w:rPr>
      </w:pPr>
      <w:r>
        <w:rPr>
          <w:rFonts w:ascii="Calibri" w:cs="Calibri" w:eastAsia="Calibri" w:hAnsi="Calibri"/>
          <w:sz w:val="20"/>
          <w:szCs w:val="20"/>
          <w:color w:val="auto"/>
        </w:rPr>
        <w:t>The Recipient fails to perform or observe any covenant, term or obligaton described in any provision of Secton 7.2.9 (</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Secton 7.2.13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 Artcle 8 (</w:t>
      </w:r>
      <w:r>
        <w:rPr>
          <w:rFonts w:ascii="Calibri" w:cs="Calibri" w:eastAsia="Calibri" w:hAnsi="Calibri"/>
          <w:sz w:val="20"/>
          <w:szCs w:val="20"/>
          <w:b w:val="1"/>
          <w:bCs w:val="1"/>
          <w:color w:val="auto"/>
        </w:rPr>
        <w:t>Negatve Covenants</w:t>
      </w:r>
      <w:r>
        <w:rPr>
          <w:rFonts w:ascii="Calibri" w:cs="Calibri" w:eastAsia="Calibri" w:hAnsi="Calibri"/>
          <w:sz w:val="20"/>
          <w:szCs w:val="20"/>
          <w:color w:val="auto"/>
        </w:rPr>
        <w:t>), or Secton 2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58"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580"/>
        </w:numPr>
        <w:rPr>
          <w:rFonts w:ascii="Calibri" w:cs="Calibri" w:eastAsia="Calibri" w:hAnsi="Calibri"/>
          <w:sz w:val="20"/>
          <w:szCs w:val="20"/>
          <w:color w:val="auto"/>
        </w:rPr>
      </w:pPr>
      <w:r>
        <w:rPr>
          <w:rFonts w:ascii="Calibri" w:cs="Calibri" w:eastAsia="Calibri" w:hAnsi="Calibri"/>
          <w:sz w:val="20"/>
          <w:szCs w:val="20"/>
          <w:color w:val="auto"/>
        </w:rPr>
        <w:t>The Recipient fails to perform or observe any covenant, term or obligaton described in any provision of Secton 3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subject to the cure period set forth in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58"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580"/>
        </w:numPr>
        <w:rPr>
          <w:rFonts w:ascii="Calibri" w:cs="Calibri" w:eastAsia="Calibri" w:hAnsi="Calibri"/>
          <w:sz w:val="20"/>
          <w:szCs w:val="20"/>
          <w:color w:val="auto"/>
        </w:rPr>
      </w:pPr>
      <w:r>
        <w:rPr>
          <w:rFonts w:ascii="Calibri" w:cs="Calibri" w:eastAsia="Calibri" w:hAnsi="Calibri"/>
          <w:sz w:val="20"/>
          <w:szCs w:val="20"/>
          <w:color w:val="auto"/>
        </w:rPr>
        <w:t>Any Recipient Party fails to perform or observe any covenant, term or obligaton under this Agreement or any other Financing Document to which it is a party (other than any covenant, term or obligaton (i) expressly referred to in another provision of this Secton 9.1.3 (</w:t>
      </w:r>
      <w:r>
        <w:rPr>
          <w:rFonts w:ascii="Calibri" w:cs="Calibri" w:eastAsia="Calibri" w:hAnsi="Calibri"/>
          <w:sz w:val="20"/>
          <w:szCs w:val="20"/>
          <w:b w:val="1"/>
          <w:bCs w:val="1"/>
          <w:color w:val="auto"/>
        </w:rPr>
        <w:t>Other Breaches Under Financing Documents</w:t>
      </w:r>
      <w:r>
        <w:rPr>
          <w:rFonts w:ascii="Calibri" w:cs="Calibri" w:eastAsia="Calibri" w:hAnsi="Calibri"/>
          <w:sz w:val="20"/>
          <w:szCs w:val="20"/>
          <w:color w:val="auto"/>
        </w:rPr>
        <w:t>); and (ii) included in Annex G (</w:t>
      </w:r>
      <w:r>
        <w:rPr>
          <w:rFonts w:ascii="Calibri" w:cs="Calibri" w:eastAsia="Calibri" w:hAnsi="Calibri"/>
          <w:sz w:val="20"/>
          <w:szCs w:val="20"/>
          <w:b w:val="1"/>
          <w:bCs w:val="1"/>
          <w:color w:val="auto"/>
        </w:rPr>
        <w:t>Direct Funding for Workforce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Actvites</w:t>
      </w:r>
      <w:r>
        <w:rPr>
          <w:rFonts w:ascii="Calibri" w:cs="Calibri" w:eastAsia="Calibri" w:hAnsi="Calibri"/>
          <w:sz w:val="20"/>
          <w:szCs w:val="20"/>
          <w:color w:val="auto"/>
        </w:rPr>
        <w:t>), unless, such failure (A) would not reasonably be expected to have a Material Adverse Efect; and (B) if capable of being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remedied, has been remedied (as determined by the Department based on evidence in form and substance satsfactory to it) within (x) the relevant cure period, if any, specifed for such term, covenant or agreement (as applicable) in such Financing Document; or (y) if no cure period is specifed therein, thirty (30) days following such failure.</w:t>
      </w:r>
    </w:p>
    <w:p>
      <w:pPr>
        <w:spacing w:after="0" w:line="163"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9.1.4 </w:t>
      </w:r>
      <w:r>
        <w:rPr>
          <w:rFonts w:ascii="Calibri" w:cs="Calibri" w:eastAsia="Calibri" w:hAnsi="Calibri"/>
          <w:sz w:val="20"/>
          <w:szCs w:val="20"/>
          <w:b w:val="1"/>
          <w:bCs w:val="1"/>
          <w:color w:val="auto"/>
        </w:rPr>
        <w:t>Cross Default</w:t>
      </w:r>
      <w:r>
        <w:rPr>
          <w:rFonts w:ascii="Calibri" w:cs="Calibri" w:eastAsia="Calibri" w:hAnsi="Calibri"/>
          <w:sz w:val="20"/>
          <w:szCs w:val="20"/>
          <w:color w:val="auto"/>
        </w:rPr>
        <w:t>. At any tme during the Period of Performance, any Recipient Party shall default in the payment of any principal, interest or other amount due under any agreement or instrument evidencing, or under which such Recipient Party has outstanding at any tme, any Indebtedness for Borrowed Money in an aggregate amount in excess of one hundred million Dollars ($100,000,000) (in respect of each of the Sponsor Guarantor and the Recipient), in each case, for a period beyond any applicable grace period, or any other default occurs under any such agreement or instrument, if the efect of such default is to accelerate, or to permit the acceleraton of, such Indebtedness for Borrowed Money in an aggregate amount in excess of one hundred million Dollars ($100,000,000) (in respect of each of the Sponsor Guarantor and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28</w:t>
      </w:r>
    </w:p>
    <w:p>
      <w:pPr>
        <w:sectPr>
          <w:pgSz w:w="11900" w:h="16838" w:orient="portrait"/>
          <w:cols w:equalWidth="0" w:num="1">
            <w:col w:w="11240"/>
          </w:cols>
          <w:pgMar w:left="320" w:top="1384" w:right="339" w:bottom="1440" w:gutter="0" w:footer="0" w:header="0"/>
        </w:sectPr>
      </w:pPr>
    </w:p>
    <w:bookmarkStart w:id="470" w:name="page471"/>
    <w:bookmarkEnd w:id="470"/>
    <w:p>
      <w:pPr>
        <w:ind w:left="1300"/>
        <w:spacing w:after="0"/>
        <w:tabs>
          <w:tab w:leader="none" w:pos="1940" w:val="left"/>
        </w:tabs>
        <w:rPr>
          <w:sz w:val="20"/>
          <w:szCs w:val="20"/>
          <w:color w:val="auto"/>
        </w:rPr>
      </w:pPr>
      <w:r>
        <w:rPr>
          <w:rFonts w:ascii="Calibri" w:cs="Calibri" w:eastAsia="Calibri" w:hAnsi="Calibri"/>
          <w:sz w:val="20"/>
          <w:szCs w:val="20"/>
          <w:color w:val="auto"/>
        </w:rPr>
        <w:t>9.1.5</w:t>
      </w:r>
      <w:r>
        <w:rPr>
          <w:sz w:val="20"/>
          <w:szCs w:val="20"/>
          <w:color w:val="auto"/>
        </w:rPr>
        <w:tab/>
      </w:r>
      <w:r>
        <w:rPr>
          <w:rFonts w:ascii="Calibri" w:cs="Calibri" w:eastAsia="Calibri" w:hAnsi="Calibri"/>
          <w:sz w:val="20"/>
          <w:szCs w:val="20"/>
          <w:b w:val="1"/>
          <w:bCs w:val="1"/>
          <w:color w:val="auto"/>
        </w:rPr>
        <w:t>Unenforceability, Terminaton, Repudiaton or Transfer of Any Financing Document</w:t>
      </w:r>
      <w:r>
        <w:rPr>
          <w:rFonts w:ascii="Calibri" w:cs="Calibri" w:eastAsia="Calibri" w:hAnsi="Calibri"/>
          <w:sz w:val="20"/>
          <w:szCs w:val="20"/>
          <w:color w:val="auto"/>
        </w:rPr>
        <w:t>. Prior to the date which is</w:t>
      </w:r>
    </w:p>
    <w:p>
      <w:pPr>
        <w:jc w:val="both"/>
        <w:spacing w:after="0" w:line="195" w:lineRule="auto"/>
        <w:rPr>
          <w:sz w:val="20"/>
          <w:szCs w:val="20"/>
          <w:color w:val="auto"/>
        </w:rPr>
      </w:pPr>
      <w:r>
        <w:rPr>
          <w:rFonts w:ascii="Calibri" w:cs="Calibri" w:eastAsia="Calibri" w:hAnsi="Calibri"/>
          <w:sz w:val="20"/>
          <w:szCs w:val="20"/>
          <w:color w:val="auto"/>
        </w:rPr>
        <w:t>the tenth (10th) anniversary from the Award Date, any Financing Document at any tme and for any reason: (a) is or becomes invalid, illegal, void or unenforceable or any Recipient Party thereto has repudiated or disavowed or taken any acton to challenge the validity or enforceability of such agreement; (b) except as otherwise expressly permited hereunder, ceases to be in full force and efect except at the stated terminaton date thereof, or shall be assigned or otherwise transferred terminated by any Recipient Party thereto during the Upside Sharing Term (other than with the prior writen consent of the Department); or (c) is suspended, revoked or terminated (other than upon expiraton in accordance with its terms when fully performed), or any Recipient Party thereto has given irrevocable notce of its intenton to terminate.</w:t>
      </w:r>
    </w:p>
    <w:p>
      <w:pPr>
        <w:spacing w:after="0" w:line="159" w:lineRule="exact"/>
        <w:rPr>
          <w:sz w:val="20"/>
          <w:szCs w:val="20"/>
          <w:color w:val="auto"/>
        </w:rPr>
      </w:pPr>
    </w:p>
    <w:p>
      <w:pPr>
        <w:jc w:val="both"/>
        <w:ind w:firstLine="1296"/>
        <w:spacing w:after="0" w:line="198" w:lineRule="auto"/>
        <w:rPr>
          <w:sz w:val="20"/>
          <w:szCs w:val="20"/>
          <w:color w:val="auto"/>
        </w:rPr>
      </w:pPr>
      <w:r>
        <w:rPr>
          <w:rFonts w:ascii="Calibri" w:cs="Calibri" w:eastAsia="Calibri" w:hAnsi="Calibri"/>
          <w:sz w:val="20"/>
          <w:szCs w:val="20"/>
          <w:color w:val="auto"/>
        </w:rPr>
        <w:t xml:space="preserve">9.1.6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xml:space="preserve"> At any tme during the Period of Performance (a) the Recipient or any other Recipient Party fails to obtain, renew, maintain or comply in all material respects with any Required Approval; (b) any such Required Approval is rescinded, terminated (other than in accordance with its terms), suspended, withdrawn or withheld, is determined to be invalid or ceases to be in full force and efect (other than as a result of the terminaton of such Required Approval in accordance with its terms); (c) any such Required Approval is modifed in a manner that materially adversely impacts the Recipient or any Project; or (d) any notce shall be issued or any proceedings shall be commenced by or before any Governmental Authority for the purpose of rescinding, terminatng, suspending, modifying, withdrawing or withholding any such Required Approval and such proceedings have not been stayed, withdrawn or suspended within thirty (30) days, unless, in the case of clauses (a)-(c), such failure has been remedied (as determined by the Department based on evidence in form and substance satsfactory to it) thirty (30) days following such failure.</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9.1.7</w:t>
      </w:r>
      <w:r>
        <w:rPr>
          <w:sz w:val="20"/>
          <w:szCs w:val="20"/>
          <w:color w:val="auto"/>
        </w:rPr>
        <w:tab/>
      </w:r>
      <w:r>
        <w:rPr>
          <w:rFonts w:ascii="Calibri" w:cs="Calibri" w:eastAsia="Calibri" w:hAnsi="Calibri"/>
          <w:sz w:val="20"/>
          <w:szCs w:val="20"/>
          <w:b w:val="1"/>
          <w:bCs w:val="1"/>
          <w:color w:val="auto"/>
        </w:rPr>
        <w:t xml:space="preserve">Bankruptcy; Insolvency; Dissoluton. </w:t>
      </w:r>
      <w:r>
        <w:rPr>
          <w:rFonts w:ascii="Calibri" w:cs="Calibri" w:eastAsia="Calibri" w:hAnsi="Calibri"/>
          <w:sz w:val="20"/>
          <w:szCs w:val="20"/>
          <w:color w:val="auto"/>
        </w:rPr>
        <w:t>Prior to the date which is the tenth (10th) anniversary from the Award</w:t>
      </w:r>
    </w:p>
    <w:p>
      <w:pPr>
        <w:spacing w:after="0" w:line="199" w:lineRule="auto"/>
        <w:rPr>
          <w:sz w:val="20"/>
          <w:szCs w:val="20"/>
          <w:color w:val="auto"/>
        </w:rPr>
      </w:pPr>
      <w:r>
        <w:rPr>
          <w:rFonts w:ascii="Calibri" w:cs="Calibri" w:eastAsia="Calibri" w:hAnsi="Calibri"/>
          <w:sz w:val="20"/>
          <w:szCs w:val="20"/>
          <w:color w:val="auto"/>
        </w:rPr>
        <w:t>Date:</w:t>
      </w:r>
    </w:p>
    <w:p>
      <w:pPr>
        <w:spacing w:after="0" w:line="157" w:lineRule="exact"/>
        <w:rPr>
          <w:sz w:val="20"/>
          <w:szCs w:val="20"/>
          <w:color w:val="auto"/>
        </w:rPr>
      </w:pPr>
    </w:p>
    <w:p>
      <w:pPr>
        <w:ind w:right="20" w:firstLine="1952"/>
        <w:spacing w:after="0" w:line="214" w:lineRule="auto"/>
        <w:tabs>
          <w:tab w:leader="none" w:pos="2596" w:val="left"/>
        </w:tabs>
        <w:numPr>
          <w:ilvl w:val="0"/>
          <w:numId w:val="581"/>
        </w:numPr>
        <w:rPr>
          <w:rFonts w:ascii="Calibri" w:cs="Calibri" w:eastAsia="Calibri" w:hAnsi="Calibri"/>
          <w:sz w:val="20"/>
          <w:szCs w:val="20"/>
          <w:color w:val="auto"/>
        </w:rPr>
      </w:pPr>
      <w:r>
        <w:rPr>
          <w:rFonts w:ascii="Calibri" w:cs="Calibri" w:eastAsia="Calibri" w:hAnsi="Calibri"/>
          <w:sz w:val="20"/>
          <w:szCs w:val="20"/>
          <w:color w:val="auto"/>
        </w:rPr>
        <w:t>the commencement of any Insolvency Proceeding against any Recipient Party, and such proceeding remains unstayed and in efect for a period of at least sixty (60) days;</w:t>
      </w:r>
    </w:p>
    <w:p>
      <w:pPr>
        <w:spacing w:after="0" w:line="158"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81"/>
        </w:numPr>
        <w:rPr>
          <w:rFonts w:ascii="Calibri" w:cs="Calibri" w:eastAsia="Calibri" w:hAnsi="Calibri"/>
          <w:sz w:val="20"/>
          <w:szCs w:val="20"/>
          <w:color w:val="auto"/>
        </w:rPr>
      </w:pPr>
      <w:r>
        <w:rPr>
          <w:rFonts w:ascii="Calibri" w:cs="Calibri" w:eastAsia="Calibri" w:hAnsi="Calibri"/>
          <w:sz w:val="20"/>
          <w:szCs w:val="20"/>
          <w:color w:val="auto"/>
        </w:rPr>
        <w:t>the insttuton by any Recipient Party of any Insolvency Proceeding, or the admission by it in writng of its inability to pay its Indebtedness generally as it becomes due or its general failure to pay its Indebtedness as it becomes due, or any other event has occurred that under any Applicable Law would have an efect analogous to any of those events listed above, or any acton is taken by any such Recipient Party for the purpose of efectng any of the foregoing; or</w:t>
      </w:r>
    </w:p>
    <w:p>
      <w:pPr>
        <w:spacing w:after="0" w:line="163" w:lineRule="exact"/>
        <w:rPr>
          <w:rFonts w:ascii="Calibri" w:cs="Calibri" w:eastAsia="Calibri" w:hAnsi="Calibri"/>
          <w:sz w:val="20"/>
          <w:szCs w:val="20"/>
          <w:color w:val="auto"/>
        </w:rPr>
      </w:pPr>
    </w:p>
    <w:p>
      <w:pPr>
        <w:ind w:left="2600" w:hanging="648"/>
        <w:spacing w:after="0"/>
        <w:tabs>
          <w:tab w:leader="none" w:pos="2600" w:val="left"/>
        </w:tabs>
        <w:numPr>
          <w:ilvl w:val="0"/>
          <w:numId w:val="581"/>
        </w:numPr>
        <w:rPr>
          <w:rFonts w:ascii="Calibri" w:cs="Calibri" w:eastAsia="Calibri" w:hAnsi="Calibri"/>
          <w:sz w:val="20"/>
          <w:szCs w:val="20"/>
          <w:color w:val="auto"/>
        </w:rPr>
      </w:pPr>
      <w:r>
        <w:rPr>
          <w:rFonts w:ascii="Calibri" w:cs="Calibri" w:eastAsia="Calibri" w:hAnsi="Calibri"/>
          <w:sz w:val="20"/>
          <w:szCs w:val="20"/>
          <w:color w:val="auto"/>
        </w:rPr>
        <w:t>the dissoluton of any Recipient Party.</w:t>
      </w:r>
    </w:p>
    <w:p>
      <w:pPr>
        <w:spacing w:after="0" w:line="157"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9.1.8 </w:t>
      </w:r>
      <w:r>
        <w:rPr>
          <w:rFonts w:ascii="Calibri" w:cs="Calibri" w:eastAsia="Calibri" w:hAnsi="Calibri"/>
          <w:sz w:val="20"/>
          <w:szCs w:val="20"/>
          <w:b w:val="1"/>
          <w:bCs w:val="1"/>
          <w:color w:val="auto"/>
        </w:rPr>
        <w:t>Atachment</w:t>
      </w:r>
      <w:r>
        <w:rPr>
          <w:rFonts w:ascii="Calibri" w:cs="Calibri" w:eastAsia="Calibri" w:hAnsi="Calibri"/>
          <w:sz w:val="20"/>
          <w:szCs w:val="20"/>
          <w:color w:val="auto"/>
        </w:rPr>
        <w:t>. At any tme during the Period of Performance, an atachment or analogous process is levied or enforced upon or issued against any of the assets of any Project in excess of one hundred million Dollars ($100,000,000) or against any of the assets of the Sponsor Guarantor in excess of one hundred million Dollars ($100,000,000), or which, in any case, would reasonably be expected to have a Material Adverse Efect.</w:t>
      </w:r>
    </w:p>
    <w:p>
      <w:pPr>
        <w:spacing w:after="0" w:line="160" w:lineRule="exact"/>
        <w:rPr>
          <w:sz w:val="20"/>
          <w:szCs w:val="20"/>
          <w:color w:val="auto"/>
        </w:rPr>
      </w:pPr>
    </w:p>
    <w:p>
      <w:pPr>
        <w:jc w:val="both"/>
        <w:ind w:firstLine="1296"/>
        <w:spacing w:after="0" w:line="224" w:lineRule="auto"/>
        <w:rPr>
          <w:sz w:val="20"/>
          <w:szCs w:val="20"/>
          <w:color w:val="auto"/>
        </w:rPr>
      </w:pPr>
      <w:r>
        <w:rPr>
          <w:rFonts w:ascii="Calibri" w:cs="Calibri" w:eastAsia="Calibri" w:hAnsi="Calibri"/>
          <w:sz w:val="20"/>
          <w:szCs w:val="20"/>
          <w:color w:val="auto"/>
        </w:rPr>
        <w:t xml:space="preserve">9.1.9 </w:t>
      </w:r>
      <w:r>
        <w:rPr>
          <w:rFonts w:ascii="Calibri" w:cs="Calibri" w:eastAsia="Calibri" w:hAnsi="Calibri"/>
          <w:sz w:val="20"/>
          <w:szCs w:val="20"/>
          <w:b w:val="1"/>
          <w:bCs w:val="1"/>
          <w:color w:val="auto"/>
        </w:rPr>
        <w:t>Judgments</w:t>
      </w:r>
      <w:r>
        <w:rPr>
          <w:rFonts w:ascii="Calibri" w:cs="Calibri" w:eastAsia="Calibri" w:hAnsi="Calibri"/>
          <w:sz w:val="20"/>
          <w:szCs w:val="20"/>
          <w:color w:val="auto"/>
        </w:rPr>
        <w:t>. At any tme during the Period of Performance, one or more Governmental Judgments shall be entered (a) against the Recipient and such Governmental Judgments have not been vacated, discharged or stayed or bonded pending appeal for any period of thirty (30) days, and the aggregate amount of all such Governmental Judgments outstanding at any tme (except to the extent any applicable insurer(s) have acknowledged liability therefor) exceeds one hundred million Dollars ($100,000,000), or such Governmental Judgment would reasonably be expected to have a Material Adverse Efect; (b) against the Sponsor Guarantor and such Governmental Judgments have not been vacated, discharged or stayed or bonded pending appeal for any period of thirty (30) consecutve days and would reasonably be expected to have a Material Adverse Efect; or (c) such Governmental Judgment is in the form of an injuncton or similar form of relief that is not satsfed or discharged requiring suspension or Abandonment of operaton of any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29</w:t>
      </w:r>
    </w:p>
    <w:p>
      <w:pPr>
        <w:sectPr>
          <w:pgSz w:w="11900" w:h="16838" w:orient="portrait"/>
          <w:cols w:equalWidth="0" w:num="1">
            <w:col w:w="11240"/>
          </w:cols>
          <w:pgMar w:left="320" w:top="1374" w:right="339" w:bottom="1440" w:gutter="0" w:footer="0" w:header="0"/>
        </w:sectPr>
      </w:pPr>
    </w:p>
    <w:bookmarkStart w:id="471" w:name="page472"/>
    <w:bookmarkEnd w:id="471"/>
    <w:p>
      <w:pPr>
        <w:jc w:val="both"/>
        <w:ind w:firstLine="1296"/>
        <w:spacing w:after="0" w:line="205" w:lineRule="auto"/>
        <w:rPr>
          <w:sz w:val="20"/>
          <w:szCs w:val="20"/>
          <w:color w:val="auto"/>
        </w:rPr>
      </w:pPr>
      <w:r>
        <w:rPr>
          <w:rFonts w:ascii="Calibri" w:cs="Calibri" w:eastAsia="Calibri" w:hAnsi="Calibri"/>
          <w:sz w:val="20"/>
          <w:szCs w:val="20"/>
          <w:color w:val="auto"/>
        </w:rPr>
        <w:t xml:space="preserve">9.1.10 </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 At any tme during the Period of Performance, the Recipient (a) Abandons such Project; (b) otherwise permanently ceases to pursue the constructon or operaton of any Project; or (c) relinquishes all possession and control of such Project.</w:t>
      </w:r>
    </w:p>
    <w:p>
      <w:pPr>
        <w:spacing w:after="0" w:line="171" w:lineRule="exact"/>
        <w:rPr>
          <w:sz w:val="20"/>
          <w:szCs w:val="20"/>
          <w:color w:val="auto"/>
        </w:rPr>
      </w:pPr>
    </w:p>
    <w:p>
      <w:pPr>
        <w:jc w:val="both"/>
        <w:ind w:firstLine="1296"/>
        <w:spacing w:after="0" w:line="226" w:lineRule="auto"/>
        <w:rPr>
          <w:sz w:val="20"/>
          <w:szCs w:val="20"/>
          <w:color w:val="auto"/>
        </w:rPr>
      </w:pPr>
      <w:r>
        <w:rPr>
          <w:rFonts w:ascii="Calibri" w:cs="Calibri" w:eastAsia="Calibri" w:hAnsi="Calibri"/>
          <w:sz w:val="20"/>
          <w:szCs w:val="20"/>
          <w:color w:val="auto"/>
        </w:rPr>
        <w:t xml:space="preserve">9.1.11 </w:t>
      </w:r>
      <w:r>
        <w:rPr>
          <w:rFonts w:ascii="Calibri" w:cs="Calibri" w:eastAsia="Calibri" w:hAnsi="Calibri"/>
          <w:sz w:val="20"/>
          <w:szCs w:val="20"/>
          <w:b w:val="1"/>
          <w:bCs w:val="1"/>
          <w:color w:val="auto"/>
        </w:rPr>
        <w:t>Environmental Maters</w:t>
      </w:r>
      <w:r>
        <w:rPr>
          <w:rFonts w:ascii="Calibri" w:cs="Calibri" w:eastAsia="Calibri" w:hAnsi="Calibri"/>
          <w:sz w:val="20"/>
          <w:szCs w:val="20"/>
          <w:color w:val="auto"/>
        </w:rPr>
        <w:t>. At any tme during the Period of Performance (a) any material Acton (i) under, or relatng to, any Environmental Law or any Required Approval; or (ii) that asserts any Environmental Claim, in each case, has been insttuted and a Governmental Authority is a party to such Acton; or (b) any Governmental Judgment is issued against the Recipient or otherwise in connecton with any Project in respect of clause (a), and, in each case of clauses (a) and (b), such Acton or Governmental Judgment involves actual or potental monetary remedies, unless the Recipient reasonably believes that such Acton or Governmental Judgment will result in no monetary remedies, or in monetary remedies, exclusive of interest and costs, of less than one million Dollars ($1,000,000) and the Recipient has taken, or caused to be taken, commercially reasonable steps to resolve or satsfy such Acton or Governmental Judgment.</w:t>
      </w:r>
    </w:p>
    <w:p>
      <w:pPr>
        <w:spacing w:after="0" w:line="173" w:lineRule="exact"/>
        <w:rPr>
          <w:sz w:val="20"/>
          <w:szCs w:val="20"/>
          <w:color w:val="auto"/>
        </w:rPr>
      </w:pPr>
    </w:p>
    <w:p>
      <w:pPr>
        <w:jc w:val="both"/>
        <w:ind w:firstLine="1296"/>
        <w:spacing w:after="0" w:line="200" w:lineRule="auto"/>
        <w:rPr>
          <w:sz w:val="20"/>
          <w:szCs w:val="20"/>
          <w:color w:val="auto"/>
        </w:rPr>
      </w:pPr>
      <w:r>
        <w:rPr>
          <w:rFonts w:ascii="Calibri" w:cs="Calibri" w:eastAsia="Calibri" w:hAnsi="Calibri"/>
          <w:sz w:val="20"/>
          <w:szCs w:val="20"/>
          <w:color w:val="auto"/>
        </w:rPr>
        <w:t xml:space="preserve">9.1.12 </w:t>
      </w:r>
      <w:r>
        <w:rPr>
          <w:rFonts w:ascii="Calibri" w:cs="Calibri" w:eastAsia="Calibri" w:hAnsi="Calibri"/>
          <w:sz w:val="20"/>
          <w:szCs w:val="20"/>
          <w:b w:val="1"/>
          <w:bCs w:val="1"/>
          <w:color w:val="auto"/>
        </w:rPr>
        <w:t>Misstatements; Omissions.</w:t>
      </w:r>
      <w:r>
        <w:rPr>
          <w:rFonts w:ascii="Calibri" w:cs="Calibri" w:eastAsia="Calibri" w:hAnsi="Calibri"/>
          <w:sz w:val="20"/>
          <w:szCs w:val="20"/>
          <w:color w:val="auto"/>
        </w:rPr>
        <w:t xml:space="preserve"> At any tme during the Period of Performance, any representaton or warranty confrmed or made in any Financing Document by or on behalf of the Recipient or any other Recipient Party or in any certfcate, Financial Statement or other document provided by or on behalf of any such Recipient Party to the Department or any Consultant in connecton with the transactons contemplated by the Financing Documents shall be found to have been incorrect, false or misleading in any material respect when made or deemed to have been made.</w:t>
      </w:r>
    </w:p>
    <w:p>
      <w:pPr>
        <w:spacing w:after="0" w:line="148"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xml:space="preserve"> At any tme during the Period of Performance, a Change of Control occurs.</w:t>
      </w:r>
    </w:p>
    <w:p>
      <w:pPr>
        <w:spacing w:after="0" w:line="153"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9.1.14  </w:t>
      </w:r>
      <w:r>
        <w:rPr>
          <w:rFonts w:ascii="Calibri" w:cs="Calibri" w:eastAsia="Calibri" w:hAnsi="Calibri"/>
          <w:sz w:val="20"/>
          <w:szCs w:val="20"/>
          <w:b w:val="1"/>
          <w:bCs w:val="1"/>
          <w:color w:val="auto"/>
        </w:rPr>
        <w:t>Certain Governmental Actons.</w:t>
      </w:r>
      <w:r>
        <w:rPr>
          <w:rFonts w:ascii="Calibri" w:cs="Calibri" w:eastAsia="Calibri" w:hAnsi="Calibri"/>
          <w:sz w:val="20"/>
          <w:szCs w:val="20"/>
          <w:color w:val="auto"/>
        </w:rPr>
        <w:t xml:space="preserve"> At any tme during the Period of Performance, any Governmental Authority:</w:t>
      </w:r>
    </w:p>
    <w:p>
      <w:pPr>
        <w:ind w:left="300" w:hanging="292"/>
        <w:spacing w:after="0" w:line="193" w:lineRule="auto"/>
        <w:tabs>
          <w:tab w:leader="none" w:pos="300" w:val="left"/>
        </w:tabs>
        <w:numPr>
          <w:ilvl w:val="0"/>
          <w:numId w:val="582"/>
        </w:numPr>
        <w:rPr>
          <w:rFonts w:ascii="Calibri" w:cs="Calibri" w:eastAsia="Calibri" w:hAnsi="Calibri"/>
          <w:sz w:val="20"/>
          <w:szCs w:val="20"/>
          <w:color w:val="auto"/>
        </w:rPr>
      </w:pPr>
      <w:r>
        <w:rPr>
          <w:rFonts w:ascii="Calibri" w:cs="Calibri" w:eastAsia="Calibri" w:hAnsi="Calibri"/>
          <w:sz w:val="20"/>
          <w:szCs w:val="20"/>
          <w:color w:val="auto"/>
        </w:rPr>
        <w:t>lawfully condemns or assumes custody of all of the property or assets (or a substantal part thereof) of any Recipient Party; or</w:t>
      </w:r>
    </w:p>
    <w:p>
      <w:pPr>
        <w:ind w:left="280" w:hanging="272"/>
        <w:spacing w:after="0" w:line="199" w:lineRule="auto"/>
        <w:tabs>
          <w:tab w:leader="none" w:pos="280" w:val="left"/>
        </w:tabs>
        <w:numPr>
          <w:ilvl w:val="0"/>
          <w:numId w:val="582"/>
        </w:numPr>
        <w:rPr>
          <w:rFonts w:ascii="Calibri" w:cs="Calibri" w:eastAsia="Calibri" w:hAnsi="Calibri"/>
          <w:sz w:val="20"/>
          <w:szCs w:val="20"/>
          <w:color w:val="auto"/>
        </w:rPr>
      </w:pPr>
      <w:r>
        <w:rPr>
          <w:rFonts w:ascii="Calibri" w:cs="Calibri" w:eastAsia="Calibri" w:hAnsi="Calibri"/>
          <w:sz w:val="20"/>
          <w:szCs w:val="20"/>
          <w:color w:val="auto"/>
        </w:rPr>
        <w:t>takes lawful acton to displace the management of any Recipient Party.</w:t>
      </w:r>
    </w:p>
    <w:p>
      <w:pPr>
        <w:spacing w:after="0" w:line="157"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9.1.15 </w:t>
      </w:r>
      <w:r>
        <w:rPr>
          <w:rFonts w:ascii="Calibri" w:cs="Calibri" w:eastAsia="Calibri" w:hAnsi="Calibri"/>
          <w:sz w:val="20"/>
          <w:szCs w:val="20"/>
          <w:b w:val="1"/>
          <w:bCs w:val="1"/>
          <w:color w:val="auto"/>
        </w:rPr>
        <w:t>Compliance with Sanctons, Export Control Laws, Ant-Money Laundering Laws, and Ant-Corrupton Laws</w:t>
      </w:r>
      <w:r>
        <w:rPr>
          <w:rFonts w:ascii="Calibri" w:cs="Calibri" w:eastAsia="Calibri" w:hAnsi="Calibri"/>
          <w:sz w:val="20"/>
          <w:szCs w:val="20"/>
          <w:color w:val="auto"/>
        </w:rPr>
        <w:t>. At any tme prior to the date which is the tenth (10th) anniversary from the Award Date:</w:t>
      </w:r>
    </w:p>
    <w:p>
      <w:pPr>
        <w:spacing w:after="0" w:line="159" w:lineRule="exact"/>
        <w:rPr>
          <w:sz w:val="20"/>
          <w:szCs w:val="20"/>
          <w:color w:val="auto"/>
        </w:rPr>
      </w:pPr>
    </w:p>
    <w:p>
      <w:pPr>
        <w:ind w:firstLine="1952"/>
        <w:spacing w:after="0" w:line="214" w:lineRule="auto"/>
        <w:tabs>
          <w:tab w:leader="none" w:pos="2596" w:val="left"/>
        </w:tabs>
        <w:numPr>
          <w:ilvl w:val="0"/>
          <w:numId w:val="583"/>
        </w:numPr>
        <w:rPr>
          <w:rFonts w:ascii="Calibri" w:cs="Calibri" w:eastAsia="Calibri" w:hAnsi="Calibri"/>
          <w:sz w:val="20"/>
          <w:szCs w:val="20"/>
          <w:color w:val="auto"/>
        </w:rPr>
      </w:pPr>
      <w:r>
        <w:rPr>
          <w:rFonts w:ascii="Calibri" w:cs="Calibri" w:eastAsia="Calibri" w:hAnsi="Calibri"/>
          <w:sz w:val="20"/>
          <w:szCs w:val="20"/>
          <w:color w:val="auto"/>
        </w:rPr>
        <w:t>any making or use of any Direct Funding Disbursement or any use of any proceeds of the Award violates, or causes any Person to violate, any Sanctons, Export Control Laws, Ant-Money Laundering Laws, or Ant-Corrupton Laws;</w:t>
      </w:r>
    </w:p>
    <w:p>
      <w:pPr>
        <w:spacing w:after="0" w:line="158"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583"/>
        </w:numPr>
        <w:rPr>
          <w:rFonts w:ascii="Calibri" w:cs="Calibri" w:eastAsia="Calibri" w:hAnsi="Calibri"/>
          <w:sz w:val="20"/>
          <w:szCs w:val="20"/>
          <w:color w:val="auto"/>
        </w:rPr>
      </w:pPr>
      <w:r>
        <w:rPr>
          <w:rFonts w:ascii="Calibri" w:cs="Calibri" w:eastAsia="Calibri" w:hAnsi="Calibri"/>
          <w:sz w:val="20"/>
          <w:szCs w:val="20"/>
          <w:color w:val="auto"/>
        </w:rPr>
        <w:t>any violaton by any Recipient Party of any Sanctons, Export Control Laws (except as provided in the excepton in Secton 7.2.13(a)(ii) (</w:t>
      </w:r>
      <w:r>
        <w:rPr>
          <w:rFonts w:ascii="Calibri" w:cs="Calibri" w:eastAsia="Calibri" w:hAnsi="Calibri"/>
          <w:sz w:val="20"/>
          <w:szCs w:val="20"/>
          <w:b w:val="1"/>
          <w:bCs w:val="1"/>
          <w:color w:val="auto"/>
        </w:rPr>
        <w:t>Sanctons, Export Control Laws, Ant-Money Laundering Laws, and Ant-Corrupton Laws</w:t>
      </w:r>
      <w:r>
        <w:rPr>
          <w:rFonts w:ascii="Calibri" w:cs="Calibri" w:eastAsia="Calibri" w:hAnsi="Calibri"/>
          <w:sz w:val="20"/>
          <w:szCs w:val="20"/>
          <w:color w:val="auto"/>
        </w:rPr>
        <w:t>)), Ant-Money Laundering Laws, or Ant-Corrupton Laws;</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83"/>
        </w:numPr>
        <w:rPr>
          <w:rFonts w:ascii="Calibri" w:cs="Calibri" w:eastAsia="Calibri" w:hAnsi="Calibri"/>
          <w:sz w:val="20"/>
          <w:szCs w:val="20"/>
          <w:color w:val="auto"/>
        </w:rPr>
      </w:pPr>
      <w:r>
        <w:rPr>
          <w:rFonts w:ascii="Calibri" w:cs="Calibri" w:eastAsia="Calibri" w:hAnsi="Calibri"/>
          <w:sz w:val="20"/>
          <w:szCs w:val="20"/>
          <w:color w:val="auto"/>
        </w:rPr>
        <w:t>the Recipient or the Sponsor Guarantor becomes a Prohibited Person; or</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583"/>
        </w:numPr>
        <w:rPr>
          <w:rFonts w:ascii="Calibri" w:cs="Calibri" w:eastAsia="Calibri" w:hAnsi="Calibri"/>
          <w:sz w:val="20"/>
          <w:szCs w:val="20"/>
          <w:color w:val="auto"/>
        </w:rPr>
      </w:pPr>
      <w:r>
        <w:rPr>
          <w:rFonts w:ascii="Calibri" w:cs="Calibri" w:eastAsia="Calibri" w:hAnsi="Calibri"/>
          <w:sz w:val="20"/>
          <w:szCs w:val="20"/>
          <w:color w:val="auto"/>
        </w:rPr>
        <w:t>any Principal Person of the Recipient or the Sponsor Guarantor becomes a Prohibited Person, unless the Recipient removes or replaces such Principal Person within thirty (30) days from the Recipient’s Knowledge of such occurrence.</w:t>
      </w:r>
    </w:p>
    <w:p>
      <w:pPr>
        <w:spacing w:after="0" w:line="159"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9.2. </w:t>
      </w:r>
      <w:r>
        <w:rPr>
          <w:rFonts w:ascii="Calibri" w:cs="Calibri" w:eastAsia="Calibri" w:hAnsi="Calibri"/>
          <w:sz w:val="20"/>
          <w:szCs w:val="20"/>
          <w:b w:val="1"/>
          <w:bCs w:val="1"/>
          <w:color w:val="auto"/>
        </w:rPr>
        <w:t>Remedies for Events of Default</w:t>
      </w:r>
      <w:r>
        <w:rPr>
          <w:rFonts w:ascii="Calibri" w:cs="Calibri" w:eastAsia="Calibri" w:hAnsi="Calibri"/>
          <w:sz w:val="20"/>
          <w:szCs w:val="20"/>
          <w:color w:val="auto"/>
        </w:rPr>
        <w:t>. Subject to Secton 9.3 (</w:t>
      </w:r>
      <w:r>
        <w:rPr>
          <w:rFonts w:ascii="Calibri" w:cs="Calibri" w:eastAsia="Calibri" w:hAnsi="Calibri"/>
          <w:sz w:val="20"/>
          <w:szCs w:val="20"/>
          <w:b w:val="1"/>
          <w:bCs w:val="1"/>
          <w:color w:val="auto"/>
        </w:rPr>
        <w:t>Automatc Acceleraton</w:t>
      </w:r>
      <w:r>
        <w:rPr>
          <w:rFonts w:ascii="Calibri" w:cs="Calibri" w:eastAsia="Calibri" w:hAnsi="Calibri"/>
          <w:sz w:val="20"/>
          <w:szCs w:val="20"/>
          <w:color w:val="auto"/>
        </w:rPr>
        <w:t>) below, upon the occurrence and during the contnuance of an Event of Default, the Department may, subject to the Federal Claims Collecton Act of 1966, as amended, without further notce of default, presentment or demand for payment, protest or notce of non-payment or dishonor, or other notces or demands of any kind, all such notces and demands being waived (to the extent permited by Applicable Laws), exercise one or more of the rights and remedies set forth below (in any combinaton or order that the Department may 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30</w:t>
      </w:r>
    </w:p>
    <w:p>
      <w:pPr>
        <w:sectPr>
          <w:pgSz w:w="11900" w:h="16838" w:orient="portrait"/>
          <w:cols w:equalWidth="0" w:num="1">
            <w:col w:w="11240"/>
          </w:cols>
          <w:pgMar w:left="320" w:top="1384" w:right="339" w:bottom="1440" w:gutter="0" w:footer="0" w:header="0"/>
        </w:sectPr>
      </w:pPr>
    </w:p>
    <w:bookmarkStart w:id="472" w:name="page473"/>
    <w:bookmarkEnd w:id="472"/>
    <w:p>
      <w:pPr>
        <w:jc w:val="both"/>
        <w:ind w:firstLine="1952"/>
        <w:spacing w:after="0" w:line="205" w:lineRule="auto"/>
        <w:tabs>
          <w:tab w:leader="none" w:pos="2596"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provide the Recipient with writen notce specifying the nature and extent of the Event of Default and requiring the Recipient to remedy the same in accordance with a correctve acton plan in form and substance satsfactory to the Department;</w:t>
      </w:r>
    </w:p>
    <w:p>
      <w:pPr>
        <w:spacing w:after="0" w:line="153" w:lineRule="exact"/>
        <w:rPr>
          <w:rFonts w:ascii="Calibri" w:cs="Calibri" w:eastAsia="Calibri" w:hAnsi="Calibri"/>
          <w:sz w:val="20"/>
          <w:szCs w:val="20"/>
          <w:color w:val="auto"/>
        </w:rPr>
      </w:pPr>
    </w:p>
    <w:p>
      <w:pPr>
        <w:ind w:left="2600" w:hanging="648"/>
        <w:spacing w:after="0"/>
        <w:tabs>
          <w:tab w:leader="none" w:pos="2600"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impose additonal conditons pending implementaton of any correctve actons required by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Department;</w:t>
      </w:r>
    </w:p>
    <w:p>
      <w:pPr>
        <w:spacing w:after="0" w:line="153" w:lineRule="exact"/>
        <w:rPr>
          <w:rFonts w:ascii="Calibri" w:cs="Calibri" w:eastAsia="Calibri" w:hAnsi="Calibri"/>
          <w:sz w:val="20"/>
          <w:szCs w:val="20"/>
          <w:color w:val="auto"/>
        </w:rPr>
      </w:pPr>
    </w:p>
    <w:p>
      <w:pPr>
        <w:ind w:left="2600" w:hanging="648"/>
        <w:spacing w:after="0"/>
        <w:tabs>
          <w:tab w:leader="none" w:pos="2600"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suspend or, with respect to any Fundamental Event of Default, terminate all or any porton of, the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Maximum Award Amount;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temporarily withhold or suspend a Disbursement;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with respect to any Fundamental Event of Default, terminate this Agreement and the Award;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refuse, and the Department shall not be obligated, to review any Disbursement Request;</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95"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with respect to a breach of Secton 7.2.13(i) (</w:t>
      </w:r>
      <w:r>
        <w:rPr>
          <w:rFonts w:ascii="Calibri" w:cs="Calibri" w:eastAsia="Calibri" w:hAnsi="Calibri"/>
          <w:sz w:val="20"/>
          <w:szCs w:val="20"/>
          <w:b w:val="1"/>
          <w:bCs w:val="1"/>
          <w:color w:val="auto"/>
        </w:rPr>
        <w:t>Compliance with Trafcking in Persons Laws</w:t>
      </w:r>
      <w:r>
        <w:rPr>
          <w:rFonts w:ascii="Calibri" w:cs="Calibri" w:eastAsia="Calibri" w:hAnsi="Calibri"/>
          <w:sz w:val="20"/>
          <w:szCs w:val="20"/>
          <w:color w:val="auto"/>
        </w:rPr>
        <w:t>), take such acton available to the Department pursuant to 22 U.S.C. § 7104(c);</w:t>
      </w:r>
    </w:p>
    <w:p>
      <w:pPr>
        <w:spacing w:after="0" w:line="157" w:lineRule="exact"/>
        <w:rPr>
          <w:rFonts w:ascii="Calibri" w:cs="Calibri" w:eastAsia="Calibri" w:hAnsi="Calibri"/>
          <w:sz w:val="20"/>
          <w:szCs w:val="20"/>
          <w:color w:val="auto"/>
        </w:rPr>
      </w:pPr>
    </w:p>
    <w:p>
      <w:pPr>
        <w:jc w:val="both"/>
        <w:ind w:right="20" w:firstLine="1952"/>
        <w:spacing w:after="0" w:line="203" w:lineRule="auto"/>
        <w:tabs>
          <w:tab w:leader="none" w:pos="2592" w:val="left"/>
        </w:tabs>
        <w:numPr>
          <w:ilvl w:val="0"/>
          <w:numId w:val="584"/>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9.1.1(a) (</w:t>
      </w:r>
      <w:r>
        <w:rPr>
          <w:rFonts w:ascii="Calibri" w:cs="Calibri" w:eastAsia="Calibri" w:hAnsi="Calibri"/>
          <w:sz w:val="20"/>
          <w:szCs w:val="20"/>
          <w:b w:val="1"/>
          <w:bCs w:val="1"/>
          <w:color w:val="auto"/>
        </w:rPr>
        <w:t>Project Completon Clawback Event</w:t>
      </w:r>
      <w:r>
        <w:rPr>
          <w:rFonts w:ascii="Calibri" w:cs="Calibri" w:eastAsia="Calibri" w:hAnsi="Calibri"/>
          <w:sz w:val="20"/>
          <w:szCs w:val="20"/>
          <w:color w:val="auto"/>
        </w:rPr>
        <w:t>), demand recovery on a progressive basis up to the full amount of the proceeds paid to the Recipient for the applicable Project in a manner to be determined and notfed by the Department to the Recipient in connecton with such demand; provided that, in establishing a progressive recovery schedule, the Department may consider the following factors, as determined by the Department:</w:t>
      </w:r>
    </w:p>
    <w:p>
      <w:pPr>
        <w:spacing w:after="0" w:line="173" w:lineRule="exact"/>
        <w:rPr>
          <w:rFonts w:ascii="Calibri" w:cs="Calibri" w:eastAsia="Calibri" w:hAnsi="Calibri"/>
          <w:sz w:val="20"/>
          <w:szCs w:val="20"/>
          <w:color w:val="auto"/>
        </w:rPr>
      </w:pPr>
    </w:p>
    <w:p>
      <w:pPr>
        <w:ind w:firstLine="2600"/>
        <w:spacing w:after="0" w:line="208" w:lineRule="auto"/>
        <w:tabs>
          <w:tab w:leader="none" w:pos="3234" w:val="left"/>
        </w:tabs>
        <w:numPr>
          <w:ilvl w:val="1"/>
          <w:numId w:val="584"/>
        </w:numPr>
        <w:rPr>
          <w:rFonts w:ascii="Calibri" w:cs="Calibri" w:eastAsia="Calibri" w:hAnsi="Calibri"/>
          <w:sz w:val="20"/>
          <w:szCs w:val="20"/>
          <w:color w:val="auto"/>
        </w:rPr>
      </w:pPr>
      <w:r>
        <w:rPr>
          <w:rFonts w:ascii="Calibri" w:cs="Calibri" w:eastAsia="Calibri" w:hAnsi="Calibri"/>
          <w:sz w:val="20"/>
          <w:szCs w:val="20"/>
          <w:color w:val="auto"/>
        </w:rPr>
        <w:t>the tme the Department estmates will be required beyond the Project Completon Clawback Date for the Recipient to achieve the Project Completon Date;</w:t>
      </w:r>
    </w:p>
    <w:p>
      <w:pPr>
        <w:spacing w:after="0" w:line="153" w:lineRule="exact"/>
        <w:rPr>
          <w:rFonts w:ascii="Calibri" w:cs="Calibri" w:eastAsia="Calibri" w:hAnsi="Calibri"/>
          <w:sz w:val="20"/>
          <w:szCs w:val="20"/>
          <w:color w:val="auto"/>
        </w:rPr>
      </w:pPr>
    </w:p>
    <w:p>
      <w:pPr>
        <w:ind w:left="3240" w:hanging="640"/>
        <w:spacing w:after="0"/>
        <w:tabs>
          <w:tab w:leader="none" w:pos="3240" w:val="left"/>
        </w:tabs>
        <w:numPr>
          <w:ilvl w:val="1"/>
          <w:numId w:val="584"/>
        </w:numPr>
        <w:rPr>
          <w:rFonts w:ascii="Calibri" w:cs="Calibri" w:eastAsia="Calibri" w:hAnsi="Calibri"/>
          <w:sz w:val="20"/>
          <w:szCs w:val="20"/>
          <w:color w:val="auto"/>
        </w:rPr>
      </w:pPr>
      <w:r>
        <w:rPr>
          <w:rFonts w:ascii="Calibri" w:cs="Calibri" w:eastAsia="Calibri" w:hAnsi="Calibri"/>
          <w:sz w:val="20"/>
          <w:szCs w:val="20"/>
          <w:color w:val="auto"/>
        </w:rPr>
        <w:t>the likelihood, in the Department’s belief, that the Recipient can achieve the Project Completon</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Date;</w:t>
      </w:r>
    </w:p>
    <w:p>
      <w:pPr>
        <w:spacing w:after="0" w:line="160" w:lineRule="exact"/>
        <w:rPr>
          <w:rFonts w:ascii="Calibri" w:cs="Calibri" w:eastAsia="Calibri" w:hAnsi="Calibri"/>
          <w:sz w:val="20"/>
          <w:szCs w:val="20"/>
          <w:color w:val="auto"/>
        </w:rPr>
      </w:pPr>
    </w:p>
    <w:p>
      <w:pPr>
        <w:ind w:left="3260" w:hanging="660"/>
        <w:spacing w:after="0"/>
        <w:tabs>
          <w:tab w:leader="none" w:pos="3260" w:val="left"/>
        </w:tabs>
        <w:numPr>
          <w:ilvl w:val="1"/>
          <w:numId w:val="584"/>
        </w:numPr>
        <w:rPr>
          <w:rFonts w:ascii="Calibri" w:cs="Calibri" w:eastAsia="Calibri" w:hAnsi="Calibri"/>
          <w:sz w:val="20"/>
          <w:szCs w:val="20"/>
          <w:color w:val="auto"/>
        </w:rPr>
      </w:pPr>
      <w:r>
        <w:rPr>
          <w:rFonts w:ascii="Calibri" w:cs="Calibri" w:eastAsia="Calibri" w:hAnsi="Calibri"/>
          <w:sz w:val="20"/>
          <w:szCs w:val="20"/>
          <w:color w:val="auto"/>
        </w:rPr>
        <w:t>the then-current producton of the Projects relatve to expected capacity;</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584"/>
        </w:numPr>
        <w:rPr>
          <w:rFonts w:ascii="Calibri" w:cs="Calibri" w:eastAsia="Calibri" w:hAnsi="Calibri"/>
          <w:sz w:val="20"/>
          <w:szCs w:val="20"/>
          <w:color w:val="auto"/>
        </w:rPr>
      </w:pPr>
      <w:r>
        <w:rPr>
          <w:rFonts w:ascii="Calibri" w:cs="Calibri" w:eastAsia="Calibri" w:hAnsi="Calibri"/>
          <w:sz w:val="20"/>
          <w:szCs w:val="20"/>
          <w:color w:val="auto"/>
        </w:rPr>
        <w:t>the reasons for the delay in achieving the Project Completon Date, including economic</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cyclicality; and</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1"/>
          <w:numId w:val="584"/>
        </w:numPr>
        <w:rPr>
          <w:rFonts w:ascii="Calibri" w:cs="Calibri" w:eastAsia="Calibri" w:hAnsi="Calibri"/>
          <w:sz w:val="20"/>
          <w:szCs w:val="20"/>
          <w:color w:val="auto"/>
        </w:rPr>
      </w:pPr>
      <w:r>
        <w:rPr>
          <w:rFonts w:ascii="Calibri" w:cs="Calibri" w:eastAsia="Calibri" w:hAnsi="Calibri"/>
          <w:sz w:val="20"/>
          <w:szCs w:val="20"/>
          <w:color w:val="auto"/>
        </w:rPr>
        <w:t>any other relevant factors determined by the Department;</w:t>
      </w:r>
    </w:p>
    <w:p>
      <w:pPr>
        <w:spacing w:after="0" w:line="184"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provided, however, that notwithstanding the forgoing, in the event that the Recipient does not achieve the Project Completon Date by the Project Completon Clawback Date, in no instance shall the Department recover more than twenty percent (20%) of the Direct Funding Disbursements paid to the Recipient if the Recipient is expected to achieve the Project Completon Date within one (1) year afer the Project Completon Clawback Date;</w:t>
      </w:r>
    </w:p>
    <w:p>
      <w:pPr>
        <w:spacing w:after="0" w:line="172" w:lineRule="exact"/>
        <w:rPr>
          <w:sz w:val="20"/>
          <w:szCs w:val="20"/>
          <w:color w:val="auto"/>
        </w:rPr>
      </w:pPr>
    </w:p>
    <w:p>
      <w:pPr>
        <w:jc w:val="both"/>
        <w:ind w:right="20" w:firstLine="1952"/>
        <w:spacing w:after="0" w:line="209" w:lineRule="auto"/>
        <w:tabs>
          <w:tab w:leader="none" w:pos="2586" w:val="left"/>
        </w:tabs>
        <w:numPr>
          <w:ilvl w:val="0"/>
          <w:numId w:val="585"/>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9.1.1(b) (</w:t>
      </w:r>
      <w:r>
        <w:rPr>
          <w:rFonts w:ascii="Calibri" w:cs="Calibri" w:eastAsia="Calibri" w:hAnsi="Calibri"/>
          <w:sz w:val="20"/>
          <w:szCs w:val="20"/>
          <w:b w:val="1"/>
          <w:bCs w:val="1"/>
          <w:color w:val="auto"/>
        </w:rPr>
        <w:t>Technology Clawback Event</w:t>
      </w:r>
      <w:r>
        <w:rPr>
          <w:rFonts w:ascii="Calibri" w:cs="Calibri" w:eastAsia="Calibri" w:hAnsi="Calibri"/>
          <w:sz w:val="20"/>
          <w:szCs w:val="20"/>
          <w:color w:val="auto"/>
        </w:rPr>
        <w:t>) or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exercise the remedies, mitgaton, and clawbacks available under Secton 7 (</w:t>
      </w:r>
      <w:r>
        <w:rPr>
          <w:rFonts w:ascii="Calibri" w:cs="Calibri" w:eastAsia="Calibri" w:hAnsi="Calibri"/>
          <w:sz w:val="20"/>
          <w:szCs w:val="20"/>
          <w:b w:val="1"/>
          <w:bCs w:val="1"/>
          <w:color w:val="auto"/>
        </w:rPr>
        <w:t>Remedies, Mitgaton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and Clawbacks</w:t>
      </w:r>
      <w:r>
        <w:rPr>
          <w:rFonts w:ascii="Calibri" w:cs="Calibri" w:eastAsia="Calibri" w:hAnsi="Calibri"/>
          <w:sz w:val="20"/>
          <w:szCs w:val="20"/>
          <w:color w:val="auto"/>
        </w:rPr>
        <w:t>) of the Guardrail Provisions;</w:t>
      </w:r>
    </w:p>
    <w:p>
      <w:pPr>
        <w:spacing w:after="0" w:line="158" w:lineRule="exact"/>
        <w:rPr>
          <w:rFonts w:ascii="Calibri" w:cs="Calibri" w:eastAsia="Calibri" w:hAnsi="Calibri"/>
          <w:sz w:val="20"/>
          <w:szCs w:val="20"/>
          <w:color w:val="auto"/>
        </w:rPr>
      </w:pPr>
    </w:p>
    <w:p>
      <w:pPr>
        <w:jc w:val="both"/>
        <w:ind w:firstLine="1952"/>
        <w:spacing w:after="0" w:line="205" w:lineRule="auto"/>
        <w:tabs>
          <w:tab w:leader="none" w:pos="2594" w:val="left"/>
        </w:tabs>
        <w:numPr>
          <w:ilvl w:val="0"/>
          <w:numId w:val="585"/>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9.1.1(e) (</w:t>
      </w:r>
      <w:r>
        <w:rPr>
          <w:rFonts w:ascii="Calibri" w:cs="Calibri" w:eastAsia="Calibri" w:hAnsi="Calibri"/>
          <w:sz w:val="20"/>
          <w:szCs w:val="20"/>
          <w:b w:val="1"/>
          <w:bCs w:val="1"/>
          <w:color w:val="auto"/>
        </w:rPr>
        <w:t>Property Dispositon Clawback Event</w:t>
      </w:r>
      <w:r>
        <w:rPr>
          <w:rFonts w:ascii="Calibri" w:cs="Calibri" w:eastAsia="Calibri" w:hAnsi="Calibri"/>
          <w:sz w:val="20"/>
          <w:szCs w:val="20"/>
          <w:color w:val="auto"/>
        </w:rPr>
        <w:t>), demand recovery of an amount equal to the net proceeds from the relevant Dispositon as a debt payable to the Department in a manner to be determined and notfed by the Department to the Recipient in connecton with such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31</w:t>
      </w:r>
    </w:p>
    <w:p>
      <w:pPr>
        <w:sectPr>
          <w:pgSz w:w="11900" w:h="16838" w:orient="portrait"/>
          <w:cols w:equalWidth="0" w:num="1">
            <w:col w:w="11240"/>
          </w:cols>
          <w:pgMar w:left="320" w:top="1384" w:right="339" w:bottom="1440" w:gutter="0" w:footer="0" w:header="0"/>
        </w:sectPr>
      </w:pPr>
    </w:p>
    <w:bookmarkStart w:id="473" w:name="page474"/>
    <w:bookmarkEnd w:id="473"/>
    <w:p>
      <w:pPr>
        <w:jc w:val="both"/>
        <w:ind w:firstLine="1952"/>
        <w:spacing w:after="0" w:line="205" w:lineRule="auto"/>
        <w:tabs>
          <w:tab w:leader="none" w:pos="2591"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9.1.1(d) (</w:t>
      </w:r>
      <w:r>
        <w:rPr>
          <w:rFonts w:ascii="Calibri" w:cs="Calibri" w:eastAsia="Calibri" w:hAnsi="Calibri"/>
          <w:sz w:val="20"/>
          <w:szCs w:val="20"/>
          <w:b w:val="1"/>
          <w:bCs w:val="1"/>
          <w:color w:val="auto"/>
        </w:rPr>
        <w:t>Authorized Purpose Clawback Event</w:t>
      </w:r>
      <w:r>
        <w:rPr>
          <w:rFonts w:ascii="Calibri" w:cs="Calibri" w:eastAsia="Calibri" w:hAnsi="Calibri"/>
          <w:sz w:val="20"/>
          <w:szCs w:val="20"/>
          <w:color w:val="auto"/>
        </w:rPr>
        <w:t>), demand recovery of an amount up to the full amount of such proceeds for each Project in a manner to be determined and notfed by the Department to the Recipient in connecton with such demand;</w:t>
      </w:r>
    </w:p>
    <w:p>
      <w:pPr>
        <w:spacing w:after="0" w:line="170" w:lineRule="exact"/>
        <w:rPr>
          <w:rFonts w:ascii="Calibri" w:cs="Calibri" w:eastAsia="Calibri" w:hAnsi="Calibri"/>
          <w:sz w:val="20"/>
          <w:szCs w:val="20"/>
          <w:color w:val="auto"/>
        </w:rPr>
      </w:pPr>
    </w:p>
    <w:p>
      <w:pPr>
        <w:ind w:firstLine="1952"/>
        <w:spacing w:after="0" w:line="208" w:lineRule="auto"/>
        <w:tabs>
          <w:tab w:leader="none" w:pos="2586"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with respect to an Event of Default under Secton 9.1.1(f) (</w:t>
      </w:r>
      <w:r>
        <w:rPr>
          <w:rFonts w:ascii="Calibri" w:cs="Calibri" w:eastAsia="Calibri" w:hAnsi="Calibri"/>
          <w:sz w:val="20"/>
          <w:szCs w:val="20"/>
          <w:b w:val="1"/>
          <w:bCs w:val="1"/>
          <w:color w:val="auto"/>
        </w:rPr>
        <w:t>NY Fab 2 Project Clawback Event</w:t>
      </w:r>
      <w:r>
        <w:rPr>
          <w:rFonts w:ascii="Calibri" w:cs="Calibri" w:eastAsia="Calibri" w:hAnsi="Calibri"/>
          <w:sz w:val="20"/>
          <w:szCs w:val="20"/>
          <w:color w:val="auto"/>
        </w:rPr>
        <w:t xml:space="preserve">), demand recovery of an amount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Disbursements made from the NY Fab 1 Maximum Direct Funding Award Amount;</w:t>
      </w:r>
    </w:p>
    <w:p>
      <w:pPr>
        <w:spacing w:after="0" w:line="170" w:lineRule="exact"/>
        <w:rPr>
          <w:rFonts w:ascii="Calibri" w:cs="Calibri" w:eastAsia="Calibri" w:hAnsi="Calibri"/>
          <w:sz w:val="20"/>
          <w:szCs w:val="20"/>
          <w:color w:val="auto"/>
        </w:rPr>
      </w:pPr>
    </w:p>
    <w:p>
      <w:pPr>
        <w:jc w:val="both"/>
        <w:ind w:right="20" w:firstLine="1952"/>
        <w:spacing w:after="0" w:line="203" w:lineRule="auto"/>
        <w:tabs>
          <w:tab w:leader="none" w:pos="2593"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with respect to any Fundamental Event of Default, demand recovery of all or part of the Disbursements paid to the Recipient as a debt payable to the Department in accordance with the terms of such demand; provided that, where the Fundamental Event of Default relates only to a specifc Project or Projects, recovery shall be limited only to the Direct Funding Disbursements related to such Project or Projects;</w:t>
      </w:r>
    </w:p>
    <w:p>
      <w:pPr>
        <w:spacing w:after="0" w:line="159" w:lineRule="exact"/>
        <w:rPr>
          <w:rFonts w:ascii="Calibri" w:cs="Calibri" w:eastAsia="Calibri" w:hAnsi="Calibri"/>
          <w:sz w:val="20"/>
          <w:szCs w:val="20"/>
          <w:color w:val="auto"/>
        </w:rPr>
      </w:pPr>
    </w:p>
    <w:p>
      <w:pPr>
        <w:jc w:val="both"/>
        <w:ind w:right="20" w:firstLine="1952"/>
        <w:spacing w:after="0" w:line="205" w:lineRule="auto"/>
        <w:tabs>
          <w:tab w:leader="none" w:pos="2592"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with respect to a breach of Secton 7.2.6 (</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demand recovery of an amount equal to the proceeds of the relevant Direct Funding Disbursement used for Ineligible Uses of Funds in a manner to be determined and notfed by the Department to the Recipient in connecton with such demand;</w:t>
      </w:r>
    </w:p>
    <w:p>
      <w:pPr>
        <w:spacing w:after="0" w:line="153" w:lineRule="exact"/>
        <w:rPr>
          <w:rFonts w:ascii="Calibri" w:cs="Calibri" w:eastAsia="Calibri" w:hAnsi="Calibri"/>
          <w:sz w:val="20"/>
          <w:szCs w:val="20"/>
          <w:color w:val="auto"/>
        </w:rPr>
      </w:pPr>
    </w:p>
    <w:p>
      <w:pPr>
        <w:ind w:left="2600" w:hanging="648"/>
        <w:spacing w:after="0"/>
        <w:tabs>
          <w:tab w:leader="none" w:pos="2600"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take such acton available to the Department pursuant to the Civil False Claims Act (31 U.S.C. §§ 3729 –</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3733);</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reject any current or future applicaton for any CHIPS Incentves submited by the Recipient or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Afliate;</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initate suspension or debarment proceedings in accordance with Applicable Law; and</w:t>
      </w:r>
    </w:p>
    <w:p>
      <w:pPr>
        <w:spacing w:after="0" w:line="170" w:lineRule="exact"/>
        <w:rPr>
          <w:rFonts w:ascii="Calibri" w:cs="Calibri" w:eastAsia="Calibri" w:hAnsi="Calibri"/>
          <w:sz w:val="20"/>
          <w:szCs w:val="20"/>
          <w:color w:val="auto"/>
        </w:rPr>
      </w:pPr>
    </w:p>
    <w:p>
      <w:pPr>
        <w:jc w:val="both"/>
        <w:ind w:firstLine="1952"/>
        <w:spacing w:after="0" w:line="200" w:lineRule="auto"/>
        <w:tabs>
          <w:tab w:leader="none" w:pos="2596" w:val="left"/>
        </w:tabs>
        <w:numPr>
          <w:ilvl w:val="1"/>
          <w:numId w:val="586"/>
        </w:numPr>
        <w:rPr>
          <w:rFonts w:ascii="Calibri" w:cs="Calibri" w:eastAsia="Calibri" w:hAnsi="Calibri"/>
          <w:sz w:val="20"/>
          <w:szCs w:val="20"/>
          <w:color w:val="auto"/>
        </w:rPr>
      </w:pPr>
      <w:r>
        <w:rPr>
          <w:rFonts w:ascii="Calibri" w:cs="Calibri" w:eastAsia="Calibri" w:hAnsi="Calibri"/>
          <w:sz w:val="20"/>
          <w:szCs w:val="20"/>
          <w:color w:val="auto"/>
        </w:rPr>
        <w:t>exercise any other rights and remedies available under the Financing Documents or otherwise available under Applicable Law by appropriate proceedings, including to enforce the payment of any amount due and payable under the Financing Documents, to charge interest, penaltes and administratve costs on overdue debts in accordance with the Debt Collecton Act, for damages, or for the specifc performance of any provision of this Agreement or any other Financing Document, as further set out in Secton 9.4 (Specifc Performance);</w:t>
      </w:r>
    </w:p>
    <w:p>
      <w:pPr>
        <w:spacing w:after="0" w:line="197" w:lineRule="exact"/>
        <w:rPr>
          <w:rFonts w:ascii="Calibri" w:cs="Calibri" w:eastAsia="Calibri" w:hAnsi="Calibri"/>
          <w:sz w:val="20"/>
          <w:szCs w:val="20"/>
          <w:color w:val="auto"/>
        </w:rPr>
      </w:pPr>
    </w:p>
    <w:p>
      <w:pPr>
        <w:jc w:val="both"/>
        <w:ind w:firstLine="656"/>
        <w:spacing w:after="0" w:line="231" w:lineRule="auto"/>
        <w:tabs>
          <w:tab w:leader="none" w:pos="1295" w:val="left"/>
        </w:tabs>
        <w:numPr>
          <w:ilvl w:val="0"/>
          <w:numId w:val="587"/>
        </w:numPr>
        <w:rPr>
          <w:rFonts w:ascii="Calibri" w:cs="Calibri" w:eastAsia="Calibri" w:hAnsi="Calibri"/>
          <w:sz w:val="20"/>
          <w:szCs w:val="20"/>
          <w:color w:val="auto"/>
        </w:rPr>
      </w:pPr>
      <w:r>
        <w:rPr>
          <w:rFonts w:ascii="Calibri" w:cs="Calibri" w:eastAsia="Calibri" w:hAnsi="Calibri"/>
          <w:sz w:val="20"/>
          <w:szCs w:val="20"/>
          <w:color w:val="auto"/>
        </w:rPr>
        <w:t>provided, however, that (a) for the occurrence of an Event of Default under 9.1.1(e) (</w:t>
      </w:r>
      <w:r>
        <w:rPr>
          <w:rFonts w:ascii="Calibri" w:cs="Calibri" w:eastAsia="Calibri" w:hAnsi="Calibri"/>
          <w:sz w:val="20"/>
          <w:szCs w:val="20"/>
          <w:b w:val="1"/>
          <w:bCs w:val="1"/>
          <w:color w:val="auto"/>
        </w:rPr>
        <w:t>Property Dispositon Clawback</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Event</w:t>
      </w:r>
      <w:r>
        <w:rPr>
          <w:rFonts w:ascii="Calibri" w:cs="Calibri" w:eastAsia="Calibri" w:hAnsi="Calibri"/>
          <w:sz w:val="20"/>
          <w:szCs w:val="20"/>
          <w:color w:val="auto"/>
        </w:rPr>
        <w:t>), the Department shall be limited to the remedy set forth in Secton 9.2(j)) above; and (b) the Partes agree that, where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Department is enttled to recover all or part of the Disbursements described in this Secton 9.2 (</w:t>
      </w:r>
      <w:r>
        <w:rPr>
          <w:rFonts w:ascii="Calibri" w:cs="Calibri" w:eastAsia="Calibri" w:hAnsi="Calibri"/>
          <w:sz w:val="20"/>
          <w:szCs w:val="20"/>
          <w:b w:val="1"/>
          <w:bCs w:val="1"/>
          <w:color w:val="auto"/>
        </w:rPr>
        <w:t>Remedies for Events of Default</w:t>
      </w:r>
      <w:r>
        <w:rPr>
          <w:rFonts w:ascii="Calibri" w:cs="Calibri" w:eastAsia="Calibri" w:hAnsi="Calibri"/>
          <w:sz w:val="20"/>
          <w:szCs w:val="20"/>
          <w:color w:val="auto"/>
        </w:rPr>
        <w:t>), the Recipient shall be required to repay such amounts no later than one hundred twenty (120) days from the date on which the Department demands such payment.</w:t>
      </w:r>
    </w:p>
    <w:p>
      <w:pPr>
        <w:spacing w:after="0" w:line="175"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9.3. </w:t>
      </w:r>
      <w:r>
        <w:rPr>
          <w:rFonts w:ascii="Calibri" w:cs="Calibri" w:eastAsia="Calibri" w:hAnsi="Calibri"/>
          <w:sz w:val="20"/>
          <w:szCs w:val="20"/>
          <w:b w:val="1"/>
          <w:bCs w:val="1"/>
          <w:color w:val="auto"/>
        </w:rPr>
        <w:t>Automatc Acceleraton</w:t>
      </w:r>
      <w:r>
        <w:rPr>
          <w:rFonts w:ascii="Calibri" w:cs="Calibri" w:eastAsia="Calibri" w:hAnsi="Calibri"/>
          <w:sz w:val="20"/>
          <w:szCs w:val="20"/>
          <w:color w:val="auto"/>
        </w:rPr>
        <w:t>. Upon the occurrence of any Event of Default referred to in any provision of Secton 9.1.7 (</w:t>
      </w:r>
      <w:r>
        <w:rPr>
          <w:rFonts w:ascii="Calibri" w:cs="Calibri" w:eastAsia="Calibri" w:hAnsi="Calibri"/>
          <w:sz w:val="20"/>
          <w:szCs w:val="20"/>
          <w:b w:val="1"/>
          <w:bCs w:val="1"/>
          <w:color w:val="auto"/>
        </w:rPr>
        <w:t>Bankruptcy; Insolvency; Dissoluton</w:t>
      </w:r>
      <w:r>
        <w:rPr>
          <w:rFonts w:ascii="Calibri" w:cs="Calibri" w:eastAsia="Calibri" w:hAnsi="Calibri"/>
          <w:sz w:val="20"/>
          <w:szCs w:val="20"/>
          <w:color w:val="auto"/>
        </w:rPr>
        <w:t>), (a) the Maximum Award Amount shall automatcally be terminated; and (b) the full amount of the Disbursements theretofore disbursed in respect of any Project for which the Project Completon Requirements have not been achieved and all other liabilites of the Recipient accrued hereunder shall automatcally become due and payable as a debt to the Department, without any other presentment, demand, diligence, protest, notce of acceleraton, or other notce of any kind, all of which the Recipient hereby expressly waives.</w:t>
      </w:r>
    </w:p>
    <w:p>
      <w:pPr>
        <w:spacing w:after="0" w:line="158"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9.4. </w:t>
      </w:r>
      <w:r>
        <w:rPr>
          <w:rFonts w:ascii="Calibri" w:cs="Calibri" w:eastAsia="Calibri" w:hAnsi="Calibri"/>
          <w:sz w:val="20"/>
          <w:szCs w:val="20"/>
          <w:b w:val="1"/>
          <w:bCs w:val="1"/>
          <w:color w:val="auto"/>
        </w:rPr>
        <w:t>Specifc Performance</w:t>
      </w:r>
      <w:r>
        <w:rPr>
          <w:rFonts w:ascii="Calibri" w:cs="Calibri" w:eastAsia="Calibri" w:hAnsi="Calibri"/>
          <w:sz w:val="20"/>
          <w:szCs w:val="20"/>
          <w:color w:val="auto"/>
        </w:rPr>
        <w:t>. The Partes acknowledge and agree that irreparable damage, for which monetary damages (even if available) would not be an adequate remedy, would occur in the event that any Recipient Party does not perform the provisions of this Agreement or any other Financing Document to which it is a party in accordance with its specifed terms or otherwise breach such provisions. Accordingly, the Partes acknowledge and agree that the Department shall be enttled to an injuncton, specifc performance and/or other equitable relief of the following obligatons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32</w:t>
      </w:r>
    </w:p>
    <w:p>
      <w:pPr>
        <w:sectPr>
          <w:pgSz w:w="11900" w:h="16838" w:orient="portrait"/>
          <w:cols w:equalWidth="0" w:num="1">
            <w:col w:w="11240"/>
          </w:cols>
          <w:pgMar w:left="320" w:top="1384" w:right="339" w:bottom="1440" w:gutter="0" w:footer="0" w:header="0"/>
        </w:sectPr>
      </w:pPr>
    </w:p>
    <w:bookmarkStart w:id="474" w:name="page475"/>
    <w:bookmarkEnd w:id="474"/>
    <w:p>
      <w:pPr>
        <w:jc w:val="both"/>
        <w:spacing w:after="0" w:line="199" w:lineRule="auto"/>
        <w:rPr>
          <w:sz w:val="20"/>
          <w:szCs w:val="20"/>
          <w:color w:val="auto"/>
        </w:rPr>
      </w:pPr>
      <w:r>
        <w:rPr>
          <w:rFonts w:ascii="Calibri" w:cs="Calibri" w:eastAsia="Calibri" w:hAnsi="Calibri"/>
          <w:sz w:val="20"/>
          <w:szCs w:val="20"/>
          <w:color w:val="auto"/>
        </w:rPr>
        <w:t>under the Financing Documents, Secton 7.1 (</w:t>
      </w:r>
      <w:r>
        <w:rPr>
          <w:rFonts w:ascii="Calibri" w:cs="Calibri" w:eastAsia="Calibri" w:hAnsi="Calibri"/>
          <w:sz w:val="20"/>
          <w:szCs w:val="20"/>
          <w:b w:val="1"/>
          <w:bCs w:val="1"/>
          <w:color w:val="auto"/>
        </w:rPr>
        <w:t>Reportng Covenants</w:t>
      </w:r>
      <w:r>
        <w:rPr>
          <w:rFonts w:ascii="Calibri" w:cs="Calibri" w:eastAsia="Calibri" w:hAnsi="Calibri"/>
          <w:sz w:val="20"/>
          <w:szCs w:val="20"/>
          <w:color w:val="auto"/>
        </w:rPr>
        <w:t>), Secton 7.2.1 (</w:t>
      </w:r>
      <w:r>
        <w:rPr>
          <w:rFonts w:ascii="Calibri" w:cs="Calibri" w:eastAsia="Calibri" w:hAnsi="Calibri"/>
          <w:sz w:val="20"/>
          <w:szCs w:val="20"/>
          <w:b w:val="1"/>
          <w:bCs w:val="1"/>
          <w:color w:val="auto"/>
        </w:rPr>
        <w:t>Internal Controls; Monitoring and Reportng</w:t>
      </w:r>
      <w:r>
        <w:rPr>
          <w:rFonts w:ascii="Calibri" w:cs="Calibri" w:eastAsia="Calibri" w:hAnsi="Calibri"/>
          <w:sz w:val="20"/>
          <w:szCs w:val="20"/>
          <w:color w:val="auto"/>
        </w:rPr>
        <w:t>), Secton 7.2.8 (</w:t>
      </w:r>
      <w:r>
        <w:rPr>
          <w:rFonts w:ascii="Calibri" w:cs="Calibri" w:eastAsia="Calibri" w:hAnsi="Calibri"/>
          <w:sz w:val="20"/>
          <w:szCs w:val="20"/>
          <w:b w:val="1"/>
          <w:bCs w:val="1"/>
          <w:color w:val="auto"/>
        </w:rPr>
        <w:t>Equipment</w:t>
      </w:r>
      <w:r>
        <w:rPr>
          <w:rFonts w:ascii="Calibri" w:cs="Calibri" w:eastAsia="Calibri" w:hAnsi="Calibri"/>
          <w:sz w:val="20"/>
          <w:szCs w:val="20"/>
          <w:color w:val="auto"/>
        </w:rPr>
        <w:t>), Secton 7.2.13(d)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Secton 7.2.13(e) (</w:t>
      </w:r>
      <w:r>
        <w:rPr>
          <w:rFonts w:ascii="Calibri" w:cs="Calibri" w:eastAsia="Calibri" w:hAnsi="Calibri"/>
          <w:sz w:val="20"/>
          <w:szCs w:val="20"/>
          <w:b w:val="1"/>
          <w:bCs w:val="1"/>
          <w:color w:val="auto"/>
        </w:rPr>
        <w:t>Davis-Bacon Act</w:t>
      </w:r>
      <w:r>
        <w:rPr>
          <w:rFonts w:ascii="Calibri" w:cs="Calibri" w:eastAsia="Calibri" w:hAnsi="Calibri"/>
          <w:sz w:val="20"/>
          <w:szCs w:val="20"/>
          <w:color w:val="auto"/>
        </w:rPr>
        <w:t>), Secton 7.2.13(f) (</w:t>
      </w:r>
      <w:r>
        <w:rPr>
          <w:rFonts w:ascii="Calibri" w:cs="Calibri" w:eastAsia="Calibri" w:hAnsi="Calibri"/>
          <w:sz w:val="20"/>
          <w:szCs w:val="20"/>
          <w:b w:val="1"/>
          <w:bCs w:val="1"/>
          <w:color w:val="auto"/>
        </w:rPr>
        <w:t>Guardrail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Provisions</w:t>
      </w:r>
      <w:r>
        <w:rPr>
          <w:rFonts w:ascii="Calibri" w:cs="Calibri" w:eastAsia="Calibri" w:hAnsi="Calibri"/>
          <w:sz w:val="20"/>
          <w:szCs w:val="20"/>
          <w:color w:val="auto"/>
        </w:rPr>
        <w:t>), Secton 7.2.13(h) (</w:t>
      </w:r>
      <w:r>
        <w:rPr>
          <w:rFonts w:ascii="Calibri" w:cs="Calibri" w:eastAsia="Calibri" w:hAnsi="Calibri"/>
          <w:sz w:val="20"/>
          <w:szCs w:val="20"/>
          <w:b w:val="1"/>
          <w:bCs w:val="1"/>
          <w:color w:val="auto"/>
        </w:rPr>
        <w:t>Compliance with Whistleblower Protectons</w:t>
      </w:r>
      <w:r>
        <w:rPr>
          <w:rFonts w:ascii="Calibri" w:cs="Calibri" w:eastAsia="Calibri" w:hAnsi="Calibri"/>
          <w:sz w:val="20"/>
          <w:szCs w:val="20"/>
          <w:color w:val="auto"/>
        </w:rPr>
        <w:t>), Secton 7.2.14 (</w:t>
      </w:r>
      <w:r>
        <w:rPr>
          <w:rFonts w:ascii="Calibri" w:cs="Calibri" w:eastAsia="Calibri" w:hAnsi="Calibri"/>
          <w:sz w:val="20"/>
          <w:szCs w:val="20"/>
          <w:b w:val="1"/>
          <w:bCs w:val="1"/>
          <w:color w:val="auto"/>
        </w:rPr>
        <w:t>Code of Conduct; Confict of Interest</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7.3.1 (</w:t>
      </w:r>
      <w:r>
        <w:rPr>
          <w:rFonts w:ascii="Calibri" w:cs="Calibri" w:eastAsia="Calibri" w:hAnsi="Calibri"/>
          <w:sz w:val="20"/>
          <w:szCs w:val="20"/>
          <w:b w:val="1"/>
          <w:bCs w:val="1"/>
          <w:color w:val="auto"/>
        </w:rPr>
        <w:t>Books, Records and Inspectons; Accountng and Auditng Maters</w:t>
      </w:r>
      <w:r>
        <w:rPr>
          <w:rFonts w:ascii="Calibri" w:cs="Calibri" w:eastAsia="Calibri" w:hAnsi="Calibri"/>
          <w:sz w:val="20"/>
          <w:szCs w:val="20"/>
          <w:color w:val="auto"/>
        </w:rPr>
        <w:t>), Secton 7.3.3 (</w:t>
      </w:r>
      <w:r>
        <w:rPr>
          <w:rFonts w:ascii="Calibri" w:cs="Calibri" w:eastAsia="Calibri" w:hAnsi="Calibri"/>
          <w:sz w:val="20"/>
          <w:szCs w:val="20"/>
          <w:b w:val="1"/>
          <w:bCs w:val="1"/>
          <w:color w:val="auto"/>
        </w:rPr>
        <w:t>SAM Registraton</w:t>
      </w:r>
      <w:r>
        <w:rPr>
          <w:rFonts w:ascii="Calibri" w:cs="Calibri" w:eastAsia="Calibri" w:hAnsi="Calibri"/>
          <w:sz w:val="20"/>
          <w:szCs w:val="20"/>
          <w:color w:val="auto"/>
        </w:rPr>
        <w:t>), Secton 7.3.4 (</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xml:space="preserve">), Secton 1.4.5 ( </w:t>
      </w:r>
      <w:r>
        <w:rPr>
          <w:rFonts w:ascii="Calibri" w:cs="Calibri" w:eastAsia="Calibri" w:hAnsi="Calibri"/>
          <w:sz w:val="20"/>
          <w:szCs w:val="20"/>
          <w:b w:val="1"/>
          <w:bCs w:val="1"/>
          <w:color w:val="auto"/>
        </w:rPr>
        <w:t>Close Out Procedure</w:t>
      </w:r>
      <w:r>
        <w:rPr>
          <w:rFonts w:ascii="Calibri" w:cs="Calibri" w:eastAsia="Calibri" w:hAnsi="Calibri"/>
          <w:sz w:val="20"/>
          <w:szCs w:val="20"/>
          <w:color w:val="auto"/>
        </w:rPr>
        <w:t>), Secton 8.1.2 (</w:t>
      </w:r>
      <w:r>
        <w:rPr>
          <w:rFonts w:ascii="Calibri" w:cs="Calibri" w:eastAsia="Calibri" w:hAnsi="Calibri"/>
          <w:sz w:val="20"/>
          <w:szCs w:val="20"/>
          <w:b w:val="1"/>
          <w:bCs w:val="1"/>
          <w:color w:val="auto"/>
        </w:rPr>
        <w:t>Debarment Regulatons</w:t>
      </w:r>
      <w:r>
        <w:rPr>
          <w:rFonts w:ascii="Calibri" w:cs="Calibri" w:eastAsia="Calibri" w:hAnsi="Calibri"/>
          <w:sz w:val="20"/>
          <w:szCs w:val="20"/>
          <w:color w:val="auto"/>
        </w:rPr>
        <w:t>), Secton 8.1.3 (</w:t>
      </w:r>
      <w:r>
        <w:rPr>
          <w:rFonts w:ascii="Calibri" w:cs="Calibri" w:eastAsia="Calibri" w:hAnsi="Calibri"/>
          <w:sz w:val="20"/>
          <w:szCs w:val="20"/>
          <w:b w:val="1"/>
          <w:bCs w:val="1"/>
          <w:color w:val="auto"/>
        </w:rPr>
        <w:t>No Afliate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Secton 8.1.4 (</w:t>
      </w:r>
      <w:r>
        <w:rPr>
          <w:rFonts w:ascii="Calibri" w:cs="Calibri" w:eastAsia="Calibri" w:hAnsi="Calibri"/>
          <w:sz w:val="20"/>
          <w:szCs w:val="20"/>
          <w:b w:val="1"/>
          <w:bCs w:val="1"/>
          <w:color w:val="auto"/>
        </w:rPr>
        <w:t>Subsidiaries; Partnerships</w:t>
      </w:r>
      <w:r>
        <w:rPr>
          <w:rFonts w:ascii="Calibri" w:cs="Calibri" w:eastAsia="Calibri" w:hAnsi="Calibri"/>
          <w:sz w:val="20"/>
          <w:szCs w:val="20"/>
          <w:color w:val="auto"/>
        </w:rPr>
        <w:t>), Secton 8.1.5 (</w:t>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 Secton 8.1.7</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Telecommunicaton and Video Surveillance</w:t>
      </w:r>
      <w:r>
        <w:rPr>
          <w:rFonts w:ascii="Calibri" w:cs="Calibri" w:eastAsia="Calibri" w:hAnsi="Calibri"/>
          <w:sz w:val="20"/>
          <w:szCs w:val="20"/>
          <w:color w:val="auto"/>
        </w:rPr>
        <w:t>), Secton 8.1.8 (</w:t>
      </w:r>
      <w:r>
        <w:rPr>
          <w:rFonts w:ascii="Calibri" w:cs="Calibri" w:eastAsia="Calibri" w:hAnsi="Calibri"/>
          <w:sz w:val="20"/>
          <w:szCs w:val="20"/>
          <w:b w:val="1"/>
          <w:bCs w:val="1"/>
          <w:color w:val="auto"/>
        </w:rPr>
        <w:t>No Subawards</w:t>
      </w:r>
      <w:r>
        <w:rPr>
          <w:rFonts w:ascii="Calibri" w:cs="Calibri" w:eastAsia="Calibri" w:hAnsi="Calibri"/>
          <w:sz w:val="20"/>
          <w:szCs w:val="20"/>
          <w:color w:val="auto"/>
        </w:rPr>
        <w:t>), Secton 8.2.1 (</w:t>
      </w:r>
      <w:r>
        <w:rPr>
          <w:rFonts w:ascii="Calibri" w:cs="Calibri" w:eastAsia="Calibri" w:hAnsi="Calibri"/>
          <w:sz w:val="20"/>
          <w:szCs w:val="20"/>
          <w:b w:val="1"/>
          <w:bCs w:val="1"/>
          <w:color w:val="auto"/>
        </w:rPr>
        <w:t>Accountng Policies; Corporate Form</w:t>
      </w:r>
      <w:r>
        <w:rPr>
          <w:rFonts w:ascii="Calibri" w:cs="Calibri" w:eastAsia="Calibri" w:hAnsi="Calibri"/>
          <w:sz w:val="20"/>
          <w:szCs w:val="20"/>
          <w:color w:val="auto"/>
        </w:rPr>
        <w:t>) and</w:t>
      </w:r>
    </w:p>
    <w:p>
      <w:pPr>
        <w:spacing w:after="0" w:line="5" w:lineRule="exact"/>
        <w:rPr>
          <w:sz w:val="20"/>
          <w:szCs w:val="20"/>
          <w:color w:val="auto"/>
        </w:rPr>
      </w:pPr>
    </w:p>
    <w:p>
      <w:pPr>
        <w:jc w:val="both"/>
        <w:spacing w:after="0" w:line="194" w:lineRule="auto"/>
        <w:rPr>
          <w:sz w:val="20"/>
          <w:szCs w:val="20"/>
          <w:color w:val="auto"/>
        </w:rPr>
      </w:pPr>
      <w:r>
        <w:rPr>
          <w:rFonts w:ascii="Calibri" w:cs="Calibri" w:eastAsia="Calibri" w:hAnsi="Calibri"/>
          <w:sz w:val="20"/>
          <w:szCs w:val="20"/>
          <w:color w:val="auto"/>
        </w:rPr>
        <w:t>Sectons 2.2 (</w:t>
      </w:r>
      <w:r>
        <w:rPr>
          <w:rFonts w:ascii="Calibri" w:cs="Calibri" w:eastAsia="Calibri" w:hAnsi="Calibri"/>
          <w:sz w:val="20"/>
          <w:szCs w:val="20"/>
          <w:b w:val="1"/>
          <w:bCs w:val="1"/>
          <w:color w:val="auto"/>
        </w:rPr>
        <w:t>Workforce</w:t>
      </w:r>
      <w:r>
        <w:rPr>
          <w:rFonts w:ascii="Calibri" w:cs="Calibri" w:eastAsia="Calibri" w:hAnsi="Calibri"/>
          <w:sz w:val="20"/>
          <w:szCs w:val="20"/>
          <w:color w:val="auto"/>
        </w:rPr>
        <w:t>) and 3.5.4 (</w:t>
      </w:r>
      <w:r>
        <w:rPr>
          <w:rFonts w:ascii="Calibri" w:cs="Calibri" w:eastAsia="Calibri" w:hAnsi="Calibri"/>
          <w:sz w:val="20"/>
          <w:szCs w:val="20"/>
          <w:b w:val="1"/>
          <w:bCs w:val="1"/>
          <w:color w:val="auto"/>
        </w:rPr>
        <w:t>Community Investments</w:t>
      </w:r>
      <w:r>
        <w:rPr>
          <w:rFonts w:ascii="Calibri" w:cs="Calibri" w:eastAsia="Calibri" w:hAnsi="Calibri"/>
          <w:sz w:val="20"/>
          <w:szCs w:val="20"/>
          <w:color w:val="auto"/>
        </w:rPr>
        <w:t>)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in additon to any other remedy to which the Department may be enttled (other than the Department’s remedy set out under Secton 9.2(h) (</w:t>
      </w:r>
      <w:r>
        <w:rPr>
          <w:rFonts w:ascii="Calibri" w:cs="Calibri" w:eastAsia="Calibri" w:hAnsi="Calibri"/>
          <w:sz w:val="20"/>
          <w:szCs w:val="20"/>
          <w:b w:val="1"/>
          <w:bCs w:val="1"/>
          <w:color w:val="auto"/>
        </w:rPr>
        <w:t>Remedies for Events of</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Default</w:t>
      </w:r>
      <w:r>
        <w:rPr>
          <w:rFonts w:ascii="Calibri" w:cs="Calibri" w:eastAsia="Calibri" w:hAnsi="Calibri"/>
          <w:sz w:val="20"/>
          <w:szCs w:val="20"/>
          <w:color w:val="auto"/>
        </w:rPr>
        <w:t>)) at law or in equity and the Recipient agrees that it shall not oppose the grantng of an injuncton, specifc performance and/or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other equitable relief on the basis that the Department has an adequate remedy at law or that any award of an injuncton, specifc performance and/or other equitable relief is not an appropriate remedy for any reason at law or in equity; provided, however that, for the avoidance of doubt, the Department shall be not enttled to any injuncton, specifc performance and/or other equitable relief with respect to (a) Secton 7.2.7 (</w:t>
      </w:r>
      <w:r>
        <w:rPr>
          <w:rFonts w:ascii="Calibri" w:cs="Calibri" w:eastAsia="Calibri" w:hAnsi="Calibri"/>
          <w:sz w:val="20"/>
          <w:szCs w:val="20"/>
          <w:b w:val="1"/>
          <w:bCs w:val="1"/>
          <w:color w:val="auto"/>
        </w:rPr>
        <w:t>Diligent Executon of Project</w:t>
      </w:r>
      <w:r>
        <w:rPr>
          <w:rFonts w:ascii="Calibri" w:cs="Calibri" w:eastAsia="Calibri" w:hAnsi="Calibri"/>
          <w:sz w:val="20"/>
          <w:szCs w:val="20"/>
          <w:color w:val="auto"/>
        </w:rPr>
        <w:t>) or Secton 7.2.2 (</w:t>
      </w:r>
      <w:r>
        <w:rPr>
          <w:rFonts w:ascii="Calibri" w:cs="Calibri" w:eastAsia="Calibri" w:hAnsi="Calibri"/>
          <w:sz w:val="20"/>
          <w:szCs w:val="20"/>
          <w:b w:val="1"/>
          <w:bCs w:val="1"/>
          <w:color w:val="auto"/>
        </w:rPr>
        <w:t>Operatons</w:t>
      </w:r>
      <w:r>
        <w:rPr>
          <w:rFonts w:ascii="Calibri" w:cs="Calibri" w:eastAsia="Calibri" w:hAnsi="Calibri"/>
          <w:sz w:val="20"/>
          <w:szCs w:val="20"/>
          <w:color w:val="auto"/>
        </w:rPr>
        <w:t>) or any implied contractual obligaton to achieve the Project Completon Date for any Project, (b) Secton 3.1.2 (</w:t>
      </w:r>
      <w:r>
        <w:rPr>
          <w:rFonts w:ascii="Calibri" w:cs="Calibri" w:eastAsia="Calibri" w:hAnsi="Calibri"/>
          <w:sz w:val="20"/>
          <w:szCs w:val="20"/>
          <w:b w:val="1"/>
          <w:bCs w:val="1"/>
          <w:color w:val="auto"/>
        </w:rPr>
        <w:t>Producton</w:t>
      </w:r>
      <w:r>
        <w:rPr>
          <w:rFonts w:ascii="Calibri" w:cs="Calibri" w:eastAsia="Calibri" w:hAnsi="Calibri"/>
          <w:sz w:val="20"/>
          <w:szCs w:val="20"/>
          <w:color w:val="auto"/>
        </w:rPr>
        <w:t>) and Secton 3.5.4 (</w:t>
      </w:r>
      <w:r>
        <w:rPr>
          <w:rFonts w:ascii="Calibri" w:cs="Calibri" w:eastAsia="Calibri" w:hAnsi="Calibri"/>
          <w:sz w:val="20"/>
          <w:szCs w:val="20"/>
          <w:b w:val="1"/>
          <w:bCs w:val="1"/>
          <w:color w:val="auto"/>
        </w:rPr>
        <w:t>Community Investments</w:t>
      </w:r>
      <w:r>
        <w:rPr>
          <w:rFonts w:ascii="Calibri" w:cs="Calibri" w:eastAsia="Calibri" w:hAnsi="Calibri"/>
          <w:sz w:val="20"/>
          <w:szCs w:val="20"/>
          <w:color w:val="auto"/>
        </w:rPr>
        <w:t>)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(c) if the Project Commencement Date in respect of the applicable Project has not occurred, or if the applicable Project has been Abandoned, (d) if the Project Completon Date for the applicable Project has not occurred, or (e) the Department Obligatons have been paid in full. In seeking (a) an injuncton or injunctons to prevent breaches of this Agreement or any other Financing Document; (b) to enforce specifcally the terms and provisions of this Agreement or any other Financing Document; and/or (c) other equitable relief, the Department shall not be required to show proof of actual damages or to provide any bond or other security in connecton with any such remedy.</w:t>
      </w:r>
    </w:p>
    <w:p>
      <w:pPr>
        <w:spacing w:after="0" w:line="16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9.5. </w:t>
      </w:r>
      <w:r>
        <w:rPr>
          <w:rFonts w:ascii="Calibri" w:cs="Calibri" w:eastAsia="Calibri" w:hAnsi="Calibri"/>
          <w:sz w:val="20"/>
          <w:szCs w:val="20"/>
          <w:b w:val="1"/>
          <w:bCs w:val="1"/>
          <w:color w:val="auto"/>
        </w:rPr>
        <w:t>Workforce Award Remedies</w:t>
      </w:r>
      <w:r>
        <w:rPr>
          <w:rFonts w:ascii="Calibri" w:cs="Calibri" w:eastAsia="Calibri" w:hAnsi="Calibri"/>
          <w:sz w:val="20"/>
          <w:szCs w:val="20"/>
          <w:color w:val="auto"/>
        </w:rPr>
        <w:t>. The Department may exercise one or more of the rights and remedies set forth in Annex G (</w:t>
      </w:r>
      <w:r>
        <w:rPr>
          <w:rFonts w:ascii="Calibri" w:cs="Calibri" w:eastAsia="Calibri" w:hAnsi="Calibri"/>
          <w:sz w:val="20"/>
          <w:szCs w:val="20"/>
          <w:b w:val="1"/>
          <w:bCs w:val="1"/>
          <w:color w:val="auto"/>
        </w:rPr>
        <w:t>Direct Funding for Workforce Actvites</w:t>
      </w:r>
      <w:r>
        <w:rPr>
          <w:rFonts w:ascii="Calibri" w:cs="Calibri" w:eastAsia="Calibri" w:hAnsi="Calibri"/>
          <w:sz w:val="20"/>
          <w:szCs w:val="20"/>
          <w:color w:val="auto"/>
        </w:rPr>
        <w:t>) upon the failure of the Recipient to perform or observe any covenant, term or obligaton under such Annex G (</w:t>
      </w:r>
      <w:r>
        <w:rPr>
          <w:rFonts w:ascii="Calibri" w:cs="Calibri" w:eastAsia="Calibri" w:hAnsi="Calibri"/>
          <w:sz w:val="20"/>
          <w:szCs w:val="20"/>
          <w:b w:val="1"/>
          <w:bCs w:val="1"/>
          <w:color w:val="auto"/>
        </w:rPr>
        <w:t>Direct Funding for Workforce Actvites</w:t>
      </w:r>
      <w:r>
        <w:rPr>
          <w:rFonts w:ascii="Calibri" w:cs="Calibri" w:eastAsia="Calibri" w:hAnsi="Calibri"/>
          <w:sz w:val="20"/>
          <w:szCs w:val="20"/>
          <w:color w:val="auto"/>
        </w:rPr>
        <w:t>).</w:t>
      </w:r>
    </w:p>
    <w:p>
      <w:pPr>
        <w:spacing w:after="0" w:line="159"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9.6. </w:t>
      </w:r>
      <w:r>
        <w:rPr>
          <w:rFonts w:ascii="Calibri" w:cs="Calibri" w:eastAsia="Calibri" w:hAnsi="Calibri"/>
          <w:sz w:val="20"/>
          <w:szCs w:val="20"/>
          <w:b w:val="1"/>
          <w:bCs w:val="1"/>
          <w:color w:val="auto"/>
        </w:rPr>
        <w:t>Department Rights</w:t>
      </w:r>
      <w:r>
        <w:rPr>
          <w:rFonts w:ascii="Calibri" w:cs="Calibri" w:eastAsia="Calibri" w:hAnsi="Calibri"/>
          <w:sz w:val="20"/>
          <w:szCs w:val="20"/>
          <w:color w:val="auto"/>
        </w:rPr>
        <w:t>. The Partes agree that each determinaton by the Department of any amount or fees payable hereunder shall be conclusive and binding for all purposes, absent manifest error.</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10</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71" w:lineRule="exact"/>
        <w:rPr>
          <w:sz w:val="20"/>
          <w:szCs w:val="20"/>
          <w:color w:val="auto"/>
        </w:rPr>
      </w:pPr>
    </w:p>
    <w:p>
      <w:pPr>
        <w:jc w:val="both"/>
        <w:ind w:firstLine="648"/>
        <w:spacing w:after="0" w:line="197" w:lineRule="auto"/>
        <w:rPr>
          <w:sz w:val="20"/>
          <w:szCs w:val="20"/>
          <w:color w:val="auto"/>
        </w:rPr>
      </w:pPr>
      <w:r>
        <w:rPr>
          <w:rFonts w:ascii="Calibri" w:cs="Calibri" w:eastAsia="Calibri" w:hAnsi="Calibri"/>
          <w:sz w:val="20"/>
          <w:szCs w:val="20"/>
          <w:color w:val="auto"/>
        </w:rPr>
        <w:t xml:space="preserve">Secton 10.1.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xml:space="preserve">. Except as otherwise set forth in Secton 10.2 (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 xml:space="preserve"> ), any communicatons, including any notces, between or among the partes to the Financing Documents shall be provided using the addresses listed in Schedule G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All notces or other communicatons required or permited to be given under the Financing Documents shall be in writng and shall be considered as properly given: (a) if delivered in person; (b) if sent by overnight delivery service for domestc delivery or internatonal courier for internatonal delivery; (c) in the event that overnight delivery service or internatonal courier service is not readily available, if mailed by frst class mail (or airmail for internatonal delivery), postage prepaid, registered or certfed with return receipt requested; (d) if sent by facsimile or telecopy with transmission verifed; or (e) if transmited by electronic mail, to the electronic mail address set forth in Schedule G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Notce so given shall be efectve upon delivery to the addressee, except that communicaton or notce so transmited by facsimile or telecopy or other direct writen electronic means shall be deemed to have been validly and efectvely given on the day (if a Business Day and, if not, on the following Business Day) on which it is validly transmited if transmited before 5:00 p.m., Recipient’s tme, and if transmited afer that tme, on the next following Business Day. Any Party has the right to change its address for notce under any of the Financing Documents to any other locaton by giving prior writen notce to each of the other Partes in the manner set forth hereinabove.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33</w:t>
      </w:r>
    </w:p>
    <w:p>
      <w:pPr>
        <w:sectPr>
          <w:pgSz w:w="11900" w:h="16838" w:orient="portrait"/>
          <w:cols w:equalWidth="0" w:num="1">
            <w:col w:w="11240"/>
          </w:cols>
          <w:pgMar w:left="320" w:top="1384" w:right="339" w:bottom="1440" w:gutter="0" w:footer="0" w:header="0"/>
        </w:sectPr>
      </w:pPr>
    </w:p>
    <w:bookmarkStart w:id="475" w:name="page476"/>
    <w:bookmarkEnd w:id="475"/>
    <w:p>
      <w:pPr>
        <w:ind w:left="660"/>
        <w:spacing w:after="0"/>
        <w:tabs>
          <w:tab w:leader="none" w:pos="1960" w:val="left"/>
        </w:tabs>
        <w:rPr>
          <w:sz w:val="20"/>
          <w:szCs w:val="20"/>
          <w:color w:val="auto"/>
        </w:rPr>
      </w:pPr>
      <w:r>
        <w:rPr>
          <w:rFonts w:ascii="Calibri" w:cs="Calibri" w:eastAsia="Calibri" w:hAnsi="Calibri"/>
          <w:sz w:val="20"/>
          <w:szCs w:val="20"/>
          <w:color w:val="auto"/>
        </w:rPr>
        <w:t>Secton 10.2.</w:t>
      </w:r>
      <w:r>
        <w:rPr>
          <w:sz w:val="20"/>
          <w:szCs w:val="20"/>
          <w:color w:val="auto"/>
        </w:rPr>
        <w:tab/>
      </w:r>
      <w:r>
        <w:rPr>
          <w:rFonts w:ascii="Calibri" w:cs="Calibri" w:eastAsia="Calibri" w:hAnsi="Calibri"/>
          <w:sz w:val="20"/>
          <w:szCs w:val="20"/>
          <w:b w:val="1"/>
          <w:bCs w:val="1"/>
          <w:color w:val="auto"/>
        </w:rPr>
        <w:t>Use of Websites.</w:t>
      </w:r>
    </w:p>
    <w:p>
      <w:pPr>
        <w:spacing w:after="0" w:line="157" w:lineRule="exact"/>
        <w:rPr>
          <w:sz w:val="20"/>
          <w:szCs w:val="20"/>
          <w:color w:val="auto"/>
        </w:rPr>
      </w:pPr>
    </w:p>
    <w:p>
      <w:pPr>
        <w:jc w:val="both"/>
        <w:ind w:firstLine="1952"/>
        <w:spacing w:after="0" w:line="216" w:lineRule="auto"/>
        <w:tabs>
          <w:tab w:leader="none" w:pos="2596" w:val="left"/>
        </w:tabs>
        <w:numPr>
          <w:ilvl w:val="0"/>
          <w:numId w:val="588"/>
        </w:numPr>
        <w:rPr>
          <w:rFonts w:ascii="Calibri" w:cs="Calibri" w:eastAsia="Calibri" w:hAnsi="Calibri"/>
          <w:sz w:val="20"/>
          <w:szCs w:val="20"/>
          <w:color w:val="auto"/>
        </w:rPr>
      </w:pPr>
      <w:r>
        <w:rPr>
          <w:rFonts w:ascii="Calibri" w:cs="Calibri" w:eastAsia="Calibri" w:hAnsi="Calibri"/>
          <w:sz w:val="20"/>
          <w:szCs w:val="20"/>
          <w:color w:val="auto"/>
        </w:rPr>
        <w:t xml:space="preserve">The Recipient hereby agrees that it shall provide to the Department all informaton, documents and other materials that it is obligated to furnish to the Department pursuant to the Financing Documents,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all notces, requests, fnancial statements, fnancial and other reports, certfcates and other informaton materials, but excluding (i) any such communicaton that relates to service of process; (ii) any notce, certfcate or other document required under the terms of the relevant Financing Document to be sent in a specifc format or via a specifc method; or (iii) any notfcatons, certfcatons or additonal informaton submited pursuant to the Guardrail Provisions (all such non-excluded communicatons being referred to herein collectvely as “</w:t>
      </w:r>
      <w:r>
        <w:rPr>
          <w:rFonts w:ascii="Calibri" w:cs="Calibri" w:eastAsia="Calibri" w:hAnsi="Calibri"/>
          <w:sz w:val="20"/>
          <w:szCs w:val="20"/>
          <w:b w:val="1"/>
          <w:bCs w:val="1"/>
          <w:color w:val="auto"/>
        </w:rPr>
        <w:t>Communicatons</w:t>
      </w:r>
      <w:r>
        <w:rPr>
          <w:rFonts w:ascii="Calibri" w:cs="Calibri" w:eastAsia="Calibri" w:hAnsi="Calibri"/>
          <w:sz w:val="20"/>
          <w:szCs w:val="20"/>
          <w:color w:val="auto"/>
        </w:rPr>
        <w:t>”), by postng the Communicatons, in an electronic/sof medium in a format acceptable to the Department and using procedures acceptable to the Department, on Salesforce or a substantally similar electronic transmission system used by the Department and which is notfed in writng to the Recipient (the “</w:t>
      </w:r>
      <w:r>
        <w:rPr>
          <w:rFonts w:ascii="Calibri" w:cs="Calibri" w:eastAsia="Calibri" w:hAnsi="Calibri"/>
          <w:sz w:val="20"/>
          <w:szCs w:val="20"/>
          <w:b w:val="1"/>
          <w:bCs w:val="1"/>
          <w:color w:val="auto"/>
        </w:rPr>
        <w:t>Platorm</w:t>
      </w:r>
      <w:r>
        <w:rPr>
          <w:rFonts w:ascii="Calibri" w:cs="Calibri" w:eastAsia="Calibri" w:hAnsi="Calibri"/>
          <w:sz w:val="20"/>
          <w:szCs w:val="20"/>
          <w:color w:val="auto"/>
        </w:rPr>
        <w:t>”). In additon, the Recipient agrees to contnue to provide the Communicatons to the Department in any other manner specifed in the Financing Documents, but only to the extent requested by the Department. If, at any point, the Platorm is not available, the Recipient shall provide Communicatons to the Department pursuant to Secton 10.1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w:t>
      </w:r>
    </w:p>
    <w:p>
      <w:pPr>
        <w:spacing w:after="0" w:line="161"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88"/>
        </w:numPr>
        <w:rPr>
          <w:rFonts w:ascii="Calibri" w:cs="Calibri" w:eastAsia="Calibri" w:hAnsi="Calibri"/>
          <w:sz w:val="20"/>
          <w:szCs w:val="20"/>
          <w:color w:val="auto"/>
        </w:rPr>
      </w:pPr>
      <w:r>
        <w:rPr>
          <w:rFonts w:ascii="Calibri" w:cs="Calibri" w:eastAsia="Calibri" w:hAnsi="Calibri"/>
          <w:sz w:val="20"/>
          <w:szCs w:val="20"/>
          <w:color w:val="auto"/>
        </w:rPr>
        <w:t>The Department may, but is not obligated to, furnish all notces, requests, demands, informaton or other communicaton (other than service of process) to the Recipient under the Financing Documents by postng them on the Platorm. Nothing herein shall prejudice the right of the Department to give any notce, request, demand, informaton or other communicaton pursuant to any Award Document in any other manner specifed in such Award Document.</w:t>
      </w:r>
    </w:p>
    <w:p>
      <w:pPr>
        <w:spacing w:after="0" w:line="159"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588"/>
        </w:numPr>
        <w:rPr>
          <w:rFonts w:ascii="Calibri" w:cs="Calibri" w:eastAsia="Calibri" w:hAnsi="Calibri"/>
          <w:sz w:val="20"/>
          <w:szCs w:val="20"/>
          <w:color w:val="auto"/>
        </w:rPr>
      </w:pPr>
      <w:r>
        <w:rPr>
          <w:rFonts w:ascii="Calibri" w:cs="Calibri" w:eastAsia="Calibri" w:hAnsi="Calibri"/>
          <w:sz w:val="20"/>
          <w:szCs w:val="20"/>
          <w:color w:val="auto"/>
        </w:rPr>
        <w:t>Any communicaton or document as specifed in paragraph (a) or (b) above made or delivered by one Party to another shall be efectve only when actually made available in readable form on the Platorm.</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588"/>
        </w:numPr>
        <w:rPr>
          <w:rFonts w:ascii="Calibri" w:cs="Calibri" w:eastAsia="Calibri" w:hAnsi="Calibri"/>
          <w:sz w:val="20"/>
          <w:szCs w:val="20"/>
          <w:color w:val="auto"/>
        </w:rPr>
      </w:pPr>
      <w:r>
        <w:rPr>
          <w:rFonts w:ascii="Calibri" w:cs="Calibri" w:eastAsia="Calibri" w:hAnsi="Calibri"/>
          <w:sz w:val="20"/>
          <w:szCs w:val="20"/>
          <w:color w:val="auto"/>
        </w:rPr>
        <w:t>Any communicaton or document which becomes efectve, in accordance with paragraph (c) above, afer</w:t>
      </w:r>
    </w:p>
    <w:p>
      <w:pPr>
        <w:spacing w:after="0" w:line="192" w:lineRule="auto"/>
        <w:rPr>
          <w:rFonts w:ascii="Calibri" w:cs="Calibri" w:eastAsia="Calibri" w:hAnsi="Calibri"/>
          <w:sz w:val="20"/>
          <w:szCs w:val="20"/>
          <w:color w:val="auto"/>
        </w:rPr>
      </w:pPr>
      <w:r>
        <w:rPr>
          <w:rFonts w:ascii="Calibri" w:cs="Calibri" w:eastAsia="Calibri" w:hAnsi="Calibri"/>
          <w:sz w:val="20"/>
          <w:szCs w:val="20"/>
          <w:color w:val="auto"/>
        </w:rPr>
        <w:t>5:00 p.m. in the place in which the party to whom the relevant communicaton or document is made available has its address for the purpose of this Agreement shall be deemed only to become efectve on the following day.</w:t>
      </w:r>
    </w:p>
    <w:p>
      <w:pPr>
        <w:spacing w:after="0" w:line="171"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 xml:space="preserve">Secton 10.3. </w:t>
      </w:r>
      <w:r>
        <w:rPr>
          <w:rFonts w:ascii="Calibri" w:cs="Calibri" w:eastAsia="Calibri" w:hAnsi="Calibri"/>
          <w:sz w:val="20"/>
          <w:szCs w:val="20"/>
          <w:b w:val="1"/>
          <w:bCs w:val="1"/>
          <w:color w:val="auto"/>
        </w:rPr>
        <w:t>Further Assurances</w:t>
      </w:r>
      <w:r>
        <w:rPr>
          <w:rFonts w:ascii="Calibri" w:cs="Calibri" w:eastAsia="Calibri" w:hAnsi="Calibri"/>
          <w:sz w:val="20"/>
          <w:szCs w:val="20"/>
          <w:color w:val="auto"/>
        </w:rPr>
        <w:t>. The Recipient shall execute and deliver to the Department such additonal documents and take such additonal actons as the Department may require to carry out the purposes of the Financing Documents or that the Department may reasonably request in writng to: (a) cause the Financing Documents to be properly executed, binding and enforceable in all relevant jurisdictons; and (b) enable the Department to preserve, protect, exercise and enforce all other rights, remedies, or interests granted or purported to be granted under the Financing Documents.</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10.4. </w:t>
      </w:r>
      <w:r>
        <w:rPr>
          <w:rFonts w:ascii="Calibri" w:cs="Calibri" w:eastAsia="Calibri" w:hAnsi="Calibri"/>
          <w:sz w:val="20"/>
          <w:szCs w:val="20"/>
          <w:b w:val="1"/>
          <w:bCs w:val="1"/>
          <w:color w:val="auto"/>
        </w:rPr>
        <w:t>Non-Discriminaton</w:t>
      </w:r>
      <w:r>
        <w:rPr>
          <w:rFonts w:ascii="Calibri" w:cs="Calibri" w:eastAsia="Calibri" w:hAnsi="Calibri"/>
          <w:sz w:val="20"/>
          <w:szCs w:val="20"/>
          <w:color w:val="auto"/>
        </w:rPr>
        <w:t>. No person in the United States may, on the ground of race, color, natonal origin, handicap, age, religion, or sex, be excluded from partcipaton in, be denied the benefts of, or be subject to discriminaton under, this Agreement.</w:t>
      </w:r>
    </w:p>
    <w:p>
      <w:pPr>
        <w:spacing w:after="0" w:line="161"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10.5.</w:t>
      </w:r>
      <w:r>
        <w:rPr>
          <w:sz w:val="20"/>
          <w:szCs w:val="20"/>
          <w:color w:val="auto"/>
        </w:rPr>
        <w:tab/>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5" w:lineRule="auto"/>
        <w:tabs>
          <w:tab w:leader="none" w:pos="2596" w:val="left"/>
        </w:tabs>
        <w:numPr>
          <w:ilvl w:val="0"/>
          <w:numId w:val="589"/>
        </w:numPr>
        <w:rPr>
          <w:rFonts w:ascii="Calibri" w:cs="Calibri" w:eastAsia="Calibri" w:hAnsi="Calibri"/>
          <w:sz w:val="20"/>
          <w:szCs w:val="20"/>
          <w:color w:val="auto"/>
        </w:rPr>
      </w:pPr>
      <w:r>
        <w:rPr>
          <w:rFonts w:ascii="Calibri" w:cs="Calibri" w:eastAsia="Calibri" w:hAnsi="Calibri"/>
          <w:sz w:val="20"/>
          <w:szCs w:val="20"/>
          <w:color w:val="auto"/>
        </w:rPr>
        <w:t>No failure or delay by the Department in exercising any right, power or remedy shall operate as a waiver thereof or otherwise impair any rights, powers, or remedies of the Department. No single or partal exercise of any such right, power, or remedy shall preclude any other or further exercise thereof or the exercise of any other legal right, power, or remedy.</w:t>
      </w:r>
    </w:p>
    <w:p>
      <w:pPr>
        <w:spacing w:after="0" w:line="170"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589"/>
        </w:numPr>
        <w:rPr>
          <w:rFonts w:ascii="Calibri" w:cs="Calibri" w:eastAsia="Calibri" w:hAnsi="Calibri"/>
          <w:sz w:val="20"/>
          <w:szCs w:val="20"/>
          <w:color w:val="auto"/>
        </w:rPr>
      </w:pPr>
      <w:r>
        <w:rPr>
          <w:rFonts w:ascii="Calibri" w:cs="Calibri" w:eastAsia="Calibri" w:hAnsi="Calibri"/>
          <w:sz w:val="20"/>
          <w:szCs w:val="20"/>
          <w:color w:val="auto"/>
        </w:rPr>
        <w:t>The rights, powers or remedies provided for herein are, to the extent permited by Applicable Law, cumulatve and are not exclusive of any other rights, powers or remedies provided by law or in any other Financing Document. The asserton or employment of any right, power or remedy hereunder, or otherwise, shall not prevent the concurrent asserton of any other right, power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34</w:t>
      </w:r>
    </w:p>
    <w:p>
      <w:pPr>
        <w:sectPr>
          <w:pgSz w:w="11900" w:h="16838" w:orient="portrait"/>
          <w:cols w:equalWidth="0" w:num="1">
            <w:col w:w="11240"/>
          </w:cols>
          <w:pgMar w:left="320" w:top="1374" w:right="339" w:bottom="1440" w:gutter="0" w:footer="0" w:header="0"/>
        </w:sectPr>
      </w:pPr>
    </w:p>
    <w:bookmarkStart w:id="476" w:name="page477"/>
    <w:bookmarkEnd w:id="476"/>
    <w:p>
      <w:pPr>
        <w:jc w:val="both"/>
        <w:ind w:firstLine="1952"/>
        <w:spacing w:after="0" w:line="205" w:lineRule="auto"/>
        <w:tabs>
          <w:tab w:leader="none" w:pos="2584" w:val="left"/>
        </w:tabs>
        <w:numPr>
          <w:ilvl w:val="0"/>
          <w:numId w:val="590"/>
        </w:numPr>
        <w:rPr>
          <w:rFonts w:ascii="Calibri" w:cs="Calibri" w:eastAsia="Calibri" w:hAnsi="Calibri"/>
          <w:sz w:val="20"/>
          <w:szCs w:val="20"/>
          <w:color w:val="auto"/>
        </w:rPr>
      </w:pPr>
      <w:r>
        <w:rPr>
          <w:rFonts w:ascii="Calibri" w:cs="Calibri" w:eastAsia="Calibri" w:hAnsi="Calibri"/>
          <w:sz w:val="20"/>
          <w:szCs w:val="20"/>
          <w:color w:val="auto"/>
        </w:rPr>
        <w:t>Except as otherwise expressly provided herein, neither this Agreement nor any provision hereof may be amended, waived, discharged, or terminated unless such amendment, waiver, discharge, or terminaton is in writng and executed by the Recipient and the Department.</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590"/>
        </w:numPr>
        <w:rPr>
          <w:rFonts w:ascii="Calibri" w:cs="Calibri" w:eastAsia="Calibri" w:hAnsi="Calibri"/>
          <w:sz w:val="20"/>
          <w:szCs w:val="20"/>
          <w:color w:val="auto"/>
        </w:rPr>
      </w:pPr>
      <w:r>
        <w:rPr>
          <w:rFonts w:ascii="Calibri" w:cs="Calibri" w:eastAsia="Calibri" w:hAnsi="Calibri"/>
          <w:sz w:val="20"/>
          <w:szCs w:val="20"/>
          <w:color w:val="auto"/>
        </w:rPr>
        <w:t>Any waiver or amendment of any Project Completon Clawback Date shall be subject to the waiver and congressional notfcaton provisions set forth in 15 U.S.C. § 4652(a)(5)(D).</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10.6. </w:t>
      </w:r>
      <w:r>
        <w:rPr>
          <w:rFonts w:ascii="Calibri" w:cs="Calibri" w:eastAsia="Calibri" w:hAnsi="Calibri"/>
          <w:sz w:val="20"/>
          <w:szCs w:val="20"/>
          <w:b w:val="1"/>
          <w:bCs w:val="1"/>
          <w:color w:val="auto"/>
        </w:rPr>
        <w:t>Entre Agreement</w:t>
      </w:r>
      <w:r>
        <w:rPr>
          <w:rFonts w:ascii="Calibri" w:cs="Calibri" w:eastAsia="Calibri" w:hAnsi="Calibri"/>
          <w:sz w:val="20"/>
          <w:szCs w:val="20"/>
          <w:color w:val="auto"/>
        </w:rPr>
        <w:t>. This Agreement, including any agreement, document, or instrument atached to this Agreement or referred to herein, integrates all the terms and conditons mentoned herein or incidental to this Agreement and supersedes all prior drafs, discussions, term sheets, commitments, negotatons, agreements, and understandings, oral or writen, of the Partes in respect to the subject mater of this Agreement.</w:t>
      </w:r>
    </w:p>
    <w:p>
      <w:pPr>
        <w:spacing w:after="0" w:line="160"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10.7.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This Agreement and the rights and obligatons of the Partes hereunder shall be governed by, and construed and interpreted in accordance with, the federal law of the United States. To the extent that federal law does not specify the appropriate rule of decision for a partcular mater at issue, it is the intenton and agreement of the Partes that the law of the State of New York (without giving efect to its confict of laws principles (except Secton 5-1401 of the New York General Obligatons Law)) shall be adopted as the governing federal rule of decision.</w:t>
      </w:r>
    </w:p>
    <w:p>
      <w:pPr>
        <w:spacing w:after="0" w:line="161"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 xml:space="preserve">Secton 10.8. </w:t>
      </w:r>
      <w:r>
        <w:rPr>
          <w:rFonts w:ascii="Calibri" w:cs="Calibri" w:eastAsia="Calibri" w:hAnsi="Calibri"/>
          <w:sz w:val="20"/>
          <w:szCs w:val="20"/>
          <w:b w:val="1"/>
          <w:bCs w:val="1"/>
          <w:color w:val="auto"/>
        </w:rPr>
        <w:t>Severability</w:t>
      </w:r>
      <w:r>
        <w:rPr>
          <w:rFonts w:ascii="Calibri" w:cs="Calibri" w:eastAsia="Calibri" w:hAnsi="Calibri"/>
          <w:sz w:val="20"/>
          <w:szCs w:val="20"/>
          <w:color w:val="auto"/>
        </w:rPr>
        <w:t>. In case any one or more of the provisions contained in any Financing Document should be illegal, invalid, or unenforceable in any respect, the validity, legality and enforceability of the remaining provisions shall not in any way be afected or impaired thereby, and the Partes hereto shall engage the partes to the Financing Documents to enter into good faith negotatons to replace the illegal, invalid, or unenforceable provision with a provision as similar in its terms and purpose to such illegal, invalid, or unenforceable provision as may be possible and be legal, valid and enforceable.</w:t>
      </w:r>
    </w:p>
    <w:p>
      <w:pPr>
        <w:spacing w:after="0" w:line="171"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10.9. </w:t>
      </w:r>
      <w:r>
        <w:rPr>
          <w:rFonts w:ascii="Calibri" w:cs="Calibri" w:eastAsia="Calibri" w:hAnsi="Calibri"/>
          <w:sz w:val="20"/>
          <w:szCs w:val="20"/>
          <w:b w:val="1"/>
          <w:bCs w:val="1"/>
          <w:color w:val="auto"/>
        </w:rPr>
        <w:t>Limitaton on Liability</w:t>
      </w:r>
      <w:r>
        <w:rPr>
          <w:rFonts w:ascii="Calibri" w:cs="Calibri" w:eastAsia="Calibri" w:hAnsi="Calibri"/>
          <w:sz w:val="20"/>
          <w:szCs w:val="20"/>
          <w:color w:val="auto"/>
        </w:rPr>
        <w:t>. No claim shall be made by any Recipient Party against the Department or any of its Afliates, directors, employees, atorneys, or agents, including the Consultants, for any special, indirect, consequental, or punitve damages (whether or not the claim therefor is based on contract, tort or duty imposed by law), in connecton with, arising out of or in any way related to the transactons contemplated by this Agreement or the other Financing Documents or any act or omission or event occurring in connecton therewith; and the Recipient hereby waives, releases, and agrees not to sue upon any such claim for any such damages, whether or not accrued, and whether or not known or suspected to exist in its favor.</w:t>
      </w:r>
    </w:p>
    <w:p>
      <w:pPr>
        <w:spacing w:after="0" w:line="162"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10.10.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EACH OF THE PARTIES TO THIS AGREEMENT HEREBY KNOWINGLY, VOLUNTARILY, INTENTIONALLY, AND IRREVOCABLY WAIVES ANY RIGHTS IT MAY HAVE TO A TRIAL BY JURY IN RESPECT OF ANY DISPUTE BASED HEREON, OR ARISING OUT OF, UNDER, OR IN CONNECTION WITH, THIS AGREEMENT, OR ANY COURSE OF CONDUCT, COURSE OF DEALING, STATEMENTS (WHETHER VERBAL OR WRITTEN), OR ACTIONS OF THE RECIPIENT. THIS PROVISION IS A MATERIAL INDUCEMENT FOR EACH PARTY TO ENTER INTO THIS AGREEMENT AND THE OTHER FINANCING DOCUMENTS. EACH OF THE PARTIES REPRESENTS THAT IT HAS DISCUSSED THIS WAIVER OF RIGHT TO JURY WITH ITS COUNSEL, UNDERSTANDS THE RAMIFICATIONS OF SUCH WAIVER, AND KNOWINGLY AND VOLUNTARILY AGREES TO THIS WAIVER.</w:t>
      </w:r>
    </w:p>
    <w:p>
      <w:pPr>
        <w:spacing w:after="0" w:line="176"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 xml:space="preserve">Secton 10.11. </w:t>
      </w:r>
      <w:r>
        <w:rPr>
          <w:rFonts w:ascii="Calibri" w:cs="Calibri" w:eastAsia="Calibri" w:hAnsi="Calibri"/>
          <w:sz w:val="20"/>
          <w:szCs w:val="20"/>
          <w:b w:val="1"/>
          <w:bCs w:val="1"/>
          <w:color w:val="auto"/>
        </w:rPr>
        <w:t>Consent to Jurisdicton</w:t>
      </w:r>
      <w:r>
        <w:rPr>
          <w:rFonts w:ascii="Calibri" w:cs="Calibri" w:eastAsia="Calibri" w:hAnsi="Calibri"/>
          <w:sz w:val="20"/>
          <w:szCs w:val="20"/>
          <w:color w:val="auto"/>
        </w:rPr>
        <w:t>. By executon and delivery of this Agreement, the Recipient irrevocably and unconditonally:</w:t>
      </w:r>
    </w:p>
    <w:p>
      <w:pPr>
        <w:spacing w:after="0" w:line="350" w:lineRule="exact"/>
        <w:rPr>
          <w:sz w:val="20"/>
          <w:szCs w:val="20"/>
          <w:color w:val="auto"/>
        </w:rPr>
      </w:pPr>
    </w:p>
    <w:p>
      <w:pPr>
        <w:jc w:val="both"/>
        <w:ind w:firstLine="1952"/>
        <w:spacing w:after="0" w:line="200" w:lineRule="auto"/>
        <w:tabs>
          <w:tab w:leader="none" w:pos="2596" w:val="left"/>
        </w:tabs>
        <w:numPr>
          <w:ilvl w:val="0"/>
          <w:numId w:val="591"/>
        </w:numPr>
        <w:rPr>
          <w:rFonts w:ascii="Calibri" w:cs="Calibri" w:eastAsia="Calibri" w:hAnsi="Calibri"/>
          <w:sz w:val="20"/>
          <w:szCs w:val="20"/>
          <w:color w:val="auto"/>
        </w:rPr>
      </w:pPr>
      <w:r>
        <w:rPr>
          <w:rFonts w:ascii="Calibri" w:cs="Calibri" w:eastAsia="Calibri" w:hAnsi="Calibri"/>
          <w:sz w:val="20"/>
          <w:szCs w:val="20"/>
          <w:color w:val="auto"/>
        </w:rPr>
        <w:t>submits for itself and its Property in any legal acton or proceeding against it arising out of or in connecton with this Agreement, or any other Financing Document, or for recogniton and enforcement of any judgment in respect thereof, to the non-exclusive general jurisdicton of (i) the courts of the United States in or for the District of Columbia; (ii) the courts of the United States in and for the Southern District of New York; (iii) any other federal court of competent jurisdicton in any other jurisdicton where it or any of its Property may be found; and (iv) appellate courts from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35</w:t>
      </w:r>
    </w:p>
    <w:p>
      <w:pPr>
        <w:sectPr>
          <w:pgSz w:w="11900" w:h="16838" w:orient="portrait"/>
          <w:cols w:equalWidth="0" w:num="1">
            <w:col w:w="11240"/>
          </w:cols>
          <w:pgMar w:left="320" w:top="1384" w:right="339" w:bottom="1440" w:gutter="0" w:footer="0" w:header="0"/>
        </w:sectPr>
      </w:pPr>
    </w:p>
    <w:bookmarkStart w:id="477" w:name="page478"/>
    <w:bookmarkEnd w:id="477"/>
    <w:p>
      <w:pPr>
        <w:jc w:val="both"/>
        <w:ind w:right="20" w:firstLine="1952"/>
        <w:spacing w:after="0" w:line="203" w:lineRule="auto"/>
        <w:tabs>
          <w:tab w:leader="none" w:pos="2592" w:val="left"/>
        </w:tabs>
        <w:numPr>
          <w:ilvl w:val="0"/>
          <w:numId w:val="592"/>
        </w:numPr>
        <w:rPr>
          <w:rFonts w:ascii="Calibri" w:cs="Calibri" w:eastAsia="Calibri" w:hAnsi="Calibri"/>
          <w:sz w:val="20"/>
          <w:szCs w:val="20"/>
          <w:color w:val="auto"/>
        </w:rPr>
      </w:pPr>
      <w:r>
        <w:rPr>
          <w:rFonts w:ascii="Calibri" w:cs="Calibri" w:eastAsia="Calibri" w:hAnsi="Calibri"/>
          <w:sz w:val="20"/>
          <w:szCs w:val="20"/>
          <w:color w:val="auto"/>
        </w:rPr>
        <w:t>consents that any such acton or proceeding may be brought in or removed to such courts, and waives any objecton, or right to stay or dismiss any acton or proceeding, that it may now or hereafer have to the venue of any such acton or proceeding in any such court or that such acton or proceeding was brought in an inconvenient court and agrees not to plead or claim the same;</w:t>
      </w:r>
    </w:p>
    <w:p>
      <w:pPr>
        <w:spacing w:after="0" w:line="159"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592"/>
        </w:numPr>
        <w:rPr>
          <w:rFonts w:ascii="Calibri" w:cs="Calibri" w:eastAsia="Calibri" w:hAnsi="Calibri"/>
          <w:sz w:val="20"/>
          <w:szCs w:val="20"/>
          <w:color w:val="auto"/>
        </w:rPr>
      </w:pPr>
      <w:r>
        <w:rPr>
          <w:rFonts w:ascii="Calibri" w:cs="Calibri" w:eastAsia="Calibri" w:hAnsi="Calibri"/>
          <w:sz w:val="20"/>
          <w:szCs w:val="20"/>
          <w:color w:val="auto"/>
        </w:rPr>
        <w:t>agrees that nothing herein shall (i) afect the right of the Department to efect service of process in any other manner permited by law; or (ii) limit the right of the Department to commence proceedings against or otherwise sue the Recipient or any other Person in any other court of competent jurisdicton nor shall the commencement of proceedings in any one or more jurisdictons preclude the commencement of proceedings in any other jurisdicton (whether concurrently or not) if, and to the extent, permited by the Applicable Laws; and</w:t>
      </w:r>
    </w:p>
    <w:p>
      <w:pPr>
        <w:spacing w:after="0" w:line="160"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592"/>
        </w:numPr>
        <w:rPr>
          <w:rFonts w:ascii="Calibri" w:cs="Calibri" w:eastAsia="Calibri" w:hAnsi="Calibri"/>
          <w:sz w:val="20"/>
          <w:szCs w:val="20"/>
          <w:color w:val="auto"/>
        </w:rPr>
      </w:pPr>
      <w:r>
        <w:rPr>
          <w:rFonts w:ascii="Calibri" w:cs="Calibri" w:eastAsia="Calibri" w:hAnsi="Calibri"/>
          <w:sz w:val="20"/>
          <w:szCs w:val="20"/>
          <w:color w:val="auto"/>
        </w:rPr>
        <w:t>agrees that judgment against it in any such acton or proceeding shall be conclusive and may be enforced in any other jurisdicton within or outside the U.S. by suit on the judgment or otherwise as provided by law, a certfed or exemplifed copy of which judgment shall be conclusive evidence of the fact and amount of the Recipient’s obligaton.</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10.12.</w:t>
      </w:r>
      <w:r>
        <w:rPr>
          <w:sz w:val="20"/>
          <w:szCs w:val="20"/>
          <w:color w:val="auto"/>
        </w:rPr>
        <w:tab/>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w:t>
      </w:r>
    </w:p>
    <w:p>
      <w:pPr>
        <w:spacing w:after="0" w:line="157" w:lineRule="exact"/>
        <w:rPr>
          <w:sz w:val="20"/>
          <w:szCs w:val="20"/>
          <w:color w:val="auto"/>
        </w:rPr>
      </w:pPr>
    </w:p>
    <w:p>
      <w:pPr>
        <w:jc w:val="both"/>
        <w:ind w:firstLine="1296"/>
        <w:spacing w:after="0" w:line="198" w:lineRule="auto"/>
        <w:rPr>
          <w:sz w:val="20"/>
          <w:szCs w:val="20"/>
          <w:color w:val="auto"/>
        </w:rPr>
      </w:pPr>
      <w:r>
        <w:rPr>
          <w:rFonts w:ascii="Calibri" w:cs="Calibri" w:eastAsia="Calibri" w:hAnsi="Calibri"/>
          <w:sz w:val="20"/>
          <w:szCs w:val="20"/>
          <w:color w:val="auto"/>
        </w:rPr>
        <w:t xml:space="preserve">10.12.1 </w:t>
      </w:r>
      <w:r>
        <w:rPr>
          <w:rFonts w:ascii="Calibri" w:cs="Calibri" w:eastAsia="Calibri" w:hAnsi="Calibri"/>
          <w:sz w:val="20"/>
          <w:szCs w:val="20"/>
          <w:b w:val="1"/>
          <w:bCs w:val="1"/>
          <w:color w:val="auto"/>
        </w:rPr>
        <w:t>Scope and Severability</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Any disagreement, claim, misunderstanding, request for waiver or modifcaton, or dispute (collectvely, a “ </w:t>
      </w:r>
      <w:r>
        <w:rPr>
          <w:rFonts w:ascii="Calibri" w:cs="Calibri" w:eastAsia="Calibri" w:hAnsi="Calibri"/>
          <w:sz w:val="20"/>
          <w:szCs w:val="20"/>
          <w:b w:val="1"/>
          <w:bCs w:val="1"/>
          <w:color w:val="auto"/>
        </w:rPr>
        <w:t>Dispute</w:t>
      </w:r>
      <w:r>
        <w:rPr>
          <w:rFonts w:ascii="Calibri" w:cs="Calibri" w:eastAsia="Calibri" w:hAnsi="Calibri"/>
          <w:sz w:val="20"/>
          <w:szCs w:val="20"/>
          <w:color w:val="auto"/>
        </w:rPr>
        <w:t>”) between the Partes concerning any queston of fact or law arising from, or in connecton with, this Agreement, irrespectve of whether such Dispute concerns an alleged breach of this Agreement or interpretaton of this Agreement, may be raised by either Party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except that (a) any Dispute relatng to any provision of this Agreement set forth in Secton 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shall not be subject to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(b)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shall be subject to and superseded by the rights and requirements of the Secretary under 15 CFR § 231.304 – 231.307, as applicable; and (c) no Party shall have the right to raise any mater as a Dispute arbitrarily or capriciously, or concerning a queston of fact or law that has previously been raised (or in relaton to which a substantally similar mater has already been raised)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w:t>
      </w:r>
    </w:p>
    <w:p>
      <w:pPr>
        <w:spacing w:after="0" w:line="172" w:lineRule="exact"/>
        <w:rPr>
          <w:sz w:val="20"/>
          <w:szCs w:val="20"/>
          <w:color w:val="auto"/>
        </w:rPr>
      </w:pPr>
    </w:p>
    <w:p>
      <w:pPr>
        <w:jc w:val="both"/>
        <w:ind w:firstLine="1296"/>
        <w:spacing w:after="0" w:line="239" w:lineRule="auto"/>
        <w:rPr>
          <w:sz w:val="20"/>
          <w:szCs w:val="20"/>
          <w:color w:val="auto"/>
        </w:rPr>
      </w:pPr>
      <w:r>
        <w:rPr>
          <w:rFonts w:ascii="Calibri" w:cs="Calibri" w:eastAsia="Calibri" w:hAnsi="Calibri"/>
          <w:sz w:val="20"/>
          <w:szCs w:val="20"/>
          <w:color w:val="auto"/>
        </w:rPr>
        <w:t xml:space="preserve">10.12.2 </w:t>
      </w:r>
      <w:r>
        <w:rPr>
          <w:rFonts w:ascii="Calibri" w:cs="Calibri" w:eastAsia="Calibri" w:hAnsi="Calibri"/>
          <w:sz w:val="20"/>
          <w:szCs w:val="20"/>
          <w:b w:val="1"/>
          <w:bCs w:val="1"/>
          <w:color w:val="auto"/>
        </w:rPr>
        <w:t>General Principles</w:t>
      </w:r>
      <w:r>
        <w:rPr>
          <w:rFonts w:ascii="Calibri" w:cs="Calibri" w:eastAsia="Calibri" w:hAnsi="Calibri"/>
          <w:sz w:val="20"/>
          <w:szCs w:val="20"/>
          <w:color w:val="auto"/>
        </w:rPr>
        <w:t>. If a Dispute arises, the Partes shall atempt to resolve the Dispute by discussion and mutual agreement as soon as practcable. In no event shall a Dispute that arose more than sixty (60) days prior to the notfcaton made under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consttute the basis for relief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unless the Department, at its sole discreton, waives this requirement. For the avoidance of doubt, failure of a Party to raise a Dispute within the sixty (60) day period prior to the notfcaton made under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shall not prejudice any judicial remedies available to such Party.</w:t>
      </w:r>
    </w:p>
    <w:p>
      <w:pPr>
        <w:spacing w:after="0" w:line="161"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10.12.3 </w:t>
      </w:r>
      <w:r>
        <w:rPr>
          <w:rFonts w:ascii="Calibri" w:cs="Calibri" w:eastAsia="Calibri" w:hAnsi="Calibri"/>
          <w:sz w:val="20"/>
          <w:szCs w:val="20"/>
          <w:b w:val="1"/>
          <w:bCs w:val="1"/>
          <w:color w:val="auto"/>
        </w:rPr>
        <w:t>Dispute Notce</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Upon failure to resolve a Dispute by mutual agreement of the Partes as described under Secton 10.12.2 (</w:t>
      </w:r>
      <w:r>
        <w:rPr>
          <w:rFonts w:ascii="Calibri" w:cs="Calibri" w:eastAsia="Calibri" w:hAnsi="Calibri"/>
          <w:sz w:val="20"/>
          <w:szCs w:val="20"/>
          <w:b w:val="1"/>
          <w:bCs w:val="1"/>
          <w:color w:val="auto"/>
        </w:rPr>
        <w:t>General Principles</w:t>
      </w:r>
      <w:r>
        <w:rPr>
          <w:rFonts w:ascii="Calibri" w:cs="Calibri" w:eastAsia="Calibri" w:hAnsi="Calibri"/>
          <w:sz w:val="20"/>
          <w:szCs w:val="20"/>
          <w:color w:val="auto"/>
        </w:rPr>
        <w:t>), the aggrieved Party may document the Dispute by notfying the other Party (the “</w:t>
      </w:r>
      <w:r>
        <w:rPr>
          <w:rFonts w:ascii="Calibri" w:cs="Calibri" w:eastAsia="Calibri" w:hAnsi="Calibri"/>
          <w:sz w:val="20"/>
          <w:szCs w:val="20"/>
          <w:b w:val="1"/>
          <w:bCs w:val="1"/>
          <w:color w:val="auto"/>
        </w:rPr>
        <w:t>Responding Party</w:t>
      </w:r>
      <w:r>
        <w:rPr>
          <w:rFonts w:ascii="Calibri" w:cs="Calibri" w:eastAsia="Calibri" w:hAnsi="Calibri"/>
          <w:sz w:val="20"/>
          <w:szCs w:val="20"/>
          <w:color w:val="auto"/>
        </w:rPr>
        <w:t>”) in writng (such notce, a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documentng the relevant facts, identfying unresolved issues, specifying the clarifcaton or remedy sought, documentng the ratonale as to why the clarifcaton/remedy is appropriate, and identfying the type of event related to such Dispute in the column headed “Relevant Event” contained in the table set forth in Schedule G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(any such event, a “</w:t>
      </w:r>
      <w:r>
        <w:rPr>
          <w:rFonts w:ascii="Calibri" w:cs="Calibri" w:eastAsia="Calibri" w:hAnsi="Calibri"/>
          <w:sz w:val="20"/>
          <w:szCs w:val="20"/>
          <w:b w:val="1"/>
          <w:bCs w:val="1"/>
          <w:color w:val="auto"/>
        </w:rPr>
        <w:t>Relevant Event</w:t>
      </w:r>
      <w:r>
        <w:rPr>
          <w:rFonts w:ascii="Calibri" w:cs="Calibri" w:eastAsia="Calibri" w:hAnsi="Calibri"/>
          <w:sz w:val="20"/>
          <w:szCs w:val="20"/>
          <w:color w:val="auto"/>
        </w:rPr>
        <w:t>”).</w:t>
      </w:r>
    </w:p>
    <w:p>
      <w:pPr>
        <w:spacing w:after="0" w:line="158"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 xml:space="preserve">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 The aggrieved Party shall deliver the Dispute Notce (the “</w:t>
      </w:r>
      <w:r>
        <w:rPr>
          <w:rFonts w:ascii="Calibri" w:cs="Calibri" w:eastAsia="Calibri" w:hAnsi="Calibri"/>
          <w:sz w:val="20"/>
          <w:szCs w:val="20"/>
          <w:b w:val="1"/>
          <w:bCs w:val="1"/>
          <w:color w:val="auto"/>
        </w:rPr>
        <w:t>Referral</w:t>
      </w:r>
      <w:r>
        <w:rPr>
          <w:rFonts w:ascii="Calibri" w:cs="Calibri" w:eastAsia="Calibri" w:hAnsi="Calibri"/>
          <w:sz w:val="20"/>
          <w:szCs w:val="20"/>
          <w:color w:val="auto"/>
        </w:rPr>
        <w:t>”) to (a) the “Department Inital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 (b) the “Recipient Inital Decision-Maker” identfed in the table in Schedule H (</w:t>
      </w:r>
      <w:r>
        <w:rPr>
          <w:rFonts w:ascii="Calibri" w:cs="Calibri" w:eastAsia="Calibri" w:hAnsi="Calibri"/>
          <w:sz w:val="20"/>
          <w:szCs w:val="20"/>
          <w:b w:val="1"/>
          <w:bCs w:val="1"/>
          <w:color w:val="auto"/>
        </w:rPr>
        <w:t>Dispute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Resoluton</w:t>
      </w:r>
      <w:r>
        <w:rPr>
          <w:rFonts w:ascii="Calibri" w:cs="Calibri" w:eastAsia="Calibri" w:hAnsi="Calibri"/>
          <w:sz w:val="20"/>
          <w:szCs w:val="20"/>
          <w:color w:val="auto"/>
        </w:rPr>
        <w:t>) corresponding to the applicable Relevant Event if the Department is the aggrieved Party.</w:t>
      </w:r>
    </w:p>
    <w:p>
      <w:pPr>
        <w:spacing w:after="0" w:line="160"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10.12.5 </w:t>
      </w:r>
      <w:r>
        <w:rPr>
          <w:rFonts w:ascii="Calibri" w:cs="Calibri" w:eastAsia="Calibri" w:hAnsi="Calibri"/>
          <w:sz w:val="20"/>
          <w:szCs w:val="20"/>
          <w:b w:val="1"/>
          <w:bCs w:val="1"/>
          <w:color w:val="auto"/>
        </w:rPr>
        <w:t>Decision by Inital Decision-Maker</w:t>
      </w:r>
      <w:r>
        <w:rPr>
          <w:rFonts w:ascii="Calibri" w:cs="Calibri" w:eastAsia="Calibri" w:hAnsi="Calibri"/>
          <w:sz w:val="20"/>
          <w:szCs w:val="20"/>
          <w:color w:val="auto"/>
        </w:rPr>
        <w:t>. During the ten (10) days afer providing a Dispute Notce to the Responding Party in accordance with Secton 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 the aggrieved Party may provide any other new relevant facts in writng to the Inital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36</w:t>
      </w:r>
    </w:p>
    <w:p>
      <w:pPr>
        <w:sectPr>
          <w:pgSz w:w="11900" w:h="16838" w:orient="portrait"/>
          <w:cols w:equalWidth="0" w:num="1">
            <w:col w:w="11240"/>
          </w:cols>
          <w:pgMar w:left="320" w:top="1384" w:right="339" w:bottom="1440" w:gutter="0" w:footer="0" w:header="0"/>
        </w:sectPr>
      </w:pPr>
    </w:p>
    <w:bookmarkStart w:id="478" w:name="page479"/>
    <w:bookmarkEnd w:id="478"/>
    <w:p>
      <w:pPr>
        <w:jc w:val="both"/>
        <w:spacing w:after="0" w:line="199" w:lineRule="auto"/>
        <w:rPr>
          <w:sz w:val="20"/>
          <w:szCs w:val="20"/>
          <w:color w:val="auto"/>
        </w:rPr>
      </w:pPr>
      <w:r>
        <w:rPr>
          <w:rFonts w:ascii="Calibri" w:cs="Calibri" w:eastAsia="Calibri" w:hAnsi="Calibri"/>
          <w:sz w:val="20"/>
          <w:szCs w:val="20"/>
          <w:color w:val="auto"/>
        </w:rPr>
        <w:t>Maker of the Responding Party. Such Inital Decision-Maker shall conduct a review of the Dispute and render a decision in writng with respect to the Dispute within thirty (30) days of receipt of the Dispute Notce. The Inital Decision-Maker may make any reasonable inquiries to aid in the preparaton of its decision with respect to the mater and seek extension of any applicable tme limits, by mutual agreement of the Partes. Any decision issued by the Inital Decision-Maker shall be the fnal and binding decision of the Responding Party, unless the aggrieved Party shall, within ten (10) days from the receipt of the writen decision of the Inital Decision-Maker, request escalaton as provided by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A failure by the Inital Decision-Maker to issue a writen decision within thirty (30) days of the receipt of a Dispute Notce or a mutually agreed extension of tme will consttute a fnal and binding decision denying the Dispute.</w:t>
      </w:r>
    </w:p>
    <w:p>
      <w:pPr>
        <w:spacing w:after="0" w:line="153"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2" w:lineRule="auto"/>
        <w:tabs>
          <w:tab w:leader="none" w:pos="2596" w:val="left"/>
        </w:tabs>
        <w:numPr>
          <w:ilvl w:val="1"/>
          <w:numId w:val="593"/>
        </w:numPr>
        <w:rPr>
          <w:rFonts w:ascii="Calibri" w:cs="Calibri" w:eastAsia="Calibri" w:hAnsi="Calibri"/>
          <w:sz w:val="20"/>
          <w:szCs w:val="20"/>
          <w:color w:val="auto"/>
        </w:rPr>
      </w:pPr>
      <w:r>
        <w:rPr>
          <w:rFonts w:ascii="Calibri" w:cs="Calibri" w:eastAsia="Calibri" w:hAnsi="Calibri"/>
          <w:sz w:val="20"/>
          <w:szCs w:val="20"/>
          <w:color w:val="auto"/>
        </w:rPr>
        <w:t>Within ten (10) days of receipt of the writen decision of the Inital Decision-Maker pursuant to Secton 10.12.5 (</w:t>
      </w:r>
      <w:r>
        <w:rPr>
          <w:rFonts w:ascii="Calibri" w:cs="Calibri" w:eastAsia="Calibri" w:hAnsi="Calibri"/>
          <w:sz w:val="20"/>
          <w:szCs w:val="20"/>
          <w:b w:val="1"/>
          <w:bCs w:val="1"/>
          <w:color w:val="auto"/>
        </w:rPr>
        <w:t>Decision by Inital Decision-Maker</w:t>
      </w:r>
      <w:r>
        <w:rPr>
          <w:rFonts w:ascii="Calibri" w:cs="Calibri" w:eastAsia="Calibri" w:hAnsi="Calibri"/>
          <w:sz w:val="20"/>
          <w:szCs w:val="20"/>
          <w:color w:val="auto"/>
        </w:rPr>
        <w:t>) above, the aggrieved Party may submit a notce to the Responding Party (the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Notce</w:t>
      </w:r>
      <w:r>
        <w:rPr>
          <w:rFonts w:ascii="Calibri" w:cs="Calibri" w:eastAsia="Calibri" w:hAnsi="Calibri"/>
          <w:sz w:val="20"/>
          <w:szCs w:val="20"/>
          <w:color w:val="auto"/>
        </w:rPr>
        <w:t>”) requestng a formal consultaton with (a) the “Department Escalaton Decision-Maker” identfed in the table Schedule 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 (b) the “Recipient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Department is the aggrieved Party.</w:t>
      </w:r>
    </w:p>
    <w:p>
      <w:pPr>
        <w:spacing w:after="0" w:line="157" w:lineRule="exact"/>
        <w:rPr>
          <w:rFonts w:ascii="Calibri" w:cs="Calibri" w:eastAsia="Calibri" w:hAnsi="Calibri"/>
          <w:sz w:val="20"/>
          <w:szCs w:val="20"/>
          <w:color w:val="auto"/>
        </w:rPr>
      </w:pPr>
    </w:p>
    <w:p>
      <w:pPr>
        <w:jc w:val="both"/>
        <w:ind w:firstLine="1952"/>
        <w:spacing w:after="0" w:line="208" w:lineRule="auto"/>
        <w:tabs>
          <w:tab w:leader="none" w:pos="2592" w:val="left"/>
        </w:tabs>
        <w:numPr>
          <w:ilvl w:val="1"/>
          <w:numId w:val="593"/>
        </w:numPr>
        <w:rPr>
          <w:rFonts w:ascii="Calibri" w:cs="Calibri" w:eastAsia="Calibri" w:hAnsi="Calibri"/>
          <w:sz w:val="20"/>
          <w:szCs w:val="20"/>
          <w:color w:val="auto"/>
        </w:rPr>
      </w:pPr>
      <w:r>
        <w:rPr>
          <w:rFonts w:ascii="Calibri" w:cs="Calibri" w:eastAsia="Calibri" w:hAnsi="Calibri"/>
          <w:sz w:val="20"/>
          <w:szCs w:val="20"/>
          <w:color w:val="auto"/>
        </w:rPr>
        <w:t>The Escalaton Notce shall be submited by (i) the “Recipient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Recipient is the aggrieved Party and</w:t>
      </w:r>
    </w:p>
    <w:p>
      <w:pPr>
        <w:ind w:right="20" w:firstLine="8"/>
        <w:spacing w:after="0" w:line="199" w:lineRule="auto"/>
        <w:tabs>
          <w:tab w:leader="none" w:pos="309" w:val="left"/>
        </w:tabs>
        <w:numPr>
          <w:ilvl w:val="0"/>
          <w:numId w:val="594"/>
        </w:numPr>
        <w:rPr>
          <w:rFonts w:ascii="Calibri" w:cs="Calibri" w:eastAsia="Calibri" w:hAnsi="Calibri"/>
          <w:sz w:val="20"/>
          <w:szCs w:val="20"/>
          <w:color w:val="auto"/>
        </w:rPr>
      </w:pPr>
      <w:r>
        <w:rPr>
          <w:rFonts w:ascii="Calibri" w:cs="Calibri" w:eastAsia="Calibri" w:hAnsi="Calibri"/>
          <w:sz w:val="20"/>
          <w:szCs w:val="20"/>
          <w:color w:val="auto"/>
        </w:rPr>
        <w:t>the “Department Escalaton Decision-Maker” identfed in the table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corresponding to the applicable Relevant Event if the Department is the aggrieved Party.</w:t>
      </w:r>
    </w:p>
    <w:p>
      <w:pPr>
        <w:spacing w:after="0" w:line="157"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1"/>
          <w:numId w:val="594"/>
        </w:numPr>
        <w:rPr>
          <w:rFonts w:ascii="Calibri" w:cs="Calibri" w:eastAsia="Calibri" w:hAnsi="Calibri"/>
          <w:sz w:val="20"/>
          <w:szCs w:val="20"/>
          <w:color w:val="auto"/>
        </w:rPr>
      </w:pPr>
      <w:r>
        <w:rPr>
          <w:rFonts w:ascii="Calibri" w:cs="Calibri" w:eastAsia="Calibri" w:hAnsi="Calibri"/>
          <w:sz w:val="20"/>
          <w:szCs w:val="20"/>
          <w:color w:val="auto"/>
        </w:rPr>
        <w:t>Unless mutually agreed otherwise by the Partes, each Party’s Escalaton Decision-Maker (or authorized designee thereof with full and fnal decision-making authority) shall meet in-person or electronically by video within thirty (30) days of receipt of the Escalaton Notce, at a mutually convenient tme and place (the “</w:t>
      </w:r>
      <w:r>
        <w:rPr>
          <w:rFonts w:ascii="Calibri" w:cs="Calibri" w:eastAsia="Calibri" w:hAnsi="Calibri"/>
          <w:sz w:val="20"/>
          <w:szCs w:val="20"/>
          <w:b w:val="1"/>
          <w:bCs w:val="1"/>
          <w:color w:val="auto"/>
        </w:rPr>
        <w:t>Escalaton Decision-Maker Meetng</w:t>
      </w:r>
      <w:r>
        <w:rPr>
          <w:rFonts w:ascii="Calibri" w:cs="Calibri" w:eastAsia="Calibri" w:hAnsi="Calibri"/>
          <w:sz w:val="20"/>
          <w:szCs w:val="20"/>
          <w:color w:val="auto"/>
        </w:rPr>
        <w:t>”).</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1"/>
          <w:numId w:val="594"/>
        </w:numPr>
        <w:rPr>
          <w:rFonts w:ascii="Calibri" w:cs="Calibri" w:eastAsia="Calibri" w:hAnsi="Calibri"/>
          <w:sz w:val="20"/>
          <w:szCs w:val="20"/>
          <w:color w:val="auto"/>
        </w:rPr>
      </w:pPr>
      <w:r>
        <w:rPr>
          <w:rFonts w:ascii="Calibri" w:cs="Calibri" w:eastAsia="Calibri" w:hAnsi="Calibri"/>
          <w:sz w:val="20"/>
          <w:szCs w:val="20"/>
          <w:color w:val="auto"/>
        </w:rPr>
        <w:t>The Responding Party’s Escalaton Decision-Maker (or authorized designee thereof) shall submit a writen decision with respect to the Dispute as soon as possible afer the Escalaton Decision-Maker Meetng, and in any event within one hundred eighty (180) days of the date of the Referral.</w:t>
      </w:r>
    </w:p>
    <w:p>
      <w:pPr>
        <w:spacing w:after="0" w:line="157" w:lineRule="exact"/>
        <w:rPr>
          <w:rFonts w:ascii="Calibri" w:cs="Calibri" w:eastAsia="Calibri" w:hAnsi="Calibri"/>
          <w:sz w:val="20"/>
          <w:szCs w:val="20"/>
          <w:color w:val="auto"/>
        </w:rPr>
      </w:pPr>
    </w:p>
    <w:p>
      <w:pPr>
        <w:jc w:val="both"/>
        <w:ind w:firstLine="1952"/>
        <w:spacing w:after="0" w:line="209" w:lineRule="auto"/>
        <w:tabs>
          <w:tab w:leader="none" w:pos="2586" w:val="left"/>
        </w:tabs>
        <w:numPr>
          <w:ilvl w:val="1"/>
          <w:numId w:val="594"/>
        </w:numPr>
        <w:rPr>
          <w:rFonts w:ascii="Calibri" w:cs="Calibri" w:eastAsia="Calibri" w:hAnsi="Calibri"/>
          <w:sz w:val="20"/>
          <w:szCs w:val="20"/>
          <w:color w:val="auto"/>
        </w:rPr>
      </w:pPr>
      <w:r>
        <w:rPr>
          <w:rFonts w:ascii="Calibri" w:cs="Calibri" w:eastAsia="Calibri" w:hAnsi="Calibri"/>
          <w:sz w:val="20"/>
          <w:szCs w:val="20"/>
          <w:color w:val="auto"/>
        </w:rPr>
        <w:t>The decision issued by the Responding Party’s Escalaton Decision-Maker shall be the fnal and binding decision of the Responding Party. The failure by the Responding Party’s Escalaton Decision-Maker to issue a writen decision within 180 days of the date of the Referral, will consttute a fnal and binding decision denying the Dispute.</w:t>
      </w:r>
    </w:p>
    <w:p>
      <w:pPr>
        <w:spacing w:after="0" w:line="159"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10.12.7 </w:t>
      </w:r>
      <w:r>
        <w:rPr>
          <w:rFonts w:ascii="Calibri" w:cs="Calibri" w:eastAsia="Calibri" w:hAnsi="Calibri"/>
          <w:sz w:val="20"/>
          <w:szCs w:val="20"/>
          <w:b w:val="1"/>
          <w:bCs w:val="1"/>
          <w:color w:val="auto"/>
        </w:rPr>
        <w:t>Unresolved Dispute</w:t>
      </w:r>
      <w:r>
        <w:rPr>
          <w:rFonts w:ascii="Calibri" w:cs="Calibri" w:eastAsia="Calibri" w:hAnsi="Calibri"/>
          <w:sz w:val="20"/>
          <w:szCs w:val="20"/>
          <w:color w:val="auto"/>
        </w:rPr>
        <w:t>. In the event an aggrieved Party disagrees with the decision of the Responding Party’s Escalaton Decision-Maker described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 or in the absence of any writen decision by the Responding Party’s Escalaton Decision-Maker (or authorized designee thereof) within one hundred eighty (180) days of the date of the Referral, either Party may pursue any right or remedy under the Financing Documents or provided by Applicable Law, provided that neither Party may pursue any such right or remedy prior to the date that is one hundred eighty (180) days afer the date of the Referral (or such earlier date as may be mutually agreed by the Partes).</w:t>
      </w:r>
    </w:p>
    <w:p>
      <w:pPr>
        <w:spacing w:after="0" w:line="176" w:lineRule="exact"/>
        <w:rPr>
          <w:sz w:val="20"/>
          <w:szCs w:val="20"/>
          <w:color w:val="auto"/>
        </w:rPr>
      </w:pPr>
    </w:p>
    <w:p>
      <w:pPr>
        <w:jc w:val="both"/>
        <w:ind w:firstLine="1296"/>
        <w:spacing w:after="0" w:line="205" w:lineRule="auto"/>
        <w:rPr>
          <w:sz w:val="20"/>
          <w:szCs w:val="20"/>
          <w:color w:val="auto"/>
        </w:rPr>
      </w:pPr>
      <w:r>
        <w:rPr>
          <w:rFonts w:ascii="Calibri" w:cs="Calibri" w:eastAsia="Calibri" w:hAnsi="Calibri"/>
          <w:sz w:val="20"/>
          <w:szCs w:val="20"/>
          <w:color w:val="auto"/>
        </w:rPr>
        <w:t xml:space="preserve">10.12.8 </w:t>
      </w:r>
      <w:r>
        <w:rPr>
          <w:rFonts w:ascii="Calibri" w:cs="Calibri" w:eastAsia="Calibri" w:hAnsi="Calibri"/>
          <w:sz w:val="20"/>
          <w:szCs w:val="20"/>
          <w:b w:val="1"/>
          <w:bCs w:val="1"/>
          <w:color w:val="auto"/>
        </w:rPr>
        <w:t>Stay of Remedies</w:t>
      </w:r>
      <w:r>
        <w:rPr>
          <w:rFonts w:ascii="Calibri" w:cs="Calibri" w:eastAsia="Calibri" w:hAnsi="Calibri"/>
          <w:sz w:val="20"/>
          <w:szCs w:val="20"/>
          <w:color w:val="auto"/>
        </w:rPr>
        <w:t xml:space="preserve"> . During the pendency of any Dispute under this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xml:space="preserve"> ), each of the Department's remedies (other than those remedies relatng to a Dispute regarding an Event of Default in connecton with the provisions under Secton 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shall be stayed.</w:t>
      </w:r>
    </w:p>
    <w:p>
      <w:pPr>
        <w:spacing w:after="0" w:line="148"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 xml:space="preserve">10.12.9 </w:t>
      </w:r>
      <w:r>
        <w:rPr>
          <w:rFonts w:ascii="Calibri" w:cs="Calibri" w:eastAsia="Calibri" w:hAnsi="Calibri"/>
          <w:sz w:val="20"/>
          <w:szCs w:val="20"/>
          <w:b w:val="1"/>
          <w:bCs w:val="1"/>
          <w:color w:val="auto"/>
        </w:rPr>
        <w:t>Exempt Provisions.</w:t>
      </w:r>
      <w:r>
        <w:rPr>
          <w:rFonts w:ascii="Calibri" w:cs="Calibri" w:eastAsia="Calibri" w:hAnsi="Calibri"/>
          <w:sz w:val="20"/>
          <w:szCs w:val="20"/>
          <w:color w:val="auto"/>
        </w:rPr>
        <w:t xml:space="preserve"> The following provisions of this Agreement shall not be subject to this Secton 10.12 (</w:t>
      </w:r>
      <w:r>
        <w:rPr>
          <w:rFonts w:ascii="Calibri" w:cs="Calibri" w:eastAsia="Calibri" w:hAnsi="Calibri"/>
          <w:sz w:val="20"/>
          <w:szCs w:val="20"/>
          <w:b w:val="1"/>
          <w:bCs w:val="1"/>
          <w:color w:val="auto"/>
        </w:rPr>
        <w:t>Dispute</w:t>
      </w:r>
    </w:p>
    <w:p>
      <w:pPr>
        <w:spacing w:after="0" w:line="199" w:lineRule="auto"/>
        <w:rPr>
          <w:sz w:val="20"/>
          <w:szCs w:val="20"/>
          <w:color w:val="auto"/>
        </w:rPr>
      </w:pPr>
      <w:r>
        <w:rPr>
          <w:rFonts w:ascii="Calibri" w:cs="Calibri" w:eastAsia="Calibri" w:hAnsi="Calibri"/>
          <w:sz w:val="20"/>
          <w:szCs w:val="20"/>
          <w:b w:val="1"/>
          <w:bCs w:val="1"/>
          <w:color w:val="auto"/>
        </w:rPr>
        <w:t>Resoluton</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37</w:t>
      </w:r>
    </w:p>
    <w:p>
      <w:pPr>
        <w:sectPr>
          <w:pgSz w:w="11900" w:h="16838" w:orient="portrait"/>
          <w:cols w:equalWidth="0" w:num="1">
            <w:col w:w="11240"/>
          </w:cols>
          <w:pgMar w:left="320" w:top="1384" w:right="339" w:bottom="1440" w:gutter="0" w:footer="0" w:header="0"/>
        </w:sectPr>
      </w:pPr>
    </w:p>
    <w:bookmarkStart w:id="479" w:name="page480"/>
    <w:bookmarkEnd w:id="479"/>
    <w:p>
      <w:pPr>
        <w:ind w:left="1960"/>
        <w:spacing w:after="0"/>
        <w:tabs>
          <w:tab w:leader="none" w:pos="2580" w:val="left"/>
        </w:tabs>
        <w:rPr>
          <w:sz w:val="20"/>
          <w:szCs w:val="20"/>
          <w:color w:val="auto"/>
        </w:rPr>
      </w:pPr>
      <w:r>
        <w:rPr>
          <w:rFonts w:ascii="Calibri" w:cs="Calibri" w:eastAsia="Calibri" w:hAnsi="Calibri"/>
          <w:sz w:val="20"/>
          <w:szCs w:val="20"/>
          <w:color w:val="auto"/>
        </w:rPr>
        <w:t>(a)</w:t>
      </w:r>
      <w:r>
        <w:rPr>
          <w:sz w:val="20"/>
          <w:szCs w:val="20"/>
          <w:color w:val="auto"/>
        </w:rPr>
        <w:tab/>
      </w:r>
      <w:r>
        <w:rPr>
          <w:rFonts w:ascii="Calibri" w:cs="Calibri" w:eastAsia="Calibri" w:hAnsi="Calibri"/>
          <w:sz w:val="20"/>
          <w:szCs w:val="20"/>
          <w:color w:val="auto"/>
        </w:rPr>
        <w:t>Secton 6.17(a) (</w:t>
      </w:r>
      <w:r>
        <w:rPr>
          <w:rFonts w:ascii="Calibri" w:cs="Calibri" w:eastAsia="Calibri" w:hAnsi="Calibri"/>
          <w:sz w:val="20"/>
          <w:szCs w:val="20"/>
          <w:b w:val="1"/>
          <w:bCs w:val="1"/>
          <w:color w:val="auto"/>
        </w:rPr>
        <w:t>Foreign Entty of Concern; Prohibited Persons; Sanctons; Export Controls; Ant-</w:t>
      </w:r>
    </w:p>
    <w:p>
      <w:pPr>
        <w:spacing w:after="0" w:line="199" w:lineRule="auto"/>
        <w:rPr>
          <w:sz w:val="20"/>
          <w:szCs w:val="20"/>
          <w:color w:val="auto"/>
        </w:rPr>
      </w:pPr>
      <w:r>
        <w:rPr>
          <w:rFonts w:ascii="Calibri" w:cs="Calibri" w:eastAsia="Calibri" w:hAnsi="Calibri"/>
          <w:sz w:val="20"/>
          <w:szCs w:val="20"/>
          <w:b w:val="1"/>
          <w:bCs w:val="1"/>
          <w:color w:val="auto"/>
        </w:rPr>
        <w:t>Corrupton</w:t>
      </w:r>
      <w:r>
        <w:rPr>
          <w:rFonts w:ascii="Calibri" w:cs="Calibri" w:eastAsia="Calibri" w:hAnsi="Calibri"/>
          <w:sz w:val="20"/>
          <w:szCs w:val="20"/>
          <w:color w:val="auto"/>
        </w:rPr>
        <w:t>);</w:t>
      </w:r>
    </w:p>
    <w:p>
      <w:pPr>
        <w:spacing w:after="0" w:line="147" w:lineRule="exact"/>
        <w:rPr>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7.2.13(b) (</w:t>
      </w: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8.1.1(a) (</w:t>
      </w: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9.1.4 (</w:t>
      </w:r>
      <w:r>
        <w:rPr>
          <w:rFonts w:ascii="Calibri" w:cs="Calibri" w:eastAsia="Calibri" w:hAnsi="Calibri"/>
          <w:sz w:val="20"/>
          <w:szCs w:val="20"/>
          <w:b w:val="1"/>
          <w:bCs w:val="1"/>
          <w:color w:val="auto"/>
        </w:rPr>
        <w:t>Cross Default</w:t>
      </w:r>
      <w:r>
        <w:rPr>
          <w:rFonts w:ascii="Calibri" w:cs="Calibri" w:eastAsia="Calibri" w:hAnsi="Calibri"/>
          <w:sz w:val="20"/>
          <w:szCs w:val="20"/>
          <w:color w:val="auto"/>
        </w:rPr>
        <w: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9.1.7 (</w:t>
      </w:r>
      <w:r>
        <w:rPr>
          <w:rFonts w:ascii="Calibri" w:cs="Calibri" w:eastAsia="Calibri" w:hAnsi="Calibri"/>
          <w:sz w:val="20"/>
          <w:szCs w:val="20"/>
          <w:b w:val="1"/>
          <w:bCs w:val="1"/>
          <w:color w:val="auto"/>
        </w:rPr>
        <w:t>Bankruptcy; Insolvency; Dissoluton</w:t>
      </w:r>
      <w:r>
        <w:rPr>
          <w:rFonts w:ascii="Calibri" w:cs="Calibri" w:eastAsia="Calibri" w:hAnsi="Calibri"/>
          <w:sz w:val="20"/>
          <w:szCs w:val="20"/>
          <w:color w:val="auto"/>
        </w:rPr>
        <w:t>);</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w:t>
      </w:r>
    </w:p>
    <w:p>
      <w:pPr>
        <w:spacing w:after="0" w:line="153"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Secton 9.1.15 (</w:t>
      </w:r>
      <w:r>
        <w:rPr>
          <w:rFonts w:ascii="Calibri" w:cs="Calibri" w:eastAsia="Calibri" w:hAnsi="Calibri"/>
          <w:sz w:val="20"/>
          <w:szCs w:val="20"/>
          <w:b w:val="1"/>
          <w:bCs w:val="1"/>
          <w:color w:val="auto"/>
        </w:rPr>
        <w:t>Compliance with Sanctons, Export Control Laws, Ant-Money Laundering Laws, and</w:t>
      </w:r>
    </w:p>
    <w:p>
      <w:pPr>
        <w:spacing w:after="0" w:line="193" w:lineRule="auto"/>
        <w:rPr>
          <w:rFonts w:ascii="Calibri" w:cs="Calibri" w:eastAsia="Calibri" w:hAnsi="Calibri"/>
          <w:sz w:val="20"/>
          <w:szCs w:val="20"/>
          <w:color w:val="auto"/>
        </w:rPr>
      </w:pPr>
      <w:r>
        <w:rPr>
          <w:rFonts w:ascii="Calibri" w:cs="Calibri" w:eastAsia="Calibri" w:hAnsi="Calibri"/>
          <w:sz w:val="20"/>
          <w:szCs w:val="20"/>
          <w:b w:val="1"/>
          <w:bCs w:val="1"/>
          <w:color w:val="auto"/>
        </w:rPr>
        <w:t>Ant-Corrupton Laws</w:t>
      </w:r>
      <w:r>
        <w:rPr>
          <w:rFonts w:ascii="Calibri" w:cs="Calibri" w:eastAsia="Calibri" w:hAnsi="Calibri"/>
          <w:sz w:val="20"/>
          <w:szCs w:val="20"/>
          <w:color w:val="auto"/>
        </w:rPr>
        <w:t>); and</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595"/>
        </w:numPr>
        <w:rPr>
          <w:rFonts w:ascii="Calibri" w:cs="Calibri" w:eastAsia="Calibri" w:hAnsi="Calibri"/>
          <w:sz w:val="20"/>
          <w:szCs w:val="20"/>
          <w:color w:val="auto"/>
        </w:rPr>
      </w:pPr>
      <w:r>
        <w:rPr>
          <w:rFonts w:ascii="Calibri" w:cs="Calibri" w:eastAsia="Calibri" w:hAnsi="Calibri"/>
          <w:sz w:val="20"/>
          <w:szCs w:val="20"/>
          <w:color w:val="auto"/>
        </w:rPr>
        <w:t>the Guardrail Provisions.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10.13.</w:t>
      </w:r>
      <w:r>
        <w:rPr>
          <w:sz w:val="20"/>
          <w:szCs w:val="20"/>
          <w:color w:val="auto"/>
        </w:rPr>
        <w:tab/>
      </w:r>
      <w:r>
        <w:rPr>
          <w:rFonts w:ascii="Calibri" w:cs="Calibri" w:eastAsia="Calibri" w:hAnsi="Calibri"/>
          <w:sz w:val="20"/>
          <w:szCs w:val="20"/>
          <w:b w:val="1"/>
          <w:bCs w:val="1"/>
          <w:color w:val="auto"/>
        </w:rPr>
        <w:t>Successors and Assigns</w:t>
      </w:r>
      <w:r>
        <w:rPr>
          <w:rFonts w:ascii="Calibri" w:cs="Calibri" w:eastAsia="Calibri" w:hAnsi="Calibri"/>
          <w:sz w:val="20"/>
          <w:szCs w:val="20"/>
          <w:color w:val="auto"/>
        </w:rPr>
        <w:t>.</w:t>
      </w:r>
    </w:p>
    <w:p>
      <w:pPr>
        <w:spacing w:after="0" w:line="157" w:lineRule="exact"/>
        <w:rPr>
          <w:sz w:val="20"/>
          <w:szCs w:val="20"/>
          <w:color w:val="auto"/>
        </w:rPr>
      </w:pPr>
    </w:p>
    <w:p>
      <w:pPr>
        <w:ind w:firstLine="1952"/>
        <w:spacing w:after="0" w:line="214" w:lineRule="auto"/>
        <w:tabs>
          <w:tab w:leader="none" w:pos="2596" w:val="left"/>
        </w:tabs>
        <w:numPr>
          <w:ilvl w:val="0"/>
          <w:numId w:val="596"/>
        </w:numPr>
        <w:rPr>
          <w:rFonts w:ascii="Calibri" w:cs="Calibri" w:eastAsia="Calibri" w:hAnsi="Calibri"/>
          <w:sz w:val="20"/>
          <w:szCs w:val="20"/>
          <w:color w:val="auto"/>
        </w:rPr>
      </w:pPr>
      <w:r>
        <w:rPr>
          <w:rFonts w:ascii="Calibri" w:cs="Calibri" w:eastAsia="Calibri" w:hAnsi="Calibri"/>
          <w:sz w:val="20"/>
          <w:szCs w:val="20"/>
          <w:color w:val="auto"/>
        </w:rPr>
        <w:t>The provisions of this Agreement shall be binding upon and inure to the beneft of the Partes and their respectve successors and permited assigns.</w:t>
      </w:r>
    </w:p>
    <w:p>
      <w:pPr>
        <w:spacing w:after="0" w:line="158"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596"/>
        </w:numPr>
        <w:rPr>
          <w:rFonts w:ascii="Calibri" w:cs="Calibri" w:eastAsia="Calibri" w:hAnsi="Calibri"/>
          <w:sz w:val="20"/>
          <w:szCs w:val="20"/>
          <w:color w:val="auto"/>
        </w:rPr>
      </w:pPr>
      <w:r>
        <w:rPr>
          <w:rFonts w:ascii="Calibri" w:cs="Calibri" w:eastAsia="Calibri" w:hAnsi="Calibri"/>
          <w:sz w:val="20"/>
          <w:szCs w:val="20"/>
          <w:color w:val="auto"/>
        </w:rPr>
        <w:t>The Recipient shall not assign or otherwise transfer any of its rights or obligatons under this Agreement or under any Award Document without the prior writen consent of the Department.</w:t>
      </w:r>
    </w:p>
    <w:p>
      <w:pPr>
        <w:spacing w:after="0" w:line="159"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10.14. </w:t>
      </w:r>
      <w:r>
        <w:rPr>
          <w:rFonts w:ascii="Calibri" w:cs="Calibri" w:eastAsia="Calibri" w:hAnsi="Calibri"/>
          <w:sz w:val="20"/>
          <w:szCs w:val="20"/>
          <w:b w:val="1"/>
          <w:bCs w:val="1"/>
          <w:color w:val="auto"/>
        </w:rPr>
        <w:t>Reinstatement</w:t>
      </w:r>
      <w:r>
        <w:rPr>
          <w:rFonts w:ascii="Calibri" w:cs="Calibri" w:eastAsia="Calibri" w:hAnsi="Calibri"/>
          <w:sz w:val="20"/>
          <w:szCs w:val="20"/>
          <w:color w:val="auto"/>
        </w:rPr>
        <w:t>. This Agreement and each other relevant Financing Document shall contnue to be efectve or be reinstated, as the case may be, if at any tme payment or performance of the Recipient’s obligatons hereunder, or any part thereof, is, pursuant to Applicable Laws or Governmental Judgment, rescinded or reduced in amount or must otherwise be restored or returned by the Department. In the event that any payment or any part thereof is so rescinded, reduced, restored, or returned, such obligatons shall be reinstated and deemed reduced only by such amount paid and not so rescinded, reduced, restored, or returned, and this Agreement, each other relevant Financing Document shall remain in full force and efect untl the indefeasible payment and discharge in full of such obligatons.</w:t>
      </w:r>
    </w:p>
    <w:p>
      <w:pPr>
        <w:spacing w:after="0" w:line="163"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10.15. </w:t>
      </w:r>
      <w:r>
        <w:rPr>
          <w:rFonts w:ascii="Calibri" w:cs="Calibri" w:eastAsia="Calibri" w:hAnsi="Calibri"/>
          <w:sz w:val="20"/>
          <w:szCs w:val="20"/>
          <w:b w:val="1"/>
          <w:bCs w:val="1"/>
          <w:color w:val="auto"/>
        </w:rPr>
        <w:t>No Partnership; Etc.</w:t>
      </w:r>
      <w:r>
        <w:rPr>
          <w:rFonts w:ascii="Calibri" w:cs="Calibri" w:eastAsia="Calibri" w:hAnsi="Calibri"/>
          <w:sz w:val="20"/>
          <w:szCs w:val="20"/>
          <w:color w:val="auto"/>
        </w:rPr>
        <w:t xml:space="preserve"> Nothing contained in this Agreement or in any other Financing Document shall be deemed or construed to create a partnership, tenancy-in-common, joint tenancy, joint venture, or co-ownership by, between, or among the Department and the Recipient or any other Person. The Department shall not be in any way responsible or liable for the indebtedness, losses, obligatons, or dutes of the Recipient or any other Person with respect to any Project or otherwise. All obligatons to pay Real Property or other taxes, assessments, insurance premiums, and all other fees and expenses in connecton with or arising from the ownership, operaton, or occupancy of any Project or any other assets and to perform all obligatons under the agreements and contracts relatng to any Project or any other assets shall be the sole responsibility of the Recipient.</w:t>
      </w:r>
    </w:p>
    <w:p>
      <w:pPr>
        <w:spacing w:after="0" w:line="176"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 xml:space="preserve">Secton 10.16. </w:t>
      </w:r>
      <w:r>
        <w:rPr>
          <w:rFonts w:ascii="Calibri" w:cs="Calibri" w:eastAsia="Calibri" w:hAnsi="Calibri"/>
          <w:sz w:val="20"/>
          <w:szCs w:val="20"/>
          <w:b w:val="1"/>
          <w:bCs w:val="1"/>
          <w:color w:val="auto"/>
        </w:rPr>
        <w:t>Marshaling</w:t>
      </w:r>
      <w:r>
        <w:rPr>
          <w:rFonts w:ascii="Calibri" w:cs="Calibri" w:eastAsia="Calibri" w:hAnsi="Calibri"/>
          <w:sz w:val="20"/>
          <w:szCs w:val="20"/>
          <w:color w:val="auto"/>
        </w:rPr>
        <w:t>. The Department shall not be under any obligaton to marshal any assets in favor of the Recipient or any other Person or against or in payment of any or all of the Department Obligatons.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10.17.</w:t>
      </w:r>
      <w:r>
        <w:rPr>
          <w:sz w:val="20"/>
          <w:szCs w:val="20"/>
          <w:color w:val="auto"/>
        </w:rPr>
        <w:tab/>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157" w:lineRule="exact"/>
        <w:rPr>
          <w:sz w:val="20"/>
          <w:szCs w:val="20"/>
          <w:color w:val="auto"/>
        </w:rPr>
      </w:pPr>
    </w:p>
    <w:p>
      <w:pPr>
        <w:jc w:val="both"/>
        <w:ind w:firstLine="1952"/>
        <w:spacing w:after="0" w:line="203" w:lineRule="auto"/>
        <w:tabs>
          <w:tab w:leader="none" w:pos="2596" w:val="left"/>
        </w:tabs>
        <w:numPr>
          <w:ilvl w:val="0"/>
          <w:numId w:val="597"/>
        </w:numPr>
        <w:rPr>
          <w:rFonts w:ascii="Calibri" w:cs="Calibri" w:eastAsia="Calibri" w:hAnsi="Calibri"/>
          <w:sz w:val="20"/>
          <w:szCs w:val="20"/>
          <w:color w:val="auto"/>
        </w:rPr>
      </w:pPr>
      <w:r>
        <w:rPr>
          <w:rFonts w:ascii="Calibri" w:cs="Calibri" w:eastAsia="Calibri" w:hAnsi="Calibri"/>
          <w:sz w:val="20"/>
          <w:szCs w:val="20"/>
          <w:color w:val="auto"/>
        </w:rPr>
        <w:t>The Recipient shall indemnify the Department and each of its ofcers, employees, atorneys and agents (each, an “</w:t>
      </w:r>
      <w:r>
        <w:rPr>
          <w:rFonts w:ascii="Calibri" w:cs="Calibri" w:eastAsia="Calibri" w:hAnsi="Calibri"/>
          <w:sz w:val="20"/>
          <w:szCs w:val="20"/>
          <w:b w:val="1"/>
          <w:bCs w:val="1"/>
          <w:color w:val="auto"/>
        </w:rPr>
        <w:t>Indemnifed Party</w:t>
      </w:r>
      <w:r>
        <w:rPr>
          <w:rFonts w:ascii="Calibri" w:cs="Calibri" w:eastAsia="Calibri" w:hAnsi="Calibri"/>
          <w:sz w:val="20"/>
          <w:szCs w:val="20"/>
          <w:color w:val="auto"/>
        </w:rPr>
        <w:t>”) from and against any liabilites, obligatons, losses, damages, penaltes, claims, judgments, lawsuits, costs and expenses (other than atorneys’ costs and fees) (each, an “</w:t>
      </w:r>
      <w:r>
        <w:rPr>
          <w:rFonts w:ascii="Calibri" w:cs="Calibri" w:eastAsia="Calibri" w:hAnsi="Calibri"/>
          <w:sz w:val="20"/>
          <w:szCs w:val="20"/>
          <w:b w:val="1"/>
          <w:bCs w:val="1"/>
          <w:color w:val="auto"/>
        </w:rPr>
        <w:t>Indemnifed Liability</w:t>
      </w:r>
      <w:r>
        <w:rPr>
          <w:rFonts w:ascii="Calibri" w:cs="Calibri" w:eastAsia="Calibri" w:hAnsi="Calibri"/>
          <w:sz w:val="20"/>
          <w:szCs w:val="20"/>
          <w:color w:val="auto"/>
        </w:rPr>
        <w:t>”) for which an Indemnifed Party may become responsible because of a claim asserted by a third party related to the Award, the use of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38</w:t>
      </w:r>
    </w:p>
    <w:p>
      <w:pPr>
        <w:sectPr>
          <w:pgSz w:w="11900" w:h="16838" w:orient="portrait"/>
          <w:cols w:equalWidth="0" w:num="1">
            <w:col w:w="11240"/>
          </w:cols>
          <w:pgMar w:left="320" w:top="1374" w:right="339" w:bottom="1440" w:gutter="0" w:footer="0" w:header="0"/>
        </w:sectPr>
      </w:pPr>
    </w:p>
    <w:bookmarkStart w:id="480" w:name="page481"/>
    <w:bookmarkEnd w:id="480"/>
    <w:p>
      <w:pPr>
        <w:jc w:val="both"/>
        <w:spacing w:after="0" w:line="203" w:lineRule="auto"/>
        <w:rPr>
          <w:sz w:val="20"/>
          <w:szCs w:val="20"/>
          <w:color w:val="auto"/>
        </w:rPr>
      </w:pPr>
      <w:r>
        <w:rPr>
          <w:rFonts w:ascii="Calibri" w:cs="Calibri" w:eastAsia="Calibri" w:hAnsi="Calibri"/>
          <w:sz w:val="20"/>
          <w:szCs w:val="20"/>
          <w:color w:val="auto"/>
        </w:rPr>
        <w:t>this Agreement, any Financing Document, or any Project; provided, that the Recipient shall not have an any indemnifcaton obligaton hereunder if the third Party’s claim is based solely on the conduct of the Department (and no other Party) or arises from the bad faith, gross negligence or willful misconduct of any Indemnifed Party (as determined pursuant to a fnal, non-appealable judgment by a court of competent jurisdicton).</w:t>
      </w:r>
    </w:p>
    <w:p>
      <w:pPr>
        <w:spacing w:after="0" w:line="160" w:lineRule="exact"/>
        <w:rPr>
          <w:sz w:val="20"/>
          <w:szCs w:val="20"/>
          <w:color w:val="auto"/>
        </w:rPr>
      </w:pPr>
    </w:p>
    <w:p>
      <w:pPr>
        <w:jc w:val="both"/>
        <w:ind w:firstLine="1952"/>
        <w:spacing w:after="0" w:line="209" w:lineRule="auto"/>
        <w:tabs>
          <w:tab w:leader="none" w:pos="2592" w:val="left"/>
        </w:tabs>
        <w:numPr>
          <w:ilvl w:val="0"/>
          <w:numId w:val="598"/>
        </w:numPr>
        <w:rPr>
          <w:rFonts w:ascii="Calibri" w:cs="Calibri" w:eastAsia="Calibri" w:hAnsi="Calibri"/>
          <w:sz w:val="20"/>
          <w:szCs w:val="20"/>
          <w:color w:val="auto"/>
        </w:rPr>
      </w:pPr>
      <w:r>
        <w:rPr>
          <w:rFonts w:ascii="Calibri" w:cs="Calibri" w:eastAsia="Calibri" w:hAnsi="Calibri"/>
          <w:sz w:val="20"/>
          <w:szCs w:val="20"/>
          <w:color w:val="auto"/>
        </w:rPr>
        <w:t>An Indemnifed Party shall give tmely notce to the Recipient of any acton for which indemnifcaton hereunder may be sought; provided that any failure to give such notce shall not release the Recipient from any of its indemnifcaton obligatons hereunder.</w:t>
      </w:r>
    </w:p>
    <w:p>
      <w:pPr>
        <w:spacing w:after="0" w:line="158"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598"/>
        </w:numPr>
        <w:rPr>
          <w:rFonts w:ascii="Calibri" w:cs="Calibri" w:eastAsia="Calibri" w:hAnsi="Calibri"/>
          <w:sz w:val="20"/>
          <w:szCs w:val="20"/>
          <w:color w:val="auto"/>
        </w:rPr>
      </w:pPr>
      <w:r>
        <w:rPr>
          <w:rFonts w:ascii="Calibri" w:cs="Calibri" w:eastAsia="Calibri" w:hAnsi="Calibri"/>
          <w:sz w:val="20"/>
          <w:szCs w:val="20"/>
          <w:color w:val="auto"/>
        </w:rPr>
        <w:t>The Recipient agrees that the Department has sole authority regarding the conduct of any litgaton brought against any Indemnifed Party and the Recipient agrees that the decisions of the Department regarding any such litgaton, trial or setlement shall not relieve the Recipient of its indemnifcaton obligatons hereunder. The Department agrees that it will advise the Recipient regarding the conduct of any such litgaton and that Recipient shall be given the opportunity at its own cost and expense to advise the Department of its views regarding such litgaton, including any setlement related thereto. The Department agrees that it will not compromise or setle any Indemnifed Liability, untl it has advised the Recipient, as provided above, and has been authorized by the government ofcial with authority to approve setlements pursuant to applicable rules. No provision herein shall restrict, modify or otherwise afect the authority of the United States to setle or compromise any claim according to Applicable Law.</w:t>
      </w:r>
    </w:p>
    <w:p>
      <w:pPr>
        <w:spacing w:after="0" w:line="162" w:lineRule="exact"/>
        <w:rPr>
          <w:rFonts w:ascii="Calibri" w:cs="Calibri" w:eastAsia="Calibri" w:hAnsi="Calibri"/>
          <w:sz w:val="20"/>
          <w:szCs w:val="20"/>
          <w:color w:val="auto"/>
        </w:rPr>
      </w:pPr>
    </w:p>
    <w:p>
      <w:pPr>
        <w:ind w:firstLine="1952"/>
        <w:spacing w:after="0" w:line="208" w:lineRule="auto"/>
        <w:tabs>
          <w:tab w:leader="none" w:pos="2592" w:val="left"/>
        </w:tabs>
        <w:numPr>
          <w:ilvl w:val="0"/>
          <w:numId w:val="598"/>
        </w:numPr>
        <w:rPr>
          <w:rFonts w:ascii="Calibri" w:cs="Calibri" w:eastAsia="Calibri" w:hAnsi="Calibri"/>
          <w:sz w:val="20"/>
          <w:szCs w:val="20"/>
          <w:color w:val="auto"/>
        </w:rPr>
      </w:pPr>
      <w:r>
        <w:rPr>
          <w:rFonts w:ascii="Calibri" w:cs="Calibri" w:eastAsia="Calibri" w:hAnsi="Calibri"/>
          <w:sz w:val="20"/>
          <w:szCs w:val="20"/>
          <w:color w:val="auto"/>
        </w:rPr>
        <w:t>All sums paid and costs incurred by any Indemnifed Party with respect to any mater indemnifed hereunder shall be immediately due and payable by the Recipient.</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10.18. </w:t>
      </w:r>
      <w:r>
        <w:rPr>
          <w:rFonts w:ascii="Calibri" w:cs="Calibri" w:eastAsia="Calibri" w:hAnsi="Calibri"/>
          <w:sz w:val="20"/>
          <w:szCs w:val="20"/>
          <w:b w:val="1"/>
          <w:bCs w:val="1"/>
          <w:color w:val="auto"/>
        </w:rPr>
        <w:t>Counterparts; Electronic Signatures</w:t>
      </w:r>
      <w:r>
        <w:rPr>
          <w:rFonts w:ascii="Calibri" w:cs="Calibri" w:eastAsia="Calibri" w:hAnsi="Calibri"/>
          <w:sz w:val="20"/>
          <w:szCs w:val="20"/>
          <w:color w:val="auto"/>
        </w:rPr>
        <w:t>. This Agreement may be executed in one or more duplicate counterparts and when executed by all of the Partes shall consttute a single binding agreement. The delivery of an executed counterpart of this Agreement by electronic means, including by facsimile or by portable document format (PDF) atachment to email, shall be as efectve as delivery of an original executed counterpart of this Agreement. Except to the extent Applicable Law would prohibit the same, make the same unenforceable, or afrmatvely requires a manually executed counterpart signature: (a) the delivery of an executed counterpart of a signature page of this Agreement by fax, emailed .pdf, or any other electronic means approved by the Department in writng (which may be via email) that reproduces an image of the actual executed signature page shall be as efectve as the delivery of a manually executed counterpart of this Agreement; (b) the delivery of an executed counterpart of a signature page of this Agreement by fax, emailed .pdf, or any other electronic delivery means approved by the Department in writng (which may be via email) that contains a DocuSign signature or, in the case of the Department’s signature, a digital signature associated with a Personal Identty Verifcaton card, or any other electronic signature means approved by the Department in writng (which may be via email) shall be as efectve as the delivery of a manually executed counterpart of this Agreement; and (c) if agreed by the Department in writng (which may be via email) with respect to this Agreement, the delivery of an executed counterpart of a signature page of this Agreement by electronic means that types in the signatory to a document as a “conformed signature” from an email address approved by the Department in writng (which may be via email) shall be as efectve as the delivery of a manually executed counterpart of this Agreement. In furtherance of the foregoing, the words “executon,” “signed,” “signature,” “delivery,” and words of like import in or relatng to any document to be signed in connecton with this Agreement and the transactons contemplated hereby or thereby shall be deemed to include Electronic Signatures, deliveries or the keeping of records in electronic form, each of which shall be of the same legal efect, validity or enforceability as a manually executed signature, physical delivery thereof, or the use of a paper-based recordkeeping system, as the case may be, to the extent and as provided for in any Applicable Law, including the Federal Electronic Signatures in Global and Natonal Commerce Act, the New York State Electronic Signatures and Records Act, or any other similar state laws based on the Uniform Electronic Transactons Act.</w:t>
      </w:r>
    </w:p>
    <w:p>
      <w:pPr>
        <w:spacing w:after="0" w:line="170"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10.19. </w:t>
      </w:r>
      <w:r>
        <w:rPr>
          <w:rFonts w:ascii="Calibri" w:cs="Calibri" w:eastAsia="Calibri" w:hAnsi="Calibri"/>
          <w:sz w:val="20"/>
          <w:szCs w:val="20"/>
          <w:b w:val="1"/>
          <w:bCs w:val="1"/>
          <w:color w:val="auto"/>
        </w:rPr>
        <w:t>Benefts of Agreement</w:t>
      </w:r>
      <w:r>
        <w:rPr>
          <w:rFonts w:ascii="Calibri" w:cs="Calibri" w:eastAsia="Calibri" w:hAnsi="Calibri"/>
          <w:sz w:val="20"/>
          <w:szCs w:val="20"/>
          <w:color w:val="auto"/>
        </w:rPr>
        <w:t>. Nothing in this Agreement, any other Financing Document, express or implied, shall give to any Person, other than the partes hereto and thereto and their successors and permited assigns hereunder or thereunder, any beneft or any legal or equitable right or remedy under this Agreement, any other Financing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39</w:t>
      </w:r>
    </w:p>
    <w:p>
      <w:pPr>
        <w:sectPr>
          <w:pgSz w:w="11900" w:h="16838" w:orient="portrait"/>
          <w:cols w:equalWidth="0" w:num="1">
            <w:col w:w="11240"/>
          </w:cols>
          <w:pgMar w:left="320" w:top="1384" w:right="339" w:bottom="1440" w:gutter="0" w:footer="0" w:header="0"/>
        </w:sectPr>
      </w:pPr>
    </w:p>
    <w:bookmarkStart w:id="481" w:name="page482"/>
    <w:bookmarkEnd w:id="481"/>
    <w:p>
      <w:pPr>
        <w:ind w:left="640"/>
        <w:spacing w:after="0"/>
        <w:tabs>
          <w:tab w:leader="none" w:pos="1920" w:val="left"/>
        </w:tabs>
        <w:rPr>
          <w:sz w:val="20"/>
          <w:szCs w:val="20"/>
          <w:color w:val="auto"/>
        </w:rPr>
      </w:pPr>
      <w:r>
        <w:rPr>
          <w:rFonts w:ascii="Calibri" w:cs="Calibri" w:eastAsia="Calibri" w:hAnsi="Calibri"/>
          <w:sz w:val="20"/>
          <w:szCs w:val="20"/>
          <w:color w:val="auto"/>
        </w:rPr>
        <w:t>Secton 10.20.</w:t>
      </w:r>
      <w:r>
        <w:rPr>
          <w:sz w:val="20"/>
          <w:szCs w:val="20"/>
          <w:color w:val="auto"/>
        </w:rPr>
        <w:tab/>
      </w:r>
      <w:r>
        <w:rPr>
          <w:rFonts w:ascii="Calibri" w:cs="Calibri" w:eastAsia="Calibri" w:hAnsi="Calibri"/>
          <w:sz w:val="20"/>
          <w:szCs w:val="20"/>
          <w:b w:val="1"/>
          <w:bCs w:val="1"/>
          <w:color w:val="auto"/>
        </w:rPr>
        <w:t>Terminaton; Survival</w:t>
      </w:r>
      <w:r>
        <w:rPr>
          <w:rFonts w:ascii="Calibri" w:cs="Calibri" w:eastAsia="Calibri" w:hAnsi="Calibri"/>
          <w:sz w:val="20"/>
          <w:szCs w:val="20"/>
          <w:color w:val="auto"/>
        </w:rPr>
        <w:t>.</w:t>
      </w:r>
    </w:p>
    <w:p>
      <w:pPr>
        <w:spacing w:after="0" w:line="157" w:lineRule="exact"/>
        <w:rPr>
          <w:sz w:val="20"/>
          <w:szCs w:val="20"/>
          <w:color w:val="auto"/>
        </w:rPr>
      </w:pPr>
    </w:p>
    <w:p>
      <w:pPr>
        <w:jc w:val="both"/>
        <w:ind w:left="-20" w:firstLine="1952"/>
        <w:spacing w:after="0" w:line="202" w:lineRule="auto"/>
        <w:tabs>
          <w:tab w:leader="none" w:pos="2576" w:val="left"/>
        </w:tabs>
        <w:numPr>
          <w:ilvl w:val="0"/>
          <w:numId w:val="599"/>
        </w:numPr>
        <w:rPr>
          <w:rFonts w:ascii="Calibri" w:cs="Calibri" w:eastAsia="Calibri" w:hAnsi="Calibri"/>
          <w:sz w:val="20"/>
          <w:szCs w:val="20"/>
          <w:color w:val="auto"/>
        </w:rPr>
      </w:pPr>
      <w:r>
        <w:rPr>
          <w:rFonts w:ascii="Calibri" w:cs="Calibri" w:eastAsia="Calibri" w:hAnsi="Calibri"/>
          <w:sz w:val="20"/>
          <w:szCs w:val="20"/>
          <w:color w:val="auto"/>
        </w:rPr>
        <w:t>The terms and conditons of this Agreement and the Award, and all rights and obligatons of the Partes thereunder, shall terminate on the Terminaton Date, unless otherwise extended by mutual writen agreement of the Partes; provided however the terminaton of this Agreement and the Award on the Terminaton Date shall not afect any rights or remedies of any Party that have accrued prior to or on the Terminaton Date, or any obligatons or liabilites of the Recipient that expressly survive the Terminaton Date as set forth in clauses (b) and (c) below or by Applicable Law.</w:t>
      </w:r>
    </w:p>
    <w:p>
      <w:pPr>
        <w:spacing w:after="0" w:line="160" w:lineRule="exact"/>
        <w:rPr>
          <w:rFonts w:ascii="Calibri" w:cs="Calibri" w:eastAsia="Calibri" w:hAnsi="Calibri"/>
          <w:sz w:val="20"/>
          <w:szCs w:val="20"/>
          <w:color w:val="auto"/>
        </w:rPr>
      </w:pPr>
    </w:p>
    <w:p>
      <w:pPr>
        <w:ind w:left="-20" w:right="20" w:firstLine="1952"/>
        <w:spacing w:after="0" w:line="214" w:lineRule="auto"/>
        <w:tabs>
          <w:tab w:leader="none" w:pos="2572" w:val="left"/>
        </w:tabs>
        <w:numPr>
          <w:ilvl w:val="0"/>
          <w:numId w:val="599"/>
        </w:numPr>
        <w:rPr>
          <w:rFonts w:ascii="Calibri" w:cs="Calibri" w:eastAsia="Calibri" w:hAnsi="Calibri"/>
          <w:sz w:val="20"/>
          <w:szCs w:val="20"/>
          <w:color w:val="auto"/>
        </w:rPr>
      </w:pPr>
      <w:r>
        <w:rPr>
          <w:rFonts w:ascii="Calibri" w:cs="Calibri" w:eastAsia="Calibri" w:hAnsi="Calibri"/>
          <w:sz w:val="20"/>
          <w:szCs w:val="20"/>
          <w:color w:val="auto"/>
        </w:rPr>
        <w:t>All representatons and warrantes made by the Recipient in any Award Document or other documents delivered in connecton therewith shall be considered to have been relied upon the Department and shall survive the Terminaton Date.</w:t>
      </w:r>
    </w:p>
    <w:p>
      <w:pPr>
        <w:spacing w:after="0" w:line="158" w:lineRule="exact"/>
        <w:rPr>
          <w:rFonts w:ascii="Calibri" w:cs="Calibri" w:eastAsia="Calibri" w:hAnsi="Calibri"/>
          <w:sz w:val="20"/>
          <w:szCs w:val="20"/>
          <w:color w:val="auto"/>
        </w:rPr>
      </w:pPr>
    </w:p>
    <w:p>
      <w:pPr>
        <w:jc w:val="both"/>
        <w:ind w:left="-20" w:firstLine="1952"/>
        <w:spacing w:after="0" w:line="199" w:lineRule="auto"/>
        <w:tabs>
          <w:tab w:leader="none" w:pos="2564" w:val="left"/>
        </w:tabs>
        <w:numPr>
          <w:ilvl w:val="0"/>
          <w:numId w:val="599"/>
        </w:numPr>
        <w:rPr>
          <w:rFonts w:ascii="Calibri" w:cs="Calibri" w:eastAsia="Calibri" w:hAnsi="Calibri"/>
          <w:sz w:val="20"/>
          <w:szCs w:val="20"/>
          <w:color w:val="auto"/>
        </w:rPr>
      </w:pPr>
      <w:r>
        <w:rPr>
          <w:rFonts w:ascii="Calibri" w:cs="Calibri" w:eastAsia="Calibri" w:hAnsi="Calibri"/>
          <w:sz w:val="20"/>
          <w:szCs w:val="20"/>
          <w:color w:val="auto"/>
        </w:rPr>
        <w:t>The provisions of (a) Secton 3.4 (</w:t>
      </w:r>
      <w:r>
        <w:rPr>
          <w:rFonts w:ascii="Calibri" w:cs="Calibri" w:eastAsia="Calibri" w:hAnsi="Calibri"/>
          <w:sz w:val="20"/>
          <w:szCs w:val="20"/>
          <w:b w:val="1"/>
          <w:bCs w:val="1"/>
          <w:color w:val="auto"/>
        </w:rPr>
        <w:t>Net of Tax</w:t>
      </w:r>
      <w:r>
        <w:rPr>
          <w:rFonts w:ascii="Calibri" w:cs="Calibri" w:eastAsia="Calibri" w:hAnsi="Calibri"/>
          <w:sz w:val="20"/>
          <w:szCs w:val="20"/>
          <w:color w:val="auto"/>
        </w:rPr>
        <w:t>), Secton 3.3 (</w:t>
      </w:r>
      <w:r>
        <w:rPr>
          <w:rFonts w:ascii="Calibri" w:cs="Calibri" w:eastAsia="Calibri" w:hAnsi="Calibri"/>
          <w:sz w:val="20"/>
          <w:szCs w:val="20"/>
          <w:b w:val="1"/>
          <w:bCs w:val="1"/>
          <w:color w:val="auto"/>
        </w:rPr>
        <w:t>Payment of Costs and Expenses</w:t>
      </w:r>
      <w:r>
        <w:rPr>
          <w:rFonts w:ascii="Calibri" w:cs="Calibri" w:eastAsia="Calibri" w:hAnsi="Calibri"/>
          <w:sz w:val="20"/>
          <w:szCs w:val="20"/>
          <w:color w:val="auto"/>
        </w:rPr>
        <w:t>), Secton 9.1.1(c) (</w:t>
      </w:r>
      <w:r>
        <w:rPr>
          <w:rFonts w:ascii="Calibri" w:cs="Calibri" w:eastAsia="Calibri" w:hAnsi="Calibri"/>
          <w:sz w:val="20"/>
          <w:szCs w:val="20"/>
          <w:b w:val="1"/>
          <w:bCs w:val="1"/>
          <w:color w:val="auto"/>
        </w:rPr>
        <w:t>Expansion Clawback Event</w:t>
      </w:r>
      <w:r>
        <w:rPr>
          <w:rFonts w:ascii="Calibri" w:cs="Calibri" w:eastAsia="Calibri" w:hAnsi="Calibri"/>
          <w:sz w:val="20"/>
          <w:szCs w:val="20"/>
          <w:color w:val="auto"/>
        </w:rPr>
        <w:t>), Secton 10.7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Secton 10.10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Secton 10.11 (</w:t>
      </w:r>
      <w:r>
        <w:rPr>
          <w:rFonts w:ascii="Calibri" w:cs="Calibri" w:eastAsia="Calibri" w:hAnsi="Calibri"/>
          <w:sz w:val="20"/>
          <w:szCs w:val="20"/>
          <w:b w:val="1"/>
          <w:bCs w:val="1"/>
          <w:color w:val="auto"/>
        </w:rPr>
        <w:t>Consent to</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Jurisdicton</w:t>
      </w:r>
      <w:r>
        <w:rPr>
          <w:rFonts w:ascii="Calibri" w:cs="Calibri" w:eastAsia="Calibri" w:hAnsi="Calibri"/>
          <w:sz w:val="20"/>
          <w:szCs w:val="20"/>
          <w:color w:val="auto"/>
        </w:rPr>
        <w:t>), Secton 10.12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Secton 10.14 (</w:t>
      </w:r>
      <w:r>
        <w:rPr>
          <w:rFonts w:ascii="Calibri" w:cs="Calibri" w:eastAsia="Calibri" w:hAnsi="Calibri"/>
          <w:sz w:val="20"/>
          <w:szCs w:val="20"/>
          <w:b w:val="1"/>
          <w:bCs w:val="1"/>
          <w:color w:val="auto"/>
        </w:rPr>
        <w:t>Reinstatement</w:t>
      </w:r>
      <w:r>
        <w:rPr>
          <w:rFonts w:ascii="Calibri" w:cs="Calibri" w:eastAsia="Calibri" w:hAnsi="Calibri"/>
          <w:sz w:val="20"/>
          <w:szCs w:val="20"/>
          <w:color w:val="auto"/>
        </w:rPr>
        <w:t>), and Secton 10.17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 and (b)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Guardrail Provisions (excluding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and Secton 7(d) (</w:t>
      </w:r>
      <w:r>
        <w:rPr>
          <w:rFonts w:ascii="Calibri" w:cs="Calibri" w:eastAsia="Calibri" w:hAnsi="Calibri"/>
          <w:sz w:val="20"/>
          <w:szCs w:val="20"/>
          <w:b w:val="1"/>
          <w:bCs w:val="1"/>
          <w:color w:val="auto"/>
        </w:rPr>
        <w:t>Remedies,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Mitgaton and Clawbacks</w:t>
      </w:r>
      <w:r>
        <w:rPr>
          <w:rFonts w:ascii="Calibri" w:cs="Calibri" w:eastAsia="Calibri" w:hAnsi="Calibri"/>
          <w:sz w:val="20"/>
          <w:szCs w:val="20"/>
          <w:color w:val="auto"/>
        </w:rPr>
        <w:t>) thereof) and all other provisions and defnitons set forth in this Agreement required to give efect thereto,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Secton 10.5 (</w:t>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 shall survive and remain in full force and efect regardless of the consummaton of the transactons contemplated hereby, the payment in full of the Department Obligatons, the expiraton or terminaton of the Award, or the terminaton of this Agreement or any provision hereof on the Terminaton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40</w:t>
      </w:r>
    </w:p>
    <w:p>
      <w:pPr>
        <w:sectPr>
          <w:pgSz w:w="11900" w:h="16838" w:orient="portrait"/>
          <w:cols w:equalWidth="0" w:num="1">
            <w:col w:w="11220"/>
          </w:cols>
          <w:pgMar w:left="340" w:top="1374" w:right="339" w:bottom="1440" w:gutter="0" w:footer="0" w:header="0"/>
        </w:sectPr>
      </w:pPr>
    </w:p>
    <w:bookmarkStart w:id="482" w:name="page483"/>
    <w:bookmarkEnd w:id="482"/>
    <w:p>
      <w:pPr>
        <w:ind w:firstLine="648"/>
        <w:spacing w:after="0" w:line="234" w:lineRule="auto"/>
        <w:rPr>
          <w:sz w:val="20"/>
          <w:szCs w:val="20"/>
          <w:color w:val="auto"/>
        </w:rPr>
      </w:pPr>
      <w:r>
        <w:rPr>
          <w:rFonts w:ascii="Calibri" w:cs="Calibri" w:eastAsia="Calibri" w:hAnsi="Calibri"/>
          <w:sz w:val="20"/>
          <w:szCs w:val="20"/>
          <w:color w:val="auto"/>
        </w:rPr>
        <w:t>IN WITNESS WHEREOF, the Partes to this Agreement have caused this Agreement to be executed and delivered by their respectve ofcers or representatves hereunto duly authorized as of the date frst writen above.</w:t>
      </w:r>
    </w:p>
    <w:p>
      <w:pPr>
        <w:spacing w:after="0" w:line="189"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MICRON NEW YORK SEMICONDUCTOR MANUFACTURING LLC</w:t>
      </w:r>
    </w:p>
    <w:p>
      <w:pPr>
        <w:ind w:left="3900"/>
        <w:spacing w:after="0" w:line="225" w:lineRule="auto"/>
        <w:rPr>
          <w:sz w:val="20"/>
          <w:szCs w:val="20"/>
          <w:color w:val="auto"/>
        </w:rPr>
      </w:pPr>
      <w:r>
        <w:rPr>
          <w:rFonts w:ascii="Calibri" w:cs="Calibri" w:eastAsia="Calibri" w:hAnsi="Calibri"/>
          <w:sz w:val="20"/>
          <w:szCs w:val="20"/>
          <w:color w:val="auto"/>
        </w:rPr>
        <w:t>as Recipient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/s/ Scot Gatzemeier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-21590</wp:posOffset>
            </wp:positionV>
            <wp:extent cx="11849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181"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Name: Scot Gatzemeier</w:t>
      </w:r>
    </w:p>
    <w:p>
      <w:pPr>
        <w:ind w:left="3900"/>
        <w:spacing w:after="0" w:line="238" w:lineRule="auto"/>
        <w:rPr>
          <w:sz w:val="20"/>
          <w:szCs w:val="20"/>
          <w:color w:val="auto"/>
        </w:rPr>
      </w:pPr>
      <w:r>
        <w:rPr>
          <w:rFonts w:ascii="Calibri" w:cs="Calibri" w:eastAsia="Calibri" w:hAnsi="Calibri"/>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NY Projects - Direct Funding Agreement Signature Page</w:t>
      </w:r>
    </w:p>
    <w:p>
      <w:pPr>
        <w:sectPr>
          <w:pgSz w:w="11900" w:h="16838" w:orient="portrait"/>
          <w:cols w:equalWidth="0" w:num="1">
            <w:col w:w="11240"/>
          </w:cols>
          <w:pgMar w:left="320" w:top="1411" w:right="339" w:bottom="1440" w:gutter="0" w:footer="0" w:header="0"/>
        </w:sectPr>
      </w:pPr>
    </w:p>
    <w:bookmarkStart w:id="483" w:name="page484"/>
    <w:bookmarkEnd w:id="483"/>
    <w:p>
      <w:pPr>
        <w:ind w:left="2780"/>
        <w:spacing w:after="0" w:line="234" w:lineRule="auto"/>
        <w:rPr>
          <w:sz w:val="20"/>
          <w:szCs w:val="20"/>
          <w:color w:val="auto"/>
        </w:rPr>
      </w:pPr>
      <w:r>
        <w:rPr>
          <w:rFonts w:ascii="Calibri" w:cs="Calibri" w:eastAsia="Calibri" w:hAnsi="Calibri"/>
          <w:sz w:val="20"/>
          <w:szCs w:val="20"/>
          <w:color w:val="auto"/>
        </w:rPr>
        <w:t>UNITED STATES DEPARTMENT OF COMMERCE, an agency of the Federal Government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Calibri" w:cs="Calibri" w:eastAsia="Calibri" w:hAnsi="Calibri"/>
          <w:sz w:val="20"/>
          <w:szCs w:val="20"/>
          <w:color w:val="auto"/>
        </w:rPr>
        <w:t>/s/Michael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-21590</wp:posOffset>
            </wp:positionV>
            <wp:extent cx="11328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spacing w:after="0" w:line="181" w:lineRule="exact"/>
        <w:rPr>
          <w:sz w:val="20"/>
          <w:szCs w:val="20"/>
          <w:color w:val="auto"/>
        </w:rPr>
      </w:pPr>
    </w:p>
    <w:p>
      <w:pPr>
        <w:ind w:left="2780"/>
        <w:spacing w:after="0"/>
        <w:rPr>
          <w:sz w:val="20"/>
          <w:szCs w:val="20"/>
          <w:color w:val="auto"/>
        </w:rPr>
      </w:pPr>
      <w:r>
        <w:rPr>
          <w:rFonts w:ascii="Calibri" w:cs="Calibri" w:eastAsia="Calibri" w:hAnsi="Calibri"/>
          <w:sz w:val="20"/>
          <w:szCs w:val="20"/>
          <w:color w:val="auto"/>
        </w:rPr>
        <w:t>Name: Michael Schmidt</w:t>
      </w:r>
    </w:p>
    <w:p>
      <w:pPr>
        <w:ind w:left="2780"/>
        <w:spacing w:after="0" w:line="238" w:lineRule="auto"/>
        <w:rPr>
          <w:sz w:val="20"/>
          <w:szCs w:val="20"/>
          <w:color w:val="auto"/>
        </w:rPr>
      </w:pPr>
      <w:r>
        <w:rPr>
          <w:rFonts w:ascii="Calibri" w:cs="Calibri" w:eastAsia="Calibri" w:hAnsi="Calibri"/>
          <w:sz w:val="20"/>
          <w:szCs w:val="20"/>
          <w:color w:val="auto"/>
        </w:rPr>
        <w:t>Title: CHIPS Program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540"/>
        <w:spacing w:after="0"/>
        <w:rPr>
          <w:sz w:val="20"/>
          <w:szCs w:val="20"/>
          <w:color w:val="auto"/>
        </w:rPr>
      </w:pPr>
      <w:r>
        <w:rPr>
          <w:rFonts w:ascii="Calibri" w:cs="Calibri" w:eastAsia="Calibri" w:hAnsi="Calibri"/>
          <w:sz w:val="18"/>
          <w:szCs w:val="18"/>
          <w:i w:val="1"/>
          <w:iCs w:val="1"/>
          <w:color w:val="auto"/>
        </w:rPr>
        <w:t>NY Projects - Direct Funding Agreement Signature Page</w:t>
      </w:r>
    </w:p>
    <w:p>
      <w:pPr>
        <w:sectPr>
          <w:pgSz w:w="11900" w:h="16838" w:orient="portrait"/>
          <w:cols w:equalWidth="0" w:num="1">
            <w:col w:w="10120"/>
          </w:cols>
          <w:pgMar w:left="1440" w:top="1411" w:right="339" w:bottom="1440" w:gutter="0" w:footer="0" w:header="0"/>
        </w:sectPr>
      </w:pPr>
    </w:p>
    <w:bookmarkStart w:id="484" w:name="page485"/>
    <w:bookmarkEnd w:id="484"/>
    <w:p>
      <w:pPr>
        <w:ind w:left="4980"/>
        <w:spacing w:after="0"/>
        <w:rPr>
          <w:sz w:val="20"/>
          <w:szCs w:val="20"/>
          <w:color w:val="auto"/>
        </w:rPr>
      </w:pPr>
      <w:r>
        <w:rPr>
          <w:rFonts w:ascii="Calibri" w:cs="Calibri" w:eastAsia="Calibri" w:hAnsi="Calibri"/>
          <w:sz w:val="20"/>
          <w:szCs w:val="20"/>
          <w:b w:val="1"/>
          <w:bCs w:val="1"/>
          <w:color w:val="auto"/>
        </w:rPr>
        <w:t>Annex A</w:t>
      </w:r>
    </w:p>
    <w:p>
      <w:pPr>
        <w:ind w:left="5080"/>
        <w:spacing w:after="0" w:line="199" w:lineRule="auto"/>
        <w:rPr>
          <w:sz w:val="20"/>
          <w:szCs w:val="20"/>
          <w:color w:val="auto"/>
        </w:rPr>
      </w:pPr>
      <w:r>
        <w:rPr>
          <w:rFonts w:ascii="Calibri" w:cs="Calibri" w:eastAsia="Calibri" w:hAnsi="Calibri"/>
          <w:sz w:val="20"/>
          <w:szCs w:val="20"/>
          <w:b w:val="1"/>
          <w:bCs w:val="1"/>
          <w:color w:val="auto"/>
        </w:rPr>
        <w:t>DEFINITIONS</w:t>
      </w:r>
    </w:p>
    <w:p>
      <w:pPr>
        <w:spacing w:after="0" w:line="157"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 xml:space="preserve">” means, with respect to any Project, the relinquishment of possession and control of the relevant Project by the Recipient or the complete cessaton of work or actvity for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consecutve days (or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 non-consecutve days in any Fiscal Year) at the relevant Project, except as a result of the occurrence of an Event of Force Majeure, and the term “Abandon” shall have a correlatve meaning.</w:t>
      </w:r>
    </w:p>
    <w:p>
      <w:pPr>
        <w:spacing w:after="0" w:line="160"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Acton</w:t>
      </w:r>
      <w:r>
        <w:rPr>
          <w:rFonts w:ascii="Calibri" w:cs="Calibri" w:eastAsia="Calibri" w:hAnsi="Calibri"/>
          <w:sz w:val="20"/>
          <w:szCs w:val="20"/>
          <w:color w:val="auto"/>
        </w:rPr>
        <w:t>” means any acton, suit, proceeding (whether administratve, judicial or otherwise), governmental investgaton or arbitraton at law or in equity, or before or by any Governmental Authority, domestc or foreign or other regulatory body or any arbitrator.</w:t>
      </w:r>
    </w:p>
    <w:p>
      <w:pPr>
        <w:spacing w:after="0" w:line="308"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Capex Amount</w:t>
      </w:r>
      <w:r>
        <w:rPr>
          <w:rFonts w:ascii="Calibri" w:cs="Calibri" w:eastAsia="Calibri" w:hAnsi="Calibri"/>
          <w:sz w:val="20"/>
          <w:szCs w:val="20"/>
          <w:color w:val="auto"/>
        </w:rPr>
        <w:t>” means, as of the Actual Milestone Completon Date for any Disbursement Milestone for any Project, the amount of Capital Expenditures certfed in writng by the Recipient and Sponsor Guarantor to the Department that have been incurred and paid by the Recipient in respect of such Disbursement Milestone.</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Capex Amount</w:t>
      </w:r>
      <w:r>
        <w:rPr>
          <w:rFonts w:ascii="Calibri" w:cs="Calibri" w:eastAsia="Calibri" w:hAnsi="Calibri"/>
          <w:sz w:val="20"/>
          <w:szCs w:val="20"/>
          <w:color w:val="auto"/>
        </w:rPr>
        <w:t xml:space="preserve"> ” means, with respect to any Project and as of any date of determinaton, the aggregate Actual Capex Amount for all Disbursement Milestones for such Project for which an Actual Milestone Completon Date has occurred, including the then-current Disbursement Milestone (whether before or afer the Award Date).</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Disbursement Amount</w:t>
      </w:r>
      <w:r>
        <w:rPr>
          <w:rFonts w:ascii="Calibri" w:cs="Calibri" w:eastAsia="Calibri" w:hAnsi="Calibri"/>
          <w:sz w:val="20"/>
          <w:szCs w:val="20"/>
          <w:color w:val="auto"/>
        </w:rPr>
        <w:t>” means, with respect to any Project and as of any date of determinaton, the aggregate amount of Direct Funding Disbursements made to the Recipient for such Project as of such date.</w:t>
      </w:r>
    </w:p>
    <w:p>
      <w:pPr>
        <w:spacing w:after="0" w:line="186" w:lineRule="exact"/>
        <w:rPr>
          <w:sz w:val="20"/>
          <w:szCs w:val="20"/>
          <w:color w:val="auto"/>
        </w:rPr>
      </w:pPr>
    </w:p>
    <w:p>
      <w:pPr>
        <w:jc w:val="both"/>
        <w:ind w:firstLine="518"/>
        <w:spacing w:after="0" w:line="231" w:lineRule="auto"/>
        <w:rPr>
          <w:sz w:val="20"/>
          <w:szCs w:val="20"/>
          <w:color w:val="auto"/>
        </w:rPr>
      </w:pPr>
      <w:r>
        <w:rPr>
          <w:rFonts w:ascii="Calibri" w:cs="Calibri" w:eastAsia="Calibri" w:hAnsi="Calibri"/>
          <w:sz w:val="20"/>
          <w:szCs w:val="20"/>
          <w:b w:val="1"/>
          <w:bCs w:val="1"/>
          <w:color w:val="auto"/>
        </w:rPr>
        <w:t>“Actual Cumulatve Unlevered Free Cash Flow</w:t>
      </w:r>
      <w:r>
        <w:rPr>
          <w:rFonts w:ascii="Calibri" w:cs="Calibri" w:eastAsia="Calibri" w:hAnsi="Calibri"/>
          <w:sz w:val="20"/>
          <w:szCs w:val="20"/>
          <w:color w:val="auto"/>
        </w:rPr>
        <w:t>” means, with respect to any Project and for any Relevant Period, the cumulatve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total of all Actual Unlevered Free Cash Flow for such Project from the Project Initaton Date for such Project through the end of such Relevant Period.</w:t>
      </w:r>
    </w:p>
    <w:p>
      <w:pPr>
        <w:spacing w:after="0" w:line="213" w:lineRule="exact"/>
        <w:rPr>
          <w:sz w:val="20"/>
          <w:szCs w:val="20"/>
          <w:color w:val="auto"/>
        </w:rPr>
      </w:pPr>
    </w:p>
    <w:p>
      <w:pPr>
        <w:jc w:val="both"/>
        <w:ind w:firstLine="51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Unlevered Free Cash Flow</w:t>
      </w:r>
      <w:r>
        <w:rPr>
          <w:rFonts w:ascii="Calibri" w:cs="Calibri" w:eastAsia="Calibri" w:hAnsi="Calibri"/>
          <w:sz w:val="20"/>
          <w:szCs w:val="20"/>
          <w:color w:val="auto"/>
        </w:rPr>
        <w:t>” means, with respect to any Project and for any Fiscal Year and as calculated in accordance with the Applicable Accountng Requirements, the amount calculated as the total (which may be positve or negatve) of</w:t>
      </w:r>
    </w:p>
    <w:p>
      <w:pPr>
        <w:spacing w:after="0" w:line="171" w:lineRule="exact"/>
        <w:rPr>
          <w:sz w:val="20"/>
          <w:szCs w:val="20"/>
          <w:color w:val="auto"/>
        </w:rPr>
      </w:pPr>
    </w:p>
    <w:p>
      <w:pPr>
        <w:ind w:left="660" w:right="9160" w:hanging="4"/>
        <w:spacing w:after="0" w:line="388" w:lineRule="auto"/>
        <w:tabs>
          <w:tab w:leader="none" w:pos="931" w:val="left"/>
        </w:tabs>
        <w:numPr>
          <w:ilvl w:val="0"/>
          <w:numId w:val="600"/>
        </w:numPr>
        <w:rPr>
          <w:rFonts w:ascii="Calibri" w:cs="Calibri" w:eastAsia="Calibri" w:hAnsi="Calibri"/>
          <w:sz w:val="20"/>
          <w:szCs w:val="20"/>
          <w:color w:val="auto"/>
        </w:rPr>
      </w:pPr>
      <w:r>
        <w:rPr>
          <w:rFonts w:ascii="Calibri" w:cs="Calibri" w:eastAsia="Calibri" w:hAnsi="Calibri"/>
          <w:sz w:val="20"/>
          <w:szCs w:val="20"/>
          <w:color w:val="auto"/>
        </w:rPr>
        <w:t xml:space="preserve">Total Revenue </w:t>
      </w:r>
      <w:r>
        <w:rPr>
          <w:rFonts w:ascii="Calibri" w:cs="Calibri" w:eastAsia="Calibri" w:hAnsi="Calibri"/>
          <w:sz w:val="20"/>
          <w:szCs w:val="20"/>
          <w:u w:val="single" w:color="auto"/>
          <w:color w:val="auto"/>
        </w:rPr>
        <w:t>minus</w:t>
      </w:r>
    </w:p>
    <w:p>
      <w:pPr>
        <w:spacing w:after="0" w:line="7" w:lineRule="exact"/>
        <w:rPr>
          <w:rFonts w:ascii="Calibri" w:cs="Calibri" w:eastAsia="Calibri" w:hAnsi="Calibri"/>
          <w:sz w:val="20"/>
          <w:szCs w:val="20"/>
          <w:color w:val="auto"/>
        </w:rPr>
      </w:pPr>
    </w:p>
    <w:p>
      <w:pPr>
        <w:ind w:left="660" w:right="8780" w:hanging="4"/>
        <w:spacing w:after="0" w:line="375" w:lineRule="auto"/>
        <w:tabs>
          <w:tab w:leader="none" w:pos="931" w:val="left"/>
        </w:tabs>
        <w:numPr>
          <w:ilvl w:val="0"/>
          <w:numId w:val="600"/>
        </w:numPr>
        <w:rPr>
          <w:rFonts w:ascii="Calibri" w:cs="Calibri" w:eastAsia="Calibri" w:hAnsi="Calibri"/>
          <w:sz w:val="20"/>
          <w:szCs w:val="20"/>
          <w:color w:val="auto"/>
        </w:rPr>
      </w:pPr>
      <w:r>
        <w:rPr>
          <w:rFonts w:ascii="Calibri" w:cs="Calibri" w:eastAsia="Calibri" w:hAnsi="Calibri"/>
          <w:sz w:val="20"/>
          <w:szCs w:val="20"/>
          <w:color w:val="auto"/>
        </w:rPr>
        <w:t xml:space="preserve">Cost of Goods Sold </w:t>
      </w:r>
      <w:r>
        <w:rPr>
          <w:rFonts w:ascii="Calibri" w:cs="Calibri" w:eastAsia="Calibri" w:hAnsi="Calibri"/>
          <w:sz w:val="20"/>
          <w:szCs w:val="20"/>
          <w:u w:val="single" w:color="auto"/>
          <w:color w:val="auto"/>
        </w:rPr>
        <w:t>minus</w:t>
      </w:r>
    </w:p>
    <w:p>
      <w:pPr>
        <w:spacing w:after="0" w:line="33" w:lineRule="exact"/>
        <w:rPr>
          <w:rFonts w:ascii="Calibri" w:cs="Calibri" w:eastAsia="Calibri" w:hAnsi="Calibri"/>
          <w:sz w:val="20"/>
          <w:szCs w:val="20"/>
          <w:color w:val="auto"/>
        </w:rPr>
      </w:pPr>
    </w:p>
    <w:p>
      <w:pPr>
        <w:ind w:left="660" w:right="8640" w:hanging="4"/>
        <w:spacing w:after="0" w:line="375" w:lineRule="auto"/>
        <w:tabs>
          <w:tab w:leader="none" w:pos="931" w:val="left"/>
        </w:tabs>
        <w:numPr>
          <w:ilvl w:val="0"/>
          <w:numId w:val="600"/>
        </w:numPr>
        <w:rPr>
          <w:rFonts w:ascii="Calibri" w:cs="Calibri" w:eastAsia="Calibri" w:hAnsi="Calibri"/>
          <w:sz w:val="20"/>
          <w:szCs w:val="20"/>
          <w:color w:val="auto"/>
        </w:rPr>
      </w:pPr>
      <w:r>
        <w:rPr>
          <w:rFonts w:ascii="Calibri" w:cs="Calibri" w:eastAsia="Calibri" w:hAnsi="Calibri"/>
          <w:sz w:val="20"/>
          <w:szCs w:val="20"/>
          <w:color w:val="auto"/>
        </w:rPr>
        <w:t xml:space="preserve">Operatng Expenses, </w:t>
      </w:r>
      <w:r>
        <w:rPr>
          <w:rFonts w:ascii="Calibri" w:cs="Calibri" w:eastAsia="Calibri" w:hAnsi="Calibri"/>
          <w:sz w:val="20"/>
          <w:szCs w:val="20"/>
          <w:u w:val="single" w:color="auto"/>
          <w:color w:val="auto"/>
        </w:rPr>
        <w:t>minus</w:t>
      </w:r>
    </w:p>
    <w:p>
      <w:pPr>
        <w:spacing w:after="0" w:line="10" w:lineRule="exact"/>
        <w:rPr>
          <w:rFonts w:ascii="Calibri" w:cs="Calibri" w:eastAsia="Calibri" w:hAnsi="Calibri"/>
          <w:sz w:val="20"/>
          <w:szCs w:val="20"/>
          <w:color w:val="auto"/>
        </w:rPr>
      </w:pPr>
    </w:p>
    <w:p>
      <w:pPr>
        <w:ind w:left="920" w:hanging="264"/>
        <w:spacing w:after="0"/>
        <w:tabs>
          <w:tab w:leader="none" w:pos="920" w:val="left"/>
        </w:tabs>
        <w:numPr>
          <w:ilvl w:val="0"/>
          <w:numId w:val="600"/>
        </w:numPr>
        <w:rPr>
          <w:rFonts w:ascii="Calibri" w:cs="Calibri" w:eastAsia="Calibri" w:hAnsi="Calibri"/>
          <w:sz w:val="20"/>
          <w:szCs w:val="20"/>
          <w:color w:val="auto"/>
        </w:rPr>
      </w:pPr>
      <w:r>
        <w:rPr>
          <w:rFonts w:ascii="Calibri" w:cs="Calibri" w:eastAsia="Calibri" w:hAnsi="Calibri"/>
          <w:sz w:val="20"/>
          <w:szCs w:val="20"/>
          <w:color w:val="auto"/>
        </w:rPr>
        <w:t>Cash Taxes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u w:val="single" w:color="auto"/>
          <w:color w:val="auto"/>
        </w:rPr>
        <w:t>minus</w:t>
      </w:r>
    </w:p>
    <w:p>
      <w:pPr>
        <w:spacing w:after="0" w:line="157" w:lineRule="exact"/>
        <w:rPr>
          <w:sz w:val="20"/>
          <w:szCs w:val="20"/>
          <w:color w:val="auto"/>
        </w:rPr>
      </w:pPr>
    </w:p>
    <w:p>
      <w:pPr>
        <w:ind w:left="660" w:right="8280" w:hanging="4"/>
        <w:spacing w:after="0" w:line="375" w:lineRule="auto"/>
        <w:tabs>
          <w:tab w:leader="none" w:pos="931" w:val="left"/>
        </w:tabs>
        <w:numPr>
          <w:ilvl w:val="0"/>
          <w:numId w:val="601"/>
        </w:numPr>
        <w:rPr>
          <w:rFonts w:ascii="Calibri" w:cs="Calibri" w:eastAsia="Calibri" w:hAnsi="Calibri"/>
          <w:sz w:val="20"/>
          <w:szCs w:val="20"/>
          <w:color w:val="auto"/>
        </w:rPr>
      </w:pPr>
      <w:r>
        <w:rPr>
          <w:rFonts w:ascii="Calibri" w:cs="Calibri" w:eastAsia="Calibri" w:hAnsi="Calibri"/>
          <w:sz w:val="20"/>
          <w:szCs w:val="20"/>
          <w:color w:val="auto"/>
        </w:rPr>
        <w:t xml:space="preserve">Net Capital Expenditures </w:t>
      </w:r>
      <w:r>
        <w:rPr>
          <w:rFonts w:ascii="Calibri" w:cs="Calibri" w:eastAsia="Calibri" w:hAnsi="Calibri"/>
          <w:sz w:val="20"/>
          <w:szCs w:val="20"/>
          <w:u w:val="single" w:color="auto"/>
          <w:color w:val="auto"/>
        </w:rPr>
        <w:t>plus</w:t>
      </w:r>
    </w:p>
    <w:p>
      <w:pPr>
        <w:spacing w:after="0" w:line="23" w:lineRule="exact"/>
        <w:rPr>
          <w:rFonts w:ascii="Calibri" w:cs="Calibri" w:eastAsia="Calibri" w:hAnsi="Calibri"/>
          <w:sz w:val="20"/>
          <w:szCs w:val="20"/>
          <w:color w:val="auto"/>
        </w:rPr>
      </w:pPr>
    </w:p>
    <w:p>
      <w:pPr>
        <w:ind w:left="920" w:hanging="264"/>
        <w:spacing w:after="0"/>
        <w:tabs>
          <w:tab w:leader="none" w:pos="920" w:val="left"/>
        </w:tabs>
        <w:numPr>
          <w:ilvl w:val="0"/>
          <w:numId w:val="601"/>
        </w:numPr>
        <w:rPr>
          <w:rFonts w:ascii="Calibri" w:cs="Calibri" w:eastAsia="Calibri" w:hAnsi="Calibri"/>
          <w:sz w:val="20"/>
          <w:szCs w:val="20"/>
          <w:color w:val="auto"/>
        </w:rPr>
      </w:pPr>
      <w:r>
        <w:rPr>
          <w:rFonts w:ascii="Calibri" w:cs="Calibri" w:eastAsia="Calibri" w:hAnsi="Calibri"/>
          <w:sz w:val="20"/>
          <w:szCs w:val="20"/>
          <w:color w:val="auto"/>
        </w:rPr>
        <w:t>Depreciaton and Amortzaton (previously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374" w:right="339" w:bottom="1440" w:gutter="0" w:footer="0" w:header="0"/>
        </w:sectPr>
      </w:pPr>
    </w:p>
    <w:bookmarkStart w:id="485" w:name="page486"/>
    <w:bookmarkEnd w:id="485"/>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Agreed Upon Procedures</w:t>
      </w:r>
      <w:r>
        <w:rPr>
          <w:rFonts w:ascii="Calibri" w:cs="Calibri" w:eastAsia="Calibri" w:hAnsi="Calibri"/>
          <w:sz w:val="20"/>
          <w:szCs w:val="20"/>
          <w:color w:val="auto"/>
        </w:rPr>
        <w:t>” means agreed-upon procedures to be performed by the Recipient’s Accountant’s in accordance with SSAE No. 19 with respect to the calculaton of the Upside Sharing Amount and the Carve-Out Financials pursuant to an agreed-upon procedures engagement by Recipient which agreed-upon procedures are specifed in the engagement leter and are approved by the Department.</w:t>
      </w:r>
    </w:p>
    <w:p>
      <w:pPr>
        <w:spacing w:after="0" w:line="160"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Cumulatve Disbursement Rato</w:t>
      </w:r>
      <w:r>
        <w:rPr>
          <w:rFonts w:ascii="Calibri" w:cs="Calibri" w:eastAsia="Calibri" w:hAnsi="Calibri"/>
          <w:sz w:val="20"/>
          <w:szCs w:val="20"/>
          <w:color w:val="auto"/>
        </w:rPr>
        <w:t>” means, with respect to any Project and as of any date of determinaton, the rato, expressed as a percentage, equal to (a) the Actual Cumulatve Disbursement Amount for such Project as of such date divided by (b) the Actual Cumulatve Capex Amount for such Project as of such date.</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Actual Milestone Completon Date</w:t>
      </w:r>
      <w:r>
        <w:rPr>
          <w:rFonts w:ascii="Calibri" w:cs="Calibri" w:eastAsia="Calibri" w:hAnsi="Calibri"/>
          <w:sz w:val="20"/>
          <w:szCs w:val="20"/>
          <w:color w:val="auto"/>
        </w:rPr>
        <w:t>” means, with respect to any Disbursement Milestone, the date on which the Recipient has actually completed such Disbursement Milestone, as such date is to be confrmed by the Department in consultaton with the Constructon Advisor afer the receipt of a Direct Funding Disbursement Request.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Advanced Packaging Resiliency Objectves</w:t>
      </w:r>
      <w:r>
        <w:rPr>
          <w:rFonts w:ascii="Calibri" w:cs="Calibri" w:eastAsia="Calibri" w:hAnsi="Calibri"/>
          <w:sz w:val="20"/>
          <w:szCs w:val="20"/>
          <w:color w:val="auto"/>
        </w:rPr>
        <w:t>” means the following advanced packaging resiliency objectves:</w:t>
      </w:r>
    </w:p>
    <w:p>
      <w:pPr>
        <w:spacing w:after="0" w:line="157" w:lineRule="exact"/>
        <w:rPr>
          <w:sz w:val="20"/>
          <w:szCs w:val="20"/>
          <w:color w:val="auto"/>
        </w:rPr>
      </w:pPr>
    </w:p>
    <w:p>
      <w:pPr>
        <w:jc w:val="both"/>
        <w:ind w:left="660" w:hanging="652"/>
        <w:spacing w:after="0" w:line="203" w:lineRule="auto"/>
        <w:tabs>
          <w:tab w:leader="none" w:pos="664" w:val="left"/>
        </w:tabs>
        <w:numPr>
          <w:ilvl w:val="0"/>
          <w:numId w:val="602"/>
        </w:numPr>
        <w:rPr>
          <w:rFonts w:ascii="Calibri" w:cs="Calibri" w:eastAsia="Calibri" w:hAnsi="Calibri"/>
          <w:sz w:val="20"/>
          <w:szCs w:val="20"/>
          <w:color w:val="auto"/>
        </w:rPr>
      </w:pPr>
      <w:r>
        <w:rPr>
          <w:rFonts w:ascii="Calibri" w:cs="Calibri" w:eastAsia="Calibri" w:hAnsi="Calibri"/>
          <w:sz w:val="20"/>
          <w:szCs w:val="20"/>
          <w:color w:val="auto"/>
        </w:rPr>
        <w:t xml:space="preserve">on or before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the Sponsor Guarantor and its subsidiaries, on a Consolidated Basis, shall have the operatonal capability and installed equipment capacity to package HBM wafers in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in an amount of not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the total amount of HBM wafers that the Sponsor Guarantor and its subsidiaries have the operatonal capability and installed equipment capacity to produce on a global basis; and</w:t>
      </w:r>
    </w:p>
    <w:p>
      <w:pPr>
        <w:spacing w:after="0" w:line="149" w:lineRule="exact"/>
        <w:rPr>
          <w:rFonts w:ascii="Calibri" w:cs="Calibri" w:eastAsia="Calibri" w:hAnsi="Calibri"/>
          <w:sz w:val="20"/>
          <w:szCs w:val="20"/>
          <w:color w:val="auto"/>
        </w:rPr>
      </w:pPr>
    </w:p>
    <w:p>
      <w:pPr>
        <w:ind w:left="660" w:hanging="652"/>
        <w:spacing w:after="0"/>
        <w:tabs>
          <w:tab w:leader="none" w:pos="660" w:val="left"/>
        </w:tabs>
        <w:numPr>
          <w:ilvl w:val="0"/>
          <w:numId w:val="602"/>
        </w:numPr>
        <w:rPr>
          <w:rFonts w:ascii="Calibri" w:cs="Calibri" w:eastAsia="Calibri" w:hAnsi="Calibri"/>
          <w:sz w:val="20"/>
          <w:szCs w:val="20"/>
          <w:color w:val="auto"/>
        </w:rPr>
      </w:pPr>
      <w:r>
        <w:rPr>
          <w:rFonts w:ascii="Calibri" w:cs="Calibri" w:eastAsia="Calibri" w:hAnsi="Calibri"/>
          <w:sz w:val="20"/>
          <w:szCs w:val="20"/>
          <w:color w:val="auto"/>
        </w:rPr>
        <w:t xml:space="preserve">the operatonal capability to package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of HBM wafers manufactured by the Recipient in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Advanced Packaging Resiliency Plan</w:t>
      </w:r>
      <w:r>
        <w:rPr>
          <w:rFonts w:ascii="Calibri" w:cs="Calibri" w:eastAsia="Calibri" w:hAnsi="Calibri"/>
          <w:sz w:val="20"/>
          <w:szCs w:val="20"/>
          <w:color w:val="auto"/>
        </w:rPr>
        <w:t xml:space="preserve">” means the Recipients’ advanced packaging resiliency plan, in form and substance satsfactory to the Department, from tme to tme in efect, which plan shall (a) provide for the constructon and/or expansion of one or more advanced packaging facilites in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(b) include a producton ramp plan that commences on or before calendar year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provides for an expected producton output capacity of at least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by the end of calendar year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for the purpose of meetng the Advanced Packaging Resiliency Objectves.</w:t>
      </w:r>
    </w:p>
    <w:p>
      <w:pPr>
        <w:spacing w:after="0" w:line="161" w:lineRule="exact"/>
        <w:rPr>
          <w:sz w:val="20"/>
          <w:szCs w:val="20"/>
          <w:color w:val="auto"/>
        </w:rPr>
      </w:pPr>
    </w:p>
    <w:p>
      <w:pPr>
        <w:jc w:val="both"/>
        <w:ind w:right="20"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Afliate</w:t>
      </w:r>
      <w:r>
        <w:rPr>
          <w:rFonts w:ascii="Calibri" w:cs="Calibri" w:eastAsia="Calibri" w:hAnsi="Calibri"/>
          <w:sz w:val="20"/>
          <w:szCs w:val="20"/>
          <w:color w:val="auto"/>
        </w:rPr>
        <w:t>” means with respect to any Person, any other Person that directly or indirectly Controls, or is under common Control with, or is Controlled by, such Person; provided, that, in any event and for all purposes of the Financing Documents, the Sponsor Guarantor, or any Afliate of the Sponsor Guarantor shall be deemed an “Afliate” of the Recipient.</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has the meaning set forth in the preamble hereto, which agreement states the terms and conditons by which the Secretary agrees to make an Award available to the Recipient and the obligatons and dutes of the Recipient in connecton therewith and satsfes the meaning as “Required Agreement” in 15 C.F.R. § 112.</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Amortzaton</w:t>
      </w:r>
      <w:r>
        <w:rPr>
          <w:rFonts w:ascii="Calibri" w:cs="Calibri" w:eastAsia="Calibri" w:hAnsi="Calibri"/>
          <w:sz w:val="20"/>
          <w:szCs w:val="20"/>
          <w:color w:val="auto"/>
        </w:rPr>
        <w:t>” has the meaning set forth in the Applicable Accountng Requirements.</w:t>
      </w:r>
    </w:p>
    <w:p>
      <w:pPr>
        <w:spacing w:after="0" w:line="157"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Antcipated Completon Date</w:t>
      </w:r>
      <w:r>
        <w:rPr>
          <w:rFonts w:ascii="Calibri" w:cs="Calibri" w:eastAsia="Calibri" w:hAnsi="Calibri"/>
          <w:sz w:val="20"/>
          <w:szCs w:val="20"/>
          <w:color w:val="auto"/>
        </w:rPr>
        <w:t>” means, with respect to any Disbursement Milestone, the relevant date set forth in the Disbursement Milestone Schedule under the column enttled “Antcipated Completon Date” for such Disbursement Milestone.</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Ant-Corrupton Laws</w:t>
      </w:r>
      <w:r>
        <w:rPr>
          <w:rFonts w:ascii="Calibri" w:cs="Calibri" w:eastAsia="Calibri" w:hAnsi="Calibri"/>
          <w:sz w:val="20"/>
          <w:szCs w:val="20"/>
          <w:color w:val="auto"/>
        </w:rPr>
        <w:t>” means all laws, rules, regulatons, or orders with jurisdicton over any Recipient Party or any Project concerning or relatng to bribery or corrupton in the public or private sector, including, the United States Foreign Corrupt Practces Act of 1977, as amended.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Ant-Defciency Act</w:t>
      </w:r>
      <w:r>
        <w:rPr>
          <w:rFonts w:ascii="Calibri" w:cs="Calibri" w:eastAsia="Calibri" w:hAnsi="Calibri"/>
          <w:sz w:val="20"/>
          <w:szCs w:val="20"/>
          <w:color w:val="auto"/>
        </w:rPr>
        <w:t>” means 31 U.S.C. §§ 1341 and 1517.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384" w:right="339" w:bottom="1440" w:gutter="0" w:footer="0" w:header="0"/>
        </w:sectPr>
      </w:pPr>
    </w:p>
    <w:bookmarkStart w:id="486" w:name="page487"/>
    <w:bookmarkEnd w:id="486"/>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Ant-Money Laundering Laws</w:t>
      </w:r>
      <w:r>
        <w:rPr>
          <w:rFonts w:ascii="Calibri" w:cs="Calibri" w:eastAsia="Calibri" w:hAnsi="Calibri"/>
          <w:sz w:val="20"/>
          <w:szCs w:val="20"/>
          <w:color w:val="auto"/>
        </w:rPr>
        <w:t>” means the Currency and Foreign Transactons Reportng Act of 1970 (otherwise known as the Bank Secrecy Act), the Patriot Act, the Ant-Money Laundering Act of 2020, the Money Laundering Control Act, the rules and regulatons thereunder and any similar Applicable Laws relatng to money laundering, terrorist fnancing, or fnancial recordkeeping and recording requirements administered or enforced by any United States of America governmental agency, or any other jurisdicton in which the Recipient operates or conducts business.</w:t>
      </w:r>
    </w:p>
    <w:p>
      <w:pPr>
        <w:spacing w:after="0" w:line="188" w:lineRule="exact"/>
        <w:rPr>
          <w:sz w:val="20"/>
          <w:szCs w:val="20"/>
          <w:color w:val="auto"/>
        </w:rPr>
      </w:pPr>
    </w:p>
    <w:p>
      <w:pPr>
        <w:jc w:val="both"/>
        <w:ind w:firstLine="656"/>
        <w:spacing w:after="0" w:line="231" w:lineRule="auto"/>
        <w:tabs>
          <w:tab w:leader="none" w:pos="1296" w:val="left"/>
        </w:tabs>
        <w:numPr>
          <w:ilvl w:val="1"/>
          <w:numId w:val="603"/>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Applicable Accountng Requirements</w:t>
      </w:r>
      <w:r>
        <w:rPr>
          <w:rFonts w:ascii="Calibri" w:cs="Calibri" w:eastAsia="Calibri" w:hAnsi="Calibri"/>
          <w:sz w:val="20"/>
          <w:szCs w:val="20"/>
          <w:color w:val="auto"/>
        </w:rPr>
        <w:t>” means GAAP, and in respect of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 the following (with each element of the Carve-Out Financials specifed below being at the Project level using Recipient fnancial informaton for the applicable Fiscal Year, unless otherwise specifed as being based on Sponsor Guarantor consolidated informaton):</w:t>
      </w:r>
    </w:p>
    <w:p>
      <w:pPr>
        <w:spacing w:after="0" w:line="240" w:lineRule="exact"/>
        <w:rPr>
          <w:rFonts w:ascii="Calibri" w:cs="Calibri" w:eastAsia="Calibri" w:hAnsi="Calibri"/>
          <w:sz w:val="20"/>
          <w:szCs w:val="20"/>
          <w:color w:val="auto"/>
        </w:rPr>
      </w:pPr>
    </w:p>
    <w:p>
      <w:pPr>
        <w:ind w:left="1020" w:hanging="591"/>
        <w:spacing w:after="0"/>
        <w:tabs>
          <w:tab w:leader="none" w:pos="1020" w:val="left"/>
        </w:tabs>
        <w:numPr>
          <w:ilvl w:val="0"/>
          <w:numId w:val="604"/>
        </w:numPr>
        <w:rPr>
          <w:rFonts w:ascii="Calibri" w:cs="Calibri" w:eastAsia="Calibri" w:hAnsi="Calibri"/>
          <w:sz w:val="20"/>
          <w:szCs w:val="20"/>
          <w:color w:val="auto"/>
        </w:rPr>
      </w:pPr>
      <w:r>
        <w:rPr>
          <w:rFonts w:ascii="Calibri" w:cs="Calibri" w:eastAsia="Calibri" w:hAnsi="Calibri"/>
          <w:sz w:val="20"/>
          <w:szCs w:val="20"/>
          <w:b w:val="1"/>
          <w:bCs w:val="1"/>
          <w:color w:val="auto"/>
        </w:rPr>
        <w:t>Applicable   Accountng Defniton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-147320</wp:posOffset>
            </wp:positionV>
            <wp:extent cx="6917690" cy="1877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6917690" cy="1877695"/>
                    </a:xfrm>
                    <a:prstGeom prst="rect">
                      <a:avLst/>
                    </a:prstGeom>
                    <a:noFill/>
                  </pic:spPr>
                </pic:pic>
              </a:graphicData>
            </a:graphic>
          </wp:anchor>
        </w:drawing>
      </w:r>
    </w:p>
    <w:p>
      <w:pPr>
        <w:ind w:left="420"/>
        <w:spacing w:after="0"/>
        <w:rPr>
          <w:sz w:val="20"/>
          <w:szCs w:val="20"/>
          <w:color w:val="auto"/>
        </w:rPr>
      </w:pPr>
      <w:r>
        <w:rPr>
          <w:rFonts w:ascii="Calibri" w:cs="Calibri" w:eastAsia="Calibri" w:hAnsi="Calibri"/>
          <w:sz w:val="20"/>
          <w:szCs w:val="20"/>
          <w:b w:val="1"/>
          <w:bCs w:val="1"/>
          <w:color w:val="auto"/>
        </w:rPr>
        <w:t>Requirements</w:t>
      </w: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44"/>
        </w:trPr>
        <w:tc>
          <w:tcPr>
            <w:tcW w:w="500" w:type="dxa"/>
            <w:vAlign w:val="bottom"/>
          </w:tcPr>
          <w:p>
            <w:pPr>
              <w:ind w:left="80"/>
              <w:spacing w:after="0"/>
              <w:rPr>
                <w:sz w:val="20"/>
                <w:szCs w:val="20"/>
                <w:color w:val="auto"/>
              </w:rPr>
            </w:pPr>
            <w:r>
              <w:rPr>
                <w:rFonts w:ascii="Calibri" w:cs="Calibri" w:eastAsia="Calibri" w:hAnsi="Calibri"/>
                <w:sz w:val="20"/>
                <w:szCs w:val="20"/>
                <w:color w:val="auto"/>
              </w:rPr>
              <w:t>(a)</w:t>
            </w:r>
          </w:p>
        </w:tc>
        <w:tc>
          <w:tcPr>
            <w:tcW w:w="1800" w:type="dxa"/>
            <w:vAlign w:val="bottom"/>
          </w:tcPr>
          <w:p>
            <w:pPr>
              <w:ind w:left="180"/>
              <w:spacing w:after="0"/>
              <w:rPr>
                <w:sz w:val="20"/>
                <w:szCs w:val="20"/>
                <w:color w:val="auto"/>
              </w:rPr>
            </w:pPr>
            <w:r>
              <w:rPr>
                <w:rFonts w:ascii="Calibri" w:cs="Calibri" w:eastAsia="Calibri" w:hAnsi="Calibri"/>
                <w:sz w:val="20"/>
                <w:szCs w:val="20"/>
                <w:color w:val="auto"/>
              </w:rPr>
              <w:t>Total Revenue</w:t>
            </w:r>
          </w:p>
        </w:tc>
        <w:tc>
          <w:tcPr>
            <w:tcW w:w="1120" w:type="dxa"/>
            <w:vAlign w:val="bottom"/>
          </w:tcPr>
          <w:p>
            <w:pPr>
              <w:jc w:val="right"/>
              <w:ind w:right="181"/>
              <w:spacing w:after="0"/>
              <w:rPr>
                <w:sz w:val="20"/>
                <w:szCs w:val="20"/>
                <w:color w:val="auto"/>
              </w:rPr>
            </w:pPr>
            <w:r>
              <w:rPr>
                <w:rFonts w:ascii="Calibri" w:cs="Calibri" w:eastAsia="Calibri" w:hAnsi="Calibri"/>
                <w:sz w:val="20"/>
                <w:szCs w:val="20"/>
                <w:color w:val="auto"/>
              </w:rPr>
              <w:t>(a)</w:t>
            </w:r>
          </w:p>
        </w:tc>
        <w:tc>
          <w:tcPr>
            <w:tcW w:w="7480" w:type="dxa"/>
            <w:vAlign w:val="bottom"/>
          </w:tcPr>
          <w:p>
            <w:pPr>
              <w:ind w:left="100"/>
              <w:spacing w:after="0"/>
              <w:rPr>
                <w:sz w:val="20"/>
                <w:szCs w:val="20"/>
                <w:color w:val="auto"/>
              </w:rPr>
            </w:pPr>
            <w:r>
              <w:rPr>
                <w:rFonts w:ascii="Calibri" w:cs="Calibri" w:eastAsia="Calibri" w:hAnsi="Calibri"/>
                <w:sz w:val="20"/>
                <w:szCs w:val="20"/>
                <w:b w:val="1"/>
                <w:bCs w:val="1"/>
                <w:color w:val="auto"/>
              </w:rPr>
              <w:t>[***]</w:t>
            </w:r>
          </w:p>
        </w:tc>
      </w:tr>
      <w:tr>
        <w:trPr>
          <w:trHeight w:val="249"/>
        </w:trPr>
        <w:tc>
          <w:tcPr>
            <w:tcW w:w="2300" w:type="dxa"/>
            <w:vAlign w:val="bottom"/>
            <w:tcBorders>
              <w:bottom w:val="single" w:sz="8" w:color="auto"/>
            </w:tcBorders>
            <w:gridSpan w:val="2"/>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7480" w:type="dxa"/>
            <w:vAlign w:val="bottom"/>
            <w:tcBorders>
              <w:bottom w:val="single" w:sz="8" w:color="auto"/>
            </w:tcBorders>
          </w:tcPr>
          <w:p>
            <w:pPr>
              <w:spacing w:after="0"/>
              <w:rPr>
                <w:sz w:val="21"/>
                <w:szCs w:val="21"/>
                <w:color w:val="auto"/>
              </w:rPr>
            </w:pPr>
          </w:p>
        </w:tc>
      </w:tr>
      <w:tr>
        <w:trPr>
          <w:trHeight w:val="228"/>
        </w:trPr>
        <w:tc>
          <w:tcPr>
            <w:tcW w:w="2300" w:type="dxa"/>
            <w:vAlign w:val="bottom"/>
            <w:gridSpan w:val="2"/>
          </w:tcPr>
          <w:p>
            <w:pPr>
              <w:ind w:left="40"/>
              <w:spacing w:after="0" w:line="228" w:lineRule="exact"/>
              <w:rPr>
                <w:sz w:val="20"/>
                <w:szCs w:val="20"/>
                <w:color w:val="auto"/>
              </w:rPr>
            </w:pPr>
            <w:r>
              <w:rPr>
                <w:rFonts w:ascii="Calibri" w:cs="Calibri" w:eastAsia="Calibri" w:hAnsi="Calibri"/>
                <w:sz w:val="20"/>
                <w:szCs w:val="20"/>
                <w:color w:val="auto"/>
              </w:rPr>
              <w:t>Project Allocaton Rato</w:t>
            </w:r>
          </w:p>
        </w:tc>
        <w:tc>
          <w:tcPr>
            <w:tcW w:w="1120" w:type="dxa"/>
            <w:vAlign w:val="bottom"/>
          </w:tcPr>
          <w:p>
            <w:pPr>
              <w:jc w:val="right"/>
              <w:ind w:right="21"/>
              <w:spacing w:after="0" w:line="228" w:lineRule="exact"/>
              <w:rPr>
                <w:sz w:val="20"/>
                <w:szCs w:val="20"/>
                <w:color w:val="auto"/>
              </w:rPr>
            </w:pPr>
            <w:r>
              <w:rPr>
                <w:rFonts w:ascii="Calibri" w:cs="Calibri" w:eastAsia="Calibri" w:hAnsi="Calibri"/>
                <w:sz w:val="20"/>
                <w:szCs w:val="20"/>
                <w:color w:val="auto"/>
              </w:rPr>
              <w:t>[***]</w:t>
            </w:r>
          </w:p>
        </w:tc>
        <w:tc>
          <w:tcPr>
            <w:tcW w:w="7480" w:type="dxa"/>
            <w:vAlign w:val="bottom"/>
          </w:tcPr>
          <w:p>
            <w:pPr>
              <w:spacing w:after="0"/>
              <w:rPr>
                <w:sz w:val="19"/>
                <w:szCs w:val="19"/>
                <w:color w:val="auto"/>
              </w:rPr>
            </w:pP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r>
      <w:tr>
        <w:trPr>
          <w:trHeight w:val="231"/>
        </w:trPr>
        <w:tc>
          <w:tcPr>
            <w:tcW w:w="500" w:type="dxa"/>
            <w:vAlign w:val="bottom"/>
          </w:tcPr>
          <w:p>
            <w:pPr>
              <w:ind w:left="80"/>
              <w:spacing w:after="0" w:line="230" w:lineRule="exact"/>
              <w:rPr>
                <w:sz w:val="20"/>
                <w:szCs w:val="20"/>
                <w:color w:val="auto"/>
              </w:rPr>
            </w:pPr>
            <w:r>
              <w:rPr>
                <w:rFonts w:ascii="Calibri" w:cs="Calibri" w:eastAsia="Calibri" w:hAnsi="Calibri"/>
                <w:sz w:val="20"/>
                <w:szCs w:val="20"/>
                <w:color w:val="auto"/>
              </w:rPr>
              <w:t>(a)</w:t>
            </w:r>
          </w:p>
        </w:tc>
        <w:tc>
          <w:tcPr>
            <w:tcW w:w="1800" w:type="dxa"/>
            <w:vAlign w:val="bottom"/>
          </w:tcPr>
          <w:p>
            <w:pPr>
              <w:ind w:left="180"/>
              <w:spacing w:after="0" w:line="230" w:lineRule="exact"/>
              <w:rPr>
                <w:sz w:val="20"/>
                <w:szCs w:val="20"/>
                <w:color w:val="auto"/>
              </w:rPr>
            </w:pPr>
            <w:r>
              <w:rPr>
                <w:rFonts w:ascii="Calibri" w:cs="Calibri" w:eastAsia="Calibri" w:hAnsi="Calibri"/>
                <w:sz w:val="20"/>
                <w:szCs w:val="20"/>
                <w:color w:val="auto"/>
              </w:rPr>
              <w:t>Cost   of   Goods</w:t>
            </w:r>
          </w:p>
        </w:tc>
        <w:tc>
          <w:tcPr>
            <w:tcW w:w="1120" w:type="dxa"/>
            <w:vAlign w:val="bottom"/>
          </w:tcPr>
          <w:p>
            <w:pPr>
              <w:jc w:val="right"/>
              <w:ind w:right="181"/>
              <w:spacing w:after="0" w:line="230" w:lineRule="exact"/>
              <w:rPr>
                <w:sz w:val="20"/>
                <w:szCs w:val="20"/>
                <w:color w:val="auto"/>
              </w:rPr>
            </w:pPr>
            <w:r>
              <w:rPr>
                <w:rFonts w:ascii="Calibri" w:cs="Calibri" w:eastAsia="Calibri" w:hAnsi="Calibri"/>
                <w:sz w:val="20"/>
                <w:szCs w:val="20"/>
                <w:color w:val="auto"/>
              </w:rPr>
              <w:t>Sold  (a)</w:t>
            </w:r>
          </w:p>
        </w:tc>
        <w:tc>
          <w:tcPr>
            <w:tcW w:w="7480" w:type="dxa"/>
            <w:vAlign w:val="bottom"/>
          </w:tcPr>
          <w:p>
            <w:pPr>
              <w:ind w:left="100"/>
              <w:spacing w:after="0" w:line="230" w:lineRule="exact"/>
              <w:rPr>
                <w:sz w:val="20"/>
                <w:szCs w:val="20"/>
                <w:color w:val="auto"/>
              </w:rPr>
            </w:pPr>
            <w:r>
              <w:rPr>
                <w:rFonts w:ascii="Calibri" w:cs="Calibri" w:eastAsia="Calibri" w:hAnsi="Calibri"/>
                <w:sz w:val="20"/>
                <w:szCs w:val="20"/>
                <w:color w:val="auto"/>
              </w:rPr>
              <w:t>The sum of:</w:t>
            </w:r>
          </w:p>
        </w:tc>
      </w:tr>
      <w:tr>
        <w:trPr>
          <w:trHeight w:val="243"/>
        </w:trPr>
        <w:tc>
          <w:tcPr>
            <w:tcW w:w="2300" w:type="dxa"/>
            <w:vAlign w:val="bottom"/>
            <w:gridSpan w:val="2"/>
          </w:tcPr>
          <w:p>
            <w:pPr>
              <w:ind w:left="80"/>
              <w:spacing w:after="0" w:line="243" w:lineRule="exact"/>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COGS</w:t>
            </w:r>
            <w:r>
              <w:rPr>
                <w:rFonts w:ascii="Calibri" w:cs="Calibri" w:eastAsia="Calibri" w:hAnsi="Calibri"/>
                <w:sz w:val="20"/>
                <w:szCs w:val="20"/>
                <w:color w:val="auto"/>
              </w:rPr>
              <w:t>”)</w:t>
            </w:r>
          </w:p>
        </w:tc>
        <w:tc>
          <w:tcPr>
            <w:tcW w:w="1120" w:type="dxa"/>
            <w:vAlign w:val="bottom"/>
          </w:tcPr>
          <w:p>
            <w:pPr>
              <w:spacing w:after="0"/>
              <w:rPr>
                <w:sz w:val="21"/>
                <w:szCs w:val="21"/>
                <w:color w:val="auto"/>
              </w:rPr>
            </w:pPr>
          </w:p>
        </w:tc>
        <w:tc>
          <w:tcPr>
            <w:tcW w:w="7480" w:type="dxa"/>
            <w:vAlign w:val="bottom"/>
          </w:tcPr>
          <w:p>
            <w:pPr>
              <w:spacing w:after="0"/>
              <w:rPr>
                <w:sz w:val="21"/>
                <w:szCs w:val="21"/>
                <w:color w:val="auto"/>
              </w:rPr>
            </w:pPr>
          </w:p>
        </w:tc>
      </w:tr>
    </w:tbl>
    <w:p>
      <w:pPr>
        <w:ind w:left="3900" w:hanging="312"/>
        <w:spacing w:after="0" w:line="199" w:lineRule="auto"/>
        <w:tabs>
          <w:tab w:leader="none" w:pos="3900" w:val="left"/>
        </w:tabs>
        <w:numPr>
          <w:ilvl w:val="0"/>
          <w:numId w:val="605"/>
        </w:numPr>
        <w:rPr>
          <w:rFonts w:ascii="Calibri" w:cs="Calibri" w:eastAsia="Calibri" w:hAnsi="Calibri"/>
          <w:sz w:val="20"/>
          <w:szCs w:val="20"/>
          <w:color w:val="auto"/>
        </w:rPr>
      </w:pPr>
      <w:r>
        <w:rPr>
          <w:rFonts w:ascii="Calibri" w:cs="Calibri" w:eastAsia="Calibri" w:hAnsi="Calibri"/>
          <w:sz w:val="20"/>
          <w:szCs w:val="20"/>
          <w:color w:val="auto"/>
        </w:rPr>
        <w:t>Core COGS</w:t>
      </w:r>
    </w:p>
    <w:p>
      <w:pPr>
        <w:spacing w:after="0" w:line="93" w:lineRule="exact"/>
        <w:rPr>
          <w:rFonts w:ascii="Calibri" w:cs="Calibri" w:eastAsia="Calibri" w:hAnsi="Calibri"/>
          <w:sz w:val="20"/>
          <w:szCs w:val="20"/>
          <w:color w:val="auto"/>
        </w:rPr>
      </w:pPr>
    </w:p>
    <w:p>
      <w:pPr>
        <w:ind w:left="3860" w:hanging="253"/>
        <w:spacing w:after="0"/>
        <w:tabs>
          <w:tab w:leader="none" w:pos="3860" w:val="left"/>
        </w:tabs>
        <w:numPr>
          <w:ilvl w:val="1"/>
          <w:numId w:val="605"/>
        </w:numPr>
        <w:rPr>
          <w:rFonts w:ascii="Calibri" w:cs="Calibri" w:eastAsia="Calibri" w:hAnsi="Calibri"/>
          <w:sz w:val="20"/>
          <w:szCs w:val="20"/>
          <w:color w:val="auto"/>
        </w:rPr>
      </w:pPr>
      <w:r>
        <w:rPr>
          <w:rFonts w:ascii="Calibri" w:cs="Calibri" w:eastAsia="Calibri" w:hAnsi="Calibri"/>
          <w:sz w:val="20"/>
          <w:szCs w:val="20"/>
          <w:u w:val="single" w:color="auto"/>
          <w:color w:val="auto"/>
        </w:rPr>
        <w:t>plus</w:t>
      </w:r>
    </w:p>
    <w:p>
      <w:pPr>
        <w:spacing w:after="0" w:line="106" w:lineRule="exact"/>
        <w:rPr>
          <w:rFonts w:ascii="Calibri" w:cs="Calibri" w:eastAsia="Calibri" w:hAnsi="Calibri"/>
          <w:sz w:val="20"/>
          <w:szCs w:val="20"/>
          <w:color w:val="auto"/>
        </w:rPr>
      </w:pPr>
    </w:p>
    <w:p>
      <w:pPr>
        <w:ind w:left="3960" w:hanging="372"/>
        <w:spacing w:after="0"/>
        <w:tabs>
          <w:tab w:leader="none" w:pos="3960" w:val="left"/>
        </w:tabs>
        <w:numPr>
          <w:ilvl w:val="0"/>
          <w:numId w:val="605"/>
        </w:numPr>
        <w:rPr>
          <w:rFonts w:ascii="Calibri" w:cs="Calibri" w:eastAsia="Calibri" w:hAnsi="Calibri"/>
          <w:sz w:val="20"/>
          <w:szCs w:val="20"/>
          <w:color w:val="auto"/>
        </w:rPr>
      </w:pPr>
      <w:r>
        <w:rPr>
          <w:rFonts w:ascii="Calibri" w:cs="Calibri" w:eastAsia="Calibri" w:hAnsi="Calibri"/>
          <w:sz w:val="20"/>
          <w:szCs w:val="20"/>
          <w:color w:val="auto"/>
        </w:rPr>
        <w:t>Other COGS.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4" w:right="339" w:bottom="1440" w:gutter="0" w:footer="0" w:header="0"/>
        </w:sectPr>
      </w:pPr>
    </w:p>
    <w:bookmarkStart w:id="487" w:name="page488"/>
    <w:bookmarkEnd w:id="487"/>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929005</wp:posOffset>
            </wp:positionV>
            <wp:extent cx="6917690" cy="56749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6917690" cy="5674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0"/>
                <w:szCs w:val="20"/>
                <w:color w:val="auto"/>
              </w:rPr>
            </w:pPr>
            <w:r>
              <w:rPr>
                <w:rFonts w:ascii="Calibri" w:cs="Calibri" w:eastAsia="Calibri" w:hAnsi="Calibri"/>
                <w:sz w:val="20"/>
                <w:szCs w:val="20"/>
                <w:color w:val="auto"/>
              </w:rPr>
              <w:t>(a)</w:t>
            </w:r>
          </w:p>
        </w:tc>
        <w:tc>
          <w:tcPr>
            <w:tcW w:w="1740" w:type="dxa"/>
            <w:vAlign w:val="bottom"/>
          </w:tcPr>
          <w:p>
            <w:pPr>
              <w:ind w:left="180"/>
              <w:spacing w:after="0"/>
              <w:rPr>
                <w:sz w:val="20"/>
                <w:szCs w:val="20"/>
                <w:color w:val="auto"/>
              </w:rPr>
            </w:pPr>
            <w:r>
              <w:rPr>
                <w:rFonts w:ascii="Calibri" w:cs="Calibri" w:eastAsia="Calibri" w:hAnsi="Calibri"/>
                <w:sz w:val="20"/>
                <w:szCs w:val="20"/>
                <w:color w:val="auto"/>
              </w:rPr>
              <w:t>Core COGS</w:t>
            </w:r>
          </w:p>
        </w:tc>
        <w:tc>
          <w:tcPr>
            <w:tcW w:w="3240" w:type="dxa"/>
            <w:vAlign w:val="bottom"/>
          </w:tcPr>
          <w:p>
            <w:pPr>
              <w:ind w:left="680"/>
              <w:spacing w:after="0"/>
              <w:rPr>
                <w:sz w:val="20"/>
                <w:szCs w:val="20"/>
                <w:color w:val="auto"/>
              </w:rPr>
            </w:pPr>
            <w:r>
              <w:rPr>
                <w:rFonts w:ascii="Calibri" w:cs="Calibri" w:eastAsia="Calibri" w:hAnsi="Calibri"/>
                <w:sz w:val="20"/>
                <w:szCs w:val="20"/>
                <w:color w:val="auto"/>
              </w:rPr>
              <w:t>The sum of the following costs:</w:t>
            </w:r>
          </w:p>
        </w:tc>
      </w:tr>
    </w:tbl>
    <w:p>
      <w:pPr>
        <w:spacing w:after="0" w:line="211" w:lineRule="exact"/>
        <w:rPr>
          <w:sz w:val="20"/>
          <w:szCs w:val="20"/>
          <w:color w:val="auto"/>
        </w:rPr>
      </w:pPr>
    </w:p>
    <w:p>
      <w:pPr>
        <w:ind w:left="3500" w:right="520" w:hanging="332"/>
        <w:spacing w:after="0" w:line="234" w:lineRule="auto"/>
        <w:tabs>
          <w:tab w:leader="none" w:pos="3501" w:val="left"/>
        </w:tabs>
        <w:numPr>
          <w:ilvl w:val="0"/>
          <w:numId w:val="606"/>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Direct and indirect fully loaded labor cost. For the NY Projects, shared labor cost is allocated between the Projects based on the Project Allocaton Rato.</w:t>
      </w:r>
    </w:p>
    <w:p>
      <w:pPr>
        <w:spacing w:after="0" w:line="95" w:lineRule="exact"/>
        <w:rPr>
          <w:sz w:val="20"/>
          <w:szCs w:val="20"/>
          <w:color w:val="auto"/>
        </w:rPr>
      </w:pPr>
    </w:p>
    <w:p>
      <w:pPr>
        <w:ind w:left="3160"/>
        <w:spacing w:after="0"/>
        <w:rPr>
          <w:sz w:val="20"/>
          <w:szCs w:val="20"/>
          <w:color w:val="auto"/>
        </w:rPr>
      </w:pPr>
      <w:r>
        <w:rPr>
          <w:rFonts w:ascii="Calibri" w:cs="Calibri" w:eastAsia="Calibri" w:hAnsi="Calibri"/>
          <w:sz w:val="20"/>
          <w:szCs w:val="20"/>
          <w:u w:val="single" w:color="auto"/>
          <w:color w:val="auto"/>
        </w:rPr>
        <w:t>plus</w:t>
      </w:r>
    </w:p>
    <w:p>
      <w:pPr>
        <w:spacing w:after="0" w:line="130" w:lineRule="exact"/>
        <w:rPr>
          <w:sz w:val="20"/>
          <w:szCs w:val="20"/>
          <w:color w:val="auto"/>
        </w:rPr>
      </w:pPr>
    </w:p>
    <w:p>
      <w:pPr>
        <w:ind w:left="3500" w:right="100" w:hanging="332"/>
        <w:spacing w:after="0" w:line="233" w:lineRule="auto"/>
        <w:tabs>
          <w:tab w:leader="none" w:pos="3501" w:val="left"/>
        </w:tabs>
        <w:numPr>
          <w:ilvl w:val="0"/>
          <w:numId w:val="607"/>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Material and spares costs, including, but not limited to, prime wafers, chemicals, photoresist, gases, slurry, test wafers, targets, polishing pads, repairs and maintenance, service contracts and operatng supplies. For the NY Projects, shared material and spares costs are allocated based on the NY Project Allocaton Rato;</w:t>
      </w:r>
    </w:p>
    <w:p>
      <w:pPr>
        <w:spacing w:after="0" w:line="95" w:lineRule="exact"/>
        <w:rPr>
          <w:sz w:val="20"/>
          <w:szCs w:val="20"/>
          <w:color w:val="auto"/>
        </w:rPr>
      </w:pPr>
    </w:p>
    <w:p>
      <w:pPr>
        <w:ind w:left="3160"/>
        <w:spacing w:after="0"/>
        <w:rPr>
          <w:sz w:val="20"/>
          <w:szCs w:val="20"/>
          <w:color w:val="auto"/>
        </w:rPr>
      </w:pPr>
      <w:r>
        <w:rPr>
          <w:rFonts w:ascii="Calibri" w:cs="Calibri" w:eastAsia="Calibri" w:hAnsi="Calibri"/>
          <w:sz w:val="20"/>
          <w:szCs w:val="20"/>
          <w:u w:val="single" w:color="auto"/>
          <w:color w:val="auto"/>
        </w:rPr>
        <w:t>plus</w:t>
      </w:r>
    </w:p>
    <w:p>
      <w:pPr>
        <w:spacing w:after="0" w:line="120" w:lineRule="exact"/>
        <w:rPr>
          <w:sz w:val="20"/>
          <w:szCs w:val="20"/>
          <w:color w:val="auto"/>
        </w:rPr>
      </w:pPr>
    </w:p>
    <w:p>
      <w:pPr>
        <w:ind w:left="3500" w:hanging="332"/>
        <w:spacing w:after="0"/>
        <w:tabs>
          <w:tab w:leader="none" w:pos="3500" w:val="left"/>
        </w:tabs>
        <w:numPr>
          <w:ilvl w:val="0"/>
          <w:numId w:val="608"/>
        </w:numPr>
        <w:rPr>
          <w:rFonts w:ascii="Times New Roman" w:cs="Times New Roman" w:eastAsia="Times New Roman" w:hAnsi="Times New Roman"/>
          <w:sz w:val="20"/>
          <w:szCs w:val="20"/>
          <w:color w:val="auto"/>
        </w:rPr>
      </w:pPr>
      <w:r>
        <w:rPr>
          <w:rFonts w:ascii="Calibri" w:cs="Calibri" w:eastAsia="Calibri" w:hAnsi="Calibri"/>
          <w:sz w:val="20"/>
          <w:szCs w:val="20"/>
          <w:color w:val="auto"/>
        </w:rPr>
        <w:t>Utlites costs, including, but not limited to, electricity, gas, wastewater treatment, and</w:t>
      </w:r>
    </w:p>
    <w:p>
      <w:pPr>
        <w:spacing w:after="0" w:line="12" w:lineRule="exact"/>
        <w:rPr>
          <w:sz w:val="20"/>
          <w:szCs w:val="20"/>
          <w:color w:val="auto"/>
        </w:rPr>
      </w:pPr>
    </w:p>
    <w:p>
      <w:pPr>
        <w:ind w:left="3500" w:right="240"/>
        <w:spacing w:after="0" w:line="226" w:lineRule="auto"/>
        <w:rPr>
          <w:sz w:val="20"/>
          <w:szCs w:val="20"/>
          <w:color w:val="auto"/>
        </w:rPr>
      </w:pPr>
      <w:r>
        <w:rPr>
          <w:rFonts w:ascii="Calibri" w:cs="Calibri" w:eastAsia="Calibri" w:hAnsi="Calibri"/>
          <w:sz w:val="20"/>
          <w:szCs w:val="20"/>
          <w:color w:val="auto"/>
        </w:rPr>
        <w:t>water. For the NY Projects, shared utlites costs are allocated based on the NY Project Allocaton Rato</w:t>
      </w:r>
    </w:p>
    <w:p>
      <w:pPr>
        <w:ind w:left="3160"/>
        <w:spacing w:after="0"/>
        <w:rPr>
          <w:sz w:val="20"/>
          <w:szCs w:val="20"/>
          <w:color w:val="auto"/>
        </w:rPr>
      </w:pPr>
      <w:r>
        <w:rPr>
          <w:rFonts w:ascii="Calibri" w:cs="Calibri" w:eastAsia="Calibri" w:hAnsi="Calibri"/>
          <w:sz w:val="20"/>
          <w:szCs w:val="20"/>
          <w:u w:val="single" w:color="auto"/>
          <w:color w:val="auto"/>
        </w:rPr>
        <w:t>plus</w:t>
      </w:r>
    </w:p>
    <w:p>
      <w:pPr>
        <w:spacing w:after="0" w:line="116" w:lineRule="exact"/>
        <w:rPr>
          <w:sz w:val="20"/>
          <w:szCs w:val="20"/>
          <w:color w:val="auto"/>
        </w:rPr>
      </w:pPr>
    </w:p>
    <w:p>
      <w:pPr>
        <w:ind w:left="3500" w:right="720" w:hanging="332"/>
        <w:spacing w:after="0" w:line="236" w:lineRule="auto"/>
        <w:tabs>
          <w:tab w:leader="none" w:pos="3547" w:val="left"/>
        </w:tabs>
        <w:numPr>
          <w:ilvl w:val="0"/>
          <w:numId w:val="60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Depreciaton and Amortzaton arising from property, plant and equipment and intangible assets recognized in accordance with the Sponsor Guarantor’s GAAP accountng policies.</w:t>
      </w:r>
    </w:p>
    <w:p>
      <w:pPr>
        <w:spacing w:after="0" w:line="94" w:lineRule="exact"/>
        <w:rPr>
          <w:sz w:val="20"/>
          <w:szCs w:val="20"/>
          <w:color w:val="auto"/>
        </w:rPr>
      </w:pPr>
    </w:p>
    <w:p>
      <w:pPr>
        <w:ind w:left="3160"/>
        <w:spacing w:after="0"/>
        <w:rPr>
          <w:sz w:val="20"/>
          <w:szCs w:val="20"/>
          <w:color w:val="auto"/>
        </w:rPr>
      </w:pPr>
      <w:r>
        <w:rPr>
          <w:rFonts w:ascii="Calibri" w:cs="Calibri" w:eastAsia="Calibri" w:hAnsi="Calibri"/>
          <w:sz w:val="20"/>
          <w:szCs w:val="20"/>
          <w:u w:val="single" w:color="auto"/>
          <w:color w:val="auto"/>
        </w:rPr>
        <w:t>plus</w:t>
      </w:r>
    </w:p>
    <w:p>
      <w:pPr>
        <w:spacing w:after="0" w:line="120" w:lineRule="exact"/>
        <w:rPr>
          <w:sz w:val="20"/>
          <w:szCs w:val="20"/>
          <w:color w:val="auto"/>
        </w:rPr>
      </w:pPr>
    </w:p>
    <w:p>
      <w:pPr>
        <w:ind w:left="3500" w:hanging="332"/>
        <w:spacing w:after="0"/>
        <w:tabs>
          <w:tab w:leader="none" w:pos="3500" w:val="left"/>
        </w:tabs>
        <w:numPr>
          <w:ilvl w:val="0"/>
          <w:numId w:val="610"/>
        </w:numPr>
        <w:rPr>
          <w:rFonts w:ascii="Times New Roman" w:cs="Times New Roman" w:eastAsia="Times New Roman" w:hAnsi="Times New Roman"/>
          <w:sz w:val="20"/>
          <w:szCs w:val="20"/>
          <w:color w:val="auto"/>
        </w:rPr>
      </w:pPr>
      <w:r>
        <w:rPr>
          <w:rFonts w:ascii="Calibri" w:cs="Calibri" w:eastAsia="Calibri" w:hAnsi="Calibri"/>
          <w:sz w:val="20"/>
          <w:szCs w:val="20"/>
          <w:color w:val="auto"/>
        </w:rPr>
        <w:t>Back end and other cost of sales, measured as the product of:</w:t>
      </w:r>
    </w:p>
    <w:p>
      <w:pPr>
        <w:spacing w:after="0" w:line="238" w:lineRule="exact"/>
        <w:rPr>
          <w:rFonts w:ascii="Times New Roman" w:cs="Times New Roman" w:eastAsia="Times New Roman" w:hAnsi="Times New Roman"/>
          <w:sz w:val="20"/>
          <w:szCs w:val="20"/>
          <w:color w:val="auto"/>
        </w:rPr>
      </w:pPr>
    </w:p>
    <w:p>
      <w:pPr>
        <w:ind w:left="4140"/>
        <w:spacing w:after="0" w:line="234" w:lineRule="auto"/>
        <w:tabs>
          <w:tab w:leader="none" w:pos="4396" w:val="left"/>
        </w:tabs>
        <w:numPr>
          <w:ilvl w:val="1"/>
          <w:numId w:val="610"/>
        </w:numPr>
        <w:rPr>
          <w:rFonts w:ascii="Calibri" w:cs="Calibri" w:eastAsia="Calibri" w:hAnsi="Calibri"/>
          <w:sz w:val="20"/>
          <w:szCs w:val="20"/>
          <w:color w:val="auto"/>
        </w:rPr>
      </w:pPr>
      <w:r>
        <w:rPr>
          <w:rFonts w:ascii="Calibri" w:cs="Calibri" w:eastAsia="Calibri" w:hAnsi="Calibri"/>
          <w:sz w:val="20"/>
          <w:szCs w:val="20"/>
          <w:color w:val="auto"/>
        </w:rPr>
        <w:t>Sponsor Guarantor’s consolidated cost of goods sold (as set forth in Sponsor Guarantor’s audited GAAP fnancial statements) multplied by [***]%.</w:t>
      </w:r>
    </w:p>
    <w:p>
      <w:pPr>
        <w:spacing w:after="0" w:line="243" w:lineRule="exact"/>
        <w:rPr>
          <w:sz w:val="20"/>
          <w:szCs w:val="20"/>
          <w:color w:val="auto"/>
        </w:rPr>
      </w:pPr>
    </w:p>
    <w:p>
      <w:pPr>
        <w:ind w:left="3720"/>
        <w:spacing w:after="0"/>
        <w:rPr>
          <w:sz w:val="20"/>
          <w:szCs w:val="20"/>
          <w:color w:val="auto"/>
        </w:rPr>
      </w:pPr>
      <w:r>
        <w:rPr>
          <w:rFonts w:ascii="Calibri" w:cs="Calibri" w:eastAsia="Calibri" w:hAnsi="Calibri"/>
          <w:sz w:val="20"/>
          <w:szCs w:val="20"/>
          <w:u w:val="single" w:color="auto"/>
          <w:color w:val="auto"/>
        </w:rPr>
        <w:t>multplied by</w:t>
      </w:r>
    </w:p>
    <w:p>
      <w:pPr>
        <w:spacing w:after="0" w:line="228" w:lineRule="exact"/>
        <w:rPr>
          <w:sz w:val="20"/>
          <w:szCs w:val="20"/>
          <w:color w:val="auto"/>
        </w:rPr>
      </w:pPr>
    </w:p>
    <w:p>
      <w:pPr>
        <w:ind w:left="4400" w:hanging="260"/>
        <w:spacing w:after="0"/>
        <w:tabs>
          <w:tab w:leader="none" w:pos="4400" w:val="left"/>
        </w:tabs>
        <w:numPr>
          <w:ilvl w:val="0"/>
          <w:numId w:val="611"/>
        </w:numPr>
        <w:rPr>
          <w:rFonts w:ascii="Calibri" w:cs="Calibri" w:eastAsia="Calibri" w:hAnsi="Calibri"/>
          <w:sz w:val="20"/>
          <w:szCs w:val="20"/>
          <w:color w:val="auto"/>
        </w:rPr>
      </w:pPr>
      <w:r>
        <w:rPr>
          <w:rFonts w:ascii="Calibri" w:cs="Calibri" w:eastAsia="Calibri" w:hAnsi="Calibri"/>
          <w:sz w:val="20"/>
          <w:szCs w:val="20"/>
          <w:color w:val="auto"/>
        </w:rPr>
        <w:t>the quotent of</w:t>
      </w:r>
    </w:p>
    <w:p>
      <w:pPr>
        <w:spacing w:after="0" w:line="251" w:lineRule="exact"/>
        <w:rPr>
          <w:rFonts w:ascii="Calibri" w:cs="Calibri" w:eastAsia="Calibri" w:hAnsi="Calibri"/>
          <w:sz w:val="20"/>
          <w:szCs w:val="20"/>
          <w:color w:val="auto"/>
        </w:rPr>
      </w:pPr>
    </w:p>
    <w:p>
      <w:pPr>
        <w:ind w:left="4780" w:right="4600" w:firstLine="8"/>
        <w:spacing w:after="0" w:line="491" w:lineRule="auto"/>
        <w:tabs>
          <w:tab w:leader="none" w:pos="4990" w:val="left"/>
        </w:tabs>
        <w:numPr>
          <w:ilvl w:val="1"/>
          <w:numId w:val="611"/>
        </w:numPr>
        <w:rPr>
          <w:rFonts w:ascii="Calibri" w:cs="Calibri" w:eastAsia="Calibri" w:hAnsi="Calibri"/>
          <w:sz w:val="19"/>
          <w:szCs w:val="19"/>
          <w:color w:val="auto"/>
        </w:rPr>
      </w:pPr>
      <w:r>
        <w:rPr>
          <w:rFonts w:ascii="Calibri" w:cs="Calibri" w:eastAsia="Calibri" w:hAnsi="Calibri"/>
          <w:sz w:val="19"/>
          <w:szCs w:val="19"/>
          <w:color w:val="auto"/>
        </w:rPr>
        <w:t xml:space="preserve">Total Revenue </w:t>
      </w:r>
      <w:r>
        <w:rPr>
          <w:rFonts w:ascii="Calibri" w:cs="Calibri" w:eastAsia="Calibri" w:hAnsi="Calibri"/>
          <w:sz w:val="19"/>
          <w:szCs w:val="19"/>
          <w:u w:val="single" w:color="auto"/>
          <w:color w:val="auto"/>
        </w:rPr>
        <w:t>divided by</w:t>
      </w:r>
    </w:p>
    <w:p>
      <w:pPr>
        <w:spacing w:after="0" w:line="9" w:lineRule="exact"/>
        <w:rPr>
          <w:rFonts w:ascii="Calibri" w:cs="Calibri" w:eastAsia="Calibri" w:hAnsi="Calibri"/>
          <w:sz w:val="19"/>
          <w:szCs w:val="19"/>
          <w:color w:val="auto"/>
        </w:rPr>
      </w:pPr>
    </w:p>
    <w:p>
      <w:pPr>
        <w:ind w:left="4780" w:firstLine="8"/>
        <w:spacing w:after="0" w:line="234" w:lineRule="auto"/>
        <w:tabs>
          <w:tab w:leader="none" w:pos="5054" w:val="left"/>
        </w:tabs>
        <w:numPr>
          <w:ilvl w:val="1"/>
          <w:numId w:val="611"/>
        </w:numPr>
        <w:rPr>
          <w:rFonts w:ascii="Calibri" w:cs="Calibri" w:eastAsia="Calibri" w:hAnsi="Calibri"/>
          <w:sz w:val="20"/>
          <w:szCs w:val="20"/>
          <w:color w:val="auto"/>
        </w:rPr>
      </w:pPr>
      <w:r>
        <w:rPr>
          <w:rFonts w:ascii="Calibri" w:cs="Calibri" w:eastAsia="Calibri" w:hAnsi="Calibri"/>
          <w:sz w:val="20"/>
          <w:szCs w:val="20"/>
          <w:color w:val="auto"/>
        </w:rPr>
        <w:t>Sponsor Guarantor’s consolidated total revenue (as set forth in Sponsor Guarantor’s audited GAAP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0740"/>
          </w:cols>
          <w:pgMar w:left="740" w:top="1440" w:right="419" w:bottom="1440" w:gutter="0" w:footer="0" w:header="0"/>
        </w:sectPr>
      </w:pPr>
    </w:p>
    <w:bookmarkStart w:id="488" w:name="page489"/>
    <w:bookmarkEnd w:id="488"/>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929005</wp:posOffset>
            </wp:positionV>
            <wp:extent cx="6917690" cy="9347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6917690" cy="934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0"/>
                <w:szCs w:val="20"/>
                <w:color w:val="auto"/>
              </w:rPr>
            </w:pPr>
            <w:r>
              <w:rPr>
                <w:rFonts w:ascii="Calibri" w:cs="Calibri" w:eastAsia="Calibri" w:hAnsi="Calibri"/>
                <w:sz w:val="20"/>
                <w:szCs w:val="20"/>
                <w:color w:val="auto"/>
              </w:rPr>
              <w:t>(a)</w:t>
            </w:r>
          </w:p>
        </w:tc>
        <w:tc>
          <w:tcPr>
            <w:tcW w:w="1800" w:type="dxa"/>
            <w:vAlign w:val="bottom"/>
          </w:tcPr>
          <w:p>
            <w:pPr>
              <w:ind w:left="180"/>
              <w:spacing w:after="0"/>
              <w:rPr>
                <w:sz w:val="20"/>
                <w:szCs w:val="20"/>
                <w:color w:val="auto"/>
              </w:rPr>
            </w:pPr>
            <w:r>
              <w:rPr>
                <w:rFonts w:ascii="Calibri" w:cs="Calibri" w:eastAsia="Calibri" w:hAnsi="Calibri"/>
                <w:sz w:val="20"/>
                <w:szCs w:val="20"/>
                <w:color w:val="auto"/>
              </w:rPr>
              <w:t>Other COGS</w:t>
            </w:r>
          </w:p>
        </w:tc>
        <w:tc>
          <w:tcPr>
            <w:tcW w:w="1900" w:type="dxa"/>
            <w:vAlign w:val="bottom"/>
          </w:tcPr>
          <w:p>
            <w:pPr>
              <w:ind w:left="620"/>
              <w:spacing w:after="0"/>
              <w:rPr>
                <w:sz w:val="20"/>
                <w:szCs w:val="20"/>
                <w:color w:val="auto"/>
              </w:rPr>
            </w:pPr>
            <w:r>
              <w:rPr>
                <w:rFonts w:ascii="Calibri" w:cs="Calibri" w:eastAsia="Calibri" w:hAnsi="Calibri"/>
                <w:sz w:val="20"/>
                <w:szCs w:val="20"/>
                <w:color w:val="auto"/>
              </w:rPr>
              <w:t>The product of:</w:t>
            </w:r>
          </w:p>
        </w:tc>
      </w:tr>
    </w:tbl>
    <w:p>
      <w:pPr>
        <w:spacing w:after="0" w:line="19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(1) </w:t>
      </w:r>
      <w:r>
        <w:rPr>
          <w:rFonts w:ascii="Calibri" w:cs="Calibri" w:eastAsia="Calibri" w:hAnsi="Calibri"/>
          <w:sz w:val="20"/>
          <w:szCs w:val="20"/>
          <w:color w:val="auto"/>
        </w:rPr>
        <w:t>[***]%</w:t>
      </w:r>
    </w:p>
    <w:p>
      <w:pPr>
        <w:spacing w:after="0" w:line="109" w:lineRule="exact"/>
        <w:rPr>
          <w:sz w:val="20"/>
          <w:szCs w:val="20"/>
          <w:color w:val="auto"/>
        </w:rPr>
      </w:pPr>
    </w:p>
    <w:p>
      <w:pPr>
        <w:ind w:left="3160"/>
        <w:spacing w:after="0"/>
        <w:rPr>
          <w:sz w:val="20"/>
          <w:szCs w:val="20"/>
          <w:color w:val="auto"/>
        </w:rPr>
      </w:pPr>
      <w:r>
        <w:rPr>
          <w:rFonts w:ascii="Calibri" w:cs="Calibri" w:eastAsia="Calibri" w:hAnsi="Calibri"/>
          <w:sz w:val="20"/>
          <w:szCs w:val="20"/>
          <w:u w:val="single" w:color="auto"/>
          <w:color w:val="auto"/>
        </w:rPr>
        <w:t>multplied by</w:t>
      </w:r>
    </w:p>
    <w:p>
      <w:pPr>
        <w:spacing w:after="0" w:line="10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 xml:space="preserve">(2) </w:t>
      </w:r>
      <w:r>
        <w:rPr>
          <w:rFonts w:ascii="Calibri" w:cs="Calibri" w:eastAsia="Calibri" w:hAnsi="Calibri"/>
          <w:sz w:val="20"/>
          <w:szCs w:val="20"/>
          <w:color w:val="auto"/>
        </w:rPr>
        <w:t>Core COGS</w:t>
      </w: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9719"/>
          </w:cols>
          <w:pgMar w:left="740" w:top="1440" w:right="1440" w:bottom="1440" w:gutter="0" w:footer="0" w:header="0"/>
        </w:sectPr>
      </w:pPr>
    </w:p>
    <w:bookmarkStart w:id="489" w:name="page490"/>
    <w:bookmarkEnd w:id="48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929005</wp:posOffset>
            </wp:positionV>
            <wp:extent cx="6917690" cy="6129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6917690" cy="61290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0"/>
                <w:szCs w:val="20"/>
                <w:color w:val="auto"/>
              </w:rPr>
            </w:pPr>
            <w:r>
              <w:rPr>
                <w:rFonts w:ascii="Calibri" w:cs="Calibri" w:eastAsia="Calibri" w:hAnsi="Calibri"/>
                <w:sz w:val="20"/>
                <w:szCs w:val="20"/>
                <w:color w:val="auto"/>
              </w:rPr>
              <w:t>(a)</w:t>
            </w:r>
          </w:p>
        </w:tc>
        <w:tc>
          <w:tcPr>
            <w:tcW w:w="2120" w:type="dxa"/>
            <w:vAlign w:val="bottom"/>
          </w:tcPr>
          <w:p>
            <w:pPr>
              <w:ind w:left="180"/>
              <w:spacing w:after="0"/>
              <w:rPr>
                <w:sz w:val="20"/>
                <w:szCs w:val="20"/>
                <w:color w:val="auto"/>
              </w:rPr>
            </w:pPr>
            <w:r>
              <w:rPr>
                <w:rFonts w:ascii="Calibri" w:cs="Calibri" w:eastAsia="Calibri" w:hAnsi="Calibri"/>
                <w:sz w:val="20"/>
                <w:szCs w:val="20"/>
                <w:color w:val="auto"/>
              </w:rPr>
              <w:t>Operatng Expenses</w:t>
            </w:r>
          </w:p>
        </w:tc>
        <w:tc>
          <w:tcPr>
            <w:tcW w:w="720" w:type="dxa"/>
            <w:vAlign w:val="bottom"/>
          </w:tcPr>
          <w:p>
            <w:pPr>
              <w:ind w:left="300"/>
              <w:spacing w:after="0"/>
              <w:rPr>
                <w:sz w:val="20"/>
                <w:szCs w:val="20"/>
                <w:color w:val="auto"/>
              </w:rPr>
            </w:pPr>
            <w:r>
              <w:rPr>
                <w:rFonts w:ascii="Calibri" w:cs="Calibri" w:eastAsia="Calibri" w:hAnsi="Calibri"/>
                <w:sz w:val="20"/>
                <w:szCs w:val="20"/>
                <w:color w:val="auto"/>
              </w:rPr>
              <w:t>(a)</w:t>
            </w:r>
          </w:p>
        </w:tc>
        <w:tc>
          <w:tcPr>
            <w:tcW w:w="1140" w:type="dxa"/>
            <w:vAlign w:val="bottom"/>
          </w:tcPr>
          <w:p>
            <w:pPr>
              <w:ind w:left="180"/>
              <w:spacing w:after="0"/>
              <w:rPr>
                <w:sz w:val="20"/>
                <w:szCs w:val="20"/>
                <w:color w:val="auto"/>
              </w:rPr>
            </w:pPr>
            <w:r>
              <w:rPr>
                <w:rFonts w:ascii="Calibri" w:cs="Calibri" w:eastAsia="Calibri" w:hAnsi="Calibri"/>
                <w:sz w:val="20"/>
                <w:szCs w:val="20"/>
                <w:color w:val="auto"/>
                <w:w w:val="98"/>
              </w:rPr>
              <w:t>The sum of:</w:t>
            </w:r>
          </w:p>
        </w:tc>
      </w:tr>
    </w:tbl>
    <w:p>
      <w:pPr>
        <w:spacing w:after="0" w:line="201" w:lineRule="exact"/>
        <w:rPr>
          <w:sz w:val="20"/>
          <w:szCs w:val="20"/>
          <w:color w:val="auto"/>
        </w:rPr>
      </w:pPr>
    </w:p>
    <w:p>
      <w:pPr>
        <w:ind w:left="3500" w:hanging="332"/>
        <w:spacing w:after="0"/>
        <w:tabs>
          <w:tab w:leader="none" w:pos="3500" w:val="left"/>
        </w:tabs>
        <w:numPr>
          <w:ilvl w:val="0"/>
          <w:numId w:val="612"/>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Research and development (“R&amp;D”) expense equal to the product of:</w:t>
      </w:r>
    </w:p>
    <w:p>
      <w:pPr>
        <w:spacing w:after="0" w:line="11" w:lineRule="exact"/>
        <w:rPr>
          <w:rFonts w:ascii="Times New Roman" w:cs="Times New Roman" w:eastAsia="Times New Roman" w:hAnsi="Times New Roman"/>
          <w:sz w:val="20"/>
          <w:szCs w:val="20"/>
          <w:color w:val="auto"/>
        </w:rPr>
      </w:pPr>
    </w:p>
    <w:p>
      <w:pPr>
        <w:ind w:left="4400" w:hanging="260"/>
        <w:spacing w:after="0" w:line="227" w:lineRule="auto"/>
        <w:tabs>
          <w:tab w:leader="none" w:pos="4400" w:val="left"/>
        </w:tabs>
        <w:numPr>
          <w:ilvl w:val="1"/>
          <w:numId w:val="612"/>
        </w:numPr>
        <w:rPr>
          <w:rFonts w:ascii="Calibri" w:cs="Calibri" w:eastAsia="Calibri" w:hAnsi="Calibri"/>
          <w:sz w:val="20"/>
          <w:szCs w:val="20"/>
          <w:color w:val="auto"/>
        </w:rPr>
      </w:pPr>
      <w:r>
        <w:rPr>
          <w:rFonts w:ascii="Calibri" w:cs="Calibri" w:eastAsia="Calibri" w:hAnsi="Calibri"/>
          <w:sz w:val="20"/>
          <w:szCs w:val="20"/>
          <w:color w:val="auto"/>
        </w:rPr>
        <w:t>the quotent of:</w:t>
      </w:r>
    </w:p>
    <w:p>
      <w:pPr>
        <w:spacing w:after="0" w:line="238" w:lineRule="exact"/>
        <w:rPr>
          <w:rFonts w:ascii="Calibri" w:cs="Calibri" w:eastAsia="Calibri" w:hAnsi="Calibri"/>
          <w:sz w:val="20"/>
          <w:szCs w:val="20"/>
          <w:color w:val="auto"/>
        </w:rPr>
      </w:pPr>
    </w:p>
    <w:p>
      <w:pPr>
        <w:ind w:left="4780" w:right="940" w:firstLine="8"/>
        <w:spacing w:after="0" w:line="468" w:lineRule="auto"/>
        <w:tabs>
          <w:tab w:leader="none" w:pos="5106" w:val="left"/>
        </w:tabs>
        <w:numPr>
          <w:ilvl w:val="2"/>
          <w:numId w:val="612"/>
        </w:numPr>
        <w:rPr>
          <w:rFonts w:ascii="Calibri" w:cs="Calibri" w:eastAsia="Calibri" w:hAnsi="Calibri"/>
          <w:sz w:val="20"/>
          <w:szCs w:val="20"/>
          <w:color w:val="auto"/>
        </w:rPr>
      </w:pPr>
      <w:r>
        <w:rPr>
          <w:rFonts w:ascii="Calibri" w:cs="Calibri" w:eastAsia="Calibri" w:hAnsi="Calibri"/>
          <w:sz w:val="20"/>
          <w:szCs w:val="20"/>
          <w:color w:val="auto"/>
        </w:rPr>
        <w:t xml:space="preserve">Sponsor Guarantor’s research and development expense </w:t>
      </w:r>
      <w:r>
        <w:rPr>
          <w:rFonts w:ascii="Calibri" w:cs="Calibri" w:eastAsia="Calibri" w:hAnsi="Calibri"/>
          <w:sz w:val="20"/>
          <w:szCs w:val="20"/>
          <w:u w:val="single" w:color="auto"/>
          <w:color w:val="auto"/>
        </w:rPr>
        <w:t>divided by</w:t>
      </w:r>
    </w:p>
    <w:p>
      <w:pPr>
        <w:spacing w:after="0" w:line="6" w:lineRule="exact"/>
        <w:rPr>
          <w:rFonts w:ascii="Calibri" w:cs="Calibri" w:eastAsia="Calibri" w:hAnsi="Calibri"/>
          <w:sz w:val="20"/>
          <w:szCs w:val="20"/>
          <w:color w:val="auto"/>
        </w:rPr>
      </w:pPr>
    </w:p>
    <w:p>
      <w:pPr>
        <w:ind w:left="5120" w:hanging="332"/>
        <w:spacing w:after="0" w:line="234" w:lineRule="auto"/>
        <w:tabs>
          <w:tab w:leader="none" w:pos="5122" w:val="left"/>
        </w:tabs>
        <w:numPr>
          <w:ilvl w:val="2"/>
          <w:numId w:val="612"/>
        </w:numPr>
        <w:rPr>
          <w:rFonts w:ascii="Calibri" w:cs="Calibri" w:eastAsia="Calibri" w:hAnsi="Calibri"/>
          <w:sz w:val="20"/>
          <w:szCs w:val="20"/>
          <w:color w:val="auto"/>
        </w:rPr>
      </w:pPr>
      <w:r>
        <w:rPr>
          <w:rFonts w:ascii="Calibri" w:cs="Calibri" w:eastAsia="Calibri" w:hAnsi="Calibri"/>
          <w:sz w:val="20"/>
          <w:szCs w:val="20"/>
          <w:color w:val="auto"/>
        </w:rPr>
        <w:t>Sponsor Guarantor’s consolidated total revenue (each as set forth in Sponsor Guarantor’s audited GAAP fnancial statements)</w:t>
      </w:r>
    </w:p>
    <w:p>
      <w:pPr>
        <w:spacing w:after="0" w:line="230" w:lineRule="exact"/>
        <w:rPr>
          <w:sz w:val="20"/>
          <w:szCs w:val="20"/>
          <w:color w:val="auto"/>
        </w:rPr>
      </w:pPr>
    </w:p>
    <w:p>
      <w:pPr>
        <w:ind w:left="4140"/>
        <w:spacing w:after="0"/>
        <w:rPr>
          <w:sz w:val="20"/>
          <w:szCs w:val="20"/>
          <w:color w:val="auto"/>
        </w:rPr>
      </w:pPr>
      <w:r>
        <w:rPr>
          <w:rFonts w:ascii="Calibri" w:cs="Calibri" w:eastAsia="Calibri" w:hAnsi="Calibri"/>
          <w:sz w:val="20"/>
          <w:szCs w:val="20"/>
          <w:u w:val="single" w:color="auto"/>
          <w:color w:val="auto"/>
        </w:rPr>
        <w:t>multplied by</w:t>
      </w:r>
    </w:p>
    <w:p>
      <w:pPr>
        <w:spacing w:after="0" w:line="242" w:lineRule="exact"/>
        <w:rPr>
          <w:sz w:val="20"/>
          <w:szCs w:val="20"/>
          <w:color w:val="auto"/>
        </w:rPr>
      </w:pPr>
    </w:p>
    <w:p>
      <w:pPr>
        <w:ind w:left="4140"/>
        <w:spacing w:after="0"/>
        <w:rPr>
          <w:sz w:val="20"/>
          <w:szCs w:val="20"/>
          <w:color w:val="auto"/>
        </w:rPr>
      </w:pPr>
      <w:r>
        <w:rPr>
          <w:rFonts w:ascii="Calibri" w:cs="Calibri" w:eastAsia="Calibri" w:hAnsi="Calibri"/>
          <w:sz w:val="20"/>
          <w:szCs w:val="20"/>
          <w:color w:val="auto"/>
        </w:rPr>
        <w:t>(y) [***]%</w:t>
      </w:r>
    </w:p>
    <w:p>
      <w:pPr>
        <w:spacing w:after="0" w:line="242" w:lineRule="exact"/>
        <w:rPr>
          <w:sz w:val="20"/>
          <w:szCs w:val="20"/>
          <w:color w:val="auto"/>
        </w:rPr>
      </w:pPr>
    </w:p>
    <w:p>
      <w:pPr>
        <w:ind w:left="4140"/>
        <w:spacing w:after="0"/>
        <w:rPr>
          <w:sz w:val="20"/>
          <w:szCs w:val="20"/>
          <w:color w:val="auto"/>
        </w:rPr>
      </w:pPr>
      <w:r>
        <w:rPr>
          <w:rFonts w:ascii="Calibri" w:cs="Calibri" w:eastAsia="Calibri" w:hAnsi="Calibri"/>
          <w:sz w:val="20"/>
          <w:szCs w:val="20"/>
          <w:u w:val="single" w:color="auto"/>
          <w:color w:val="auto"/>
        </w:rPr>
        <w:t>multplied by</w:t>
      </w:r>
    </w:p>
    <w:p>
      <w:pPr>
        <w:spacing w:after="0" w:line="188" w:lineRule="exact"/>
        <w:rPr>
          <w:sz w:val="20"/>
          <w:szCs w:val="20"/>
          <w:color w:val="auto"/>
        </w:rPr>
      </w:pPr>
    </w:p>
    <w:p>
      <w:pPr>
        <w:ind w:left="4140"/>
        <w:spacing w:after="0"/>
        <w:rPr>
          <w:sz w:val="20"/>
          <w:szCs w:val="20"/>
          <w:color w:val="auto"/>
        </w:rPr>
      </w:pPr>
      <w:r>
        <w:rPr>
          <w:rFonts w:ascii="Calibri" w:cs="Calibri" w:eastAsia="Calibri" w:hAnsi="Calibri"/>
          <w:sz w:val="20"/>
          <w:szCs w:val="20"/>
          <w:color w:val="auto"/>
        </w:rPr>
        <w:t>(z) Total Revenue</w:t>
      </w:r>
    </w:p>
    <w:p>
      <w:pPr>
        <w:spacing w:after="0" w:line="93" w:lineRule="exact"/>
        <w:rPr>
          <w:sz w:val="20"/>
          <w:szCs w:val="20"/>
          <w:color w:val="auto"/>
        </w:rPr>
      </w:pPr>
    </w:p>
    <w:p>
      <w:pPr>
        <w:ind w:left="3160"/>
        <w:spacing w:after="0"/>
        <w:rPr>
          <w:sz w:val="20"/>
          <w:szCs w:val="20"/>
          <w:color w:val="auto"/>
        </w:rPr>
      </w:pPr>
      <w:r>
        <w:rPr>
          <w:rFonts w:ascii="Calibri" w:cs="Calibri" w:eastAsia="Calibri" w:hAnsi="Calibri"/>
          <w:sz w:val="20"/>
          <w:szCs w:val="20"/>
          <w:u w:val="single" w:color="auto"/>
          <w:color w:val="auto"/>
        </w:rPr>
        <w:t>plus</w:t>
      </w:r>
    </w:p>
    <w:p>
      <w:pPr>
        <w:spacing w:after="0" w:line="363" w:lineRule="exact"/>
        <w:rPr>
          <w:sz w:val="20"/>
          <w:szCs w:val="20"/>
          <w:color w:val="auto"/>
        </w:rPr>
      </w:pPr>
    </w:p>
    <w:p>
      <w:pPr>
        <w:ind w:left="3500" w:hanging="332"/>
        <w:spacing w:after="0"/>
        <w:tabs>
          <w:tab w:leader="none" w:pos="3500" w:val="left"/>
        </w:tabs>
        <w:numPr>
          <w:ilvl w:val="0"/>
          <w:numId w:val="6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Selling, general and administratve (“</w:t>
      </w:r>
      <w:r>
        <w:rPr>
          <w:rFonts w:ascii="Calibri" w:cs="Calibri" w:eastAsia="Calibri" w:hAnsi="Calibri"/>
          <w:sz w:val="20"/>
          <w:szCs w:val="20"/>
          <w:b w:val="1"/>
          <w:bCs w:val="1"/>
          <w:color w:val="auto"/>
        </w:rPr>
        <w:t>SG&amp;A</w:t>
      </w:r>
      <w:r>
        <w:rPr>
          <w:rFonts w:ascii="Calibri" w:cs="Calibri" w:eastAsia="Calibri" w:hAnsi="Calibri"/>
          <w:sz w:val="20"/>
          <w:szCs w:val="20"/>
          <w:color w:val="auto"/>
        </w:rPr>
        <w:t>”) expense equal to the product of:</w:t>
      </w:r>
    </w:p>
    <w:p>
      <w:pPr>
        <w:spacing w:after="0" w:line="242" w:lineRule="exact"/>
        <w:rPr>
          <w:sz w:val="20"/>
          <w:szCs w:val="20"/>
          <w:color w:val="auto"/>
        </w:rPr>
      </w:pPr>
    </w:p>
    <w:p>
      <w:pPr>
        <w:ind w:left="4400" w:hanging="260"/>
        <w:spacing w:after="0"/>
        <w:tabs>
          <w:tab w:leader="none" w:pos="4400" w:val="left"/>
        </w:tabs>
        <w:numPr>
          <w:ilvl w:val="0"/>
          <w:numId w:val="614"/>
        </w:numPr>
        <w:rPr>
          <w:rFonts w:ascii="Calibri" w:cs="Calibri" w:eastAsia="Calibri" w:hAnsi="Calibri"/>
          <w:sz w:val="20"/>
          <w:szCs w:val="20"/>
          <w:color w:val="auto"/>
        </w:rPr>
      </w:pPr>
      <w:r>
        <w:rPr>
          <w:rFonts w:ascii="Calibri" w:cs="Calibri" w:eastAsia="Calibri" w:hAnsi="Calibri"/>
          <w:sz w:val="20"/>
          <w:szCs w:val="20"/>
          <w:color w:val="auto"/>
        </w:rPr>
        <w:t>the quotent of:</w:t>
      </w:r>
    </w:p>
    <w:p>
      <w:pPr>
        <w:spacing w:after="0" w:line="238" w:lineRule="exact"/>
        <w:rPr>
          <w:rFonts w:ascii="Calibri" w:cs="Calibri" w:eastAsia="Calibri" w:hAnsi="Calibri"/>
          <w:sz w:val="20"/>
          <w:szCs w:val="20"/>
          <w:color w:val="auto"/>
        </w:rPr>
      </w:pPr>
    </w:p>
    <w:p>
      <w:pPr>
        <w:ind w:left="4780" w:right="2660" w:firstLine="8"/>
        <w:spacing w:after="0" w:line="468" w:lineRule="auto"/>
        <w:tabs>
          <w:tab w:leader="none" w:pos="5106" w:val="left"/>
        </w:tabs>
        <w:numPr>
          <w:ilvl w:val="1"/>
          <w:numId w:val="614"/>
        </w:numPr>
        <w:rPr>
          <w:rFonts w:ascii="Calibri" w:cs="Calibri" w:eastAsia="Calibri" w:hAnsi="Calibri"/>
          <w:sz w:val="20"/>
          <w:szCs w:val="20"/>
          <w:color w:val="auto"/>
        </w:rPr>
      </w:pPr>
      <w:r>
        <w:rPr>
          <w:rFonts w:ascii="Calibri" w:cs="Calibri" w:eastAsia="Calibri" w:hAnsi="Calibri"/>
          <w:sz w:val="20"/>
          <w:szCs w:val="20"/>
          <w:color w:val="auto"/>
        </w:rPr>
        <w:t xml:space="preserve">Sponsor Guarantor’s SG&amp;A expense </w:t>
      </w:r>
      <w:r>
        <w:rPr>
          <w:rFonts w:ascii="Calibri" w:cs="Calibri" w:eastAsia="Calibri" w:hAnsi="Calibri"/>
          <w:sz w:val="20"/>
          <w:szCs w:val="20"/>
          <w:u w:val="single" w:color="auto"/>
          <w:color w:val="auto"/>
        </w:rPr>
        <w:t>divided by</w:t>
      </w:r>
    </w:p>
    <w:p>
      <w:pPr>
        <w:spacing w:after="0" w:line="6" w:lineRule="exact"/>
        <w:rPr>
          <w:rFonts w:ascii="Calibri" w:cs="Calibri" w:eastAsia="Calibri" w:hAnsi="Calibri"/>
          <w:sz w:val="20"/>
          <w:szCs w:val="20"/>
          <w:color w:val="auto"/>
        </w:rPr>
      </w:pPr>
    </w:p>
    <w:p>
      <w:pPr>
        <w:ind w:left="5120" w:hanging="332"/>
        <w:spacing w:after="0" w:line="234" w:lineRule="auto"/>
        <w:tabs>
          <w:tab w:leader="none" w:pos="5122" w:val="left"/>
        </w:tabs>
        <w:numPr>
          <w:ilvl w:val="1"/>
          <w:numId w:val="614"/>
        </w:numPr>
        <w:rPr>
          <w:rFonts w:ascii="Calibri" w:cs="Calibri" w:eastAsia="Calibri" w:hAnsi="Calibri"/>
          <w:sz w:val="20"/>
          <w:szCs w:val="20"/>
          <w:color w:val="auto"/>
        </w:rPr>
      </w:pPr>
      <w:r>
        <w:rPr>
          <w:rFonts w:ascii="Calibri" w:cs="Calibri" w:eastAsia="Calibri" w:hAnsi="Calibri"/>
          <w:sz w:val="20"/>
          <w:szCs w:val="20"/>
          <w:color w:val="auto"/>
        </w:rPr>
        <w:t>Sponsor Guarantor’s consolidated total revenue (each as set forth in Sponsor Guarantor’s audited GAAP fnancial statements)</w:t>
      </w:r>
    </w:p>
    <w:p>
      <w:pPr>
        <w:spacing w:after="0" w:line="243" w:lineRule="exact"/>
        <w:rPr>
          <w:sz w:val="20"/>
          <w:szCs w:val="20"/>
          <w:color w:val="auto"/>
        </w:rPr>
      </w:pPr>
    </w:p>
    <w:p>
      <w:pPr>
        <w:ind w:left="4140"/>
        <w:spacing w:after="0"/>
        <w:rPr>
          <w:sz w:val="20"/>
          <w:szCs w:val="20"/>
          <w:color w:val="auto"/>
        </w:rPr>
      </w:pPr>
      <w:r>
        <w:rPr>
          <w:rFonts w:ascii="Calibri" w:cs="Calibri" w:eastAsia="Calibri" w:hAnsi="Calibri"/>
          <w:sz w:val="20"/>
          <w:szCs w:val="20"/>
          <w:u w:val="single" w:color="auto"/>
          <w:color w:val="auto"/>
        </w:rPr>
        <w:t>multplied by</w:t>
      </w:r>
    </w:p>
    <w:p>
      <w:pPr>
        <w:spacing w:after="0" w:line="228" w:lineRule="exact"/>
        <w:rPr>
          <w:sz w:val="20"/>
          <w:szCs w:val="20"/>
          <w:color w:val="auto"/>
        </w:rPr>
      </w:pPr>
    </w:p>
    <w:p>
      <w:pPr>
        <w:ind w:left="4140"/>
        <w:spacing w:after="0"/>
        <w:rPr>
          <w:sz w:val="20"/>
          <w:szCs w:val="20"/>
          <w:color w:val="auto"/>
        </w:rPr>
      </w:pPr>
      <w:r>
        <w:rPr>
          <w:rFonts w:ascii="Calibri" w:cs="Calibri" w:eastAsia="Calibri" w:hAnsi="Calibri"/>
          <w:sz w:val="20"/>
          <w:szCs w:val="20"/>
          <w:color w:val="auto"/>
        </w:rPr>
        <w:t>(y) [***]%</w:t>
      </w:r>
    </w:p>
    <w:p>
      <w:pPr>
        <w:spacing w:after="0" w:line="242" w:lineRule="exact"/>
        <w:rPr>
          <w:sz w:val="20"/>
          <w:szCs w:val="20"/>
          <w:color w:val="auto"/>
        </w:rPr>
      </w:pPr>
    </w:p>
    <w:p>
      <w:pPr>
        <w:ind w:left="4140"/>
        <w:spacing w:after="0"/>
        <w:rPr>
          <w:sz w:val="20"/>
          <w:szCs w:val="20"/>
          <w:color w:val="auto"/>
        </w:rPr>
      </w:pPr>
      <w:r>
        <w:rPr>
          <w:rFonts w:ascii="Calibri" w:cs="Calibri" w:eastAsia="Calibri" w:hAnsi="Calibri"/>
          <w:sz w:val="20"/>
          <w:szCs w:val="20"/>
          <w:u w:val="single" w:color="auto"/>
          <w:color w:val="auto"/>
        </w:rPr>
        <w:t>multplied by</w:t>
      </w:r>
    </w:p>
    <w:p>
      <w:pPr>
        <w:spacing w:after="0" w:line="188" w:lineRule="exact"/>
        <w:rPr>
          <w:sz w:val="20"/>
          <w:szCs w:val="20"/>
          <w:color w:val="auto"/>
        </w:rPr>
      </w:pPr>
    </w:p>
    <w:p>
      <w:pPr>
        <w:ind w:left="4140"/>
        <w:spacing w:after="0"/>
        <w:rPr>
          <w:sz w:val="20"/>
          <w:szCs w:val="20"/>
          <w:color w:val="auto"/>
        </w:rPr>
      </w:pPr>
      <w:r>
        <w:rPr>
          <w:rFonts w:ascii="Calibri" w:cs="Calibri" w:eastAsia="Calibri" w:hAnsi="Calibri"/>
          <w:sz w:val="20"/>
          <w:szCs w:val="20"/>
          <w:color w:val="auto"/>
        </w:rPr>
        <w:t>(z)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80"/>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0700"/>
          </w:cols>
          <w:pgMar w:left="740" w:top="1440" w:right="459" w:bottom="1440" w:gutter="0" w:footer="0" w:header="0"/>
        </w:sectPr>
      </w:pPr>
    </w:p>
    <w:bookmarkStart w:id="490" w:name="page491"/>
    <w:bookmarkEnd w:id="490"/>
    <w:p>
      <w:pPr>
        <w:spacing w:after="0" w:line="3" w:lineRule="exact"/>
        <w:rPr>
          <w:sz w:val="20"/>
          <w:szCs w:val="20"/>
          <w:color w:val="auto"/>
        </w:rPr>
      </w:pPr>
    </w:p>
    <w:tbl>
      <w:tblPr>
        <w:tblLayout w:type="fixed"/>
        <w:tblInd w:w="350" w:type="dxa"/>
        <w:tblCellMar>
          <w:top w:w="0" w:type="dxa"/>
          <w:left w:w="0" w:type="dxa"/>
          <w:bottom w:w="0" w:type="dxa"/>
          <w:right w:w="0" w:type="dxa"/>
        </w:tblCellMar>
      </w:tblPr>
      <w:tr>
        <w:trPr>
          <w:trHeight w:val="251"/>
        </w:trPr>
        <w:tc>
          <w:tcPr>
            <w:tcW w:w="500" w:type="dxa"/>
            <w:vAlign w:val="bottom"/>
            <w:tcBorders>
              <w:top w:val="single" w:sz="8" w:color="auto"/>
              <w:left w:val="single" w:sz="8" w:color="auto"/>
            </w:tcBorders>
          </w:tcPr>
          <w:p>
            <w:pPr>
              <w:ind w:left="80"/>
              <w:spacing w:after="0"/>
              <w:rPr>
                <w:sz w:val="20"/>
                <w:szCs w:val="20"/>
                <w:color w:val="auto"/>
              </w:rPr>
            </w:pPr>
            <w:r>
              <w:rPr>
                <w:rFonts w:ascii="Calibri" w:cs="Calibri" w:eastAsia="Calibri" w:hAnsi="Calibri"/>
                <w:sz w:val="20"/>
                <w:szCs w:val="20"/>
                <w:color w:val="auto"/>
              </w:rPr>
              <w:t>(a)</w:t>
            </w:r>
          </w:p>
        </w:tc>
        <w:tc>
          <w:tcPr>
            <w:tcW w:w="2360" w:type="dxa"/>
            <w:vAlign w:val="bottom"/>
            <w:tcBorders>
              <w:top w:val="single" w:sz="8" w:color="auto"/>
              <w:right w:val="single" w:sz="8" w:color="auto"/>
            </w:tcBorders>
          </w:tcPr>
          <w:p>
            <w:pPr>
              <w:ind w:left="180"/>
              <w:spacing w:after="0"/>
              <w:rPr>
                <w:sz w:val="20"/>
                <w:szCs w:val="20"/>
                <w:color w:val="auto"/>
              </w:rPr>
            </w:pPr>
            <w:r>
              <w:rPr>
                <w:rFonts w:ascii="Calibri" w:cs="Calibri" w:eastAsia="Calibri" w:hAnsi="Calibri"/>
                <w:sz w:val="20"/>
                <w:szCs w:val="20"/>
                <w:color w:val="auto"/>
              </w:rPr>
              <w:t>Cash Tax</w:t>
            </w:r>
          </w:p>
        </w:tc>
        <w:tc>
          <w:tcPr>
            <w:tcW w:w="8040" w:type="dxa"/>
            <w:vAlign w:val="bottom"/>
            <w:tcBorders>
              <w:top w:val="single" w:sz="8" w:color="auto"/>
              <w:right w:val="single" w:sz="8" w:color="auto"/>
            </w:tcBorders>
            <w:gridSpan w:val="7"/>
          </w:tcPr>
          <w:p>
            <w:pPr>
              <w:ind w:left="60"/>
              <w:spacing w:after="0"/>
              <w:rPr>
                <w:sz w:val="20"/>
                <w:szCs w:val="20"/>
                <w:color w:val="auto"/>
              </w:rPr>
            </w:pPr>
            <w:r>
              <w:rPr>
                <w:rFonts w:ascii="Calibri" w:cs="Calibri" w:eastAsia="Calibri" w:hAnsi="Calibri"/>
                <w:sz w:val="20"/>
                <w:szCs w:val="20"/>
                <w:color w:val="auto"/>
              </w:rPr>
              <w:t>The product of:</w:t>
            </w:r>
          </w:p>
        </w:tc>
      </w:tr>
      <w:tr>
        <w:trPr>
          <w:trHeight w:val="346"/>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(1) The sum of 1) the Federal corporate tax rate in efect (currently 21%) and 2) [***]% as</w:t>
            </w:r>
          </w:p>
        </w:tc>
      </w:tr>
      <w:tr>
        <w:trPr>
          <w:trHeight w:val="234"/>
        </w:trPr>
        <w:tc>
          <w:tcPr>
            <w:tcW w:w="50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60" w:type="dxa"/>
            <w:vAlign w:val="bottom"/>
            <w:tcBorders>
              <w:right w:val="single" w:sz="8" w:color="auto"/>
            </w:tcBorders>
            <w:gridSpan w:val="6"/>
          </w:tcPr>
          <w:p>
            <w:pPr>
              <w:ind w:left="340"/>
              <w:spacing w:after="0" w:line="234" w:lineRule="exact"/>
              <w:rPr>
                <w:sz w:val="20"/>
                <w:szCs w:val="20"/>
                <w:color w:val="auto"/>
              </w:rPr>
            </w:pPr>
            <w:r>
              <w:rPr>
                <w:rFonts w:ascii="Calibri" w:cs="Calibri" w:eastAsia="Calibri" w:hAnsi="Calibri"/>
                <w:sz w:val="20"/>
                <w:szCs w:val="20"/>
                <w:color w:val="auto"/>
              </w:rPr>
              <w:t>the representatve blended US state income tax rate</w:t>
            </w:r>
          </w:p>
        </w:tc>
      </w:tr>
      <w:tr>
        <w:trPr>
          <w:trHeight w:val="316"/>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multplied by</w:t>
            </w: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0" w:type="dxa"/>
            <w:vAlign w:val="bottom"/>
            <w:tcBorders>
              <w:right w:val="single" w:sz="8" w:color="auto"/>
            </w:tcBorders>
          </w:tcPr>
          <w:p>
            <w:pPr>
              <w:spacing w:after="0" w:line="20" w:lineRule="exact"/>
              <w:rPr>
                <w:sz w:val="1"/>
                <w:szCs w:val="1"/>
                <w:color w:val="auto"/>
              </w:rPr>
            </w:pPr>
          </w:p>
        </w:tc>
      </w:tr>
      <w:tr>
        <w:trPr>
          <w:trHeight w:val="352"/>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(2) the Project’s proft before tax (calculated under the Applicable Accountng</w:t>
            </w:r>
          </w:p>
        </w:tc>
      </w:tr>
      <w:tr>
        <w:trPr>
          <w:trHeight w:val="243"/>
        </w:trPr>
        <w:tc>
          <w:tcPr>
            <w:tcW w:w="500" w:type="dxa"/>
            <w:vAlign w:val="bottom"/>
            <w:tcBorders>
              <w:lef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660" w:type="dxa"/>
            <w:vAlign w:val="bottom"/>
            <w:tcBorders>
              <w:right w:val="single" w:sz="8" w:color="auto"/>
            </w:tcBorders>
            <w:gridSpan w:val="6"/>
          </w:tcPr>
          <w:p>
            <w:pPr>
              <w:ind w:left="340"/>
              <w:spacing w:after="0" w:line="243" w:lineRule="exact"/>
              <w:rPr>
                <w:sz w:val="20"/>
                <w:szCs w:val="20"/>
                <w:color w:val="auto"/>
              </w:rPr>
            </w:pPr>
            <w:r>
              <w:rPr>
                <w:rFonts w:ascii="Calibri" w:cs="Calibri" w:eastAsia="Calibri" w:hAnsi="Calibri"/>
                <w:sz w:val="20"/>
                <w:szCs w:val="20"/>
                <w:color w:val="auto"/>
              </w:rPr>
              <w:t>Requirements defned herein) and with net interest expense (income) for purposes of</w:t>
            </w:r>
          </w:p>
        </w:tc>
      </w:tr>
      <w:tr>
        <w:trPr>
          <w:trHeight w:val="243"/>
        </w:trPr>
        <w:tc>
          <w:tcPr>
            <w:tcW w:w="500" w:type="dxa"/>
            <w:vAlign w:val="bottom"/>
            <w:tcBorders>
              <w:lef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660" w:type="dxa"/>
            <w:vAlign w:val="bottom"/>
            <w:tcBorders>
              <w:right w:val="single" w:sz="8" w:color="auto"/>
            </w:tcBorders>
            <w:gridSpan w:val="6"/>
          </w:tcPr>
          <w:p>
            <w:pPr>
              <w:ind w:left="340"/>
              <w:spacing w:after="0" w:line="243" w:lineRule="exact"/>
              <w:rPr>
                <w:sz w:val="20"/>
                <w:szCs w:val="20"/>
                <w:color w:val="auto"/>
              </w:rPr>
            </w:pPr>
            <w:r>
              <w:rPr>
                <w:rFonts w:ascii="Calibri" w:cs="Calibri" w:eastAsia="Calibri" w:hAnsi="Calibri"/>
                <w:sz w:val="20"/>
                <w:szCs w:val="20"/>
                <w:color w:val="auto"/>
              </w:rPr>
              <w:t>the Project’s proft before tax calculaton equal to the product of:</w:t>
            </w:r>
          </w:p>
        </w:tc>
      </w:tr>
      <w:tr>
        <w:trPr>
          <w:trHeight w:val="338"/>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Borders>
              <w:right w:val="single" w:sz="8" w:color="auto"/>
            </w:tcBorders>
            <w:gridSpan w:val="4"/>
          </w:tcPr>
          <w:p>
            <w:pPr>
              <w:ind w:left="40"/>
              <w:spacing w:after="0"/>
              <w:rPr>
                <w:sz w:val="20"/>
                <w:szCs w:val="20"/>
                <w:color w:val="auto"/>
              </w:rPr>
            </w:pPr>
            <w:r>
              <w:rPr>
                <w:rFonts w:ascii="Calibri" w:cs="Calibri" w:eastAsia="Calibri" w:hAnsi="Calibri"/>
                <w:sz w:val="20"/>
                <w:szCs w:val="20"/>
                <w:color w:val="auto"/>
              </w:rPr>
              <w:t>(x) the Sponsor Guarantor’s net interest expense (income)</w:t>
            </w:r>
          </w:p>
        </w:tc>
      </w:tr>
      <w:tr>
        <w:trPr>
          <w:trHeight w:val="452"/>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color w:val="auto"/>
              </w:rPr>
              <w:t>multplied by</w:t>
            </w:r>
          </w:p>
        </w:tc>
        <w:tc>
          <w:tcPr>
            <w:tcW w:w="5600" w:type="dxa"/>
            <w:vAlign w:val="bottom"/>
            <w:tcBorders>
              <w:right w:val="single" w:sz="8" w:color="auto"/>
            </w:tcBorders>
          </w:tcPr>
          <w:p>
            <w:pPr>
              <w:spacing w:after="0"/>
              <w:rPr>
                <w:sz w:val="24"/>
                <w:szCs w:val="24"/>
                <w:color w:val="auto"/>
              </w:rPr>
            </w:pPr>
          </w:p>
        </w:tc>
      </w:tr>
      <w:tr>
        <w:trPr>
          <w:trHeight w:val="487"/>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Borders>
              <w:right w:val="single" w:sz="8" w:color="auto"/>
            </w:tcBorders>
            <w:gridSpan w:val="4"/>
          </w:tcPr>
          <w:p>
            <w:pPr>
              <w:spacing w:after="0"/>
              <w:rPr>
                <w:sz w:val="20"/>
                <w:szCs w:val="20"/>
                <w:color w:val="auto"/>
              </w:rPr>
            </w:pPr>
            <w:r>
              <w:rPr>
                <w:rFonts w:ascii="Calibri" w:cs="Calibri" w:eastAsia="Calibri" w:hAnsi="Calibri"/>
                <w:sz w:val="20"/>
                <w:szCs w:val="20"/>
                <w:color w:val="auto"/>
              </w:rPr>
              <w:t>(y) a fracton equal to 1) Total Revenue divided by 2) Sponsor Guarantor’s</w:t>
            </w:r>
          </w:p>
        </w:tc>
      </w:tr>
      <w:tr>
        <w:trPr>
          <w:trHeight w:val="243"/>
        </w:trPr>
        <w:tc>
          <w:tcPr>
            <w:tcW w:w="500" w:type="dxa"/>
            <w:vAlign w:val="bottom"/>
            <w:tcBorders>
              <w:lef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80" w:type="dxa"/>
            <w:vAlign w:val="bottom"/>
            <w:tcBorders>
              <w:right w:val="single" w:sz="8" w:color="auto"/>
            </w:tcBorders>
            <w:gridSpan w:val="4"/>
          </w:tcPr>
          <w:p>
            <w:pPr>
              <w:spacing w:after="0" w:line="243" w:lineRule="exact"/>
              <w:rPr>
                <w:sz w:val="20"/>
                <w:szCs w:val="20"/>
                <w:color w:val="auto"/>
              </w:rPr>
            </w:pPr>
            <w:r>
              <w:rPr>
                <w:rFonts w:ascii="Calibri" w:cs="Calibri" w:eastAsia="Calibri" w:hAnsi="Calibri"/>
                <w:sz w:val="20"/>
                <w:szCs w:val="20"/>
                <w:color w:val="auto"/>
              </w:rPr>
              <w:t>consolidated total revenue.</w:t>
            </w:r>
          </w:p>
        </w:tc>
      </w:tr>
      <w:tr>
        <w:trPr>
          <w:trHeight w:val="249"/>
        </w:trPr>
        <w:tc>
          <w:tcPr>
            <w:tcW w:w="500" w:type="dxa"/>
            <w:vAlign w:val="bottom"/>
            <w:tcBorders>
              <w:left w:val="single" w:sz="8" w:color="auto"/>
              <w:bottom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600" w:type="dxa"/>
            <w:vAlign w:val="bottom"/>
            <w:tcBorders>
              <w:bottom w:val="single" w:sz="8" w:color="auto"/>
              <w:right w:val="single" w:sz="8" w:color="auto"/>
            </w:tcBorders>
          </w:tcPr>
          <w:p>
            <w:pPr>
              <w:spacing w:after="0"/>
              <w:rPr>
                <w:sz w:val="21"/>
                <w:szCs w:val="21"/>
                <w:color w:val="auto"/>
              </w:rPr>
            </w:pPr>
          </w:p>
        </w:tc>
      </w:tr>
      <w:tr>
        <w:trPr>
          <w:trHeight w:val="231"/>
        </w:trPr>
        <w:tc>
          <w:tcPr>
            <w:tcW w:w="500" w:type="dxa"/>
            <w:vAlign w:val="bottom"/>
            <w:tcBorders>
              <w:lef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(a)</w:t>
            </w:r>
          </w:p>
        </w:tc>
        <w:tc>
          <w:tcPr>
            <w:tcW w:w="2360" w:type="dxa"/>
            <w:vAlign w:val="bottom"/>
            <w:tcBorders>
              <w:right w:val="single" w:sz="8" w:color="auto"/>
            </w:tcBorders>
          </w:tcPr>
          <w:p>
            <w:pPr>
              <w:ind w:left="180"/>
              <w:spacing w:after="0" w:line="230" w:lineRule="exact"/>
              <w:rPr>
                <w:sz w:val="20"/>
                <w:szCs w:val="20"/>
                <w:color w:val="auto"/>
              </w:rPr>
            </w:pPr>
            <w:r>
              <w:rPr>
                <w:rFonts w:ascii="Calibri" w:cs="Calibri" w:eastAsia="Calibri" w:hAnsi="Calibri"/>
                <w:sz w:val="20"/>
                <w:szCs w:val="20"/>
                <w:color w:val="auto"/>
              </w:rPr>
              <w:t>Net Capital Expenditures</w:t>
            </w:r>
          </w:p>
        </w:tc>
        <w:tc>
          <w:tcPr>
            <w:tcW w:w="8040" w:type="dxa"/>
            <w:vAlign w:val="bottom"/>
            <w:tcBorders>
              <w:right w:val="single" w:sz="8" w:color="auto"/>
            </w:tcBorders>
            <w:gridSpan w:val="7"/>
          </w:tcPr>
          <w:p>
            <w:pPr>
              <w:ind w:left="60"/>
              <w:spacing w:after="0" w:line="230" w:lineRule="exact"/>
              <w:rPr>
                <w:sz w:val="20"/>
                <w:szCs w:val="20"/>
                <w:color w:val="auto"/>
              </w:rPr>
            </w:pPr>
            <w:r>
              <w:rPr>
                <w:rFonts w:ascii="Calibri" w:cs="Calibri" w:eastAsia="Calibri" w:hAnsi="Calibri"/>
                <w:sz w:val="20"/>
                <w:szCs w:val="20"/>
                <w:color w:val="auto"/>
              </w:rPr>
              <w:t>The diference of:</w:t>
            </w:r>
          </w:p>
        </w:tc>
      </w:tr>
      <w:tr>
        <w:trPr>
          <w:trHeight w:val="432"/>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(1) gross capital expenditures</w:t>
            </w:r>
          </w:p>
        </w:tc>
      </w:tr>
      <w:tr>
        <w:trPr>
          <w:trHeight w:val="316"/>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minus</w:t>
            </w: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340" w:type="dxa"/>
            <w:vAlign w:val="bottom"/>
            <w:tcBorders>
              <w:right w:val="single" w:sz="8" w:color="auto"/>
            </w:tcBorders>
            <w:gridSpan w:val="2"/>
          </w:tcPr>
          <w:p>
            <w:pPr>
              <w:spacing w:after="0" w:line="20" w:lineRule="exact"/>
              <w:rPr>
                <w:sz w:val="1"/>
                <w:szCs w:val="1"/>
                <w:color w:val="auto"/>
              </w:rPr>
            </w:pPr>
          </w:p>
        </w:tc>
      </w:tr>
      <w:tr>
        <w:trPr>
          <w:trHeight w:val="352"/>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tcBorders>
              <w:right w:val="single" w:sz="8" w:color="auto"/>
            </w:tcBorders>
            <w:gridSpan w:val="6"/>
          </w:tcPr>
          <w:p>
            <w:pPr>
              <w:spacing w:after="0"/>
              <w:rPr>
                <w:sz w:val="20"/>
                <w:szCs w:val="20"/>
                <w:color w:val="auto"/>
              </w:rPr>
            </w:pPr>
            <w:r>
              <w:rPr>
                <w:rFonts w:ascii="Calibri" w:cs="Calibri" w:eastAsia="Calibri" w:hAnsi="Calibri"/>
                <w:sz w:val="20"/>
                <w:szCs w:val="20"/>
                <w:color w:val="auto"/>
              </w:rPr>
              <w:t>(2) the sum of:</w:t>
            </w:r>
          </w:p>
        </w:tc>
      </w:tr>
      <w:tr>
        <w:trPr>
          <w:trHeight w:val="486"/>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tcBorders>
              <w:right w:val="single" w:sz="8" w:color="auto"/>
            </w:tcBorders>
            <w:gridSpan w:val="5"/>
          </w:tcPr>
          <w:p>
            <w:pPr>
              <w:jc w:val="right"/>
              <w:ind w:right="100"/>
              <w:spacing w:after="0"/>
              <w:rPr>
                <w:sz w:val="20"/>
                <w:szCs w:val="20"/>
                <w:color w:val="auto"/>
              </w:rPr>
            </w:pPr>
            <w:r>
              <w:rPr>
                <w:rFonts w:ascii="Calibri" w:cs="Calibri" w:eastAsia="Calibri" w:hAnsi="Calibri"/>
                <w:sz w:val="20"/>
                <w:szCs w:val="20"/>
                <w:color w:val="auto"/>
              </w:rPr>
              <w:t>(x) (i) Direct Funding Disbursements received minus (ii) Direct Funding returned</w:t>
            </w:r>
          </w:p>
        </w:tc>
      </w:tr>
      <w:tr>
        <w:trPr>
          <w:trHeight w:val="238"/>
        </w:trPr>
        <w:tc>
          <w:tcPr>
            <w:tcW w:w="50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tcBorders>
              <w:right w:val="single" w:sz="8" w:color="auto"/>
            </w:tcBorders>
            <w:gridSpan w:val="3"/>
          </w:tcPr>
          <w:p>
            <w:pPr>
              <w:jc w:val="right"/>
              <w:ind w:right="80"/>
              <w:spacing w:after="0" w:line="239" w:lineRule="exact"/>
              <w:rPr>
                <w:sz w:val="20"/>
                <w:szCs w:val="20"/>
                <w:color w:val="auto"/>
              </w:rPr>
            </w:pPr>
            <w:r>
              <w:rPr>
                <w:rFonts w:ascii="Calibri" w:cs="Calibri" w:eastAsia="Calibri" w:hAnsi="Calibri"/>
                <w:sz w:val="20"/>
                <w:szCs w:val="20"/>
                <w:color w:val="auto"/>
              </w:rPr>
              <w:t>to the Department pursuant to the exercise of any of the Department’s</w:t>
            </w:r>
          </w:p>
        </w:tc>
      </w:tr>
      <w:tr>
        <w:trPr>
          <w:trHeight w:val="234"/>
        </w:trPr>
        <w:tc>
          <w:tcPr>
            <w:tcW w:w="500" w:type="dxa"/>
            <w:vAlign w:val="bottom"/>
            <w:tcBorders>
              <w:lef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80" w:type="dxa"/>
            <w:vAlign w:val="bottom"/>
            <w:tcBorders>
              <w:right w:val="single" w:sz="8" w:color="auto"/>
            </w:tcBorders>
            <w:gridSpan w:val="3"/>
          </w:tcPr>
          <w:p>
            <w:pPr>
              <w:jc w:val="right"/>
              <w:ind w:right="1620"/>
              <w:spacing w:after="0" w:line="234" w:lineRule="exact"/>
              <w:rPr>
                <w:sz w:val="20"/>
                <w:szCs w:val="20"/>
                <w:color w:val="auto"/>
              </w:rPr>
            </w:pPr>
            <w:r>
              <w:rPr>
                <w:rFonts w:ascii="Calibri" w:cs="Calibri" w:eastAsia="Calibri" w:hAnsi="Calibri"/>
                <w:sz w:val="20"/>
                <w:szCs w:val="20"/>
                <w:color w:val="auto"/>
              </w:rPr>
              <w:t>remedies under this Agreement or the Sponsor Guarantee</w:t>
            </w:r>
          </w:p>
        </w:tc>
      </w:tr>
      <w:tr>
        <w:trPr>
          <w:trHeight w:val="398"/>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gridSpan w:val="2"/>
          </w:tcPr>
          <w:p>
            <w:pPr>
              <w:spacing w:after="0"/>
              <w:rPr>
                <w:sz w:val="20"/>
                <w:szCs w:val="20"/>
                <w:color w:val="auto"/>
              </w:rPr>
            </w:pPr>
            <w:r>
              <w:rPr>
                <w:rFonts w:ascii="Calibri" w:cs="Calibri" w:eastAsia="Calibri" w:hAnsi="Calibri"/>
                <w:sz w:val="20"/>
                <w:szCs w:val="20"/>
                <w:color w:val="auto"/>
                <w:w w:val="95"/>
              </w:rPr>
              <w:t>plus</w:t>
            </w:r>
          </w:p>
        </w:tc>
        <w:tc>
          <w:tcPr>
            <w:tcW w:w="6340" w:type="dxa"/>
            <w:vAlign w:val="bottom"/>
            <w:tcBorders>
              <w:right w:val="single" w:sz="8" w:color="auto"/>
            </w:tcBorders>
            <w:gridSpan w:val="2"/>
          </w:tcPr>
          <w:p>
            <w:pPr>
              <w:spacing w:after="0"/>
              <w:rPr>
                <w:sz w:val="24"/>
                <w:szCs w:val="24"/>
                <w:color w:val="auto"/>
              </w:rPr>
            </w:pPr>
          </w:p>
        </w:tc>
      </w:tr>
      <w:tr>
        <w:trPr>
          <w:trHeight w:val="460"/>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Borders>
              <w:right w:val="single" w:sz="8" w:color="auto"/>
            </w:tcBorders>
            <w:gridSpan w:val="4"/>
          </w:tcPr>
          <w:p>
            <w:pPr>
              <w:spacing w:after="0"/>
              <w:rPr>
                <w:sz w:val="20"/>
                <w:szCs w:val="20"/>
                <w:color w:val="auto"/>
              </w:rPr>
            </w:pPr>
            <w:r>
              <w:rPr>
                <w:rFonts w:ascii="Calibri" w:cs="Calibri" w:eastAsia="Calibri" w:hAnsi="Calibri"/>
                <w:sz w:val="20"/>
                <w:szCs w:val="20"/>
                <w:color w:val="auto"/>
              </w:rPr>
              <w:t>(y) Federal investment tax credits cash received</w:t>
            </w:r>
          </w:p>
        </w:tc>
      </w:tr>
      <w:tr>
        <w:trPr>
          <w:trHeight w:val="398"/>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gridSpan w:val="2"/>
          </w:tcPr>
          <w:p>
            <w:pPr>
              <w:spacing w:after="0"/>
              <w:rPr>
                <w:sz w:val="20"/>
                <w:szCs w:val="20"/>
                <w:color w:val="auto"/>
              </w:rPr>
            </w:pPr>
            <w:r>
              <w:rPr>
                <w:rFonts w:ascii="Calibri" w:cs="Calibri" w:eastAsia="Calibri" w:hAnsi="Calibri"/>
                <w:sz w:val="20"/>
                <w:szCs w:val="20"/>
                <w:color w:val="auto"/>
                <w:w w:val="95"/>
              </w:rPr>
              <w:t>plus</w:t>
            </w:r>
          </w:p>
        </w:tc>
        <w:tc>
          <w:tcPr>
            <w:tcW w:w="6340" w:type="dxa"/>
            <w:vAlign w:val="bottom"/>
            <w:tcBorders>
              <w:right w:val="single" w:sz="8" w:color="auto"/>
            </w:tcBorders>
            <w:gridSpan w:val="2"/>
          </w:tcPr>
          <w:p>
            <w:pPr>
              <w:spacing w:after="0"/>
              <w:rPr>
                <w:sz w:val="24"/>
                <w:szCs w:val="24"/>
                <w:color w:val="auto"/>
              </w:rPr>
            </w:pPr>
          </w:p>
        </w:tc>
      </w:tr>
      <w:tr>
        <w:trPr>
          <w:trHeight w:val="446"/>
        </w:trPr>
        <w:tc>
          <w:tcPr>
            <w:tcW w:w="500" w:type="dxa"/>
            <w:vAlign w:val="bottom"/>
            <w:tcBorders>
              <w:lef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80" w:type="dxa"/>
            <w:vAlign w:val="bottom"/>
            <w:tcBorders>
              <w:right w:val="single" w:sz="8" w:color="auto"/>
            </w:tcBorders>
            <w:gridSpan w:val="4"/>
          </w:tcPr>
          <w:p>
            <w:pPr>
              <w:spacing w:after="0"/>
              <w:rPr>
                <w:sz w:val="20"/>
                <w:szCs w:val="20"/>
                <w:color w:val="auto"/>
              </w:rPr>
            </w:pPr>
            <w:r>
              <w:rPr>
                <w:rFonts w:ascii="Calibri" w:cs="Calibri" w:eastAsia="Calibri" w:hAnsi="Calibri"/>
                <w:sz w:val="20"/>
                <w:szCs w:val="20"/>
                <w:color w:val="auto"/>
              </w:rPr>
              <w:t>(z) New York State investment tax credits cash received.</w:t>
            </w:r>
          </w:p>
        </w:tc>
      </w:tr>
      <w:tr>
        <w:trPr>
          <w:trHeight w:val="168"/>
        </w:trPr>
        <w:tc>
          <w:tcPr>
            <w:tcW w:w="500" w:type="dxa"/>
            <w:vAlign w:val="bottom"/>
            <w:tcBorders>
              <w:left w:val="single" w:sz="8" w:color="auto"/>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Applicable Law</w:t>
      </w:r>
      <w:r>
        <w:rPr>
          <w:rFonts w:ascii="Calibri" w:cs="Calibri" w:eastAsia="Calibri" w:hAnsi="Calibri"/>
          <w:sz w:val="20"/>
          <w:szCs w:val="20"/>
          <w:color w:val="auto"/>
        </w:rPr>
        <w:t>” means, with respect to any Person, any consttuton, statute, law, rule, regulaton, code, ordinance, treaty, judgment, order or any published directve, guideline, requirement or other governmental rule or restricton which has the force of law, or any determinaton or interpretaton of any of the foregoing by any Governmental Authority having jurisdicton over or a judicial authority, that is binding on such Person or any of its propertes, whether in efect as of the date of this Agreement or as of any date hereafer.</w:t>
      </w:r>
    </w:p>
    <w:p>
      <w:pPr>
        <w:spacing w:after="0" w:line="20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Applicaton</w:t>
      </w:r>
      <w:r>
        <w:rPr>
          <w:rFonts w:ascii="Calibri" w:cs="Calibri" w:eastAsia="Calibri" w:hAnsi="Calibri"/>
          <w:sz w:val="20"/>
          <w:szCs w:val="20"/>
          <w:color w:val="auto"/>
        </w:rPr>
        <w:t>” has the meaning set forth in the recitals hereto.</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Approved Jurisdictons</w:t>
      </w:r>
      <w:r>
        <w:rPr>
          <w:rFonts w:ascii="Calibri" w:cs="Calibri" w:eastAsia="Calibri" w:hAnsi="Calibri"/>
          <w:sz w:val="20"/>
          <w:szCs w:val="20"/>
          <w:color w:val="auto"/>
        </w:rPr>
        <w:t>” means [***].</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ASAP</w:t>
      </w:r>
      <w:r>
        <w:rPr>
          <w:rFonts w:ascii="Calibri" w:cs="Calibri" w:eastAsia="Calibri" w:hAnsi="Calibri"/>
          <w:sz w:val="20"/>
          <w:szCs w:val="20"/>
          <w:color w:val="auto"/>
        </w:rPr>
        <w:t>” has the meaning set forth in Secton 2.2.1 (</w:t>
      </w:r>
      <w:r>
        <w:rPr>
          <w:rFonts w:ascii="Calibri" w:cs="Calibri" w:eastAsia="Calibri" w:hAnsi="Calibri"/>
          <w:sz w:val="20"/>
          <w:szCs w:val="20"/>
          <w:b w:val="1"/>
          <w:bCs w:val="1"/>
          <w:color w:val="auto"/>
        </w:rPr>
        <w:t>ASAP System</w:t>
      </w:r>
      <w:r>
        <w:rPr>
          <w:rFonts w:ascii="Calibri" w:cs="Calibri" w:eastAsia="Calibri" w:hAnsi="Calibri"/>
          <w:sz w:val="20"/>
          <w:szCs w:val="20"/>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491" w:name="page492"/>
    <w:bookmarkEnd w:id="491"/>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AUP Leter</w:t>
      </w:r>
      <w:r>
        <w:rPr>
          <w:rFonts w:ascii="Calibri" w:cs="Calibri" w:eastAsia="Calibri" w:hAnsi="Calibri"/>
          <w:sz w:val="20"/>
          <w:szCs w:val="20"/>
          <w:color w:val="auto"/>
        </w:rPr>
        <w:t>” has the meaning set forth in Secton 3.2.3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Authorized Ofcer</w:t>
      </w:r>
      <w:r>
        <w:rPr>
          <w:rFonts w:ascii="Calibri" w:cs="Calibri" w:eastAsia="Calibri" w:hAnsi="Calibri"/>
          <w:sz w:val="20"/>
          <w:szCs w:val="20"/>
          <w:color w:val="auto"/>
        </w:rPr>
        <w:t>” means:</w:t>
      </w:r>
    </w:p>
    <w:p>
      <w:pPr>
        <w:spacing w:after="0" w:line="171" w:lineRule="exact"/>
        <w:rPr>
          <w:sz w:val="20"/>
          <w:szCs w:val="20"/>
          <w:color w:val="auto"/>
        </w:rPr>
      </w:pPr>
    </w:p>
    <w:p>
      <w:pPr>
        <w:jc w:val="both"/>
        <w:ind w:left="660" w:hanging="652"/>
        <w:spacing w:after="0" w:line="198" w:lineRule="auto"/>
        <w:tabs>
          <w:tab w:leader="none" w:pos="664" w:val="left"/>
        </w:tabs>
        <w:numPr>
          <w:ilvl w:val="0"/>
          <w:numId w:val="615"/>
        </w:numPr>
        <w:rPr>
          <w:rFonts w:ascii="Calibri" w:cs="Calibri" w:eastAsia="Calibri" w:hAnsi="Calibri"/>
          <w:sz w:val="20"/>
          <w:szCs w:val="20"/>
          <w:color w:val="auto"/>
        </w:rPr>
      </w:pPr>
      <w:r>
        <w:rPr>
          <w:rFonts w:ascii="Calibri" w:cs="Calibri" w:eastAsia="Calibri" w:hAnsi="Calibri"/>
          <w:sz w:val="20"/>
          <w:szCs w:val="20"/>
          <w:color w:val="auto"/>
        </w:rPr>
        <w:t>with respect to any Person that is (i) a corporaton, the chairman, chief executve ofcer, president, vice president, assistant vice president, treasurer, assistant treasurer, any Person holding equivalent positons in such corporatons, or any other Financial Ofcer of such Person; (ii) a partnership, each general partner of such Person or the chairman, chief executve ofcer, president, a vice president, an assistant vice president, treasurer, an assistant treasurer, any Person holding equivalent positons in such partnership, or any other Financial Ofcer of a general partner of such Person; or (iii) a limited liability company, the manager, managing partner or duly appointed ofcer of such Person, the individuals authorized to represent such Person pursuant to the Organizatonal Documents of such Person, or the chairman, chief executve ofcer, president, vice president, assistant vice president, treasurer, assistant treasurer, any Person holding equivalent positons in such corporatons, or any other Financial Ofcer of the manager or managing member of such Person; and</w:t>
      </w:r>
    </w:p>
    <w:p>
      <w:pPr>
        <w:spacing w:after="0" w:line="158" w:lineRule="exact"/>
        <w:rPr>
          <w:rFonts w:ascii="Calibri" w:cs="Calibri" w:eastAsia="Calibri" w:hAnsi="Calibri"/>
          <w:sz w:val="20"/>
          <w:szCs w:val="20"/>
          <w:color w:val="auto"/>
        </w:rPr>
      </w:pPr>
    </w:p>
    <w:p>
      <w:pPr>
        <w:jc w:val="both"/>
        <w:ind w:left="660" w:hanging="652"/>
        <w:spacing w:after="0" w:line="203" w:lineRule="auto"/>
        <w:tabs>
          <w:tab w:leader="none" w:pos="660" w:val="left"/>
        </w:tabs>
        <w:numPr>
          <w:ilvl w:val="0"/>
          <w:numId w:val="615"/>
        </w:numPr>
        <w:rPr>
          <w:rFonts w:ascii="Calibri" w:cs="Calibri" w:eastAsia="Calibri" w:hAnsi="Calibri"/>
          <w:sz w:val="20"/>
          <w:szCs w:val="20"/>
          <w:color w:val="auto"/>
        </w:rPr>
      </w:pPr>
      <w:r>
        <w:rPr>
          <w:rFonts w:ascii="Calibri" w:cs="Calibri" w:eastAsia="Calibri" w:hAnsi="Calibri"/>
          <w:sz w:val="20"/>
          <w:szCs w:val="20"/>
          <w:color w:val="auto"/>
        </w:rPr>
        <w:t>with respect to any Recipient Party, only those individuals holding any of the foregoing positons whose name appears on the certfcate of incumbency delivered pursuant to Secton 4.2.1 (</w:t>
      </w:r>
      <w:r>
        <w:rPr>
          <w:rFonts w:ascii="Calibri" w:cs="Calibri" w:eastAsia="Calibri" w:hAnsi="Calibri"/>
          <w:sz w:val="20"/>
          <w:szCs w:val="20"/>
          <w:b w:val="1"/>
          <w:bCs w:val="1"/>
          <w:color w:val="auto"/>
        </w:rPr>
        <w:t>Recipient Partes Organizatonal Documents</w:t>
      </w:r>
      <w:r>
        <w:rPr>
          <w:rFonts w:ascii="Calibri" w:cs="Calibri" w:eastAsia="Calibri" w:hAnsi="Calibri"/>
          <w:sz w:val="20"/>
          <w:szCs w:val="20"/>
          <w:color w:val="auto"/>
        </w:rPr>
        <w:t>), as such certfcate of incumbency may be amended from tme to tme to identfy the individuals then holding such ofces and the capacity in which they are actng.</w:t>
      </w:r>
    </w:p>
    <w:p>
      <w:pPr>
        <w:spacing w:after="0" w:line="160"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Authorized Purpose</w:t>
      </w:r>
      <w:r>
        <w:rPr>
          <w:rFonts w:ascii="Calibri" w:cs="Calibri" w:eastAsia="Calibri" w:hAnsi="Calibri"/>
          <w:sz w:val="20"/>
          <w:szCs w:val="20"/>
          <w:color w:val="auto"/>
        </w:rPr>
        <w:t>” means the constructon of the Facilites and the manufacturing of Semiconductors, including leading edge DRAM chips in the United States (including any reasonable ancillary uses and purposes related thereto).</w:t>
      </w:r>
    </w:p>
    <w:p>
      <w:pPr>
        <w:spacing w:after="0" w:line="159"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w:t>
      </w:r>
      <w:r>
        <w:rPr>
          <w:rFonts w:ascii="Calibri" w:cs="Calibri" w:eastAsia="Calibri" w:hAnsi="Calibri"/>
          <w:sz w:val="20"/>
          <w:szCs w:val="20"/>
          <w:color w:val="auto"/>
        </w:rPr>
        <w:t>” means that CHIPS Incentve provided by the Department to the Recipient pursuant to terms of the CHIPS Act and the Award Documents, including the Direct Funding Award and the Workforce Award.</w:t>
      </w:r>
    </w:p>
    <w:p>
      <w:pPr>
        <w:spacing w:after="0" w:line="159"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 Date</w:t>
      </w:r>
      <w:r>
        <w:rPr>
          <w:rFonts w:ascii="Calibri" w:cs="Calibri" w:eastAsia="Calibri" w:hAnsi="Calibri"/>
          <w:sz w:val="20"/>
          <w:szCs w:val="20"/>
          <w:color w:val="auto"/>
        </w:rPr>
        <w:t>” means the date on which this Agreement and the frst Funding Obligaton are executed by the Department and the Recipient.</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 Documents</w:t>
      </w:r>
      <w:r>
        <w:rPr>
          <w:rFonts w:ascii="Calibri" w:cs="Calibri" w:eastAsia="Calibri" w:hAnsi="Calibri"/>
          <w:sz w:val="20"/>
          <w:szCs w:val="20"/>
          <w:color w:val="auto"/>
        </w:rPr>
        <w:t>” means collectvely:</w:t>
      </w:r>
    </w:p>
    <w:p>
      <w:pPr>
        <w:spacing w:after="0" w:line="161" w:lineRule="exact"/>
        <w:rPr>
          <w:sz w:val="20"/>
          <w:szCs w:val="20"/>
          <w:color w:val="auto"/>
        </w:rPr>
      </w:pPr>
    </w:p>
    <w:p>
      <w:pPr>
        <w:ind w:left="640" w:hanging="632"/>
        <w:spacing w:after="0"/>
        <w:tabs>
          <w:tab w:leader="none" w:pos="640" w:val="left"/>
        </w:tabs>
        <w:numPr>
          <w:ilvl w:val="0"/>
          <w:numId w:val="616"/>
        </w:numPr>
        <w:rPr>
          <w:rFonts w:ascii="Calibri" w:cs="Calibri" w:eastAsia="Calibri" w:hAnsi="Calibri"/>
          <w:sz w:val="20"/>
          <w:szCs w:val="20"/>
          <w:color w:val="auto"/>
        </w:rPr>
      </w:pPr>
      <w:r>
        <w:rPr>
          <w:rFonts w:ascii="Calibri" w:cs="Calibri" w:eastAsia="Calibri" w:hAnsi="Calibri"/>
          <w:sz w:val="20"/>
          <w:szCs w:val="20"/>
          <w:color w:val="auto"/>
        </w:rPr>
        <w:t>this Agreement;</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16"/>
        </w:numPr>
        <w:rPr>
          <w:rFonts w:ascii="Calibri" w:cs="Calibri" w:eastAsia="Calibri" w:hAnsi="Calibri"/>
          <w:sz w:val="20"/>
          <w:szCs w:val="20"/>
          <w:color w:val="auto"/>
        </w:rPr>
      </w:pPr>
      <w:r>
        <w:rPr>
          <w:rFonts w:ascii="Calibri" w:cs="Calibri" w:eastAsia="Calibri" w:hAnsi="Calibri"/>
          <w:sz w:val="20"/>
          <w:szCs w:val="20"/>
          <w:color w:val="auto"/>
        </w:rPr>
        <w:t>each Funding Obligaton; and</w:t>
      </w:r>
    </w:p>
    <w:p>
      <w:pPr>
        <w:spacing w:after="0" w:line="147" w:lineRule="exact"/>
        <w:rPr>
          <w:rFonts w:ascii="Calibri" w:cs="Calibri" w:eastAsia="Calibri" w:hAnsi="Calibri"/>
          <w:sz w:val="20"/>
          <w:szCs w:val="20"/>
          <w:color w:val="auto"/>
        </w:rPr>
      </w:pPr>
    </w:p>
    <w:p>
      <w:pPr>
        <w:ind w:left="640" w:hanging="632"/>
        <w:spacing w:after="0"/>
        <w:tabs>
          <w:tab w:leader="none" w:pos="640" w:val="left"/>
        </w:tabs>
        <w:numPr>
          <w:ilvl w:val="0"/>
          <w:numId w:val="616"/>
        </w:numPr>
        <w:rPr>
          <w:rFonts w:ascii="Calibri" w:cs="Calibri" w:eastAsia="Calibri" w:hAnsi="Calibri"/>
          <w:sz w:val="20"/>
          <w:szCs w:val="20"/>
          <w:color w:val="auto"/>
        </w:rPr>
      </w:pPr>
      <w:r>
        <w:rPr>
          <w:rFonts w:ascii="Calibri" w:cs="Calibri" w:eastAsia="Calibri" w:hAnsi="Calibri"/>
          <w:sz w:val="20"/>
          <w:szCs w:val="20"/>
          <w:color w:val="auto"/>
        </w:rPr>
        <w:t>each other document atached to this Agreement or any Funding Obligatons.</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 xml:space="preserve"> ” means the base case fnancial model delivered by the Recipient, and approved by the Department, in connecton with the Award Date, pursuant to Secton 4.9 (</w:t>
      </w:r>
      <w:r>
        <w:rPr>
          <w:rFonts w:ascii="Calibri" w:cs="Calibri" w:eastAsia="Calibri" w:hAnsi="Calibri"/>
          <w:sz w:val="20"/>
          <w:szCs w:val="20"/>
          <w:b w:val="1"/>
          <w:bCs w:val="1"/>
          <w:color w:val="auto"/>
        </w:rPr>
        <w:t>Base Case Financial Model</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BIS</w:t>
      </w:r>
      <w:r>
        <w:rPr>
          <w:rFonts w:ascii="Calibri" w:cs="Calibri" w:eastAsia="Calibri" w:hAnsi="Calibri"/>
          <w:sz w:val="20"/>
          <w:szCs w:val="20"/>
          <w:color w:val="auto"/>
        </w:rPr>
        <w:t>” means the Department’s Bureau of Industry and Security.</w:t>
      </w:r>
    </w:p>
    <w:p>
      <w:pPr>
        <w:spacing w:after="0" w:line="157"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Body of Informaton</w:t>
      </w:r>
      <w:r>
        <w:rPr>
          <w:rFonts w:ascii="Calibri" w:cs="Calibri" w:eastAsia="Calibri" w:hAnsi="Calibri"/>
          <w:sz w:val="20"/>
          <w:szCs w:val="20"/>
          <w:color w:val="auto"/>
        </w:rPr>
        <w:t>” means (a) a Member of Congress or a representatve of a commitee of Congress; (b) the OIG; (c) the Government Accountability Ofce; (d) a Federal employee responsible for management of the Award; (e) an authorized ofcial of the Department of Justce or other law enforcement agency; (f) a court or grand jury; or (g) a management ofcial or other employee of the Recipient or Recipient Party who has the responsibility to investgate, discover, or address misconduct subject to whistleblower protectons.</w:t>
      </w:r>
    </w:p>
    <w:p>
      <w:pPr>
        <w:spacing w:after="0" w:line="188"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Breakeven Date</w:t>
      </w:r>
      <w:r>
        <w:rPr>
          <w:rFonts w:ascii="Calibri" w:cs="Calibri" w:eastAsia="Calibri" w:hAnsi="Calibri"/>
          <w:sz w:val="20"/>
          <w:szCs w:val="20"/>
          <w:color w:val="auto"/>
        </w:rPr>
        <w:t>” means, with respect to any Project, the frst (1st) date on which the Cumulatve Actual Unlevered Free Cash Flow generated by such Project since the Project Initaton Date is equal to or greater than zero Dollars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40"/>
          </w:cols>
          <w:pgMar w:left="320" w:top="1374" w:right="339" w:bottom="1440" w:gutter="0" w:footer="0" w:header="0"/>
        </w:sectPr>
      </w:pPr>
    </w:p>
    <w:bookmarkStart w:id="492" w:name="page493"/>
    <w:bookmarkEnd w:id="492"/>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Business Day</w:t>
      </w:r>
      <w:r>
        <w:rPr>
          <w:rFonts w:ascii="Calibri" w:cs="Calibri" w:eastAsia="Calibri" w:hAnsi="Calibri"/>
          <w:sz w:val="20"/>
          <w:szCs w:val="20"/>
          <w:color w:val="auto"/>
        </w:rPr>
        <w:t>” means any day other than Saturday, Sunday or other day on which either the Department of Treasury or the Federal Reserve Bank of New York is not open for business.</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Capital Expenditures</w:t>
      </w:r>
      <w:r>
        <w:rPr>
          <w:rFonts w:ascii="Calibri" w:cs="Calibri" w:eastAsia="Calibri" w:hAnsi="Calibri"/>
          <w:sz w:val="20"/>
          <w:szCs w:val="20"/>
          <w:color w:val="auto"/>
        </w:rPr>
        <w:t>” means all expenditures that are capitalized in accordance with the Applicable Accountng Requirements.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Carve-Out Financials</w:t>
      </w:r>
      <w:r>
        <w:rPr>
          <w:rFonts w:ascii="Calibri" w:cs="Calibri" w:eastAsia="Calibri" w:hAnsi="Calibri"/>
          <w:sz w:val="20"/>
          <w:szCs w:val="20"/>
          <w:color w:val="auto"/>
        </w:rPr>
        <w:t>” has the meaning set forth in Secton 3.2 (</w:t>
      </w:r>
      <w:r>
        <w:rPr>
          <w:rFonts w:ascii="Calibri" w:cs="Calibri" w:eastAsia="Calibri" w:hAnsi="Calibri"/>
          <w:sz w:val="20"/>
          <w:szCs w:val="20"/>
          <w:b w:val="1"/>
          <w:bCs w:val="1"/>
          <w:color w:val="auto"/>
        </w:rPr>
        <w:t>Upside Sharing</w:t>
      </w: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Cash Taxes</w:t>
      </w:r>
      <w:r>
        <w:rPr>
          <w:rFonts w:ascii="Calibri" w:cs="Calibri" w:eastAsia="Calibri" w:hAnsi="Calibri"/>
          <w:sz w:val="20"/>
          <w:szCs w:val="20"/>
          <w:color w:val="auto"/>
        </w:rPr>
        <w:t>” means, with respect to each Project and per the relevant period, (a) Total Revenue, minus Cost of Goods Sold including Depreciaton, minus Operatng Expenses for such period, then (b) multplied by the applicable corporate tax rate for the relevant period.</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means the occurrence of any of the following:</w:t>
      </w:r>
    </w:p>
    <w:p>
      <w:pPr>
        <w:spacing w:after="0" w:line="171" w:lineRule="exact"/>
        <w:rPr>
          <w:sz w:val="20"/>
          <w:szCs w:val="20"/>
          <w:color w:val="auto"/>
        </w:rPr>
      </w:pPr>
    </w:p>
    <w:p>
      <w:pPr>
        <w:jc w:val="both"/>
        <w:ind w:left="660" w:hanging="652"/>
        <w:spacing w:after="0" w:line="205" w:lineRule="auto"/>
        <w:tabs>
          <w:tab w:leader="none" w:pos="658" w:val="left"/>
        </w:tabs>
        <w:numPr>
          <w:ilvl w:val="0"/>
          <w:numId w:val="617"/>
        </w:numPr>
        <w:rPr>
          <w:rFonts w:ascii="Calibri" w:cs="Calibri" w:eastAsia="Calibri" w:hAnsi="Calibri"/>
          <w:sz w:val="20"/>
          <w:szCs w:val="20"/>
          <w:color w:val="auto"/>
        </w:rPr>
      </w:pPr>
      <w:r>
        <w:rPr>
          <w:rFonts w:ascii="Calibri" w:cs="Calibri" w:eastAsia="Calibri" w:hAnsi="Calibri"/>
          <w:sz w:val="20"/>
          <w:szCs w:val="20"/>
          <w:color w:val="auto"/>
        </w:rPr>
        <w:t>any Person or group (within the meaning of Rules 13d-3 and 13d-5 under the Securites Exchange Act of 1934), acquires Control of more than thirty fve percent (35%) of the votng Equity Interests or the economic value of Equity Interests of the Sponsor Guarantor;</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17"/>
        </w:numPr>
        <w:rPr>
          <w:rFonts w:ascii="Calibri" w:cs="Calibri" w:eastAsia="Calibri" w:hAnsi="Calibri"/>
          <w:sz w:val="20"/>
          <w:szCs w:val="20"/>
          <w:color w:val="auto"/>
        </w:rPr>
      </w:pPr>
      <w:r>
        <w:rPr>
          <w:rFonts w:ascii="Calibri" w:cs="Calibri" w:eastAsia="Calibri" w:hAnsi="Calibri"/>
          <w:sz w:val="20"/>
          <w:szCs w:val="20"/>
          <w:color w:val="auto"/>
        </w:rPr>
        <w:t>a Prohibited Person or Foreign Entty of Concern acquires Control of any Recipient Party; and</w:t>
      </w:r>
    </w:p>
    <w:p>
      <w:pPr>
        <w:spacing w:after="0" w:line="157" w:lineRule="exact"/>
        <w:rPr>
          <w:rFonts w:ascii="Calibri" w:cs="Calibri" w:eastAsia="Calibri" w:hAnsi="Calibri"/>
          <w:sz w:val="20"/>
          <w:szCs w:val="20"/>
          <w:color w:val="auto"/>
        </w:rPr>
      </w:pPr>
    </w:p>
    <w:p>
      <w:pPr>
        <w:jc w:val="both"/>
        <w:ind w:left="660" w:hanging="652"/>
        <w:spacing w:after="0" w:line="209" w:lineRule="auto"/>
        <w:tabs>
          <w:tab w:leader="none" w:pos="660" w:val="left"/>
        </w:tabs>
        <w:numPr>
          <w:ilvl w:val="0"/>
          <w:numId w:val="617"/>
        </w:numPr>
        <w:rPr>
          <w:rFonts w:ascii="Calibri" w:cs="Calibri" w:eastAsia="Calibri" w:hAnsi="Calibri"/>
          <w:sz w:val="20"/>
          <w:szCs w:val="20"/>
          <w:color w:val="auto"/>
        </w:rPr>
      </w:pPr>
      <w:r>
        <w:rPr>
          <w:rFonts w:ascii="Calibri" w:cs="Calibri" w:eastAsia="Calibri" w:hAnsi="Calibri"/>
          <w:sz w:val="20"/>
          <w:szCs w:val="20"/>
          <w:color w:val="auto"/>
        </w:rPr>
        <w:t>the Sponsor Guarantor ceases (i) to hold and Control, directly or indirectly, one hundred percent (100%) of the votng Equity Interests, or to hold the economic value of the Equity Interests, of the Recipient; or (ii) to Control, directly or indirectly, the Recipient.</w:t>
      </w:r>
    </w:p>
    <w:p>
      <w:pPr>
        <w:spacing w:after="0" w:line="159"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Act</w:t>
      </w:r>
      <w:r>
        <w:rPr>
          <w:rFonts w:ascii="Calibri" w:cs="Calibri" w:eastAsia="Calibri" w:hAnsi="Calibri"/>
          <w:sz w:val="20"/>
          <w:szCs w:val="20"/>
          <w:color w:val="auto"/>
        </w:rPr>
        <w:t>” means Title XCIX—Creatng Helpful Incentves to Produce Semiconductors for America of the William M. (Mac) Thornberry Natonal Defense Authorizaton Act for Fiscal Year 2021 (Pub. L. 116-283), as amended by the CHIPS Act of 2022 (Division A of Pub. L. 117-167).</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Incentves</w:t>
      </w:r>
      <w:r>
        <w:rPr>
          <w:rFonts w:ascii="Calibri" w:cs="Calibri" w:eastAsia="Calibri" w:hAnsi="Calibri"/>
          <w:sz w:val="20"/>
          <w:szCs w:val="20"/>
          <w:color w:val="auto"/>
        </w:rPr>
        <w:t>” means the provision of direct funding (via grants, cooperatve agreements, or other transactons), loans and loan guarantees as described in the NOFO.</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Incentves Program</w:t>
      </w:r>
      <w:r>
        <w:rPr>
          <w:rFonts w:ascii="Calibri" w:cs="Calibri" w:eastAsia="Calibri" w:hAnsi="Calibri"/>
          <w:sz w:val="20"/>
          <w:szCs w:val="20"/>
          <w:color w:val="auto"/>
        </w:rPr>
        <w:t>” has the meaning set forth in the Recitals.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CHIPS Program Ofce</w:t>
      </w:r>
      <w:r>
        <w:rPr>
          <w:rFonts w:ascii="Calibri" w:cs="Calibri" w:eastAsia="Calibri" w:hAnsi="Calibri"/>
          <w:sz w:val="20"/>
          <w:szCs w:val="20"/>
          <w:color w:val="auto"/>
        </w:rPr>
        <w:t>” means the ofce of the Department overseeing the administraton of the CHIPS Incentve Program.</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Communicatons</w:t>
      </w:r>
      <w:r>
        <w:rPr>
          <w:rFonts w:ascii="Calibri" w:cs="Calibri" w:eastAsia="Calibri" w:hAnsi="Calibri"/>
          <w:sz w:val="20"/>
          <w:szCs w:val="20"/>
          <w:color w:val="auto"/>
        </w:rPr>
        <w:t>” has the meaning set forth in Secton 10.2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Comptroller General</w:t>
      </w:r>
      <w:r>
        <w:rPr>
          <w:rFonts w:ascii="Calibri" w:cs="Calibri" w:eastAsia="Calibri" w:hAnsi="Calibri"/>
          <w:sz w:val="20"/>
          <w:szCs w:val="20"/>
          <w:color w:val="auto"/>
        </w:rPr>
        <w:t>” means the Comptroller General of the United States.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Confict of Interest</w:t>
      </w:r>
      <w:r>
        <w:rPr>
          <w:rFonts w:ascii="Calibri" w:cs="Calibri" w:eastAsia="Calibri" w:hAnsi="Calibri"/>
          <w:sz w:val="20"/>
          <w:szCs w:val="20"/>
          <w:color w:val="auto"/>
        </w:rPr>
        <w:t>” means the occurrence of any of the following:</w:t>
      </w:r>
    </w:p>
    <w:p>
      <w:pPr>
        <w:spacing w:after="0" w:line="157" w:lineRule="exact"/>
        <w:rPr>
          <w:sz w:val="20"/>
          <w:szCs w:val="20"/>
          <w:color w:val="auto"/>
        </w:rPr>
      </w:pPr>
    </w:p>
    <w:p>
      <w:pPr>
        <w:jc w:val="both"/>
        <w:ind w:left="660" w:hanging="652"/>
        <w:spacing w:after="0" w:line="209" w:lineRule="auto"/>
        <w:tabs>
          <w:tab w:leader="none" w:pos="654" w:val="left"/>
        </w:tabs>
        <w:numPr>
          <w:ilvl w:val="0"/>
          <w:numId w:val="618"/>
        </w:numPr>
        <w:rPr>
          <w:rFonts w:ascii="Calibri" w:cs="Calibri" w:eastAsia="Calibri" w:hAnsi="Calibri"/>
          <w:sz w:val="20"/>
          <w:szCs w:val="20"/>
          <w:color w:val="auto"/>
        </w:rPr>
      </w:pPr>
      <w:r>
        <w:rPr>
          <w:rFonts w:ascii="Calibri" w:cs="Calibri" w:eastAsia="Calibri" w:hAnsi="Calibri"/>
          <w:sz w:val="20"/>
          <w:szCs w:val="20"/>
          <w:color w:val="auto"/>
        </w:rPr>
        <w:t>partcipaton by an Interested Party in a mater that has a direct and predictable efect on the Interested Party’s personal or fnancial interests, which may include employment, stock ownership, a creditor or debtor relatonship, or prospectve employment with the organizaton selected or to be selected for a Subaward; and</w:t>
      </w:r>
    </w:p>
    <w:p>
      <w:pPr>
        <w:spacing w:after="0" w:line="158" w:lineRule="exact"/>
        <w:rPr>
          <w:rFonts w:ascii="Calibri" w:cs="Calibri" w:eastAsia="Calibri" w:hAnsi="Calibri"/>
          <w:sz w:val="20"/>
          <w:szCs w:val="20"/>
          <w:color w:val="auto"/>
        </w:rPr>
      </w:pPr>
    </w:p>
    <w:p>
      <w:pPr>
        <w:ind w:left="660" w:hanging="652"/>
        <w:spacing w:after="0" w:line="214" w:lineRule="auto"/>
        <w:tabs>
          <w:tab w:leader="none" w:pos="662" w:val="left"/>
        </w:tabs>
        <w:numPr>
          <w:ilvl w:val="0"/>
          <w:numId w:val="618"/>
        </w:numPr>
        <w:rPr>
          <w:rFonts w:ascii="Calibri" w:cs="Calibri" w:eastAsia="Calibri" w:hAnsi="Calibri"/>
          <w:sz w:val="20"/>
          <w:szCs w:val="20"/>
          <w:color w:val="auto"/>
        </w:rPr>
      </w:pPr>
      <w:r>
        <w:rPr>
          <w:rFonts w:ascii="Calibri" w:cs="Calibri" w:eastAsia="Calibri" w:hAnsi="Calibri"/>
          <w:sz w:val="20"/>
          <w:szCs w:val="20"/>
          <w:color w:val="auto"/>
        </w:rPr>
        <w:t>an appearance that an Interested Party’s objectvity in performing his or her responsibilites under the applicable Project is impaired.</w:t>
      </w:r>
    </w:p>
    <w:p>
      <w:pPr>
        <w:spacing w:after="0" w:line="159" w:lineRule="exact"/>
        <w:rPr>
          <w:sz w:val="20"/>
          <w:szCs w:val="20"/>
          <w:color w:val="auto"/>
        </w:rPr>
      </w:pPr>
    </w:p>
    <w:p>
      <w:pPr>
        <w:jc w:val="both"/>
        <w:ind w:firstLine="648"/>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Consolidated</w:t>
      </w:r>
      <w:r>
        <w:rPr>
          <w:rFonts w:ascii="Calibri" w:cs="Calibri" w:eastAsia="Calibri" w:hAnsi="Calibri"/>
          <w:sz w:val="20"/>
          <w:szCs w:val="20"/>
          <w:color w:val="auto"/>
        </w:rPr>
        <w:t>” or “</w:t>
      </w:r>
      <w:r>
        <w:rPr>
          <w:rFonts w:ascii="Calibri" w:cs="Calibri" w:eastAsia="Calibri" w:hAnsi="Calibri"/>
          <w:sz w:val="20"/>
          <w:szCs w:val="20"/>
          <w:b w:val="1"/>
          <w:bCs w:val="1"/>
          <w:color w:val="auto"/>
        </w:rPr>
        <w:t>Consolidated Basis</w:t>
      </w:r>
      <w:r>
        <w:rPr>
          <w:rFonts w:ascii="Calibri" w:cs="Calibri" w:eastAsia="Calibri" w:hAnsi="Calibri"/>
          <w:sz w:val="20"/>
          <w:szCs w:val="20"/>
          <w:color w:val="auto"/>
        </w:rPr>
        <w:t>” means, with respect to any Financial Statements to be provided by any Person, or any fnancial calculaton to be made, that calculaton shall be made by reference to the sum of all amounts of similar nature reported in the relevant Financial Statements of each of the enttes whose accounts are to be consolidated with the accounts of the such Person plus or minus the consolidaton adjustments customarily applied to avoid double countng of transactons among any of those enttes, including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240"/>
          </w:cols>
          <w:pgMar w:left="320" w:top="1384" w:right="339" w:bottom="1440" w:gutter="0" w:footer="0" w:header="0"/>
        </w:sectPr>
      </w:pPr>
    </w:p>
    <w:bookmarkStart w:id="493" w:name="page494"/>
    <w:bookmarkEnd w:id="493"/>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Advisor</w:t>
      </w:r>
      <w:r>
        <w:rPr>
          <w:rFonts w:ascii="Calibri" w:cs="Calibri" w:eastAsia="Calibri" w:hAnsi="Calibri"/>
          <w:sz w:val="20"/>
          <w:szCs w:val="20"/>
          <w:color w:val="auto"/>
        </w:rPr>
        <w:t>” means AECOM Technical Services, Inc., actng as Constructon Advisor to the Department, or any successor Constructon Advisor appointed by the Department.</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means, with respect to any Project, the budget delivered by the Recipient to the Department prior to the frst Direct Funding Disbursement Date pursuant to Secton 4.12 (</w:t>
      </w:r>
      <w:r>
        <w:rPr>
          <w:rFonts w:ascii="Calibri" w:cs="Calibri" w:eastAsia="Calibri" w:hAnsi="Calibri"/>
          <w:sz w:val="20"/>
          <w:szCs w:val="20"/>
          <w:b w:val="1"/>
          <w:bCs w:val="1"/>
          <w:color w:val="auto"/>
        </w:rPr>
        <w:t>Constructon and Tool Installaton Budget</w:t>
      </w:r>
      <w:r>
        <w:rPr>
          <w:rFonts w:ascii="Calibri" w:cs="Calibri" w:eastAsia="Calibri" w:hAnsi="Calibri"/>
          <w:sz w:val="20"/>
          <w:szCs w:val="20"/>
          <w:color w:val="auto"/>
        </w:rPr>
        <w:t>), as amended or supplemented.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Contract</w:t>
      </w:r>
      <w:r>
        <w:rPr>
          <w:rFonts w:ascii="Calibri" w:cs="Calibri" w:eastAsia="Calibri" w:hAnsi="Calibri"/>
          <w:sz w:val="20"/>
          <w:szCs w:val="20"/>
          <w:color w:val="auto"/>
        </w:rPr>
        <w:t>” means, with respect to each Project, collectvely:</w:t>
      </w:r>
    </w:p>
    <w:p>
      <w:pPr>
        <w:spacing w:after="0" w:line="147" w:lineRule="exact"/>
        <w:rPr>
          <w:sz w:val="20"/>
          <w:szCs w:val="20"/>
          <w:color w:val="auto"/>
        </w:rPr>
      </w:pPr>
    </w:p>
    <w:p>
      <w:pPr>
        <w:ind w:left="660" w:hanging="652"/>
        <w:spacing w:after="0"/>
        <w:tabs>
          <w:tab w:leader="none" w:pos="660" w:val="left"/>
        </w:tabs>
        <w:numPr>
          <w:ilvl w:val="0"/>
          <w:numId w:val="619"/>
        </w:numPr>
        <w:rPr>
          <w:rFonts w:ascii="Calibri" w:cs="Calibri" w:eastAsia="Calibri" w:hAnsi="Calibri"/>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57" w:lineRule="exact"/>
        <w:rPr>
          <w:rFonts w:ascii="Calibri" w:cs="Calibri" w:eastAsia="Calibri" w:hAnsi="Calibri"/>
          <w:sz w:val="20"/>
          <w:szCs w:val="20"/>
          <w:color w:val="auto"/>
        </w:rPr>
      </w:pPr>
    </w:p>
    <w:p>
      <w:pPr>
        <w:jc w:val="both"/>
        <w:ind w:left="660" w:right="20" w:hanging="652"/>
        <w:spacing w:after="0" w:line="209" w:lineRule="auto"/>
        <w:tabs>
          <w:tab w:leader="none" w:pos="654" w:val="left"/>
        </w:tabs>
        <w:numPr>
          <w:ilvl w:val="0"/>
          <w:numId w:val="619"/>
        </w:numPr>
        <w:rPr>
          <w:rFonts w:ascii="Calibri" w:cs="Calibri" w:eastAsia="Calibri" w:hAnsi="Calibri"/>
          <w:sz w:val="20"/>
          <w:szCs w:val="20"/>
          <w:color w:val="auto"/>
        </w:rPr>
      </w:pPr>
      <w:r>
        <w:rPr>
          <w:rFonts w:ascii="Calibri" w:cs="Calibri" w:eastAsia="Calibri" w:hAnsi="Calibri"/>
          <w:sz w:val="20"/>
          <w:szCs w:val="20"/>
          <w:color w:val="auto"/>
        </w:rPr>
        <w:t>each other constructon contract contemplated in the Sources and Uses Plan and entered into between the Recipient and a Constructon Contractor in connecton with the constructon of the Project prior to the frst Direct Funding Disbursement Date and is otherwise in form and substance satsfactory to the Department; and</w:t>
      </w:r>
    </w:p>
    <w:p>
      <w:pPr>
        <w:spacing w:after="0" w:line="149" w:lineRule="exact"/>
        <w:rPr>
          <w:rFonts w:ascii="Calibri" w:cs="Calibri" w:eastAsia="Calibri" w:hAnsi="Calibri"/>
          <w:sz w:val="20"/>
          <w:szCs w:val="20"/>
          <w:color w:val="auto"/>
        </w:rPr>
      </w:pPr>
    </w:p>
    <w:p>
      <w:pPr>
        <w:ind w:left="660" w:hanging="652"/>
        <w:spacing w:after="0"/>
        <w:tabs>
          <w:tab w:leader="none" w:pos="660" w:val="left"/>
        </w:tabs>
        <w:numPr>
          <w:ilvl w:val="0"/>
          <w:numId w:val="619"/>
        </w:numPr>
        <w:rPr>
          <w:rFonts w:ascii="Calibri" w:cs="Calibri" w:eastAsia="Calibri" w:hAnsi="Calibri"/>
          <w:sz w:val="20"/>
          <w:szCs w:val="20"/>
          <w:color w:val="auto"/>
        </w:rPr>
      </w:pPr>
      <w:r>
        <w:rPr>
          <w:rFonts w:ascii="Calibri" w:cs="Calibri" w:eastAsia="Calibri" w:hAnsi="Calibri"/>
          <w:sz w:val="20"/>
          <w:szCs w:val="20"/>
          <w:color w:val="auto"/>
        </w:rPr>
        <w:t>any other document designated in writng as a Constructon Contract by the Recipient and the Department.</w:t>
      </w:r>
    </w:p>
    <w:p>
      <w:pPr>
        <w:spacing w:after="0" w:line="147" w:lineRule="exact"/>
        <w:rPr>
          <w:rFonts w:ascii="Calibri" w:cs="Calibri" w:eastAsia="Calibri" w:hAnsi="Calibri"/>
          <w:sz w:val="20"/>
          <w:szCs w:val="20"/>
          <w:color w:val="auto"/>
        </w:rPr>
      </w:pPr>
    </w:p>
    <w:p>
      <w:pPr>
        <w:ind w:left="660"/>
        <w:spacing w:after="0"/>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Constructon Contractor</w:t>
      </w:r>
      <w:r>
        <w:rPr>
          <w:rFonts w:ascii="Calibri" w:cs="Calibri" w:eastAsia="Calibri" w:hAnsi="Calibri"/>
          <w:sz w:val="20"/>
          <w:szCs w:val="20"/>
          <w:color w:val="auto"/>
        </w:rPr>
        <w:t>” means each contractor and each material subcontractor (if any), under any Constructon Contract.</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Consultants</w:t>
      </w:r>
      <w:r>
        <w:rPr>
          <w:rFonts w:ascii="Calibri" w:cs="Calibri" w:eastAsia="Calibri" w:hAnsi="Calibri"/>
          <w:sz w:val="20"/>
          <w:szCs w:val="20"/>
          <w:color w:val="auto"/>
        </w:rPr>
        <w:t>” means, collectvely, (a) the Financial Advisor; (b) the Constructon Advisor; (c) Allen Overy Shearman Sterling US LLP as legal counsel to the Department; and (d) any other advisor, legal counsel or consultant retained by the Department from tme to tme in connecton with the Award, any Project or the Financing Documents.</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Contngent Obligatons</w:t>
      </w:r>
      <w:r>
        <w:rPr>
          <w:rFonts w:ascii="Calibri" w:cs="Calibri" w:eastAsia="Calibri" w:hAnsi="Calibri"/>
          <w:sz w:val="20"/>
          <w:szCs w:val="20"/>
          <w:color w:val="auto"/>
        </w:rPr>
        <w:t>” means as to any Person, any obligaton of such Person with respect to any Indebtedness (“</w:t>
      </w:r>
      <w:r>
        <w:rPr>
          <w:rFonts w:ascii="Calibri" w:cs="Calibri" w:eastAsia="Calibri" w:hAnsi="Calibri"/>
          <w:sz w:val="20"/>
          <w:szCs w:val="20"/>
          <w:b w:val="1"/>
          <w:bCs w:val="1"/>
          <w:color w:val="auto"/>
        </w:rPr>
        <w:t>primary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obligatons</w:t>
      </w:r>
      <w:r>
        <w:rPr>
          <w:rFonts w:ascii="Calibri" w:cs="Calibri" w:eastAsia="Calibri" w:hAnsi="Calibri"/>
          <w:sz w:val="20"/>
          <w:szCs w:val="20"/>
          <w:color w:val="auto"/>
        </w:rPr>
        <w:t>”) of any other Person (the “</w:t>
      </w:r>
      <w:r>
        <w:rPr>
          <w:rFonts w:ascii="Calibri" w:cs="Calibri" w:eastAsia="Calibri" w:hAnsi="Calibri"/>
          <w:sz w:val="20"/>
          <w:szCs w:val="20"/>
          <w:b w:val="1"/>
          <w:bCs w:val="1"/>
          <w:color w:val="auto"/>
        </w:rPr>
        <w:t>primary obligor</w:t>
      </w:r>
      <w:r>
        <w:rPr>
          <w:rFonts w:ascii="Calibri" w:cs="Calibri" w:eastAsia="Calibri" w:hAnsi="Calibri"/>
          <w:sz w:val="20"/>
          <w:szCs w:val="20"/>
          <w:color w:val="auto"/>
        </w:rPr>
        <w:t>”) in any manner, whether directly or indirectly, including any obligaton of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Person, whether or not contngent, as a guarantee or otherwise:</w:t>
      </w:r>
    </w:p>
    <w:p>
      <w:pPr>
        <w:spacing w:after="0" w:line="161" w:lineRule="exact"/>
        <w:rPr>
          <w:sz w:val="20"/>
          <w:szCs w:val="20"/>
          <w:color w:val="auto"/>
        </w:rPr>
      </w:pPr>
    </w:p>
    <w:p>
      <w:pPr>
        <w:ind w:left="660" w:hanging="652"/>
        <w:spacing w:after="0"/>
        <w:tabs>
          <w:tab w:leader="none" w:pos="660"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for the purchase, payment or discharge of any such primary obligaton;</w:t>
      </w:r>
    </w:p>
    <w:p>
      <w:pPr>
        <w:spacing w:after="0" w:line="157" w:lineRule="exact"/>
        <w:rPr>
          <w:rFonts w:ascii="Calibri" w:cs="Calibri" w:eastAsia="Calibri" w:hAnsi="Calibri"/>
          <w:sz w:val="20"/>
          <w:szCs w:val="20"/>
          <w:color w:val="auto"/>
        </w:rPr>
      </w:pPr>
    </w:p>
    <w:p>
      <w:pPr>
        <w:ind w:left="660" w:right="20" w:hanging="652"/>
        <w:spacing w:after="0" w:line="214" w:lineRule="auto"/>
        <w:tabs>
          <w:tab w:leader="none" w:pos="660"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to purchase, repurchase or otherwise acquire such primary obligatons or any property consttutng direct or indirect security therefor, including the obligaton to make take-or-pay or similar payments;</w:t>
      </w:r>
    </w:p>
    <w:p>
      <w:pPr>
        <w:spacing w:after="0" w:line="148" w:lineRule="exact"/>
        <w:rPr>
          <w:rFonts w:ascii="Calibri" w:cs="Calibri" w:eastAsia="Calibri" w:hAnsi="Calibri"/>
          <w:sz w:val="20"/>
          <w:szCs w:val="20"/>
          <w:color w:val="auto"/>
        </w:rPr>
      </w:pPr>
    </w:p>
    <w:p>
      <w:pPr>
        <w:ind w:left="660" w:hanging="652"/>
        <w:spacing w:after="0"/>
        <w:tabs>
          <w:tab w:leader="none" w:pos="660"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to advance or supply funds;</w:t>
      </w:r>
    </w:p>
    <w:p>
      <w:pPr>
        <w:spacing w:after="0" w:line="157" w:lineRule="exact"/>
        <w:rPr>
          <w:rFonts w:ascii="Calibri" w:cs="Calibri" w:eastAsia="Calibri" w:hAnsi="Calibri"/>
          <w:sz w:val="20"/>
          <w:szCs w:val="20"/>
          <w:color w:val="auto"/>
        </w:rPr>
      </w:pPr>
    </w:p>
    <w:p>
      <w:pPr>
        <w:ind w:left="660" w:right="20" w:hanging="652"/>
        <w:spacing w:after="0" w:line="214" w:lineRule="auto"/>
        <w:tabs>
          <w:tab w:leader="none" w:pos="660"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to maintain working capital or equity capital of the primary obligor or otherwise to maintain the net worth or solvency or any balance sheet item, level of income or fnancial conditon of the primary obligor;</w:t>
      </w:r>
    </w:p>
    <w:p>
      <w:pPr>
        <w:spacing w:after="0" w:line="158" w:lineRule="exact"/>
        <w:rPr>
          <w:rFonts w:ascii="Calibri" w:cs="Calibri" w:eastAsia="Calibri" w:hAnsi="Calibri"/>
          <w:sz w:val="20"/>
          <w:szCs w:val="20"/>
          <w:color w:val="auto"/>
        </w:rPr>
      </w:pPr>
    </w:p>
    <w:p>
      <w:pPr>
        <w:ind w:left="660" w:hanging="652"/>
        <w:spacing w:after="0" w:line="214" w:lineRule="auto"/>
        <w:tabs>
          <w:tab w:leader="none" w:pos="664"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to purchase property, securites or services primarily for the purpose of assuring the holder of any such primary obligaton of the ability of the primary obligor to make payment of such primary obligaton; or</w:t>
      </w:r>
    </w:p>
    <w:p>
      <w:pPr>
        <w:spacing w:after="0" w:line="158" w:lineRule="exact"/>
        <w:rPr>
          <w:rFonts w:ascii="Calibri" w:cs="Calibri" w:eastAsia="Calibri" w:hAnsi="Calibri"/>
          <w:sz w:val="20"/>
          <w:szCs w:val="20"/>
          <w:color w:val="auto"/>
        </w:rPr>
      </w:pPr>
    </w:p>
    <w:p>
      <w:pPr>
        <w:jc w:val="both"/>
        <w:ind w:left="660" w:hanging="652"/>
        <w:spacing w:after="0" w:line="209" w:lineRule="auto"/>
        <w:tabs>
          <w:tab w:leader="none" w:pos="659" w:val="left"/>
        </w:tabs>
        <w:numPr>
          <w:ilvl w:val="0"/>
          <w:numId w:val="620"/>
        </w:numPr>
        <w:rPr>
          <w:rFonts w:ascii="Calibri" w:cs="Calibri" w:eastAsia="Calibri" w:hAnsi="Calibri"/>
          <w:sz w:val="20"/>
          <w:szCs w:val="20"/>
          <w:color w:val="auto"/>
        </w:rPr>
      </w:pPr>
      <w:r>
        <w:rPr>
          <w:rFonts w:ascii="Calibri" w:cs="Calibri" w:eastAsia="Calibri" w:hAnsi="Calibri"/>
          <w:sz w:val="20"/>
          <w:szCs w:val="20"/>
          <w:color w:val="auto"/>
        </w:rPr>
        <w:t>otherwise to assure or hold harmless the holder of such primary obligaton against loss in respect thereof, including with respect to leter of credit obligatons, swap agreements, foreign exchange contracts and other similar agreements (including agreements relatng to derivatve instruments),</w:t>
      </w:r>
    </w:p>
    <w:p>
      <w:pPr>
        <w:spacing w:after="0" w:line="186"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provided that, (x) the term “Contngent Obligaton” shall not include endorsements of instruments for deposit or collecton in the ordinary course of business; (y) the amount of any Contngent Obligaton shall be deemed to be an amount equal to the stated or determinable amount of the primary obligaton in respect of which such Contngent Obligaton is made or, if not stated or determinable, the maximum antcipated liability in respect thereof (assuming such Person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384" w:right="339" w:bottom="1440" w:gutter="0" w:footer="0" w:header="0"/>
        </w:sectPr>
      </w:pPr>
    </w:p>
    <w:bookmarkStart w:id="494" w:name="page495"/>
    <w:bookmarkEnd w:id="494"/>
    <w:p>
      <w:pPr>
        <w:jc w:val="both"/>
        <w:spacing w:after="0" w:line="233" w:lineRule="auto"/>
        <w:rPr>
          <w:sz w:val="20"/>
          <w:szCs w:val="20"/>
          <w:color w:val="auto"/>
        </w:rPr>
      </w:pPr>
      <w:r>
        <w:rPr>
          <w:rFonts w:ascii="Calibri" w:cs="Calibri" w:eastAsia="Calibri" w:hAnsi="Calibri"/>
          <w:sz w:val="20"/>
          <w:szCs w:val="20"/>
          <w:color w:val="auto"/>
        </w:rPr>
        <w:t>perform thereunder) as determined by such Person in good faith; and (z) if recourse to the Person with an obligaton in respect of Indebtedness of another Person is limited to specifed Property, the amount of the Contngent Obligaton of such Person in respect thereof shall not exceed the value of such Property on the books and records of the applicable Person in accordance with Applicable Accountng Standards (regardless of the amount of the primary obligatons).</w:t>
      </w:r>
    </w:p>
    <w:p>
      <w:pPr>
        <w:spacing w:after="0" w:line="172"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Control</w:t>
      </w:r>
      <w:r>
        <w:rPr>
          <w:rFonts w:ascii="Calibri" w:cs="Calibri" w:eastAsia="Calibri" w:hAnsi="Calibri"/>
          <w:sz w:val="20"/>
          <w:szCs w:val="20"/>
          <w:color w:val="auto"/>
        </w:rPr>
        <w:t>” means the power, directly or indirectly, to direct or cause the directon of the management or business or policies of a Person (whether through the ownership of votng securites or partnership or other ownership interests, by contract, or otherwise); and the words “Controlling,” “Controlled,” and similar constructons shall have correlatve meanings.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Cost of Goods Sold</w:t>
      </w:r>
      <w:r>
        <w:rPr>
          <w:rFonts w:ascii="Calibri" w:cs="Calibri" w:eastAsia="Calibri" w:hAnsi="Calibri"/>
          <w:sz w:val="20"/>
          <w:szCs w:val="20"/>
          <w:color w:val="auto"/>
        </w:rPr>
        <w:t>” has the meaning set forth in the Applicable Accountng Requirements.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Covered Incentve</w:t>
      </w:r>
      <w:r>
        <w:rPr>
          <w:rFonts w:ascii="Calibri" w:cs="Calibri" w:eastAsia="Calibri" w:hAnsi="Calibri"/>
          <w:sz w:val="20"/>
          <w:szCs w:val="20"/>
          <w:color w:val="auto"/>
        </w:rPr>
        <w:t>” has the meaning set forth in 15 U.S.C. § 4651 (</w:t>
      </w:r>
      <w:r>
        <w:rPr>
          <w:rFonts w:ascii="Calibri" w:cs="Calibri" w:eastAsia="Calibri" w:hAnsi="Calibri"/>
          <w:sz w:val="20"/>
          <w:szCs w:val="20"/>
          <w:i w:val="1"/>
          <w:iCs w:val="1"/>
          <w:color w:val="auto"/>
        </w:rPr>
        <w:t>Defnitons</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Customer Agreement</w:t>
      </w:r>
      <w:r>
        <w:rPr>
          <w:rFonts w:ascii="Calibri" w:cs="Calibri" w:eastAsia="Calibri" w:hAnsi="Calibri"/>
          <w:sz w:val="20"/>
          <w:szCs w:val="20"/>
          <w:color w:val="auto"/>
        </w:rPr>
        <w:t>” means, with respect to each Project, any contract entered into, or to be entered into, by the Recipient for the sale of Product throughout the stated term thereof.</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Data Protecton Laws</w:t>
      </w:r>
      <w:r>
        <w:rPr>
          <w:rFonts w:ascii="Calibri" w:cs="Calibri" w:eastAsia="Calibri" w:hAnsi="Calibri"/>
          <w:sz w:val="20"/>
          <w:szCs w:val="20"/>
          <w:color w:val="auto"/>
        </w:rPr>
        <w:t>” means any and all foreign or domestc (including U.S. federal, state and local) Applicable Laws relatng to the privacy, security, notfcaton of breaches, Processing of any data or informaton that identfes or can be used to identfy an individual, household or device, whether directly or indirectly, in each case, in any manner applicable to any Recipient Party or any Subsidiary of any Recipient Party.</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Debarment Regulatons</w:t>
      </w:r>
      <w:r>
        <w:rPr>
          <w:rFonts w:ascii="Calibri" w:cs="Calibri" w:eastAsia="Calibri" w:hAnsi="Calibri"/>
          <w:sz w:val="20"/>
          <w:szCs w:val="20"/>
          <w:color w:val="auto"/>
        </w:rPr>
        <w:t>” means all of the following:</w:t>
      </w:r>
    </w:p>
    <w:p>
      <w:pPr>
        <w:spacing w:after="0" w:line="147" w:lineRule="exact"/>
        <w:rPr>
          <w:sz w:val="20"/>
          <w:szCs w:val="20"/>
          <w:color w:val="auto"/>
        </w:rPr>
      </w:pPr>
    </w:p>
    <w:p>
      <w:pPr>
        <w:ind w:left="660" w:hanging="652"/>
        <w:spacing w:after="0"/>
        <w:tabs>
          <w:tab w:leader="none" w:pos="660" w:val="left"/>
        </w:tabs>
        <w:numPr>
          <w:ilvl w:val="0"/>
          <w:numId w:val="621"/>
        </w:numPr>
        <w:rPr>
          <w:rFonts w:ascii="Calibri" w:cs="Calibri" w:eastAsia="Calibri" w:hAnsi="Calibri"/>
          <w:sz w:val="20"/>
          <w:szCs w:val="20"/>
          <w:color w:val="auto"/>
        </w:rPr>
      </w:pPr>
      <w:r>
        <w:rPr>
          <w:rFonts w:ascii="Calibri" w:cs="Calibri" w:eastAsia="Calibri" w:hAnsi="Calibri"/>
          <w:sz w:val="20"/>
          <w:szCs w:val="20"/>
          <w:color w:val="auto"/>
        </w:rPr>
        <w:t>OMB Guidelines to Agencies on Government-wide Debarment and Suspension (Non-procurement) (2 C.F.R. Part 180); and</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21"/>
        </w:numPr>
        <w:rPr>
          <w:rFonts w:ascii="Calibri" w:cs="Calibri" w:eastAsia="Calibri" w:hAnsi="Calibri"/>
          <w:sz w:val="20"/>
          <w:szCs w:val="20"/>
          <w:color w:val="auto"/>
        </w:rPr>
      </w:pPr>
      <w:r>
        <w:rPr>
          <w:rFonts w:ascii="Calibri" w:cs="Calibri" w:eastAsia="Calibri" w:hAnsi="Calibri"/>
          <w:sz w:val="20"/>
          <w:szCs w:val="20"/>
          <w:color w:val="auto"/>
        </w:rPr>
        <w:t>Debarment, Suspension, and Ineligibility (48 C.F.R. Subpart 9.4).</w:t>
      </w:r>
    </w:p>
    <w:p>
      <w:pPr>
        <w:spacing w:after="0" w:line="157" w:lineRule="exact"/>
        <w:rPr>
          <w:rFonts w:ascii="Calibri" w:cs="Calibri" w:eastAsia="Calibri" w:hAnsi="Calibri"/>
          <w:sz w:val="20"/>
          <w:szCs w:val="20"/>
          <w:color w:val="auto"/>
        </w:rPr>
      </w:pPr>
    </w:p>
    <w:p>
      <w:pPr>
        <w:ind w:left="660" w:right="1240"/>
        <w:spacing w:after="0" w:line="388" w:lineRule="auto"/>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Debt Collecton Act</w:t>
      </w:r>
      <w:r>
        <w:rPr>
          <w:rFonts w:ascii="Calibri" w:cs="Calibri" w:eastAsia="Calibri" w:hAnsi="Calibri"/>
          <w:sz w:val="20"/>
          <w:szCs w:val="20"/>
          <w:color w:val="auto"/>
        </w:rPr>
        <w:t>” means the Debt Collecton Act of 1982 as amended (31 U.S.C. § 3717) and 31 C.F.R. § 901.9.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has the meaning set forth in the preamble hereto.</w:t>
      </w:r>
    </w:p>
    <w:p>
      <w:pPr>
        <w:spacing w:after="0" w:line="7" w:lineRule="exact"/>
        <w:rPr>
          <w:sz w:val="20"/>
          <w:szCs w:val="20"/>
          <w:color w:val="auto"/>
        </w:rPr>
      </w:pPr>
    </w:p>
    <w:p>
      <w:pPr>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Department Obligatons</w:t>
      </w:r>
      <w:r>
        <w:rPr>
          <w:rFonts w:ascii="Calibri" w:cs="Calibri" w:eastAsia="Calibri" w:hAnsi="Calibri"/>
          <w:sz w:val="20"/>
          <w:szCs w:val="20"/>
          <w:color w:val="auto"/>
        </w:rPr>
        <w:t>” means all amounts, without duplicaton, owing to the Department under the Financing Documents, including:</w:t>
      </w:r>
    </w:p>
    <w:p>
      <w:pPr>
        <w:spacing w:after="0" w:line="159" w:lineRule="exact"/>
        <w:rPr>
          <w:sz w:val="20"/>
          <w:szCs w:val="20"/>
          <w:color w:val="auto"/>
        </w:rPr>
      </w:pPr>
    </w:p>
    <w:p>
      <w:pPr>
        <w:jc w:val="both"/>
        <w:ind w:left="660" w:hanging="652"/>
        <w:spacing w:after="0" w:line="205" w:lineRule="auto"/>
        <w:tabs>
          <w:tab w:leader="none" w:pos="658" w:val="left"/>
        </w:tabs>
        <w:numPr>
          <w:ilvl w:val="0"/>
          <w:numId w:val="622"/>
        </w:numPr>
        <w:rPr>
          <w:rFonts w:ascii="Calibri" w:cs="Calibri" w:eastAsia="Calibri" w:hAnsi="Calibri"/>
          <w:sz w:val="20"/>
          <w:szCs w:val="20"/>
          <w:color w:val="auto"/>
        </w:rPr>
      </w:pPr>
      <w:r>
        <w:rPr>
          <w:rFonts w:ascii="Calibri" w:cs="Calibri" w:eastAsia="Calibri" w:hAnsi="Calibri"/>
          <w:sz w:val="20"/>
          <w:szCs w:val="20"/>
          <w:color w:val="auto"/>
        </w:rPr>
        <w:t>any payments, interest, charges, expenses, fees, atorneys’ or other Consultants’ fees and disbursements, indemnites and other amounts payable by the Recipient under any Financing Document and any reimbursement amounts in respect of any of the foregoing that the Department may elect to pay or advance on behalf of the Recipient; and</w:t>
      </w:r>
    </w:p>
    <w:p>
      <w:pPr>
        <w:spacing w:after="0" w:line="170" w:lineRule="exact"/>
        <w:rPr>
          <w:rFonts w:ascii="Calibri" w:cs="Calibri" w:eastAsia="Calibri" w:hAnsi="Calibri"/>
          <w:sz w:val="20"/>
          <w:szCs w:val="20"/>
          <w:color w:val="auto"/>
        </w:rPr>
      </w:pPr>
    </w:p>
    <w:p>
      <w:pPr>
        <w:jc w:val="both"/>
        <w:ind w:left="660" w:hanging="652"/>
        <w:spacing w:after="0" w:line="203" w:lineRule="auto"/>
        <w:tabs>
          <w:tab w:leader="none" w:pos="657" w:val="left"/>
        </w:tabs>
        <w:numPr>
          <w:ilvl w:val="0"/>
          <w:numId w:val="622"/>
        </w:numPr>
        <w:rPr>
          <w:rFonts w:ascii="Calibri" w:cs="Calibri" w:eastAsia="Calibri" w:hAnsi="Calibri"/>
          <w:sz w:val="20"/>
          <w:szCs w:val="20"/>
          <w:color w:val="auto"/>
        </w:rPr>
      </w:pPr>
      <w:r>
        <w:rPr>
          <w:rFonts w:ascii="Calibri" w:cs="Calibri" w:eastAsia="Calibri" w:hAnsi="Calibri"/>
          <w:sz w:val="20"/>
          <w:szCs w:val="20"/>
          <w:color w:val="auto"/>
        </w:rPr>
        <w:t>all liabilites, and obligatons, howsoever arising, owed by the Recipient under the Financing Documents (whether or not evidenced by any note or instrument and whether or not for the payment of money), direct or indirect, absolute or contngent, due or to become due, now existng or hereafer arising, pursuant to any of the Financing Documents, including all interest, fees and Periodic Expenses chargeable to the Recipient and payable by the Recipient hereunder or thereunder.</w:t>
      </w:r>
    </w:p>
    <w:p>
      <w:pPr>
        <w:spacing w:after="0" w:line="149" w:lineRule="exact"/>
        <w:rPr>
          <w:rFonts w:ascii="Calibri" w:cs="Calibri" w:eastAsia="Calibri" w:hAnsi="Calibri"/>
          <w:sz w:val="20"/>
          <w:szCs w:val="20"/>
          <w:color w:val="auto"/>
        </w:rPr>
      </w:pPr>
    </w:p>
    <w:p>
      <w:pPr>
        <w:ind w:left="660"/>
        <w:spacing w:after="0"/>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Depreciaton</w:t>
      </w:r>
      <w:r>
        <w:rPr>
          <w:rFonts w:ascii="Calibri" w:cs="Calibri" w:eastAsia="Calibri" w:hAnsi="Calibri"/>
          <w:sz w:val="20"/>
          <w:szCs w:val="20"/>
          <w:color w:val="auto"/>
        </w:rPr>
        <w:t>” has the meaning set forth in the Applicable Accountng Requirements.</w:t>
      </w:r>
    </w:p>
    <w:p>
      <w:pPr>
        <w:spacing w:after="0" w:line="157" w:lineRule="exact"/>
        <w:rPr>
          <w:rFonts w:ascii="Calibri" w:cs="Calibri" w:eastAsia="Calibri" w:hAnsi="Calibri"/>
          <w:sz w:val="20"/>
          <w:szCs w:val="20"/>
          <w:color w:val="auto"/>
        </w:rPr>
      </w:pPr>
    </w:p>
    <w:p>
      <w:pPr>
        <w:ind w:left="660" w:right="3060"/>
        <w:spacing w:after="0" w:line="415" w:lineRule="auto"/>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w:t>
      </w:r>
      <w:r>
        <w:rPr>
          <w:rFonts w:ascii="Calibri" w:cs="Calibri" w:eastAsia="Calibri" w:hAnsi="Calibri"/>
          <w:sz w:val="20"/>
          <w:szCs w:val="20"/>
          <w:color w:val="auto"/>
        </w:rPr>
        <w:t>” means direct funding under the NOFO in the form of an other transacton. “</w:t>
      </w:r>
      <w:r>
        <w:rPr>
          <w:rFonts w:ascii="Calibri" w:cs="Calibri" w:eastAsia="Calibri" w:hAnsi="Calibri"/>
          <w:sz w:val="20"/>
          <w:szCs w:val="20"/>
          <w:b w:val="1"/>
          <w:bCs w:val="1"/>
          <w:color w:val="auto"/>
        </w:rPr>
        <w:t>Direct Funding Award</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411" w:right="339" w:bottom="1440" w:gutter="0" w:footer="0" w:header="0"/>
        </w:sectPr>
      </w:pPr>
    </w:p>
    <w:bookmarkStart w:id="495" w:name="page496"/>
    <w:bookmarkEnd w:id="495"/>
    <w:p>
      <w:pPr>
        <w:jc w:val="both"/>
        <w:ind w:right="20" w:firstLine="648"/>
        <w:spacing w:after="0" w:line="214" w:lineRule="auto"/>
        <w:rPr>
          <w:sz w:val="20"/>
          <w:szCs w:val="20"/>
          <w:color w:val="auto"/>
        </w:rPr>
      </w:pPr>
      <w:r>
        <w:rPr>
          <w:rFonts w:ascii="Calibri" w:cs="Calibri" w:eastAsia="Calibri" w:hAnsi="Calibri"/>
          <w:sz w:val="20"/>
          <w:szCs w:val="20"/>
          <w:b w:val="1"/>
          <w:bCs w:val="1"/>
          <w:color w:val="auto"/>
        </w:rPr>
        <w:t>“Direct Funding Disbursement</w:t>
      </w:r>
      <w:r>
        <w:rPr>
          <w:rFonts w:ascii="Calibri" w:cs="Calibri" w:eastAsia="Calibri" w:hAnsi="Calibri"/>
          <w:sz w:val="20"/>
          <w:szCs w:val="20"/>
          <w:color w:val="auto"/>
        </w:rPr>
        <w:t>” means a disbursement of the Direct Funding for a Disbursement Milestone made in accordance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this Agreement.</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Approval Notce</w:t>
      </w:r>
      <w:r>
        <w:rPr>
          <w:rFonts w:ascii="Calibri" w:cs="Calibri" w:eastAsia="Calibri" w:hAnsi="Calibri"/>
          <w:sz w:val="20"/>
          <w:szCs w:val="20"/>
          <w:color w:val="auto"/>
        </w:rPr>
        <w:t>” means a notce issued by the Department, substantally in the form atached hereto as Exhibit C (</w:t>
      </w:r>
      <w:r>
        <w:rPr>
          <w:rFonts w:ascii="Calibri" w:cs="Calibri" w:eastAsia="Calibri" w:hAnsi="Calibri"/>
          <w:sz w:val="20"/>
          <w:szCs w:val="20"/>
          <w:b w:val="1"/>
          <w:bCs w:val="1"/>
          <w:color w:val="auto"/>
        </w:rPr>
        <w:t>Form of [Direct Funding] [Workforce] Disbursement Approval Notce</w:t>
      </w:r>
      <w:r>
        <w:rPr>
          <w:rFonts w:ascii="Calibri" w:cs="Calibri" w:eastAsia="Calibri" w:hAnsi="Calibri"/>
          <w:sz w:val="20"/>
          <w:szCs w:val="20"/>
          <w:color w:val="auto"/>
        </w:rPr>
        <w:t>), delivered to the Recipient pursuant to Secton 2.2 (</w:t>
      </w:r>
      <w:r>
        <w:rPr>
          <w:rFonts w:ascii="Calibri" w:cs="Calibri" w:eastAsia="Calibri" w:hAnsi="Calibri"/>
          <w:sz w:val="20"/>
          <w:szCs w:val="20"/>
          <w:b w:val="1"/>
          <w:bCs w:val="1"/>
          <w:color w:val="auto"/>
        </w:rPr>
        <w:t>Disbursement Procedure</w:t>
      </w: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b w:val="1"/>
          <w:bCs w:val="1"/>
          <w:color w:val="auto"/>
        </w:rPr>
        <w:t>“Direct Funding Disbursement Date</w:t>
      </w:r>
      <w:r>
        <w:rPr>
          <w:rFonts w:ascii="Calibri" w:cs="Calibri" w:eastAsia="Calibri" w:hAnsi="Calibri"/>
          <w:sz w:val="20"/>
          <w:szCs w:val="20"/>
          <w:color w:val="auto"/>
        </w:rPr>
        <w:t>” means a Disbursement Date on which a Direct Funding Disbursement is made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this Agreement.</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Period</w:t>
      </w:r>
      <w:r>
        <w:rPr>
          <w:rFonts w:ascii="Calibri" w:cs="Calibri" w:eastAsia="Calibri" w:hAnsi="Calibri"/>
          <w:sz w:val="20"/>
          <w:szCs w:val="20"/>
          <w:color w:val="auto"/>
        </w:rPr>
        <w:t>” means, with respect to any Project, the period commencing on the Award Date and ending on the earlier of:</w:t>
      </w:r>
    </w:p>
    <w:p>
      <w:pPr>
        <w:spacing w:after="0" w:line="161" w:lineRule="exact"/>
        <w:rPr>
          <w:sz w:val="20"/>
          <w:szCs w:val="20"/>
          <w:color w:val="auto"/>
        </w:rPr>
      </w:pPr>
    </w:p>
    <w:p>
      <w:pPr>
        <w:ind w:left="660" w:hanging="652"/>
        <w:spacing w:after="0"/>
        <w:tabs>
          <w:tab w:leader="none" w:pos="660" w:val="left"/>
        </w:tabs>
        <w:numPr>
          <w:ilvl w:val="0"/>
          <w:numId w:val="623"/>
        </w:numPr>
        <w:rPr>
          <w:rFonts w:ascii="Calibri" w:cs="Calibri" w:eastAsia="Calibri" w:hAnsi="Calibri"/>
          <w:sz w:val="20"/>
          <w:szCs w:val="20"/>
          <w:color w:val="auto"/>
        </w:rPr>
      </w:pPr>
      <w:r>
        <w:rPr>
          <w:rFonts w:ascii="Calibri" w:cs="Calibri" w:eastAsia="Calibri" w:hAnsi="Calibri"/>
          <w:sz w:val="20"/>
          <w:szCs w:val="20"/>
          <w:color w:val="auto"/>
        </w:rPr>
        <w:t>the Milestone Completon Longstop Date for the last Disbursement Milestone set forth in the Disbursement Milestone Schedule;</w:t>
      </w:r>
    </w:p>
    <w:p>
      <w:pPr>
        <w:spacing w:after="0" w:line="157" w:lineRule="exact"/>
        <w:rPr>
          <w:rFonts w:ascii="Calibri" w:cs="Calibri" w:eastAsia="Calibri" w:hAnsi="Calibri"/>
          <w:sz w:val="20"/>
          <w:szCs w:val="20"/>
          <w:color w:val="auto"/>
        </w:rPr>
      </w:pPr>
    </w:p>
    <w:p>
      <w:pPr>
        <w:ind w:left="660" w:right="20" w:hanging="652"/>
        <w:spacing w:after="0" w:line="214" w:lineRule="auto"/>
        <w:tabs>
          <w:tab w:leader="none" w:pos="658" w:val="left"/>
        </w:tabs>
        <w:numPr>
          <w:ilvl w:val="0"/>
          <w:numId w:val="623"/>
        </w:numPr>
        <w:rPr>
          <w:rFonts w:ascii="Calibri" w:cs="Calibri" w:eastAsia="Calibri" w:hAnsi="Calibri"/>
          <w:sz w:val="20"/>
          <w:szCs w:val="20"/>
          <w:color w:val="auto"/>
        </w:rPr>
      </w:pPr>
      <w:r>
        <w:rPr>
          <w:rFonts w:ascii="Calibri" w:cs="Calibri" w:eastAsia="Calibri" w:hAnsi="Calibri"/>
          <w:sz w:val="20"/>
          <w:szCs w:val="20"/>
          <w:color w:val="auto"/>
        </w:rPr>
        <w:t>the date of the Direct Funding Disbursement for the last Disbursement Milestone set forth in the Disbursement Milestone Schedule; and</w:t>
      </w:r>
    </w:p>
    <w:p>
      <w:pPr>
        <w:spacing w:after="0" w:line="148" w:lineRule="exact"/>
        <w:rPr>
          <w:rFonts w:ascii="Calibri" w:cs="Calibri" w:eastAsia="Calibri" w:hAnsi="Calibri"/>
          <w:sz w:val="20"/>
          <w:szCs w:val="20"/>
          <w:color w:val="auto"/>
        </w:rPr>
      </w:pPr>
    </w:p>
    <w:p>
      <w:pPr>
        <w:ind w:left="660" w:hanging="652"/>
        <w:spacing w:after="0"/>
        <w:tabs>
          <w:tab w:leader="none" w:pos="660" w:val="left"/>
        </w:tabs>
        <w:numPr>
          <w:ilvl w:val="0"/>
          <w:numId w:val="623"/>
        </w:numPr>
        <w:rPr>
          <w:rFonts w:ascii="Calibri" w:cs="Calibri" w:eastAsia="Calibri" w:hAnsi="Calibri"/>
          <w:sz w:val="20"/>
          <w:szCs w:val="20"/>
          <w:color w:val="auto"/>
        </w:rPr>
      </w:pPr>
      <w:r>
        <w:rPr>
          <w:rFonts w:ascii="Calibri" w:cs="Calibri" w:eastAsia="Calibri" w:hAnsi="Calibri"/>
          <w:sz w:val="20"/>
          <w:szCs w:val="20"/>
          <w:color w:val="auto"/>
        </w:rPr>
        <w:t>the date on which the Maximum Direct Funding Award Amount is reduced to zero.</w:t>
      </w:r>
    </w:p>
    <w:p>
      <w:pPr>
        <w:spacing w:after="0" w:line="157"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 Funding Disbursement Request</w:t>
      </w:r>
      <w:r>
        <w:rPr>
          <w:rFonts w:ascii="Calibri" w:cs="Calibri" w:eastAsia="Calibri" w:hAnsi="Calibri"/>
          <w:sz w:val="20"/>
          <w:szCs w:val="20"/>
          <w:color w:val="auto"/>
        </w:rPr>
        <w:t>” means a request for a Direct Funding Disbursement, substantally in the form atached hereto as Exhibit B-1 (</w:t>
      </w:r>
      <w:r>
        <w:rPr>
          <w:rFonts w:ascii="Calibri" w:cs="Calibri" w:eastAsia="Calibri" w:hAnsi="Calibri"/>
          <w:sz w:val="20"/>
          <w:szCs w:val="20"/>
          <w:b w:val="1"/>
          <w:bCs w:val="1"/>
          <w:color w:val="auto"/>
        </w:rPr>
        <w:t>Form of Direct Funding Disbursement Request</w:t>
      </w:r>
      <w:r>
        <w:rPr>
          <w:rFonts w:ascii="Calibri" w:cs="Calibri" w:eastAsia="Calibri" w:hAnsi="Calibri"/>
          <w:sz w:val="20"/>
          <w:szCs w:val="20"/>
          <w:color w:val="auto"/>
        </w:rPr>
        <w:t>), delivered to the Department.</w:t>
      </w:r>
    </w:p>
    <w:p>
      <w:pPr>
        <w:spacing w:after="0" w:line="159"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b w:val="1"/>
          <w:bCs w:val="1"/>
          <w:color w:val="auto"/>
        </w:rPr>
        <w:t>“Disbursement</w:t>
      </w:r>
      <w:r>
        <w:rPr>
          <w:rFonts w:ascii="Calibri" w:cs="Calibri" w:eastAsia="Calibri" w:hAnsi="Calibri"/>
          <w:sz w:val="20"/>
          <w:szCs w:val="20"/>
          <w:color w:val="auto"/>
        </w:rPr>
        <w:t>” means any disbursement of the Award in accordance with this Agreement, including any Direct Funding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Disbursement and any Workforce Disbursement.</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b w:val="1"/>
          <w:bCs w:val="1"/>
          <w:color w:val="auto"/>
        </w:rPr>
        <w:t>“Disbursement Date</w:t>
      </w:r>
      <w:r>
        <w:rPr>
          <w:rFonts w:ascii="Calibri" w:cs="Calibri" w:eastAsia="Calibri" w:hAnsi="Calibri"/>
          <w:sz w:val="20"/>
          <w:szCs w:val="20"/>
          <w:color w:val="auto"/>
        </w:rPr>
        <w:t>” means a Business Day on which funds are transferred through the ASAP System to make a Disbursement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accordance with Artcle 2 (</w:t>
      </w:r>
      <w:r>
        <w:rPr>
          <w:rFonts w:ascii="Calibri" w:cs="Calibri" w:eastAsia="Calibri" w:hAnsi="Calibri"/>
          <w:sz w:val="20"/>
          <w:szCs w:val="20"/>
          <w:b w:val="1"/>
          <w:bCs w:val="1"/>
          <w:color w:val="auto"/>
        </w:rPr>
        <w:t>Award and Disbursements</w:t>
      </w:r>
      <w:r>
        <w:rPr>
          <w:rFonts w:ascii="Calibri" w:cs="Calibri" w:eastAsia="Calibri" w:hAnsi="Calibri"/>
          <w:sz w:val="20"/>
          <w:szCs w:val="20"/>
          <w:color w:val="auto"/>
        </w:rPr>
        <w:t>), including any Direct Funding Disbursement Date and any Workforce Disbursement Date.</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Milestone</w:t>
      </w:r>
      <w:r>
        <w:rPr>
          <w:rFonts w:ascii="Calibri" w:cs="Calibri" w:eastAsia="Calibri" w:hAnsi="Calibri"/>
          <w:sz w:val="20"/>
          <w:szCs w:val="20"/>
          <w:color w:val="auto"/>
        </w:rPr>
        <w:t>” means, the relevant Project milestone set forth in the Disbursement Milestone Schedule under the column enttled “Disbursement Milestone”.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Milestone Schedule</w:t>
      </w:r>
      <w:r>
        <w:rPr>
          <w:rFonts w:ascii="Calibri" w:cs="Calibri" w:eastAsia="Calibri" w:hAnsi="Calibri"/>
          <w:sz w:val="20"/>
          <w:szCs w:val="20"/>
          <w:color w:val="auto"/>
        </w:rPr>
        <w:t>” means that schedule atached hereto as Schedule B (</w:t>
      </w:r>
      <w:r>
        <w:rPr>
          <w:rFonts w:ascii="Calibri" w:cs="Calibri" w:eastAsia="Calibri" w:hAnsi="Calibri"/>
          <w:sz w:val="20"/>
          <w:szCs w:val="20"/>
          <w:b w:val="1"/>
          <w:bCs w:val="1"/>
          <w:color w:val="auto"/>
        </w:rPr>
        <w:t>Project Milestone Schedule</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Disbursement Request</w:t>
      </w:r>
      <w:r>
        <w:rPr>
          <w:rFonts w:ascii="Calibri" w:cs="Calibri" w:eastAsia="Calibri" w:hAnsi="Calibri"/>
          <w:sz w:val="20"/>
          <w:szCs w:val="20"/>
          <w:color w:val="auto"/>
        </w:rPr>
        <w:t>” means (a) any Direct Funding Disbursement Request; and (b) any Workforce Disbursement Request, as applicable.</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Dispositon</w:t>
      </w:r>
      <w:r>
        <w:rPr>
          <w:rFonts w:ascii="Calibri" w:cs="Calibri" w:eastAsia="Calibri" w:hAnsi="Calibri"/>
          <w:sz w:val="20"/>
          <w:szCs w:val="20"/>
          <w:color w:val="auto"/>
        </w:rPr>
        <w:t xml:space="preserve">” means, with respect to any Property or assets, any single or series of related sales, transfers, assignments, donatons, conveyances, leases, licenses, abandonment or other dispositons thereof, and the terms “Dispose” and “Disposed of” shall have correlatve meanings;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that the term “Dispositon” shall not include the creaton or existence of any Liens, unless ownership is transferred to any party pursuant thereto.</w:t>
      </w:r>
    </w:p>
    <w:p>
      <w:pPr>
        <w:spacing w:after="0" w:line="15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Dispute</w:t>
      </w:r>
      <w:r>
        <w:rPr>
          <w:rFonts w:ascii="Calibri" w:cs="Calibri" w:eastAsia="Calibri" w:hAnsi="Calibri"/>
          <w:sz w:val="20"/>
          <w:szCs w:val="20"/>
          <w:color w:val="auto"/>
        </w:rPr>
        <w:t>” has the meaning set forth in Secton 10.12.1 (</w:t>
      </w:r>
      <w:r>
        <w:rPr>
          <w:rFonts w:ascii="Calibri" w:cs="Calibri" w:eastAsia="Calibri" w:hAnsi="Calibri"/>
          <w:sz w:val="20"/>
          <w:szCs w:val="20"/>
          <w:b w:val="1"/>
          <w:bCs w:val="1"/>
          <w:color w:val="auto"/>
        </w:rPr>
        <w:t>Scope and Severability</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DOL</w:t>
      </w:r>
      <w:r>
        <w:rPr>
          <w:rFonts w:ascii="Calibri" w:cs="Calibri" w:eastAsia="Calibri" w:hAnsi="Calibri"/>
          <w:sz w:val="20"/>
          <w:szCs w:val="20"/>
          <w:color w:val="auto"/>
        </w:rPr>
        <w:t>” means the United States Department of Labor.</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Dollars</w:t>
      </w:r>
      <w:r>
        <w:rPr>
          <w:rFonts w:ascii="Calibri" w:cs="Calibri" w:eastAsia="Calibri" w:hAnsi="Calibri"/>
          <w:sz w:val="20"/>
          <w:szCs w:val="20"/>
          <w:color w:val="auto"/>
        </w:rPr>
        <w:t>” or “</w:t>
      </w:r>
      <w:r>
        <w:rPr>
          <w:rFonts w:ascii="Calibri" w:cs="Calibri" w:eastAsia="Calibri" w:hAnsi="Calibri"/>
          <w:sz w:val="20"/>
          <w:szCs w:val="20"/>
          <w:b w:val="1"/>
          <w:bCs w:val="1"/>
          <w:color w:val="auto"/>
        </w:rPr>
        <w:t>$</w:t>
      </w:r>
      <w:r>
        <w:rPr>
          <w:rFonts w:ascii="Calibri" w:cs="Calibri" w:eastAsia="Calibri" w:hAnsi="Calibri"/>
          <w:sz w:val="20"/>
          <w:szCs w:val="20"/>
          <w:color w:val="auto"/>
        </w:rPr>
        <w:t>” means the lawful currency of the United States.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DRAM</w:t>
      </w:r>
      <w:r>
        <w:rPr>
          <w:rFonts w:ascii="Calibri" w:cs="Calibri" w:eastAsia="Calibri" w:hAnsi="Calibri"/>
          <w:sz w:val="20"/>
          <w:szCs w:val="20"/>
          <w:color w:val="auto"/>
        </w:rPr>
        <w:t>” means dynamic random access memory.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240"/>
          </w:cols>
          <w:pgMar w:left="320" w:top="1384" w:right="339" w:bottom="1440" w:gutter="0" w:footer="0" w:header="0"/>
        </w:sectPr>
      </w:pPr>
    </w:p>
    <w:bookmarkStart w:id="496" w:name="page497"/>
    <w:bookmarkEnd w:id="496"/>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EAR</w:t>
      </w:r>
      <w:r>
        <w:rPr>
          <w:rFonts w:ascii="Calibri" w:cs="Calibri" w:eastAsia="Calibri" w:hAnsi="Calibri"/>
          <w:sz w:val="20"/>
          <w:szCs w:val="20"/>
          <w:color w:val="auto"/>
        </w:rPr>
        <w:t>” means the Export Administraton Regulatons, 15 C.F.R. Parts 700-786, administered by BIS.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Electronic Signature</w:t>
      </w:r>
      <w:r>
        <w:rPr>
          <w:rFonts w:ascii="Calibri" w:cs="Calibri" w:eastAsia="Calibri" w:hAnsi="Calibri"/>
          <w:sz w:val="20"/>
          <w:szCs w:val="20"/>
          <w:color w:val="auto"/>
        </w:rPr>
        <w:t>” has the meaning assigned to it by 15 U.S.C. § 7006.</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Eligibility Start Date</w:t>
      </w:r>
      <w:r>
        <w:rPr>
          <w:rFonts w:ascii="Calibri" w:cs="Calibri" w:eastAsia="Calibri" w:hAnsi="Calibri"/>
          <w:sz w:val="20"/>
          <w:szCs w:val="20"/>
          <w:color w:val="auto"/>
        </w:rPr>
        <w:t>” means March 29, 2024, which is the efectve date of the PMT.</w:t>
      </w:r>
    </w:p>
    <w:p>
      <w:pPr>
        <w:spacing w:after="0" w:line="157"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Eligible Facility</w:t>
      </w:r>
      <w:r>
        <w:rPr>
          <w:rFonts w:ascii="Calibri" w:cs="Calibri" w:eastAsia="Calibri" w:hAnsi="Calibri"/>
          <w:sz w:val="20"/>
          <w:szCs w:val="20"/>
          <w:color w:val="auto"/>
        </w:rPr>
        <w:t>” means a Facility that meets eligibility requirements set forth in the CHIPS Act and the Guardrail Regulatons, including those set forth in 15 U.S.C. § 4652 (</w:t>
      </w:r>
      <w:r>
        <w:rPr>
          <w:rFonts w:ascii="Calibri" w:cs="Calibri" w:eastAsia="Calibri" w:hAnsi="Calibri"/>
          <w:sz w:val="20"/>
          <w:szCs w:val="20"/>
          <w:i w:val="1"/>
          <w:iCs w:val="1"/>
          <w:color w:val="auto"/>
        </w:rPr>
        <w:t>Semiconductor incentves</w:t>
      </w:r>
      <w:r>
        <w:rPr>
          <w:rFonts w:ascii="Calibri" w:cs="Calibri" w:eastAsia="Calibri" w:hAnsi="Calibri"/>
          <w:sz w:val="20"/>
          <w:szCs w:val="20"/>
          <w:color w:val="auto"/>
        </w:rPr>
        <w:t>).</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Eligible Uses of Funds</w:t>
      </w:r>
      <w:r>
        <w:rPr>
          <w:rFonts w:ascii="Calibri" w:cs="Calibri" w:eastAsia="Calibri" w:hAnsi="Calibri"/>
          <w:sz w:val="20"/>
          <w:szCs w:val="20"/>
          <w:color w:val="auto"/>
        </w:rPr>
        <w:t>” means, with respect to any Project, Project Costs that:</w:t>
      </w:r>
    </w:p>
    <w:p>
      <w:pPr>
        <w:spacing w:after="0" w:line="147" w:lineRule="exact"/>
        <w:rPr>
          <w:sz w:val="20"/>
          <w:szCs w:val="20"/>
          <w:color w:val="auto"/>
        </w:rPr>
      </w:pPr>
    </w:p>
    <w:p>
      <w:pPr>
        <w:ind w:left="660" w:hanging="652"/>
        <w:spacing w:after="0"/>
        <w:tabs>
          <w:tab w:leader="none" w:pos="660" w:val="left"/>
        </w:tabs>
        <w:numPr>
          <w:ilvl w:val="0"/>
          <w:numId w:val="624"/>
        </w:numPr>
        <w:rPr>
          <w:rFonts w:ascii="Calibri" w:cs="Calibri" w:eastAsia="Calibri" w:hAnsi="Calibri"/>
          <w:sz w:val="20"/>
          <w:szCs w:val="20"/>
          <w:color w:val="auto"/>
        </w:rPr>
      </w:pPr>
      <w:r>
        <w:rPr>
          <w:rFonts w:ascii="Calibri" w:cs="Calibri" w:eastAsia="Calibri" w:hAnsi="Calibri"/>
          <w:sz w:val="20"/>
          <w:szCs w:val="20"/>
          <w:color w:val="auto"/>
        </w:rPr>
        <w:t>are incurred or will be incurred for any of the following purposes to:</w:t>
      </w:r>
    </w:p>
    <w:p>
      <w:pPr>
        <w:spacing w:after="0" w:line="170" w:lineRule="exact"/>
        <w:rPr>
          <w:rFonts w:ascii="Calibri" w:cs="Calibri" w:eastAsia="Calibri" w:hAnsi="Calibri"/>
          <w:sz w:val="20"/>
          <w:szCs w:val="20"/>
          <w:color w:val="auto"/>
        </w:rPr>
      </w:pPr>
    </w:p>
    <w:p>
      <w:pPr>
        <w:jc w:val="both"/>
        <w:ind w:left="1300" w:hanging="644"/>
        <w:spacing w:after="0" w:line="205" w:lineRule="auto"/>
        <w:tabs>
          <w:tab w:leader="none" w:pos="1294" w:val="left"/>
        </w:tabs>
        <w:numPr>
          <w:ilvl w:val="1"/>
          <w:numId w:val="624"/>
        </w:numPr>
        <w:rPr>
          <w:rFonts w:ascii="Calibri" w:cs="Calibri" w:eastAsia="Calibri" w:hAnsi="Calibri"/>
          <w:sz w:val="20"/>
          <w:szCs w:val="20"/>
          <w:color w:val="auto"/>
        </w:rPr>
      </w:pPr>
      <w:r>
        <w:rPr>
          <w:rFonts w:ascii="Calibri" w:cs="Calibri" w:eastAsia="Calibri" w:hAnsi="Calibri"/>
          <w:sz w:val="20"/>
          <w:szCs w:val="20"/>
          <w:color w:val="auto"/>
        </w:rPr>
        <w:t>fnance the constructon, expansion or modernizaton of the applicable Eligible Facility or to acquire, maintain, repair, or transport equipment to be used for the applicable Eligible Facility, as determined necessary by the Secretary for purposes relatng to the natonal security and economic compettveness of the United States;</w:t>
      </w:r>
    </w:p>
    <w:p>
      <w:pPr>
        <w:spacing w:after="0" w:line="147" w:lineRule="exact"/>
        <w:rPr>
          <w:rFonts w:ascii="Calibri" w:cs="Calibri" w:eastAsia="Calibri" w:hAnsi="Calibri"/>
          <w:sz w:val="20"/>
          <w:szCs w:val="20"/>
          <w:color w:val="auto"/>
        </w:rPr>
      </w:pPr>
    </w:p>
    <w:p>
      <w:pPr>
        <w:ind w:left="1300" w:hanging="644"/>
        <w:spacing w:after="0"/>
        <w:tabs>
          <w:tab w:leader="none" w:pos="1300" w:val="left"/>
        </w:tabs>
        <w:numPr>
          <w:ilvl w:val="1"/>
          <w:numId w:val="624"/>
        </w:numPr>
        <w:rPr>
          <w:rFonts w:ascii="Calibri" w:cs="Calibri" w:eastAsia="Calibri" w:hAnsi="Calibri"/>
          <w:sz w:val="20"/>
          <w:szCs w:val="20"/>
          <w:color w:val="auto"/>
        </w:rPr>
      </w:pPr>
      <w:r>
        <w:rPr>
          <w:rFonts w:ascii="Calibri" w:cs="Calibri" w:eastAsia="Calibri" w:hAnsi="Calibri"/>
          <w:sz w:val="20"/>
          <w:szCs w:val="20"/>
          <w:color w:val="auto"/>
        </w:rPr>
        <w:t>support workforce development for such Eligible Facility, as determined by the Secretary;</w:t>
      </w:r>
    </w:p>
    <w:p>
      <w:pPr>
        <w:spacing w:after="0" w:line="147" w:lineRule="exact"/>
        <w:rPr>
          <w:rFonts w:ascii="Calibri" w:cs="Calibri" w:eastAsia="Calibri" w:hAnsi="Calibri"/>
          <w:sz w:val="20"/>
          <w:szCs w:val="20"/>
          <w:color w:val="auto"/>
        </w:rPr>
      </w:pPr>
    </w:p>
    <w:p>
      <w:pPr>
        <w:ind w:left="1300" w:hanging="644"/>
        <w:spacing w:after="0"/>
        <w:tabs>
          <w:tab w:leader="none" w:pos="1300" w:val="left"/>
        </w:tabs>
        <w:numPr>
          <w:ilvl w:val="1"/>
          <w:numId w:val="624"/>
        </w:numPr>
        <w:rPr>
          <w:rFonts w:ascii="Calibri" w:cs="Calibri" w:eastAsia="Calibri" w:hAnsi="Calibri"/>
          <w:sz w:val="20"/>
          <w:szCs w:val="20"/>
          <w:color w:val="auto"/>
        </w:rPr>
      </w:pPr>
      <w:r>
        <w:rPr>
          <w:rFonts w:ascii="Calibri" w:cs="Calibri" w:eastAsia="Calibri" w:hAnsi="Calibri"/>
          <w:sz w:val="20"/>
          <w:szCs w:val="20"/>
          <w:color w:val="auto"/>
        </w:rPr>
        <w:t>support site development for such Eligible Facility, as determined by the Secretary; or</w:t>
      </w:r>
    </w:p>
    <w:p>
      <w:pPr>
        <w:spacing w:after="0" w:line="170" w:lineRule="exact"/>
        <w:rPr>
          <w:rFonts w:ascii="Calibri" w:cs="Calibri" w:eastAsia="Calibri" w:hAnsi="Calibri"/>
          <w:sz w:val="20"/>
          <w:szCs w:val="20"/>
          <w:color w:val="auto"/>
        </w:rPr>
      </w:pPr>
    </w:p>
    <w:p>
      <w:pPr>
        <w:ind w:left="1300" w:hanging="644"/>
        <w:spacing w:after="0" w:line="208" w:lineRule="auto"/>
        <w:tabs>
          <w:tab w:leader="none" w:pos="1304" w:val="left"/>
        </w:tabs>
        <w:numPr>
          <w:ilvl w:val="1"/>
          <w:numId w:val="624"/>
        </w:numPr>
        <w:rPr>
          <w:rFonts w:ascii="Calibri" w:cs="Calibri" w:eastAsia="Calibri" w:hAnsi="Calibri"/>
          <w:sz w:val="20"/>
          <w:szCs w:val="20"/>
          <w:color w:val="auto"/>
        </w:rPr>
      </w:pPr>
      <w:r>
        <w:rPr>
          <w:rFonts w:ascii="Calibri" w:cs="Calibri" w:eastAsia="Calibri" w:hAnsi="Calibri"/>
          <w:sz w:val="20"/>
          <w:szCs w:val="20"/>
          <w:color w:val="auto"/>
        </w:rPr>
        <w:t>pay reasonable costs related to the operatng expenses for such Eligible Facility including specialized workforce, essental materials, and complex equipment maintenance for such Project, as determined by the Secretary;</w:t>
      </w:r>
    </w:p>
    <w:p>
      <w:pPr>
        <w:sectPr>
          <w:pgSz w:w="11900" w:h="16838" w:orient="portrait"/>
          <w:cols w:equalWidth="0" w:num="1">
            <w:col w:w="11240"/>
          </w:cols>
          <w:pgMar w:left="320" w:top="1374" w:right="339" w:bottom="1440" w:gutter="0" w:footer="0" w:header="0"/>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(ab)</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are incurred on or following the Eligibility Start Date; and</w:t>
      </w:r>
    </w:p>
    <w:p>
      <w:pPr>
        <w:spacing w:after="0" w:line="147"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are not Ineligible Uses of Funds.</w:t>
      </w:r>
    </w:p>
    <w:p>
      <w:pPr>
        <w:spacing w:after="0" w:line="147"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Eligible Workforce Costs</w:t>
      </w:r>
      <w:r>
        <w:rPr>
          <w:rFonts w:ascii="Calibri" w:cs="Calibri" w:eastAsia="Calibri" w:hAnsi="Calibri"/>
          <w:sz w:val="20"/>
          <w:szCs w:val="20"/>
          <w:color w:val="auto"/>
        </w:rPr>
        <w:t>” has the meaning set forth in Annex G (</w:t>
      </w:r>
      <w:r>
        <w:rPr>
          <w:rFonts w:ascii="Calibri" w:cs="Calibri" w:eastAsia="Calibri" w:hAnsi="Calibri"/>
          <w:sz w:val="20"/>
          <w:szCs w:val="20"/>
          <w:b w:val="1"/>
          <w:bCs w:val="1"/>
          <w:color w:val="auto"/>
        </w:rPr>
        <w:t>Direct Funding for Workforce Actvites</w:t>
      </w:r>
      <w:r>
        <w:rPr>
          <w:rFonts w:ascii="Calibri" w:cs="Calibri" w:eastAsia="Calibri" w:hAnsi="Calibri"/>
          <w:sz w:val="20"/>
          <w:szCs w:val="20"/>
          <w:color w:val="auto"/>
        </w:rPr>
        <w:t>).</w:t>
      </w:r>
    </w:p>
    <w:p>
      <w:pPr>
        <w:sectPr>
          <w:pgSz w:w="11900" w:h="16838" w:orient="portrait"/>
          <w:cols w:equalWidth="0" w:num="1">
            <w:col w:w="11240"/>
          </w:cols>
          <w:pgMar w:left="320" w:top="1374" w:right="339" w:bottom="1440" w:gutter="0" w:footer="0" w:header="0"/>
          <w:type w:val="continuous"/>
        </w:sectPr>
      </w:pPr>
    </w:p>
    <w:p>
      <w:pPr>
        <w:spacing w:after="0" w:line="171" w:lineRule="exact"/>
        <w:rPr>
          <w:sz w:val="20"/>
          <w:szCs w:val="20"/>
          <w:color w:val="auto"/>
        </w:rPr>
      </w:pPr>
    </w:p>
    <w:p>
      <w:pPr>
        <w:jc w:val="both"/>
        <w:ind w:right="20" w:firstLine="648"/>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Environmental Claim</w:t>
      </w:r>
      <w:r>
        <w:rPr>
          <w:rFonts w:ascii="Calibri" w:cs="Calibri" w:eastAsia="Calibri" w:hAnsi="Calibri"/>
          <w:sz w:val="20"/>
          <w:szCs w:val="20"/>
          <w:color w:val="auto"/>
        </w:rPr>
        <w:t>” means any and all obligatons, liabilites, losses, administratve, regulatory or judicial actons, suits, demands, decrees, claims, liens, judgments, notces of noncompliance or violaton, investgatons (excluding routne inspectons), proceedings, clean-up, removal or remedial actons or orders, or damages (foreseeable and unforeseeable, including consequental and punitve damages), penaltes, fees, out-of-pocket costs, expenses, disbursements, atorneys’ or consultants’ fees, relatng in any way to any violaton of Environmental Law or any violaton of any Governmental Approval issued under any such Environmental Law including</w:t>
      </w:r>
    </w:p>
    <w:p>
      <w:pPr>
        <w:jc w:val="both"/>
        <w:ind w:firstLine="8"/>
        <w:spacing w:after="0" w:line="196" w:lineRule="auto"/>
        <w:tabs>
          <w:tab w:leader="none" w:pos="267" w:val="left"/>
        </w:tabs>
        <w:numPr>
          <w:ilvl w:val="0"/>
          <w:numId w:val="625"/>
        </w:numPr>
        <w:rPr>
          <w:rFonts w:ascii="Calibri" w:cs="Calibri" w:eastAsia="Calibri" w:hAnsi="Calibri"/>
          <w:sz w:val="20"/>
          <w:szCs w:val="20"/>
          <w:color w:val="auto"/>
        </w:rPr>
      </w:pPr>
      <w:r>
        <w:rPr>
          <w:rFonts w:ascii="Calibri" w:cs="Calibri" w:eastAsia="Calibri" w:hAnsi="Calibri"/>
          <w:sz w:val="20"/>
          <w:szCs w:val="20"/>
          <w:color w:val="auto"/>
        </w:rPr>
        <w:t>any and all indemnity claims by any Governmental Authority for enforcement, clean-up, removal, response, remedial or other actons or damages pursuant to any applicable Environmental Law; and (b) any and all indemnity claims by any third party seeking damages, contributon, indemnifcaton, cost recovery, compensaton or injunctve relief resultng from Hazardous Substances, the violaton or alleged violaton of any Environmental Law or Governmental Approval issued thereunder, or arising from alleged injury or threat of injury to health, safety or the environment.</w:t>
      </w:r>
    </w:p>
    <w:p>
      <w:pPr>
        <w:spacing w:after="0" w:line="159"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Environmental Laws</w:t>
      </w:r>
      <w:r>
        <w:rPr>
          <w:rFonts w:ascii="Calibri" w:cs="Calibri" w:eastAsia="Calibri" w:hAnsi="Calibri"/>
          <w:sz w:val="20"/>
          <w:szCs w:val="20"/>
          <w:color w:val="auto"/>
        </w:rPr>
        <w:t>” means any Applicable Law in efect as of the date hereof or hereafer, and in each case as amended, regulatng, relatng to or imposing obligatons, liability or standards of conduct concerning or otherwise relatng to (a) environmental impacts resultng from the use of any Project Site or environmental conditons present on, in or under any Project Site; (b) polluton, protecton of human health or safety or the environment, including fora and fauna, or Releases or threatened Releases of pollutants, contaminants, chemicals, radiaton or industrial, toxic or hazardous substances or wastes, including Hazardous Substances; or (c) the generaton, manufacture, processing, distributon, use, treatment, storage, recycling, disposal, transport, or handling of pollutants,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ectPr>
          <w:pgSz w:w="11900" w:h="16838" w:orient="portrait"/>
          <w:cols w:equalWidth="0" w:num="1">
            <w:col w:w="11240"/>
          </w:cols>
          <w:pgMar w:left="320" w:top="1374" w:right="339" w:bottom="1440" w:gutter="0" w:footer="0" w:header="0"/>
          <w:type w:val="continuous"/>
        </w:sectPr>
      </w:pPr>
    </w:p>
    <w:bookmarkStart w:id="497" w:name="page498"/>
    <w:bookmarkEnd w:id="497"/>
    <w:p>
      <w:pPr>
        <w:spacing w:after="0"/>
        <w:rPr>
          <w:sz w:val="20"/>
          <w:szCs w:val="20"/>
          <w:color w:val="auto"/>
        </w:rPr>
      </w:pPr>
      <w:r>
        <w:rPr>
          <w:rFonts w:ascii="Calibri" w:cs="Calibri" w:eastAsia="Calibri" w:hAnsi="Calibri"/>
          <w:sz w:val="20"/>
          <w:szCs w:val="20"/>
          <w:color w:val="auto"/>
        </w:rPr>
        <w:t>contaminants, chemicals, or industrial, toxic or hazardous substances or wastes, including Hazardous Substances.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Commitment</w:t>
      </w:r>
      <w:r>
        <w:rPr>
          <w:rFonts w:ascii="Calibri" w:cs="Calibri" w:eastAsia="Calibri" w:hAnsi="Calibri"/>
          <w:sz w:val="20"/>
          <w:szCs w:val="20"/>
          <w:color w:val="auto"/>
        </w:rPr>
        <w:t>” means:</w:t>
      </w:r>
    </w:p>
    <w:p>
      <w:pPr>
        <w:sectPr>
          <w:pgSz w:w="11900" w:h="16838" w:orient="portrait"/>
          <w:cols w:equalWidth="0" w:num="1">
            <w:col w:w="11240"/>
          </w:cols>
          <w:pgMar w:left="320" w:top="1374" w:right="339" w:bottom="1440" w:gutter="0" w:footer="0" w:header="0"/>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(ad)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firstLine="2"/>
        <w:spacing w:after="0" w:line="208" w:lineRule="auto"/>
        <w:rPr>
          <w:sz w:val="20"/>
          <w:szCs w:val="20"/>
          <w:color w:val="auto"/>
        </w:rPr>
      </w:pPr>
      <w:r>
        <w:rPr>
          <w:rFonts w:ascii="Calibri" w:cs="Calibri" w:eastAsia="Calibri" w:hAnsi="Calibri"/>
          <w:sz w:val="20"/>
          <w:szCs w:val="20"/>
          <w:color w:val="auto"/>
        </w:rPr>
        <w:t xml:space="preserve">with respect to NY Fab 1 Project, the obligaton of the Sponsor Guarantor under the Sponsor Guarantee to fund an aggregate amount equal </w:t>
      </w:r>
      <w:r>
        <w:rPr>
          <w:rFonts w:ascii="Calibri" w:cs="Calibri" w:eastAsia="Calibri" w:hAnsi="Calibri"/>
          <w:sz w:val="20"/>
          <w:szCs w:val="20"/>
          <w:b w:val="1"/>
          <w:bCs w:val="1"/>
          <w:color w:val="auto"/>
        </w:rPr>
        <w:t>[***]</w:t>
      </w:r>
      <w:r>
        <w:rPr>
          <w:rFonts w:ascii="Calibri" w:cs="Calibri" w:eastAsia="Calibri" w:hAnsi="Calibri"/>
          <w:sz w:val="20"/>
          <w:szCs w:val="20"/>
          <w:color w:val="auto"/>
        </w:rPr>
        <w:t>, which is an amount equal to the positve diference between (i) the Estmated Project Costs; and (ii) the</w:t>
      </w:r>
    </w:p>
    <w:p>
      <w:pPr>
        <w:spacing w:after="0" w:line="1"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ind w:left="660"/>
        <w:spacing w:after="0" w:line="199" w:lineRule="auto"/>
        <w:rPr>
          <w:sz w:val="20"/>
          <w:szCs w:val="20"/>
          <w:color w:val="auto"/>
        </w:rPr>
      </w:pPr>
      <w:r>
        <w:rPr>
          <w:rFonts w:ascii="Calibri" w:cs="Calibri" w:eastAsia="Calibri" w:hAnsi="Calibri"/>
          <w:sz w:val="20"/>
          <w:szCs w:val="20"/>
          <w:color w:val="auto"/>
        </w:rPr>
        <w:t>sum of (A) the NY Fab 1 Maximum Direct Funding Award Amount; (B) the aggregate debt funding amounts provided for in the</w:t>
      </w:r>
    </w:p>
    <w:p>
      <w:pPr>
        <w:ind w:left="660" w:right="20"/>
        <w:spacing w:after="0" w:line="192" w:lineRule="auto"/>
        <w:rPr>
          <w:sz w:val="20"/>
          <w:szCs w:val="20"/>
          <w:color w:val="auto"/>
        </w:rPr>
      </w:pPr>
      <w:r>
        <w:rPr>
          <w:rFonts w:ascii="Calibri" w:cs="Calibri" w:eastAsia="Calibri" w:hAnsi="Calibri"/>
          <w:sz w:val="20"/>
          <w:szCs w:val="20"/>
          <w:color w:val="auto"/>
        </w:rPr>
        <w:t>Third Party Debt Funding Documents in respect of such NY Fab 1 Project; and (C) Covered Incentves in respect of such NY Fab 1 Project; and</w:t>
      </w:r>
    </w:p>
    <w:p>
      <w:pPr>
        <w:sectPr>
          <w:pgSz w:w="11900" w:h="16838" w:orient="portrait"/>
          <w:cols w:equalWidth="0" w:num="1">
            <w:col w:w="11240"/>
          </w:cols>
          <w:pgMar w:left="320" w:top="1374"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(ae)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3"/>
        <w:spacing w:after="0" w:line="208" w:lineRule="auto"/>
        <w:rPr>
          <w:sz w:val="20"/>
          <w:szCs w:val="20"/>
          <w:color w:val="auto"/>
        </w:rPr>
      </w:pPr>
      <w:r>
        <w:rPr>
          <w:rFonts w:ascii="Calibri" w:cs="Calibri" w:eastAsia="Calibri" w:hAnsi="Calibri"/>
          <w:sz w:val="20"/>
          <w:szCs w:val="20"/>
          <w:color w:val="auto"/>
        </w:rPr>
        <w:t xml:space="preserve">with respect to NY Fab 2 Project, the obligaton of the Sponsor Guarantor under the Sponsor Guarantee to fund an aggregate amount equal to </w:t>
      </w:r>
      <w:r>
        <w:rPr>
          <w:rFonts w:ascii="Calibri" w:cs="Calibri" w:eastAsia="Calibri" w:hAnsi="Calibri"/>
          <w:sz w:val="20"/>
          <w:szCs w:val="20"/>
          <w:b w:val="1"/>
          <w:bCs w:val="1"/>
          <w:color w:val="auto"/>
        </w:rPr>
        <w:t>[***]</w:t>
      </w:r>
      <w:r>
        <w:rPr>
          <w:rFonts w:ascii="Calibri" w:cs="Calibri" w:eastAsia="Calibri" w:hAnsi="Calibri"/>
          <w:sz w:val="20"/>
          <w:szCs w:val="20"/>
          <w:color w:val="auto"/>
        </w:rPr>
        <w:t>, which is an amount equal to the positve diference between (i) the Estmated Project Costs; and (ii) the</w:t>
      </w:r>
    </w:p>
    <w:p>
      <w:pPr>
        <w:spacing w:after="0" w:line="1"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ind w:left="660"/>
        <w:spacing w:after="0" w:line="199" w:lineRule="auto"/>
        <w:rPr>
          <w:sz w:val="20"/>
          <w:szCs w:val="20"/>
          <w:color w:val="auto"/>
        </w:rPr>
      </w:pPr>
      <w:r>
        <w:rPr>
          <w:rFonts w:ascii="Calibri" w:cs="Calibri" w:eastAsia="Calibri" w:hAnsi="Calibri"/>
          <w:sz w:val="20"/>
          <w:szCs w:val="20"/>
          <w:color w:val="auto"/>
        </w:rPr>
        <w:t>sum of (A) the NY Fab 2 Maximum Direct Funding Award Amount; (B) the aggregate debt funding amounts provided for in the</w:t>
      </w:r>
    </w:p>
    <w:p>
      <w:pPr>
        <w:ind w:left="660"/>
        <w:spacing w:after="0" w:line="192" w:lineRule="auto"/>
        <w:rPr>
          <w:sz w:val="20"/>
          <w:szCs w:val="20"/>
          <w:color w:val="auto"/>
        </w:rPr>
      </w:pPr>
      <w:r>
        <w:rPr>
          <w:rFonts w:ascii="Calibri" w:cs="Calibri" w:eastAsia="Calibri" w:hAnsi="Calibri"/>
          <w:sz w:val="20"/>
          <w:szCs w:val="20"/>
          <w:color w:val="auto"/>
        </w:rPr>
        <w:t>Third Party Debt Funding Documents in respect of such NY Fab 2 Project; (C) Covered Incentves in respect of such NY Fab 2 Project; and (D) cash fows in respect of the Project</w:t>
      </w:r>
      <w:r>
        <w:rPr>
          <w:rFonts w:ascii="Calibri" w:cs="Calibri" w:eastAsia="Calibri" w:hAnsi="Calibri"/>
          <w:sz w:val="20"/>
          <w:szCs w:val="20"/>
          <w:b w:val="1"/>
          <w:bCs w:val="1"/>
          <w:i w:val="1"/>
          <w:iCs w:val="1"/>
          <w:color w:val="auto"/>
        </w:rPr>
        <w:t>.</w:t>
      </w:r>
    </w:p>
    <w:p>
      <w:pPr>
        <w:sectPr>
          <w:pgSz w:w="11900" w:h="16838" w:orient="portrait"/>
          <w:cols w:equalWidth="0" w:num="1">
            <w:col w:w="11240"/>
          </w:cols>
          <w:pgMar w:left="320" w:top="1374" w:right="339" w:bottom="1440" w:gutter="0" w:footer="0" w:header="0"/>
          <w:type w:val="continuous"/>
        </w:sectPr>
      </w:pPr>
    </w:p>
    <w:p>
      <w:pPr>
        <w:spacing w:after="0" w:line="171" w:lineRule="exact"/>
        <w:rPr>
          <w:sz w:val="20"/>
          <w:szCs w:val="20"/>
          <w:color w:val="auto"/>
        </w:rPr>
      </w:pPr>
    </w:p>
    <w:p>
      <w:pPr>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Contributon</w:t>
      </w:r>
      <w:r>
        <w:rPr>
          <w:rFonts w:ascii="Calibri" w:cs="Calibri" w:eastAsia="Calibri" w:hAnsi="Calibri"/>
          <w:sz w:val="20"/>
          <w:szCs w:val="20"/>
          <w:color w:val="auto"/>
        </w:rPr>
        <w:t>” means an equity contributon to the Recipient made in accordance with the Sponsor Guarantee in the form of share capital subscriptons or Permited Shareholder Loans.</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Documents</w:t>
      </w:r>
      <w:r>
        <w:rPr>
          <w:rFonts w:ascii="Calibri" w:cs="Calibri" w:eastAsia="Calibri" w:hAnsi="Calibri"/>
          <w:sz w:val="20"/>
          <w:szCs w:val="20"/>
          <w:color w:val="auto"/>
        </w:rPr>
        <w:t>” means, collectvely:</w:t>
      </w:r>
    </w:p>
    <w:p>
      <w:pPr>
        <w:sectPr>
          <w:pgSz w:w="11900" w:h="16838" w:orient="portrait"/>
          <w:cols w:equalWidth="0" w:num="1">
            <w:col w:w="11240"/>
          </w:cols>
          <w:pgMar w:left="320" w:top="1374"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(af)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the Sponsor Guarantee; and</w:t>
      </w:r>
    </w:p>
    <w:p>
      <w:pPr>
        <w:spacing w:after="0" w:line="147" w:lineRule="exact"/>
        <w:rPr>
          <w:sz w:val="20"/>
          <w:szCs w:val="20"/>
          <w:color w:val="auto"/>
        </w:rPr>
      </w:pPr>
    </w:p>
    <w:p>
      <w:pPr>
        <w:sectPr>
          <w:pgSz w:w="11900" w:h="16838" w:orient="portrait"/>
          <w:cols w:equalWidth="0" w:num="2">
            <w:col w:w="300" w:space="36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any other agreement designated in writng by the mutual agreement of the Recipient and the Department as an “Equity</w:t>
      </w:r>
    </w:p>
    <w:p>
      <w:pPr>
        <w:spacing w:after="0" w:line="1"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ind w:left="660"/>
        <w:spacing w:after="0" w:line="209" w:lineRule="auto"/>
        <w:rPr>
          <w:sz w:val="20"/>
          <w:szCs w:val="20"/>
          <w:color w:val="auto"/>
        </w:rPr>
      </w:pPr>
      <w:r>
        <w:rPr>
          <w:rFonts w:ascii="Calibri" w:cs="Calibri" w:eastAsia="Calibri" w:hAnsi="Calibri"/>
          <w:sz w:val="19"/>
          <w:szCs w:val="19"/>
          <w:color w:val="auto"/>
        </w:rPr>
        <w:t>Document.”</w:t>
      </w:r>
    </w:p>
    <w:p>
      <w:pPr>
        <w:sectPr>
          <w:pgSz w:w="11900" w:h="16838" w:orient="portrait"/>
          <w:cols w:equalWidth="0" w:num="1">
            <w:col w:w="11240"/>
          </w:cols>
          <w:pgMar w:left="320" w:top="1374" w:right="339" w:bottom="1440" w:gutter="0" w:footer="0" w:header="0"/>
          <w:type w:val="continuous"/>
        </w:sectPr>
      </w:pPr>
    </w:p>
    <w:p>
      <w:pPr>
        <w:spacing w:after="0" w:line="158"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Equity Interest</w:t>
      </w:r>
      <w:r>
        <w:rPr>
          <w:rFonts w:ascii="Calibri" w:cs="Calibri" w:eastAsia="Calibri" w:hAnsi="Calibri"/>
          <w:sz w:val="20"/>
          <w:szCs w:val="20"/>
          <w:color w:val="auto"/>
        </w:rPr>
        <w:t>” means any and all shares, interest, rights to purchase, warrants, optons, partcipatons or other equivalents of or interests in (however designated) the common or preferred equity or preference share capital of an entty, including partnership interests, limited liability interests and trust benefcial interests.</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Decision-Maker</w:t>
      </w:r>
      <w:r>
        <w:rPr>
          <w:rFonts w:ascii="Calibri" w:cs="Calibri" w:eastAsia="Calibri" w:hAnsi="Calibri"/>
          <w:sz w:val="20"/>
          <w:szCs w:val="20"/>
          <w:color w:val="auto"/>
        </w:rPr>
        <w:t>” means any “Department Escalaton Decision-Maker” or “Recipient Escalaton Decision-Maker” identfed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as applicable.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Decision-Maker Meetng</w:t>
      </w:r>
      <w:r>
        <w:rPr>
          <w:rFonts w:ascii="Calibri" w:cs="Calibri" w:eastAsia="Calibri" w:hAnsi="Calibri"/>
          <w:sz w:val="20"/>
          <w:szCs w:val="20"/>
          <w:color w:val="auto"/>
        </w:rPr>
        <w:t>” has the meaning set forth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Escalaton Notce</w:t>
      </w:r>
      <w:r>
        <w:rPr>
          <w:rFonts w:ascii="Calibri" w:cs="Calibri" w:eastAsia="Calibri" w:hAnsi="Calibri"/>
          <w:sz w:val="20"/>
          <w:szCs w:val="20"/>
          <w:color w:val="auto"/>
        </w:rPr>
        <w:t>” has the meaning set forth in Secton 10.12.6 (</w:t>
      </w:r>
      <w:r>
        <w:rPr>
          <w:rFonts w:ascii="Calibri" w:cs="Calibri" w:eastAsia="Calibri" w:hAnsi="Calibri"/>
          <w:sz w:val="20"/>
          <w:szCs w:val="20"/>
          <w:b w:val="1"/>
          <w:bCs w:val="1"/>
          <w:color w:val="auto"/>
        </w:rPr>
        <w:t>Escalaton</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Estmated Project Costs</w:t>
      </w:r>
      <w:r>
        <w:rPr>
          <w:rFonts w:ascii="Calibri" w:cs="Calibri" w:eastAsia="Calibri" w:hAnsi="Calibri"/>
          <w:sz w:val="20"/>
          <w:szCs w:val="20"/>
          <w:color w:val="auto"/>
        </w:rPr>
        <w:t>” means an amount equal to:</w:t>
      </w:r>
    </w:p>
    <w:p>
      <w:pPr>
        <w:spacing w:after="0" w:line="161"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color w:val="auto"/>
        </w:rPr>
        <w:t>(ah)</w:t>
      </w:r>
      <w:r>
        <w:rPr>
          <w:sz w:val="20"/>
          <w:szCs w:val="20"/>
          <w:color w:val="auto"/>
        </w:rPr>
        <w:tab/>
      </w:r>
      <w:r>
        <w:rPr>
          <w:rFonts w:ascii="Calibri" w:cs="Calibri" w:eastAsia="Calibri" w:hAnsi="Calibri"/>
          <w:sz w:val="20"/>
          <w:szCs w:val="20"/>
          <w:color w:val="auto"/>
        </w:rPr>
        <w:t xml:space="preserve">with respect to NY Fab 1 Project,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with respect to NY Fab 2 Project, </w:t>
      </w:r>
      <w:r>
        <w:rPr>
          <w:rFonts w:ascii="Calibri" w:cs="Calibri" w:eastAsia="Calibri" w:hAnsi="Calibri"/>
          <w:sz w:val="20"/>
          <w:szCs w:val="20"/>
          <w:b w:val="1"/>
          <w:bCs w:val="1"/>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Default</w:t>
      </w:r>
      <w:r>
        <w:rPr>
          <w:rFonts w:ascii="Calibri" w:cs="Calibri" w:eastAsia="Calibri" w:hAnsi="Calibri"/>
          <w:sz w:val="20"/>
          <w:szCs w:val="20"/>
          <w:color w:val="auto"/>
        </w:rPr>
        <w:t>” means any of the events described in Secton 9.1 (</w:t>
      </w:r>
      <w:r>
        <w:rPr>
          <w:rFonts w:ascii="Calibri" w:cs="Calibri" w:eastAsia="Calibri" w:hAnsi="Calibri"/>
          <w:sz w:val="20"/>
          <w:szCs w:val="20"/>
          <w:b w:val="1"/>
          <w:bCs w:val="1"/>
          <w:color w:val="auto"/>
        </w:rPr>
        <w:t>Events of Default</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Force Majeure</w:t>
      </w:r>
      <w:r>
        <w:rPr>
          <w:rFonts w:ascii="Calibri" w:cs="Calibri" w:eastAsia="Calibri" w:hAnsi="Calibri"/>
          <w:sz w:val="20"/>
          <w:szCs w:val="20"/>
          <w:color w:val="auto"/>
        </w:rPr>
        <w:t>” means any event, circumstance or conditon in the nature of force majeure that would enttle any Person to any abatement, postponement, or other relief from any of its contractual obligatons under any Project Document to which such Person is party.</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Event of Loss</w:t>
      </w:r>
      <w:r>
        <w:rPr>
          <w:rFonts w:ascii="Calibri" w:cs="Calibri" w:eastAsia="Calibri" w:hAnsi="Calibri"/>
          <w:sz w:val="20"/>
          <w:szCs w:val="20"/>
          <w:color w:val="auto"/>
        </w:rPr>
        <w:t>” means any event that causes any porton of any Project or any other property of the Recipient to be damaged, destroyed or rendered unft for normal use for any reason whatsoever, including through a failure of ttle, or any loss of such property, or a condemnaton or taking (including by any Governmental Authority) of any porton of any Project, any Facility or the Propertes.</w:t>
      </w:r>
    </w:p>
    <w:p>
      <w:pPr>
        <w:spacing w:after="0" w:line="157"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Expansion Clawback Term</w:t>
      </w:r>
      <w:r>
        <w:rPr>
          <w:rFonts w:ascii="Calibri" w:cs="Calibri" w:eastAsia="Calibri" w:hAnsi="Calibri"/>
          <w:sz w:val="20"/>
          <w:szCs w:val="20"/>
          <w:color w:val="auto"/>
        </w:rPr>
        <w:t>” means, with respect to any Project, the period commencing on the Award Date and ending on the tenth (10th) anniversary of the Award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ectPr>
          <w:pgSz w:w="11900" w:h="16838" w:orient="portrait"/>
          <w:cols w:equalWidth="0" w:num="1">
            <w:col w:w="11240"/>
          </w:cols>
          <w:pgMar w:left="320" w:top="1374" w:right="339" w:bottom="1440" w:gutter="0" w:footer="0" w:header="0"/>
          <w:type w:val="continuous"/>
        </w:sectPr>
      </w:pPr>
    </w:p>
    <w:bookmarkStart w:id="498" w:name="page499"/>
    <w:bookmarkEnd w:id="498"/>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Export Control Laws</w:t>
      </w:r>
      <w:r>
        <w:rPr>
          <w:rFonts w:ascii="Calibri" w:cs="Calibri" w:eastAsia="Calibri" w:hAnsi="Calibri"/>
          <w:sz w:val="20"/>
          <w:szCs w:val="20"/>
          <w:color w:val="auto"/>
        </w:rPr>
        <w:t>” means any and all laws which have as a purpose or efect of restrictng or controlling the export, re-export, transfer or access of controlled or sensitve informaton, commodites, sofware, technology or services between or within one or more countries or their natonals, including without limitaton, the EAR and ITAR.</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Facility</w:t>
      </w:r>
      <w:r>
        <w:rPr>
          <w:rFonts w:ascii="Calibri" w:cs="Calibri" w:eastAsia="Calibri" w:hAnsi="Calibri"/>
          <w:sz w:val="20"/>
          <w:szCs w:val="20"/>
          <w:color w:val="auto"/>
        </w:rPr>
        <w:t>” means:</w:t>
      </w:r>
    </w:p>
    <w:p>
      <w:pPr>
        <w:sectPr>
          <w:pgSz w:w="11900" w:h="16838" w:orient="portrait"/>
          <w:cols w:equalWidth="0" w:num="1">
            <w:col w:w="11240"/>
          </w:cols>
          <w:pgMar w:left="320" w:top="1384" w:right="339" w:bottom="1440" w:gutter="0" w:footer="0" w:header="0"/>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(ai)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hanging="3"/>
        <w:spacing w:after="0" w:line="214" w:lineRule="auto"/>
        <w:rPr>
          <w:sz w:val="20"/>
          <w:szCs w:val="20"/>
          <w:color w:val="auto"/>
        </w:rPr>
      </w:pPr>
      <w:r>
        <w:rPr>
          <w:rFonts w:ascii="Calibri" w:cs="Calibri" w:eastAsia="Calibri" w:hAnsi="Calibri"/>
          <w:sz w:val="20"/>
          <w:szCs w:val="20"/>
          <w:color w:val="auto"/>
        </w:rPr>
        <w:t>with respect to NY Fab 1 Project, a fabricaton facility located at the relevant Project Site and including all the buildings, fxtures and other improvements situated, or to be situated, on the relevant Project Site; and</w:t>
      </w:r>
    </w:p>
    <w:p>
      <w:pPr>
        <w:spacing w:after="0" w:line="149" w:lineRule="exact"/>
        <w:rPr>
          <w:sz w:val="20"/>
          <w:szCs w:val="20"/>
          <w:color w:val="auto"/>
        </w:rPr>
      </w:pPr>
    </w:p>
    <w:p>
      <w:pPr>
        <w:sectPr>
          <w:pgSz w:w="11900" w:h="16838" w:orient="portrait"/>
          <w:cols w:equalWidth="0" w:num="2">
            <w:col w:w="280" w:space="38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(aj)</w:t>
      </w:r>
    </w:p>
    <w:p>
      <w:pPr>
        <w:spacing w:after="0" w:line="20" w:lineRule="exact"/>
        <w:rPr>
          <w:sz w:val="20"/>
          <w:szCs w:val="20"/>
          <w:color w:val="auto"/>
        </w:rPr>
      </w:pPr>
      <w:r>
        <w:rPr>
          <w:sz w:val="20"/>
          <w:szCs w:val="20"/>
          <w:color w:val="auto"/>
        </w:rPr>
        <w:br w:type="column"/>
      </w:r>
    </w:p>
    <w:p>
      <w:pPr>
        <w:ind w:hanging="1"/>
        <w:spacing w:after="0" w:line="214" w:lineRule="auto"/>
        <w:rPr>
          <w:sz w:val="20"/>
          <w:szCs w:val="20"/>
          <w:color w:val="auto"/>
        </w:rPr>
      </w:pPr>
      <w:r>
        <w:rPr>
          <w:rFonts w:ascii="Calibri" w:cs="Calibri" w:eastAsia="Calibri" w:hAnsi="Calibri"/>
          <w:sz w:val="20"/>
          <w:szCs w:val="20"/>
          <w:color w:val="auto"/>
        </w:rPr>
        <w:t>with respect to NY Fab 2 Project, a second fabricaton facility located at the relevant Project Site and including all the buildings, fxtures and other improvements situated, or to be situated, on the relevant Project Site.</w:t>
      </w:r>
    </w:p>
    <w:p>
      <w:pPr>
        <w:spacing w:after="0" w:line="149" w:lineRule="exact"/>
        <w:rPr>
          <w:sz w:val="20"/>
          <w:szCs w:val="20"/>
          <w:color w:val="auto"/>
        </w:rPr>
      </w:pPr>
    </w:p>
    <w:p>
      <w:pPr>
        <w:sectPr>
          <w:pgSz w:w="11900" w:h="16838" w:orient="portrait"/>
          <w:cols w:equalWidth="0" w:num="2">
            <w:col w:w="280" w:space="380"/>
            <w:col w:w="1058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20"/>
          <w:szCs w:val="20"/>
          <w:b w:val="1"/>
          <w:bCs w:val="1"/>
          <w:color w:val="auto"/>
        </w:rPr>
        <w:t xml:space="preserve">“Federal Register” </w:t>
      </w:r>
      <w:r>
        <w:rPr>
          <w:rFonts w:ascii="Calibri" w:cs="Calibri" w:eastAsia="Calibri" w:hAnsi="Calibri"/>
          <w:sz w:val="20"/>
          <w:szCs w:val="20"/>
          <w:color w:val="auto"/>
        </w:rPr>
        <w:t>means the publicaton provided for by the Federal Register Act (44 U.S.C. §1501</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ectPr>
          <w:pgSz w:w="11900" w:h="16838" w:orient="portrait"/>
          <w:cols w:equalWidth="0" w:num="1">
            <w:col w:w="11240"/>
          </w:cols>
          <w:pgMar w:left="320" w:top="1384" w:right="339" w:bottom="1440" w:gutter="0" w:footer="0" w:header="0"/>
          <w:type w:val="continuous"/>
        </w:sectPr>
      </w:pP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Finance Lease</w:t>
      </w:r>
      <w:r>
        <w:rPr>
          <w:rFonts w:ascii="Calibri" w:cs="Calibri" w:eastAsia="Calibri" w:hAnsi="Calibri"/>
          <w:sz w:val="20"/>
          <w:szCs w:val="20"/>
          <w:color w:val="auto"/>
        </w:rPr>
        <w:t>” means, for any Person, any lease of (or other agreement conveying the right to use) any property of such Person that would be required, in accordance with the Applicable Accountng Requirements, to be capitalized and accounted for as a fnance lease on a balance sheet of such Person.</w:t>
      </w:r>
    </w:p>
    <w:p>
      <w:pPr>
        <w:spacing w:after="0" w:line="159"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Financial Advisor</w:t>
      </w:r>
      <w:r>
        <w:rPr>
          <w:rFonts w:ascii="Calibri" w:cs="Calibri" w:eastAsia="Calibri" w:hAnsi="Calibri"/>
          <w:sz w:val="20"/>
          <w:szCs w:val="20"/>
          <w:color w:val="auto"/>
        </w:rPr>
        <w:t>” means Alvarez &amp; Marsal Federal LLC, actng as fnancial advisor to the Department in connecton with the Projects, or any successor fnancial advisor appointed by the Department.</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Ofcer</w:t>
      </w:r>
      <w:r>
        <w:rPr>
          <w:rFonts w:ascii="Calibri" w:cs="Calibri" w:eastAsia="Calibri" w:hAnsi="Calibri"/>
          <w:sz w:val="20"/>
          <w:szCs w:val="20"/>
          <w:color w:val="auto"/>
        </w:rPr>
        <w:t>” means with respect to any Person, the general manager, any director, the chief fnancial ofcer, the controller, the treasurer or any assistant treasurer, any vice president-fnance or any assistant vice president-fnance or any other vice president or assistant vice president with signifcant responsibility for the fnancial afairs of such Person.</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Financial Statements</w:t>
      </w:r>
      <w:r>
        <w:rPr>
          <w:rFonts w:ascii="Calibri" w:cs="Calibri" w:eastAsia="Calibri" w:hAnsi="Calibri"/>
          <w:sz w:val="20"/>
          <w:szCs w:val="20"/>
          <w:color w:val="auto"/>
        </w:rPr>
        <w:t>” means:</w:t>
      </w:r>
    </w:p>
    <w:p>
      <w:pPr>
        <w:sectPr>
          <w:pgSz w:w="11900" w:h="16838" w:orient="portrait"/>
          <w:cols w:equalWidth="0" w:num="1">
            <w:col w:w="11240"/>
          </w:cols>
          <w:pgMar w:left="320" w:top="1384"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(ak)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firstLine="1"/>
        <w:spacing w:after="0" w:line="205" w:lineRule="auto"/>
        <w:rPr>
          <w:sz w:val="20"/>
          <w:szCs w:val="20"/>
          <w:color w:val="auto"/>
        </w:rPr>
      </w:pPr>
      <w:r>
        <w:rPr>
          <w:rFonts w:ascii="Calibri" w:cs="Calibri" w:eastAsia="Calibri" w:hAnsi="Calibri"/>
          <w:sz w:val="20"/>
          <w:szCs w:val="20"/>
          <w:color w:val="auto"/>
        </w:rPr>
        <w:t>with respect to the Recipient, the Recipient’s quarterly or annual unaudited balance sheet and statements of income, and cash fow for such fscal period, except for during the frst (1st) Fiscal Year, with comparable fgures for the corresponding period of its previous fscal period, each prepared in Dollars and in accordance with the Applicable Accountng Requirements; and</w:t>
      </w:r>
    </w:p>
    <w:p>
      <w:pPr>
        <w:spacing w:after="0" w:line="148"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(al)</w:t>
      </w:r>
    </w:p>
    <w:p>
      <w:pPr>
        <w:spacing w:after="0" w:line="20" w:lineRule="exact"/>
        <w:rPr>
          <w:sz w:val="20"/>
          <w:szCs w:val="20"/>
          <w:color w:val="auto"/>
        </w:rPr>
      </w:pPr>
      <w:r>
        <w:rPr>
          <w:sz w:val="20"/>
          <w:szCs w:val="20"/>
          <w:color w:val="auto"/>
        </w:rPr>
        <w:br w:type="column"/>
      </w:r>
    </w:p>
    <w:p>
      <w:pPr>
        <w:jc w:val="both"/>
        <w:ind w:hanging="3"/>
        <w:spacing w:after="0" w:line="203" w:lineRule="auto"/>
        <w:rPr>
          <w:sz w:val="20"/>
          <w:szCs w:val="20"/>
          <w:color w:val="auto"/>
        </w:rPr>
      </w:pPr>
      <w:r>
        <w:rPr>
          <w:rFonts w:ascii="Calibri" w:cs="Calibri" w:eastAsia="Calibri" w:hAnsi="Calibri"/>
          <w:sz w:val="20"/>
          <w:szCs w:val="20"/>
          <w:color w:val="auto"/>
        </w:rPr>
        <w:t>with respect to the Sponsor Guarantor, the Sponsor Guarantor’s quarterly unaudited or annual audited balance sheet and statements of income, retained earnings, and cash fow for such fscal period, together with all notes thereto and, except for during the frst (1st) Fiscal Year, with comparable fgures for the corresponding period of its previous fscal period, each prepared in Dollars and in accordance with the Applicable Accountng Requirements.</w:t>
      </w:r>
    </w:p>
    <w:p>
      <w:pPr>
        <w:spacing w:after="0" w:line="163" w:lineRule="exact"/>
        <w:rPr>
          <w:sz w:val="20"/>
          <w:szCs w:val="20"/>
          <w:color w:val="auto"/>
        </w:rPr>
      </w:pPr>
    </w:p>
    <w:p>
      <w:pPr>
        <w:sectPr>
          <w:pgSz w:w="11900" w:h="16838" w:orient="portrait"/>
          <w:cols w:equalWidth="0" w:num="2">
            <w:col w:w="280" w:space="380"/>
            <w:col w:w="1058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Financing Documents</w:t>
      </w:r>
      <w:r>
        <w:rPr>
          <w:rFonts w:ascii="Calibri" w:cs="Calibri" w:eastAsia="Calibri" w:hAnsi="Calibri"/>
          <w:sz w:val="20"/>
          <w:szCs w:val="20"/>
          <w:color w:val="auto"/>
        </w:rPr>
        <w:t>” means, collectvely:</w:t>
      </w:r>
    </w:p>
    <w:p>
      <w:pPr>
        <w:sectPr>
          <w:pgSz w:w="11900" w:h="16838" w:orient="portrait"/>
          <w:cols w:equalWidth="0" w:num="1">
            <w:col w:w="11240"/>
          </w:cols>
          <w:pgMar w:left="320" w:top="1384"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(am)</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the Award Documents;</w:t>
      </w:r>
    </w:p>
    <w:p>
      <w:pPr>
        <w:spacing w:after="0" w:line="147" w:lineRule="exact"/>
        <w:rPr>
          <w:sz w:val="20"/>
          <w:szCs w:val="20"/>
          <w:color w:val="auto"/>
        </w:rPr>
      </w:pPr>
    </w:p>
    <w:p>
      <w:pPr>
        <w:sectPr>
          <w:pgSz w:w="11900" w:h="16838" w:orient="portrait"/>
          <w:cols w:equalWidth="0" w:num="2">
            <w:col w:w="380" w:space="28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the Equity Documents;</w:t>
      </w:r>
    </w:p>
    <w:p>
      <w:pPr>
        <w:spacing w:after="0" w:line="161"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any Third Party Debt Funding Documents; and</w:t>
      </w:r>
    </w:p>
    <w:p>
      <w:pPr>
        <w:spacing w:after="0" w:line="147"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(ap)</w:t>
      </w:r>
    </w:p>
    <w:p>
      <w:pPr>
        <w:spacing w:after="0" w:line="20" w:lineRule="exact"/>
        <w:rPr>
          <w:sz w:val="20"/>
          <w:szCs w:val="20"/>
          <w:color w:val="auto"/>
        </w:rPr>
      </w:pPr>
      <w:r>
        <w:rPr>
          <w:sz w:val="20"/>
          <w:szCs w:val="20"/>
          <w:color w:val="auto"/>
        </w:rPr>
        <w:br w:type="column"/>
      </w:r>
    </w:p>
    <w:p>
      <w:pPr>
        <w:ind w:firstLine="2"/>
        <w:spacing w:after="0" w:line="214" w:lineRule="auto"/>
        <w:rPr>
          <w:sz w:val="20"/>
          <w:szCs w:val="20"/>
          <w:color w:val="auto"/>
        </w:rPr>
      </w:pPr>
      <w:r>
        <w:rPr>
          <w:rFonts w:ascii="Calibri" w:cs="Calibri" w:eastAsia="Calibri" w:hAnsi="Calibri"/>
          <w:sz w:val="20"/>
          <w:szCs w:val="20"/>
          <w:color w:val="auto"/>
        </w:rPr>
        <w:t>each other document or agreement entered into afer the date hereof that is designated as a “Financing Document” by the mutual writen agreement of the Recipient and the Department, but in all cases excluding any Project Documents.</w:t>
      </w:r>
    </w:p>
    <w:p>
      <w:pPr>
        <w:spacing w:after="0" w:line="159"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Fiscal Quarter</w:t>
      </w:r>
      <w:r>
        <w:rPr>
          <w:rFonts w:ascii="Calibri" w:cs="Calibri" w:eastAsia="Calibri" w:hAnsi="Calibri"/>
          <w:sz w:val="20"/>
          <w:szCs w:val="20"/>
          <w:color w:val="auto"/>
        </w:rPr>
        <w:t>” means each of the quarterly accountng periods of the Recipient Partes ending on or about the last day of February, May, August and November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240"/>
          </w:cols>
          <w:pgMar w:left="320" w:top="1384" w:right="339" w:bottom="1440" w:gutter="0" w:footer="0" w:header="0"/>
          <w:type w:val="continuous"/>
        </w:sectPr>
      </w:pPr>
    </w:p>
    <w:bookmarkStart w:id="499" w:name="page500"/>
    <w:bookmarkEnd w:id="499"/>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Fiscal Year</w:t>
      </w:r>
      <w:r>
        <w:rPr>
          <w:rFonts w:ascii="Calibri" w:cs="Calibri" w:eastAsia="Calibri" w:hAnsi="Calibri"/>
          <w:sz w:val="20"/>
          <w:szCs w:val="20"/>
          <w:color w:val="auto"/>
        </w:rPr>
        <w:t>” means: (a) with respect to the Recipient, the accountng year of the Recipient beginning on or about September 1 and ending on or about August 31; and (b) with respect to any other Person, such Person’s accountng year.</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Fitch</w:t>
      </w:r>
      <w:r>
        <w:rPr>
          <w:rFonts w:ascii="Calibri" w:cs="Calibri" w:eastAsia="Calibri" w:hAnsi="Calibri"/>
          <w:sz w:val="20"/>
          <w:szCs w:val="20"/>
          <w:color w:val="auto"/>
        </w:rPr>
        <w:t>” means Fitch Ratngs, Inc. or any successor to the ratng agency business thereof.</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Country of Concern</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 of Concern</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Fundamental Event of Default</w:t>
      </w:r>
      <w:r>
        <w:rPr>
          <w:rFonts w:ascii="Calibri" w:cs="Calibri" w:eastAsia="Calibri" w:hAnsi="Calibri"/>
          <w:sz w:val="20"/>
          <w:szCs w:val="20"/>
          <w:color w:val="auto"/>
        </w:rPr>
        <w:t>” means the occurrence of any of the following:</w:t>
      </w:r>
    </w:p>
    <w:p>
      <w:pPr>
        <w:sectPr>
          <w:pgSz w:w="11900" w:h="16838" w:orient="portrait"/>
          <w:cols w:equalWidth="0" w:num="1">
            <w:col w:w="11240"/>
          </w:cols>
          <w:pgMar w:left="320" w:top="1384" w:right="339" w:bottom="1440" w:gutter="0" w:footer="0" w:header="0"/>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(aq)</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an Event of Default under Secton 9.1.1(d) (</w:t>
      </w:r>
      <w:r>
        <w:rPr>
          <w:rFonts w:ascii="Calibri" w:cs="Calibri" w:eastAsia="Calibri" w:hAnsi="Calibri"/>
          <w:sz w:val="20"/>
          <w:szCs w:val="20"/>
          <w:b w:val="1"/>
          <w:bCs w:val="1"/>
          <w:color w:val="auto"/>
        </w:rPr>
        <w:t>Authorized Purpose Clawback Event</w:t>
      </w:r>
      <w:r>
        <w:rPr>
          <w:rFonts w:ascii="Calibri" w:cs="Calibri" w:eastAsia="Calibri" w:hAnsi="Calibri"/>
          <w:sz w:val="20"/>
          <w:szCs w:val="20"/>
          <w:color w:val="auto"/>
        </w:rPr>
        <w:t>);</w:t>
      </w:r>
    </w:p>
    <w:p>
      <w:pPr>
        <w:spacing w:after="0" w:line="161"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(ar)</w:t>
      </w:r>
    </w:p>
    <w:p>
      <w:pPr>
        <w:spacing w:after="0" w:line="20" w:lineRule="exact"/>
        <w:rPr>
          <w:sz w:val="20"/>
          <w:szCs w:val="20"/>
          <w:color w:val="auto"/>
        </w:rPr>
      </w:pPr>
      <w:r>
        <w:rPr>
          <w:sz w:val="20"/>
          <w:szCs w:val="20"/>
          <w:color w:val="auto"/>
        </w:rPr>
        <w:br w:type="column"/>
      </w:r>
    </w:p>
    <w:p>
      <w:pPr>
        <w:ind w:right="20" w:firstLine="7"/>
        <w:spacing w:after="0" w:line="208" w:lineRule="auto"/>
        <w:rPr>
          <w:sz w:val="20"/>
          <w:szCs w:val="20"/>
          <w:color w:val="auto"/>
        </w:rPr>
      </w:pPr>
      <w:r>
        <w:rPr>
          <w:rFonts w:ascii="Calibri" w:cs="Calibri" w:eastAsia="Calibri" w:hAnsi="Calibri"/>
          <w:sz w:val="20"/>
          <w:szCs w:val="20"/>
          <w:color w:val="auto"/>
        </w:rPr>
        <w:t>any Recipient Party becomes a Foreign Entty of Concern or Sanctoned Person in breach of Secton 8.1.1 (</w:t>
      </w:r>
      <w:r>
        <w:rPr>
          <w:rFonts w:ascii="Calibri" w:cs="Calibri" w:eastAsia="Calibri" w:hAnsi="Calibri"/>
          <w:sz w:val="20"/>
          <w:szCs w:val="20"/>
          <w:b w:val="1"/>
          <w:bCs w:val="1"/>
          <w:color w:val="auto"/>
        </w:rPr>
        <w:t>Prohibited Persons;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Foreign Enttes of Concern</w:t>
      </w:r>
      <w:r>
        <w:rPr>
          <w:rFonts w:ascii="Calibri" w:cs="Calibri" w:eastAsia="Calibri" w:hAnsi="Calibri"/>
          <w:sz w:val="20"/>
          <w:szCs w:val="20"/>
          <w:color w:val="auto"/>
        </w:rPr>
        <w:t>);</w:t>
      </w:r>
    </w:p>
    <w:p>
      <w:pPr>
        <w:spacing w:after="0" w:line="161" w:lineRule="exact"/>
        <w:rPr>
          <w:sz w:val="20"/>
          <w:szCs w:val="20"/>
          <w:color w:val="auto"/>
        </w:rPr>
      </w:pPr>
    </w:p>
    <w:p>
      <w:pPr>
        <w:sectPr>
          <w:pgSz w:w="11900" w:h="16838" w:orient="portrait"/>
          <w:cols w:equalWidth="0" w:num="2">
            <w:col w:w="300" w:space="36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(as)</w:t>
      </w:r>
    </w:p>
    <w:p>
      <w:pPr>
        <w:spacing w:after="0" w:line="20" w:lineRule="exact"/>
        <w:rPr>
          <w:sz w:val="20"/>
          <w:szCs w:val="20"/>
          <w:color w:val="auto"/>
        </w:rPr>
      </w:pPr>
      <w:r>
        <w:rPr>
          <w:sz w:val="20"/>
          <w:szCs w:val="20"/>
          <w:color w:val="auto"/>
        </w:rPr>
        <w:br w:type="column"/>
      </w:r>
    </w:p>
    <w:p>
      <w:pPr>
        <w:ind w:firstLine="2"/>
        <w:spacing w:after="0" w:line="208" w:lineRule="auto"/>
        <w:rPr>
          <w:sz w:val="20"/>
          <w:szCs w:val="20"/>
          <w:color w:val="auto"/>
        </w:rPr>
      </w:pPr>
      <w:r>
        <w:rPr>
          <w:rFonts w:ascii="Calibri" w:cs="Calibri" w:eastAsia="Calibri" w:hAnsi="Calibri"/>
          <w:sz w:val="20"/>
          <w:szCs w:val="20"/>
          <w:color w:val="auto"/>
        </w:rPr>
        <w:t>the Recipient fails to perform or observe any covenant, term or obligaton described in Secton 2.1 (</w:t>
      </w:r>
      <w:r>
        <w:rPr>
          <w:rFonts w:ascii="Calibri" w:cs="Calibri" w:eastAsia="Calibri" w:hAnsi="Calibri"/>
          <w:sz w:val="20"/>
          <w:szCs w:val="20"/>
          <w:b w:val="1"/>
          <w:bCs w:val="1"/>
          <w:color w:val="auto"/>
        </w:rPr>
        <w:t>Economic and Natonal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Security Objectves</w:t>
      </w:r>
      <w:r>
        <w:rPr>
          <w:rFonts w:ascii="Calibri" w:cs="Calibri" w:eastAsia="Calibri" w:hAnsi="Calibri"/>
          <w:sz w:val="20"/>
          <w:szCs w:val="20"/>
          <w:color w:val="auto"/>
        </w:rPr>
        <w:t>) of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61" w:lineRule="exact"/>
        <w:rPr>
          <w:sz w:val="20"/>
          <w:szCs w:val="20"/>
          <w:color w:val="auto"/>
        </w:rPr>
      </w:pPr>
    </w:p>
    <w:p>
      <w:pPr>
        <w:sectPr>
          <w:pgSz w:w="11900" w:h="16838" w:orient="portrait"/>
          <w:cols w:equalWidth="0" w:num="2">
            <w:col w:w="300" w:space="36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(at)</w:t>
      </w:r>
    </w:p>
    <w:p>
      <w:pPr>
        <w:spacing w:after="0" w:line="20" w:lineRule="exact"/>
        <w:rPr>
          <w:sz w:val="20"/>
          <w:szCs w:val="20"/>
          <w:color w:val="auto"/>
        </w:rPr>
      </w:pPr>
      <w:r>
        <w:rPr>
          <w:sz w:val="20"/>
          <w:szCs w:val="20"/>
          <w:color w:val="auto"/>
        </w:rPr>
        <w:br w:type="column"/>
      </w:r>
    </w:p>
    <w:p>
      <w:pPr>
        <w:ind w:firstLine="2"/>
        <w:spacing w:after="0" w:line="208" w:lineRule="auto"/>
        <w:rPr>
          <w:sz w:val="20"/>
          <w:szCs w:val="20"/>
          <w:color w:val="auto"/>
        </w:rPr>
      </w:pPr>
      <w:r>
        <w:rPr>
          <w:rFonts w:ascii="Calibri" w:cs="Calibri" w:eastAsia="Calibri" w:hAnsi="Calibri"/>
          <w:sz w:val="20"/>
          <w:szCs w:val="20"/>
          <w:color w:val="auto"/>
        </w:rPr>
        <w:t>the Recipient acts or fails to act in a manner resultng in a material breach of the Secton 7.3.1 (</w:t>
      </w:r>
      <w:r>
        <w:rPr>
          <w:rFonts w:ascii="Calibri" w:cs="Calibri" w:eastAsia="Calibri" w:hAnsi="Calibri"/>
          <w:sz w:val="20"/>
          <w:szCs w:val="20"/>
          <w:b w:val="1"/>
          <w:bCs w:val="1"/>
          <w:color w:val="auto"/>
        </w:rPr>
        <w:t>Books, Records and Inspectons;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Accountng and Auditng Maters</w:t>
      </w:r>
      <w:r>
        <w:rPr>
          <w:rFonts w:ascii="Calibri" w:cs="Calibri" w:eastAsia="Calibri" w:hAnsi="Calibri"/>
          <w:sz w:val="20"/>
          <w:szCs w:val="20"/>
          <w:color w:val="auto"/>
        </w:rPr>
        <w:t>) with respect to the Department’s auditng rights; or</w:t>
      </w:r>
    </w:p>
    <w:p>
      <w:pPr>
        <w:spacing w:after="0" w:line="161" w:lineRule="exact"/>
        <w:rPr>
          <w:sz w:val="20"/>
          <w:szCs w:val="20"/>
          <w:color w:val="auto"/>
        </w:rPr>
      </w:pPr>
    </w:p>
    <w:p>
      <w:pPr>
        <w:sectPr>
          <w:pgSz w:w="11900" w:h="16838" w:orient="portrait"/>
          <w:cols w:equalWidth="0" w:num="2">
            <w:col w:w="300" w:space="36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 Event of Default under Secton 9.1.10 (</w:t>
      </w:r>
      <w:r>
        <w:rPr>
          <w:rFonts w:ascii="Calibri" w:cs="Calibri" w:eastAsia="Calibri" w:hAnsi="Calibri"/>
          <w:sz w:val="20"/>
          <w:szCs w:val="20"/>
          <w:b w:val="1"/>
          <w:bCs w:val="1"/>
          <w:color w:val="auto"/>
        </w:rPr>
        <w:t>Abandonment</w:t>
      </w:r>
      <w:r>
        <w:rPr>
          <w:rFonts w:ascii="Calibri" w:cs="Calibri" w:eastAsia="Calibri" w:hAnsi="Calibri"/>
          <w:sz w:val="20"/>
          <w:szCs w:val="20"/>
          <w:color w:val="auto"/>
        </w:rPr>
        <w:t>);</w:t>
      </w:r>
    </w:p>
    <w:p>
      <w:pPr>
        <w:spacing w:after="0" w:line="147"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an Event of Default under Secton 9.1.13 (</w:t>
      </w:r>
      <w:r>
        <w:rPr>
          <w:rFonts w:ascii="Calibri" w:cs="Calibri" w:eastAsia="Calibri" w:hAnsi="Calibri"/>
          <w:sz w:val="20"/>
          <w:szCs w:val="20"/>
          <w:b w:val="1"/>
          <w:bCs w:val="1"/>
          <w:color w:val="auto"/>
        </w:rPr>
        <w:t>Change of Control</w:t>
      </w:r>
      <w:r>
        <w:rPr>
          <w:rFonts w:ascii="Calibri" w:cs="Calibri" w:eastAsia="Calibri" w:hAnsi="Calibri"/>
          <w:sz w:val="20"/>
          <w:szCs w:val="20"/>
          <w:color w:val="auto"/>
        </w:rPr>
        <w:t>), other than an Event of Default occurring as a result of a Change of</w:t>
      </w:r>
    </w:p>
    <w:p>
      <w:pPr>
        <w:spacing w:after="0" w:line="1"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ind w:left="660"/>
        <w:spacing w:after="0" w:line="199" w:lineRule="auto"/>
        <w:rPr>
          <w:sz w:val="20"/>
          <w:szCs w:val="20"/>
          <w:color w:val="auto"/>
        </w:rPr>
      </w:pPr>
      <w:r>
        <w:rPr>
          <w:rFonts w:ascii="Calibri" w:cs="Calibri" w:eastAsia="Calibri" w:hAnsi="Calibri"/>
          <w:sz w:val="20"/>
          <w:szCs w:val="20"/>
          <w:color w:val="auto"/>
        </w:rPr>
        <w:t>Control as set forth in paragraph (a) of the defniton thereof;</w:t>
      </w:r>
    </w:p>
    <w:p>
      <w:pPr>
        <w:sectPr>
          <w:pgSz w:w="11900" w:h="16838" w:orient="portrait"/>
          <w:cols w:equalWidth="0" w:num="1">
            <w:col w:w="11240"/>
          </w:cols>
          <w:pgMar w:left="320" w:top="1384" w:right="3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Calibri" w:cs="Calibri" w:eastAsia="Calibri" w:hAnsi="Calibri"/>
          <w:sz w:val="19"/>
          <w:szCs w:val="19"/>
          <w:color w:val="auto"/>
        </w:rPr>
        <w:t>(aw)</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an Event of Default under Secton 9.1.12 (</w:t>
      </w:r>
      <w:r>
        <w:rPr>
          <w:rFonts w:ascii="Calibri" w:cs="Calibri" w:eastAsia="Calibri" w:hAnsi="Calibri"/>
          <w:sz w:val="20"/>
          <w:szCs w:val="20"/>
          <w:b w:val="1"/>
          <w:bCs w:val="1"/>
          <w:color w:val="auto"/>
        </w:rPr>
        <w:t>Misstatements; Omissions</w:t>
      </w:r>
      <w:r>
        <w:rPr>
          <w:rFonts w:ascii="Calibri" w:cs="Calibri" w:eastAsia="Calibri" w:hAnsi="Calibri"/>
          <w:sz w:val="20"/>
          <w:szCs w:val="20"/>
          <w:color w:val="auto"/>
        </w:rPr>
        <w:t>), solely to the extent that any representaton or warranty of</w:t>
      </w:r>
    </w:p>
    <w:p>
      <w:pPr>
        <w:spacing w:after="0" w:line="1" w:lineRule="exact"/>
        <w:rPr>
          <w:sz w:val="20"/>
          <w:szCs w:val="20"/>
          <w:color w:val="auto"/>
        </w:rPr>
      </w:pPr>
    </w:p>
    <w:p>
      <w:pPr>
        <w:sectPr>
          <w:pgSz w:w="11900" w:h="16838" w:orient="portrait"/>
          <w:cols w:equalWidth="0" w:num="2">
            <w:col w:w="360" w:space="300"/>
            <w:col w:w="10580"/>
          </w:cols>
          <w:pgMar w:left="320" w:top="1384" w:right="339" w:bottom="1440" w:gutter="0" w:footer="0" w:header="0"/>
          <w:type w:val="continuous"/>
        </w:sectPr>
      </w:pPr>
    </w:p>
    <w:p>
      <w:pPr>
        <w:ind w:left="660"/>
        <w:spacing w:after="0" w:line="192" w:lineRule="auto"/>
        <w:rPr>
          <w:sz w:val="20"/>
          <w:szCs w:val="20"/>
          <w:color w:val="auto"/>
        </w:rPr>
      </w:pPr>
      <w:r>
        <w:rPr>
          <w:rFonts w:ascii="Calibri" w:cs="Calibri" w:eastAsia="Calibri" w:hAnsi="Calibri"/>
          <w:sz w:val="20"/>
          <w:szCs w:val="20"/>
          <w:color w:val="auto"/>
        </w:rPr>
        <w:t>the Recipient or any other Recipient Party referenced therein shall be found to have been Knowingly incorrect, false or misleading in any material respect when made or deemed to have been made.</w:t>
      </w:r>
    </w:p>
    <w:p>
      <w:pPr>
        <w:sectPr>
          <w:pgSz w:w="11900" w:h="16838" w:orient="portrait"/>
          <w:cols w:equalWidth="0" w:num="1">
            <w:col w:w="11240"/>
          </w:cols>
          <w:pgMar w:left="320" w:top="1384" w:right="339" w:bottom="1440" w:gutter="0" w:footer="0" w:header="0"/>
          <w:type w:val="continuous"/>
        </w:sectPr>
      </w:pP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Funding Obligaton</w:t>
      </w:r>
      <w:r>
        <w:rPr>
          <w:rFonts w:ascii="Calibri" w:cs="Calibri" w:eastAsia="Calibri" w:hAnsi="Calibri"/>
          <w:sz w:val="20"/>
          <w:szCs w:val="20"/>
          <w:color w:val="auto"/>
        </w:rPr>
        <w:t>” means each Other Transacton Agreement Acton Sheet issued by the Department in respect of the Maximum Award Amount and acknowledged by the Recipient.</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GAAP</w:t>
      </w:r>
      <w:r>
        <w:rPr>
          <w:rFonts w:ascii="Calibri" w:cs="Calibri" w:eastAsia="Calibri" w:hAnsi="Calibri"/>
          <w:sz w:val="20"/>
          <w:szCs w:val="20"/>
          <w:color w:val="auto"/>
        </w:rPr>
        <w:t>” means generally accepted accountng principles in the United States in efect from tme to tme including, where appropriate, generally accepted auditng standards, including the pronouncements and interpretatons of appropriate accountancy administratve bodies (including the Financial Accountng Standards Board and any predecessor and successor thereto), applied on a consistent basis both as to classifcaton of items and amounts.</w:t>
      </w:r>
    </w:p>
    <w:p>
      <w:pPr>
        <w:spacing w:after="0" w:line="15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GAO</w:t>
      </w:r>
      <w:r>
        <w:rPr>
          <w:rFonts w:ascii="Calibri" w:cs="Calibri" w:eastAsia="Calibri" w:hAnsi="Calibri"/>
          <w:sz w:val="20"/>
          <w:szCs w:val="20"/>
          <w:color w:val="auto"/>
        </w:rPr>
        <w:t>” means the U.S. Government Accountability Ofce.</w:t>
      </w:r>
    </w:p>
    <w:p>
      <w:pPr>
        <w:spacing w:after="0" w:line="157"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Approval</w:t>
      </w:r>
      <w:r>
        <w:rPr>
          <w:rFonts w:ascii="Calibri" w:cs="Calibri" w:eastAsia="Calibri" w:hAnsi="Calibri"/>
          <w:sz w:val="20"/>
          <w:szCs w:val="20"/>
          <w:color w:val="auto"/>
        </w:rPr>
        <w:t>” means any United States approval, consent, authorizaton, license, permit, order, certfcate, qualifcaton, waiver, exempton, or variance, or any other acton of a similar nature, of or by a Governmental Authority, including any of the foregoing that under Applicable Law are or may be deemed given or withheld by failure to act within a specifed tme period.</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Authority</w:t>
      </w:r>
      <w:r>
        <w:rPr>
          <w:rFonts w:ascii="Calibri" w:cs="Calibri" w:eastAsia="Calibri" w:hAnsi="Calibri"/>
          <w:sz w:val="20"/>
          <w:szCs w:val="20"/>
          <w:color w:val="auto"/>
        </w:rPr>
        <w:t>” means any United States federal, state, county, municipal, or regional authority, or any other entty of a similar nature, exercising any executve, legislatve, judicial, regulatory, or administratve functon of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ectPr>
          <w:pgSz w:w="11900" w:h="16838" w:orient="portrait"/>
          <w:cols w:equalWidth="0" w:num="1">
            <w:col w:w="11240"/>
          </w:cols>
          <w:pgMar w:left="320" w:top="1384" w:right="339" w:bottom="1440" w:gutter="0" w:footer="0" w:header="0"/>
          <w:type w:val="continuous"/>
        </w:sectPr>
      </w:pPr>
    </w:p>
    <w:bookmarkStart w:id="500" w:name="page501"/>
    <w:bookmarkEnd w:id="500"/>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Governmental Judgment</w:t>
      </w:r>
      <w:r>
        <w:rPr>
          <w:rFonts w:ascii="Calibri" w:cs="Calibri" w:eastAsia="Calibri" w:hAnsi="Calibri"/>
          <w:sz w:val="20"/>
          <w:szCs w:val="20"/>
          <w:color w:val="auto"/>
        </w:rPr>
        <w:t>” means with respect to any Person, any judgment, order, decision, or decree, or any act of a similar nature, of or by a Governmental Authority having jurisdicton over such Person or any of its propertes.</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Guarantee</w:t>
      </w:r>
      <w:r>
        <w:rPr>
          <w:rFonts w:ascii="Calibri" w:cs="Calibri" w:eastAsia="Calibri" w:hAnsi="Calibri"/>
          <w:sz w:val="20"/>
          <w:szCs w:val="20"/>
          <w:color w:val="auto"/>
        </w:rPr>
        <w:t>” means, as to any Person, obligatons, contngent or otherwise (including a Contngent Obligaton), guaranteeing or having the economic efect of guaranteeing any Indebtedness of another Person in any manner, whether directly or indirectly, and including any obligaton:</w:t>
      </w:r>
    </w:p>
    <w:p>
      <w:pPr>
        <w:sectPr>
          <w:pgSz w:w="11900" w:h="16838" w:orient="portrait"/>
          <w:cols w:equalWidth="0" w:num="1">
            <w:col w:w="11240"/>
          </w:cols>
          <w:pgMar w:left="320" w:top="1384" w:right="339" w:bottom="1440" w:gutter="0" w:footer="0" w:header="0"/>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(ax)</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to purchase or pay any Indebtedness or to purchase or provide security for the payment of any Indebtedness;</w:t>
      </w:r>
    </w:p>
    <w:p>
      <w:pPr>
        <w:spacing w:after="0" w:line="147"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to purchase or lease property, securites or services for the purpose of assuring the payment of any Indebtedness;</w:t>
      </w:r>
    </w:p>
    <w:p>
      <w:pPr>
        <w:spacing w:after="0" w:line="147"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to maintain working capital, equity capital or any other fnancial statement conditon or liquidity of any other Person; or</w:t>
      </w:r>
    </w:p>
    <w:p>
      <w:pPr>
        <w:spacing w:after="0" w:line="161" w:lineRule="exact"/>
        <w:rPr>
          <w:sz w:val="20"/>
          <w:szCs w:val="20"/>
          <w:color w:val="auto"/>
        </w:rPr>
      </w:pPr>
    </w:p>
    <w:p>
      <w:pPr>
        <w:sectPr>
          <w:pgSz w:w="11900" w:h="16838" w:orient="portrait"/>
          <w:cols w:equalWidth="0" w:num="2">
            <w:col w:w="300" w:space="36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in respect of any leter of credit, leter of guarantee or bond issued to support any obligaton or Indebtedness,</w:t>
      </w:r>
    </w:p>
    <w:p>
      <w:pPr>
        <w:spacing w:after="0" w:line="147"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ind w:left="660"/>
        <w:spacing w:after="0"/>
        <w:rPr>
          <w:sz w:val="20"/>
          <w:szCs w:val="20"/>
          <w:color w:val="auto"/>
        </w:rPr>
      </w:pPr>
      <w:r>
        <w:rPr>
          <w:rFonts w:ascii="Calibri" w:cs="Calibri" w:eastAsia="Calibri" w:hAnsi="Calibri"/>
          <w:sz w:val="20"/>
          <w:szCs w:val="20"/>
          <w:color w:val="auto"/>
        </w:rPr>
        <w:t>except that the term Guarantee shall not include endorsements for collecton or deposit in the ordinary course of business.</w:t>
      </w:r>
    </w:p>
    <w:p>
      <w:pPr>
        <w:sectPr>
          <w:pgSz w:w="11900" w:h="16838" w:orient="portrait"/>
          <w:cols w:equalWidth="0" w:num="1">
            <w:col w:w="11240"/>
          </w:cols>
          <w:pgMar w:left="320" w:top="1384" w:right="339" w:bottom="1440" w:gutter="0" w:footer="0" w:header="0"/>
          <w:type w:val="continuous"/>
        </w:sectPr>
      </w:pP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means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hereto, as the same may be deemed amended or otherwise modifed from tme to tme in accordance with Secton 10.5 (</w:t>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Guardrail Regulatons</w:t>
      </w:r>
      <w:r>
        <w:rPr>
          <w:rFonts w:ascii="Calibri" w:cs="Calibri" w:eastAsia="Calibri" w:hAnsi="Calibri"/>
          <w:sz w:val="20"/>
          <w:szCs w:val="20"/>
          <w:color w:val="auto"/>
        </w:rPr>
        <w:t>” has the meaning set forth in the Guardrail Provisions.</w:t>
      </w:r>
    </w:p>
    <w:p>
      <w:pPr>
        <w:spacing w:after="0" w:line="157"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Hazardous Substance</w:t>
      </w:r>
      <w:r>
        <w:rPr>
          <w:rFonts w:ascii="Calibri" w:cs="Calibri" w:eastAsia="Calibri" w:hAnsi="Calibri"/>
          <w:sz w:val="20"/>
          <w:szCs w:val="20"/>
          <w:color w:val="auto"/>
        </w:rPr>
        <w:t>” means any hazardous or toxic substances, chemicals, materials, pollutants or wastes defned, listed, classifed or regulated as such in or under any Environmental Laws, including: (a) any petroleum or petroleum products (including gasoline, crude oil or any fracton thereof), fammable explosives, radioactve materials, asbestos in any form that is or could become friable, urea formaldehyde foam insulaton and polychlorinated biphenyls; (b) any chemicals, materials or substances defned as or included in the defniton of “hazardous substances,” “hazardous wastes,” “extremely hazardous wastes,” “restricted hazardous wastes,” “toxic substances,” “toxic pollutants,” “contaminants” or “pollutants,” or words of similar import, under any applicable Environmental Law; and (c) any other chemical, material or substance, the import, storage, transport, use or disposal of, or exposure to or Release of which is prohibited, limited or otherwise regulated under, or for which liability is imposed pursuant to, any Environmental Law.</w:t>
      </w:r>
    </w:p>
    <w:p>
      <w:pPr>
        <w:spacing w:after="0" w:line="180" w:lineRule="exact"/>
        <w:rPr>
          <w:sz w:val="20"/>
          <w:szCs w:val="20"/>
          <w:color w:val="auto"/>
        </w:rPr>
      </w:pPr>
    </w:p>
    <w:p>
      <w:pPr>
        <w:ind w:left="580"/>
        <w:spacing w:after="0"/>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HBM</w:t>
      </w:r>
      <w:r>
        <w:rPr>
          <w:rFonts w:ascii="Calibri" w:cs="Calibri" w:eastAsia="Calibri" w:hAnsi="Calibri"/>
          <w:sz w:val="20"/>
          <w:szCs w:val="20"/>
          <w:color w:val="auto"/>
        </w:rPr>
        <w:t>” means high-bandwidth memory consistent with JEDEC HBM3E standards or later.</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Indebtedness</w:t>
      </w:r>
      <w:r>
        <w:rPr>
          <w:rFonts w:ascii="Calibri" w:cs="Calibri" w:eastAsia="Calibri" w:hAnsi="Calibri"/>
          <w:sz w:val="20"/>
          <w:szCs w:val="20"/>
          <w:color w:val="auto"/>
        </w:rPr>
        <w:t>” means as to any Person, and at any date, without duplicaton:</w:t>
      </w:r>
    </w:p>
    <w:p>
      <w:pPr>
        <w:spacing w:after="0" w:line="147" w:lineRule="exact"/>
        <w:rPr>
          <w:sz w:val="20"/>
          <w:szCs w:val="20"/>
          <w:color w:val="auto"/>
        </w:rPr>
      </w:pPr>
    </w:p>
    <w:p>
      <w:pPr>
        <w:ind w:left="660" w:hanging="652"/>
        <w:spacing w:after="0"/>
        <w:tabs>
          <w:tab w:leader="none" w:pos="660" w:val="left"/>
        </w:tabs>
        <w:numPr>
          <w:ilvl w:val="0"/>
          <w:numId w:val="626"/>
        </w:numPr>
        <w:rPr>
          <w:rFonts w:ascii="Calibri" w:cs="Calibri" w:eastAsia="Calibri" w:hAnsi="Calibri"/>
          <w:sz w:val="20"/>
          <w:szCs w:val="20"/>
          <w:color w:val="auto"/>
        </w:rPr>
      </w:pPr>
      <w:r>
        <w:rPr>
          <w:rFonts w:ascii="Calibri" w:cs="Calibri" w:eastAsia="Calibri" w:hAnsi="Calibri"/>
          <w:sz w:val="20"/>
          <w:szCs w:val="20"/>
          <w:color w:val="auto"/>
        </w:rPr>
        <w:t>all Indebtedness for Borrowed Money of such Person;</w:t>
      </w:r>
    </w:p>
    <w:p>
      <w:pPr>
        <w:sectPr>
          <w:pgSz w:w="11900" w:h="16838" w:orient="portrait"/>
          <w:cols w:equalWidth="0" w:num="1">
            <w:col w:w="11240"/>
          </w:cols>
          <w:pgMar w:left="320" w:top="1384"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(bc)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all obligatons of such Person evidenced by bonds, debentures, notes, leters of credit, or other similar instruments;</w:t>
      </w:r>
    </w:p>
    <w:p>
      <w:pPr>
        <w:spacing w:after="0" w:line="147"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(bd)</w:t>
      </w:r>
    </w:p>
    <w:p>
      <w:pPr>
        <w:spacing w:after="0" w:line="20" w:lineRule="exact"/>
        <w:rPr>
          <w:sz w:val="20"/>
          <w:szCs w:val="20"/>
          <w:color w:val="auto"/>
        </w:rPr>
      </w:pPr>
      <w:r>
        <w:rPr>
          <w:sz w:val="20"/>
          <w:szCs w:val="20"/>
          <w:color w:val="auto"/>
        </w:rPr>
        <w:br w:type="column"/>
      </w:r>
    </w:p>
    <w:p>
      <w:pPr>
        <w:ind w:right="20" w:hanging="1"/>
        <w:spacing w:after="0" w:line="214" w:lineRule="auto"/>
        <w:rPr>
          <w:sz w:val="20"/>
          <w:szCs w:val="20"/>
          <w:color w:val="auto"/>
        </w:rPr>
      </w:pPr>
      <w:r>
        <w:rPr>
          <w:rFonts w:ascii="Calibri" w:cs="Calibri" w:eastAsia="Calibri" w:hAnsi="Calibri"/>
          <w:sz w:val="20"/>
          <w:szCs w:val="20"/>
          <w:color w:val="auto"/>
        </w:rPr>
        <w:t>all obligatons of such Person to purchase securites (or other property) that arise out of or in connecton with the sale or acquisiton of the same or similar securites (or property);</w:t>
      </w:r>
    </w:p>
    <w:p>
      <w:pPr>
        <w:spacing w:after="0" w:line="149"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(be)</w:t>
      </w:r>
    </w:p>
    <w:p>
      <w:pPr>
        <w:spacing w:after="0" w:line="20" w:lineRule="exact"/>
        <w:rPr>
          <w:sz w:val="20"/>
          <w:szCs w:val="20"/>
          <w:color w:val="auto"/>
        </w:rPr>
      </w:pPr>
      <w:r>
        <w:rPr>
          <w:sz w:val="20"/>
          <w:szCs w:val="20"/>
          <w:color w:val="auto"/>
        </w:rPr>
        <w:br w:type="column"/>
      </w:r>
    </w:p>
    <w:p>
      <w:pPr>
        <w:ind w:firstLine="6"/>
        <w:spacing w:after="0" w:line="208" w:lineRule="auto"/>
        <w:rPr>
          <w:sz w:val="20"/>
          <w:szCs w:val="20"/>
          <w:color w:val="auto"/>
        </w:rPr>
      </w:pPr>
      <w:r>
        <w:rPr>
          <w:rFonts w:ascii="Calibri" w:cs="Calibri" w:eastAsia="Calibri" w:hAnsi="Calibri"/>
          <w:sz w:val="20"/>
          <w:szCs w:val="20"/>
          <w:color w:val="auto"/>
        </w:rPr>
        <w:t>all obligatons of such Person issued, undertaken or assumed as the deferred purchase price of property or services other than trade credit in the ordinary course of business;</w:t>
      </w:r>
    </w:p>
    <w:p>
      <w:pPr>
        <w:spacing w:after="0" w:line="200"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17</w:t>
      </w:r>
    </w:p>
    <w:p>
      <w:pPr>
        <w:sectPr>
          <w:pgSz w:w="11900" w:h="16838" w:orient="portrait"/>
          <w:cols w:equalWidth="0" w:num="1">
            <w:col w:w="11240"/>
          </w:cols>
          <w:pgMar w:left="320" w:top="1384" w:right="339" w:bottom="1440" w:gutter="0" w:footer="0" w:header="0"/>
          <w:type w:val="continuous"/>
        </w:sectPr>
      </w:pPr>
    </w:p>
    <w:bookmarkStart w:id="501" w:name="page502"/>
    <w:bookmarkEnd w:id="501"/>
    <w:p>
      <w:pPr>
        <w:spacing w:after="0"/>
        <w:rPr>
          <w:sz w:val="20"/>
          <w:szCs w:val="20"/>
          <w:color w:val="auto"/>
        </w:rPr>
      </w:pPr>
      <w:r>
        <w:rPr>
          <w:rFonts w:ascii="Calibri" w:cs="Calibri" w:eastAsia="Calibri" w:hAnsi="Calibri"/>
          <w:sz w:val="20"/>
          <w:szCs w:val="20"/>
          <w:color w:val="auto"/>
        </w:rPr>
        <w:t>(bf)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Guarantees by such Person;</w:t>
      </w:r>
    </w:p>
    <w:p>
      <w:pPr>
        <w:spacing w:after="0" w:line="147" w:lineRule="exact"/>
        <w:rPr>
          <w:sz w:val="20"/>
          <w:szCs w:val="20"/>
          <w:color w:val="auto"/>
        </w:rPr>
      </w:pPr>
    </w:p>
    <w:p>
      <w:pPr>
        <w:sectPr>
          <w:pgSz w:w="11900" w:h="16838" w:orient="portrait"/>
          <w:cols w:equalWidth="0" w:num="2">
            <w:col w:w="300" w:space="360"/>
            <w:col w:w="10580"/>
          </w:cols>
          <w:pgMar w:left="320" w:top="1374" w:right="339" w:bottom="1440" w:gutter="0" w:footer="0" w:header="0"/>
        </w:sectPr>
      </w:pPr>
    </w:p>
    <w:p>
      <w:pPr>
        <w:spacing w:after="0"/>
        <w:rPr>
          <w:sz w:val="20"/>
          <w:szCs w:val="20"/>
          <w:color w:val="auto"/>
        </w:rPr>
      </w:pPr>
      <w:r>
        <w:rPr>
          <w:rFonts w:ascii="Calibri" w:cs="Calibri" w:eastAsia="Calibri" w:hAnsi="Calibri"/>
          <w:sz w:val="20"/>
          <w:szCs w:val="20"/>
          <w:color w:val="auto"/>
        </w:rPr>
        <w:t>(bg)</w:t>
      </w:r>
    </w:p>
    <w:p>
      <w:pPr>
        <w:spacing w:after="0" w:line="20" w:lineRule="exact"/>
        <w:rPr>
          <w:sz w:val="20"/>
          <w:szCs w:val="20"/>
          <w:color w:val="auto"/>
        </w:rPr>
      </w:pPr>
      <w:r>
        <w:rPr>
          <w:sz w:val="20"/>
          <w:szCs w:val="20"/>
          <w:color w:val="auto"/>
        </w:rPr>
        <w:br w:type="column"/>
      </w:r>
    </w:p>
    <w:p>
      <w:pPr>
        <w:spacing w:after="0" w:line="214" w:lineRule="auto"/>
        <w:rPr>
          <w:sz w:val="20"/>
          <w:szCs w:val="20"/>
          <w:color w:val="auto"/>
        </w:rPr>
      </w:pPr>
      <w:r>
        <w:rPr>
          <w:rFonts w:ascii="Calibri" w:cs="Calibri" w:eastAsia="Calibri" w:hAnsi="Calibri"/>
          <w:sz w:val="20"/>
          <w:szCs w:val="20"/>
          <w:color w:val="auto"/>
        </w:rPr>
        <w:t>all obligatons of such Person under leases that are or should be, in accordance with the Applicable Accountng Requirements, recorded as Finance Leases in respect of which such Person is liable;</w:t>
      </w:r>
    </w:p>
    <w:p>
      <w:pPr>
        <w:spacing w:after="0" w:line="149"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(bh)</w:t>
      </w:r>
    </w:p>
    <w:p>
      <w:pPr>
        <w:spacing w:after="0" w:line="20" w:lineRule="exact"/>
        <w:rPr>
          <w:sz w:val="20"/>
          <w:szCs w:val="20"/>
          <w:color w:val="auto"/>
        </w:rPr>
      </w:pPr>
      <w:r>
        <w:rPr>
          <w:sz w:val="20"/>
          <w:szCs w:val="20"/>
          <w:color w:val="auto"/>
        </w:rPr>
        <w:br w:type="column"/>
      </w:r>
    </w:p>
    <w:p>
      <w:pPr>
        <w:ind w:hanging="1"/>
        <w:spacing w:after="0" w:line="214" w:lineRule="auto"/>
        <w:rPr>
          <w:sz w:val="20"/>
          <w:szCs w:val="20"/>
          <w:color w:val="auto"/>
        </w:rPr>
      </w:pPr>
      <w:r>
        <w:rPr>
          <w:rFonts w:ascii="Calibri" w:cs="Calibri" w:eastAsia="Calibri" w:hAnsi="Calibri"/>
          <w:sz w:val="20"/>
          <w:szCs w:val="20"/>
          <w:color w:val="auto"/>
        </w:rPr>
        <w:t>all deferred obligatons of such Person to reimburse any bank or other Person in respect of amounts paid or advanced under a leter of credit or other instrument;</w:t>
      </w:r>
    </w:p>
    <w:p>
      <w:pPr>
        <w:spacing w:after="0" w:line="149"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(bi)</w:t>
      </w:r>
    </w:p>
    <w:p>
      <w:pPr>
        <w:spacing w:after="0" w:line="20" w:lineRule="exact"/>
        <w:rPr>
          <w:sz w:val="20"/>
          <w:szCs w:val="20"/>
          <w:color w:val="auto"/>
        </w:rPr>
      </w:pPr>
      <w:r>
        <w:rPr>
          <w:sz w:val="20"/>
          <w:szCs w:val="20"/>
          <w:color w:val="auto"/>
        </w:rPr>
        <w:br w:type="column"/>
      </w:r>
    </w:p>
    <w:p>
      <w:pPr>
        <w:ind w:right="20" w:firstLine="5"/>
        <w:spacing w:after="0" w:line="214" w:lineRule="auto"/>
        <w:rPr>
          <w:sz w:val="20"/>
          <w:szCs w:val="20"/>
          <w:color w:val="auto"/>
        </w:rPr>
      </w:pPr>
      <w:r>
        <w:rPr>
          <w:rFonts w:ascii="Calibri" w:cs="Calibri" w:eastAsia="Calibri" w:hAnsi="Calibri"/>
          <w:sz w:val="20"/>
          <w:szCs w:val="20"/>
          <w:color w:val="auto"/>
        </w:rPr>
        <w:t>the currently available amount of all surety bonds, performance bonds, leters of credit or other similar instruments issued for the account of such Person;</w:t>
      </w:r>
    </w:p>
    <w:p>
      <w:pPr>
        <w:spacing w:after="0" w:line="149" w:lineRule="exact"/>
        <w:rPr>
          <w:sz w:val="20"/>
          <w:szCs w:val="20"/>
          <w:color w:val="auto"/>
        </w:rPr>
      </w:pPr>
    </w:p>
    <w:p>
      <w:pPr>
        <w:sectPr>
          <w:pgSz w:w="11900" w:h="16838" w:orient="portrait"/>
          <w:cols w:equalWidth="0" w:num="2">
            <w:col w:w="280" w:space="38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(bj)</w:t>
      </w:r>
    </w:p>
    <w:p>
      <w:pPr>
        <w:spacing w:after="0" w:line="20" w:lineRule="exact"/>
        <w:rPr>
          <w:sz w:val="20"/>
          <w:szCs w:val="20"/>
          <w:color w:val="auto"/>
        </w:rPr>
      </w:pPr>
      <w:r>
        <w:rPr>
          <w:sz w:val="20"/>
          <w:szCs w:val="20"/>
          <w:color w:val="auto"/>
        </w:rPr>
        <w:br w:type="column"/>
      </w:r>
    </w:p>
    <w:p>
      <w:pPr>
        <w:jc w:val="both"/>
        <w:ind w:hanging="5"/>
        <w:spacing w:after="0" w:line="209" w:lineRule="auto"/>
        <w:rPr>
          <w:sz w:val="20"/>
          <w:szCs w:val="20"/>
          <w:color w:val="auto"/>
        </w:rPr>
      </w:pPr>
      <w:r>
        <w:rPr>
          <w:rFonts w:ascii="Calibri" w:cs="Calibri" w:eastAsia="Calibri" w:hAnsi="Calibri"/>
          <w:sz w:val="20"/>
          <w:szCs w:val="20"/>
          <w:color w:val="auto"/>
        </w:rPr>
        <w:t>all liabilites secured by (or for which the holder of such liabilites has an existng right, contngent, or otherwise, to be secured by) any Lien upon or in property (including accounts and contract rights) owned by such Person, even though such Person has not assumed or become liable for the payment of such liabilites;</w:t>
      </w:r>
    </w:p>
    <w:p>
      <w:pPr>
        <w:spacing w:after="0" w:line="149" w:lineRule="exact"/>
        <w:rPr>
          <w:sz w:val="20"/>
          <w:szCs w:val="20"/>
          <w:color w:val="auto"/>
        </w:rPr>
      </w:pPr>
    </w:p>
    <w:p>
      <w:pPr>
        <w:sectPr>
          <w:pgSz w:w="11900" w:h="16838" w:orient="portrait"/>
          <w:cols w:equalWidth="0" w:num="2">
            <w:col w:w="280" w:space="38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(bk)</w:t>
      </w:r>
    </w:p>
    <w:p>
      <w:pPr>
        <w:spacing w:after="0" w:line="20" w:lineRule="exact"/>
        <w:rPr>
          <w:sz w:val="20"/>
          <w:szCs w:val="20"/>
          <w:color w:val="auto"/>
        </w:rPr>
      </w:pPr>
      <w:r>
        <w:rPr>
          <w:sz w:val="20"/>
          <w:szCs w:val="20"/>
          <w:color w:val="auto"/>
        </w:rPr>
        <w:br w:type="column"/>
      </w:r>
    </w:p>
    <w:p>
      <w:pPr>
        <w:jc w:val="both"/>
        <w:ind w:hanging="2"/>
        <w:spacing w:after="0" w:line="205" w:lineRule="auto"/>
        <w:rPr>
          <w:sz w:val="20"/>
          <w:szCs w:val="20"/>
          <w:color w:val="auto"/>
        </w:rPr>
      </w:pPr>
      <w:r>
        <w:rPr>
          <w:rFonts w:ascii="Calibri" w:cs="Calibri" w:eastAsia="Calibri" w:hAnsi="Calibri"/>
          <w:sz w:val="20"/>
          <w:szCs w:val="20"/>
          <w:color w:val="auto"/>
        </w:rPr>
        <w:t>all indebtedness created or arising under any conditonal sale or other ttle retenton agreement, or incurred as fnancing, in either case with respect to property acquired by such Person (even though the rights and remedies of the seller or bank under such agreement in the event of any default are limited to repossession or sale of such property);</w:t>
      </w:r>
    </w:p>
    <w:p>
      <w:pPr>
        <w:spacing w:after="0" w:line="148"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(bl)</w:t>
      </w:r>
    </w:p>
    <w:p>
      <w:pPr>
        <w:spacing w:after="0" w:line="20" w:lineRule="exact"/>
        <w:rPr>
          <w:sz w:val="20"/>
          <w:szCs w:val="20"/>
          <w:color w:val="auto"/>
        </w:rPr>
      </w:pPr>
      <w:r>
        <w:rPr>
          <w:sz w:val="20"/>
          <w:szCs w:val="20"/>
          <w:color w:val="auto"/>
        </w:rPr>
        <w:br w:type="column"/>
      </w:r>
    </w:p>
    <w:p>
      <w:pPr>
        <w:ind w:right="20" w:firstLine="5"/>
        <w:spacing w:after="0" w:line="214" w:lineRule="auto"/>
        <w:rPr>
          <w:sz w:val="20"/>
          <w:szCs w:val="20"/>
          <w:color w:val="auto"/>
        </w:rPr>
      </w:pPr>
      <w:r>
        <w:rPr>
          <w:rFonts w:ascii="Calibri" w:cs="Calibri" w:eastAsia="Calibri" w:hAnsi="Calibri"/>
          <w:sz w:val="20"/>
          <w:szCs w:val="20"/>
          <w:color w:val="auto"/>
        </w:rPr>
        <w:t>obligatons pursuant to any agreement to purchase materials, supplies or other property if such agreement provides that payment shall be made regardless of whether delivery of such materials, supplies or other property is ever made or tendered;</w:t>
      </w:r>
    </w:p>
    <w:p>
      <w:pPr>
        <w:spacing w:after="0" w:line="149" w:lineRule="exact"/>
        <w:rPr>
          <w:sz w:val="20"/>
          <w:szCs w:val="20"/>
          <w:color w:val="auto"/>
        </w:rPr>
      </w:pPr>
    </w:p>
    <w:p>
      <w:pPr>
        <w:sectPr>
          <w:pgSz w:w="11900" w:h="16838" w:orient="portrait"/>
          <w:cols w:equalWidth="0" w:num="2">
            <w:col w:w="280" w:space="38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(bm)</w:t>
      </w:r>
    </w:p>
    <w:p>
      <w:pPr>
        <w:spacing w:after="0" w:line="20" w:lineRule="exact"/>
        <w:rPr>
          <w:sz w:val="20"/>
          <w:szCs w:val="20"/>
          <w:color w:val="auto"/>
        </w:rPr>
      </w:pPr>
      <w:r>
        <w:rPr>
          <w:sz w:val="20"/>
          <w:szCs w:val="20"/>
          <w:color w:val="auto"/>
        </w:rPr>
        <w:br w:type="column"/>
      </w:r>
    </w:p>
    <w:p>
      <w:pPr>
        <w:jc w:val="both"/>
        <w:spacing w:after="0" w:line="209" w:lineRule="auto"/>
        <w:rPr>
          <w:sz w:val="20"/>
          <w:szCs w:val="20"/>
          <w:color w:val="auto"/>
        </w:rPr>
      </w:pPr>
      <w:r>
        <w:rPr>
          <w:rFonts w:ascii="Calibri" w:cs="Calibri" w:eastAsia="Calibri" w:hAnsi="Calibri"/>
          <w:sz w:val="20"/>
          <w:szCs w:val="20"/>
          <w:color w:val="auto"/>
        </w:rPr>
        <w:t>all obligatons in respect of any hedging agreement or similar arrangement between such Person and a fnancial insttuton providing for the transfer or mitgaton of interest risks either generally or under specifc contngencies (but without regard to any notonal principal amount relatng thereto); and</w:t>
      </w:r>
    </w:p>
    <w:p>
      <w:pPr>
        <w:spacing w:after="0" w:line="149" w:lineRule="exact"/>
        <w:rPr>
          <w:sz w:val="20"/>
          <w:szCs w:val="20"/>
          <w:color w:val="auto"/>
        </w:rPr>
      </w:pPr>
    </w:p>
    <w:p>
      <w:pPr>
        <w:sectPr>
          <w:pgSz w:w="11900" w:h="16838" w:orient="portrait"/>
          <w:cols w:equalWidth="0" w:num="2">
            <w:col w:w="400" w:space="26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Contngent Obligatons of such Person with respect to Indebtedness of the types specifed in clauses (a) through (l) above.</w:t>
      </w:r>
    </w:p>
    <w:p>
      <w:pPr>
        <w:spacing w:after="0" w:line="157"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Indebtedness for Borrowed Money</w:t>
      </w:r>
      <w:r>
        <w:rPr>
          <w:rFonts w:ascii="Calibri" w:cs="Calibri" w:eastAsia="Calibri" w:hAnsi="Calibri"/>
          <w:sz w:val="20"/>
          <w:szCs w:val="20"/>
          <w:color w:val="auto"/>
        </w:rPr>
        <w:t>” means, as to any Person, indebtedness for borrowed money. For the avoidance of doubt, Indebtedness for Borrowed Money with respect to a Person only includes indebtedness for the repayment of money provided to such Person, and does not include any other kind of indebtedness or obligaton notwithstanding that such other indebtedness or obligaton may be evidenced by a note, bond, debenture or other similar instrument, may be in the nature of a fnancing transacton, or may be an obligaton that under GAAP is classifed as “debt” or another type of liability, whether required to be refected on the balance sheet of the obligor or otherwise.</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Liability</w:t>
      </w:r>
      <w:r>
        <w:rPr>
          <w:rFonts w:ascii="Calibri" w:cs="Calibri" w:eastAsia="Calibri" w:hAnsi="Calibri"/>
          <w:sz w:val="20"/>
          <w:szCs w:val="20"/>
          <w:color w:val="auto"/>
        </w:rPr>
        <w:t>” has the meaning set forth in Secton 10.17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Party</w:t>
      </w:r>
      <w:r>
        <w:rPr>
          <w:rFonts w:ascii="Calibri" w:cs="Calibri" w:eastAsia="Calibri" w:hAnsi="Calibri"/>
          <w:sz w:val="20"/>
          <w:szCs w:val="20"/>
          <w:color w:val="auto"/>
        </w:rPr>
        <w:t>” has the meaning set forth in Secton 10.17(a)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Ineligible Uses of Funds</w:t>
      </w:r>
      <w:r>
        <w:rPr>
          <w:rFonts w:ascii="Calibri" w:cs="Calibri" w:eastAsia="Calibri" w:hAnsi="Calibri"/>
          <w:sz w:val="20"/>
          <w:szCs w:val="20"/>
          <w:color w:val="auto"/>
        </w:rPr>
        <w:t>” means the uses of Direct Funding to:</w:t>
      </w:r>
    </w:p>
    <w:p>
      <w:pPr>
        <w:sectPr>
          <w:pgSz w:w="11900" w:h="16838" w:orient="portrait"/>
          <w:cols w:equalWidth="0" w:num="1">
            <w:col w:w="11240"/>
          </w:cols>
          <w:pgMar w:left="320" w:top="1374"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(bo)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construct, modify, or improve a facility outside of the United States;</w:t>
      </w:r>
    </w:p>
    <w:p>
      <w:pPr>
        <w:spacing w:after="0" w:line="147"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(bp)</w:t>
      </w:r>
    </w:p>
    <w:p>
      <w:pPr>
        <w:spacing w:after="0" w:line="20" w:lineRule="exact"/>
        <w:rPr>
          <w:sz w:val="20"/>
          <w:szCs w:val="20"/>
          <w:color w:val="auto"/>
        </w:rPr>
      </w:pPr>
      <w:r>
        <w:rPr>
          <w:sz w:val="20"/>
          <w:szCs w:val="20"/>
          <w:color w:val="auto"/>
        </w:rPr>
        <w:br w:type="column"/>
      </w:r>
    </w:p>
    <w:p>
      <w:pPr>
        <w:ind w:right="20" w:hanging="1"/>
        <w:spacing w:after="0" w:line="214" w:lineRule="auto"/>
        <w:rPr>
          <w:sz w:val="20"/>
          <w:szCs w:val="20"/>
          <w:color w:val="auto"/>
        </w:rPr>
      </w:pPr>
      <w:r>
        <w:rPr>
          <w:rFonts w:ascii="Calibri" w:cs="Calibri" w:eastAsia="Calibri" w:hAnsi="Calibri"/>
          <w:sz w:val="20"/>
          <w:szCs w:val="20"/>
          <w:color w:val="auto"/>
        </w:rPr>
        <w:t>physically relocate existng facility infrastructure to another jurisdicton in the United States, unless the Department has concluded that such relocaton is in the interest of the United States;</w:t>
      </w:r>
    </w:p>
    <w:p>
      <w:pPr>
        <w:spacing w:after="0" w:line="149"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(bq)</w:t>
      </w:r>
    </w:p>
    <w:p>
      <w:pPr>
        <w:spacing w:after="0" w:line="20" w:lineRule="exact"/>
        <w:rPr>
          <w:sz w:val="20"/>
          <w:szCs w:val="20"/>
          <w:color w:val="auto"/>
        </w:rPr>
      </w:pPr>
      <w:r>
        <w:rPr>
          <w:sz w:val="20"/>
          <w:szCs w:val="20"/>
          <w:color w:val="auto"/>
        </w:rPr>
        <w:br w:type="column"/>
      </w:r>
    </w:p>
    <w:p>
      <w:pPr>
        <w:ind w:hanging="1"/>
        <w:spacing w:after="0" w:line="214" w:lineRule="auto"/>
        <w:rPr>
          <w:sz w:val="20"/>
          <w:szCs w:val="20"/>
          <w:color w:val="auto"/>
        </w:rPr>
      </w:pPr>
      <w:r>
        <w:rPr>
          <w:rFonts w:ascii="Calibri" w:cs="Calibri" w:eastAsia="Calibri" w:hAnsi="Calibri"/>
          <w:sz w:val="20"/>
          <w:szCs w:val="20"/>
          <w:color w:val="auto"/>
        </w:rPr>
        <w:t>purchase any equity security that is listed on a natonal securites exchange of any Recipient Party or any Afliate of such Recipient Party</w:t>
      </w:r>
    </w:p>
    <w:p>
      <w:pPr>
        <w:spacing w:after="0" w:line="149"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(br)</w:t>
      </w:r>
    </w:p>
    <w:p>
      <w:pPr>
        <w:spacing w:after="0" w:line="20" w:lineRule="exact"/>
        <w:rPr>
          <w:sz w:val="20"/>
          <w:szCs w:val="20"/>
          <w:color w:val="auto"/>
        </w:rPr>
      </w:pPr>
      <w:r>
        <w:rPr>
          <w:sz w:val="20"/>
          <w:szCs w:val="20"/>
          <w:color w:val="auto"/>
        </w:rPr>
        <w:br w:type="column"/>
      </w:r>
    </w:p>
    <w:p>
      <w:pPr>
        <w:ind w:right="20" w:firstLine="3"/>
        <w:spacing w:after="0" w:line="214" w:lineRule="auto"/>
        <w:rPr>
          <w:sz w:val="20"/>
          <w:szCs w:val="20"/>
          <w:color w:val="auto"/>
        </w:rPr>
      </w:pPr>
      <w:r>
        <w:rPr>
          <w:rFonts w:ascii="Calibri" w:cs="Calibri" w:eastAsia="Calibri" w:hAnsi="Calibri"/>
          <w:sz w:val="20"/>
          <w:szCs w:val="20"/>
          <w:color w:val="auto"/>
        </w:rPr>
        <w:t>pay dividends or make other capital distributons with respect to the common stock (or equivalent interest) of any Recipient Party or any Afliate of such Recipient Party;</w:t>
      </w:r>
    </w:p>
    <w:p>
      <w:pPr>
        <w:spacing w:after="0" w:line="200" w:lineRule="exact"/>
        <w:rPr>
          <w:sz w:val="20"/>
          <w:szCs w:val="20"/>
          <w:color w:val="auto"/>
        </w:rPr>
      </w:pPr>
    </w:p>
    <w:p>
      <w:pPr>
        <w:sectPr>
          <w:pgSz w:w="11900" w:h="16838" w:orient="portrait"/>
          <w:cols w:equalWidth="0" w:num="2">
            <w:col w:w="300" w:space="360"/>
            <w:col w:w="10580"/>
          </w:cols>
          <w:pgMar w:left="320" w:top="13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18</w:t>
      </w:r>
    </w:p>
    <w:p>
      <w:pPr>
        <w:sectPr>
          <w:pgSz w:w="11900" w:h="16838" w:orient="portrait"/>
          <w:cols w:equalWidth="0" w:num="1">
            <w:col w:w="11240"/>
          </w:cols>
          <w:pgMar w:left="320" w:top="1374" w:right="339" w:bottom="1440" w:gutter="0" w:footer="0" w:header="0"/>
          <w:type w:val="continuous"/>
        </w:sectPr>
      </w:pPr>
    </w:p>
    <w:bookmarkStart w:id="502" w:name="page503"/>
    <w:bookmarkEnd w:id="502"/>
    <w:p>
      <w:pPr>
        <w:spacing w:after="0"/>
        <w:rPr>
          <w:sz w:val="20"/>
          <w:szCs w:val="20"/>
          <w:color w:val="auto"/>
        </w:rPr>
      </w:pPr>
      <w:r>
        <w:rPr>
          <w:rFonts w:ascii="Calibri" w:cs="Calibri" w:eastAsia="Calibri" w:hAnsi="Calibri"/>
          <w:sz w:val="20"/>
          <w:szCs w:val="20"/>
          <w:color w:val="auto"/>
        </w:rPr>
        <w:t>(bs)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pay of any federal direct or guaranteed loan or any other form of federal debt;</w:t>
      </w:r>
    </w:p>
    <w:p>
      <w:pPr>
        <w:spacing w:after="0" w:line="147" w:lineRule="exact"/>
        <w:rPr>
          <w:sz w:val="20"/>
          <w:szCs w:val="20"/>
          <w:color w:val="auto"/>
        </w:rPr>
      </w:pPr>
    </w:p>
    <w:p>
      <w:pPr>
        <w:sectPr>
          <w:pgSz w:w="11900" w:h="16838" w:orient="portrait"/>
          <w:cols w:equalWidth="0" w:num="2">
            <w:col w:w="320" w:space="340"/>
            <w:col w:w="10580"/>
          </w:cols>
          <w:pgMar w:left="320" w:top="1374" w:right="339" w:bottom="1440" w:gutter="0" w:footer="0" w:header="0"/>
        </w:sectPr>
      </w:pPr>
    </w:p>
    <w:p>
      <w:pPr>
        <w:spacing w:after="0"/>
        <w:rPr>
          <w:sz w:val="20"/>
          <w:szCs w:val="20"/>
          <w:color w:val="auto"/>
        </w:rPr>
      </w:pPr>
      <w:r>
        <w:rPr>
          <w:rFonts w:ascii="Calibri" w:cs="Calibri" w:eastAsia="Calibri" w:hAnsi="Calibri"/>
          <w:sz w:val="20"/>
          <w:szCs w:val="20"/>
          <w:color w:val="auto"/>
        </w:rPr>
        <w:t>(bt)</w:t>
      </w:r>
    </w:p>
    <w:p>
      <w:pPr>
        <w:spacing w:after="0" w:line="20" w:lineRule="exact"/>
        <w:rPr>
          <w:sz w:val="20"/>
          <w:szCs w:val="20"/>
          <w:color w:val="auto"/>
        </w:rPr>
      </w:pPr>
      <w:r>
        <w:rPr>
          <w:sz w:val="20"/>
          <w:szCs w:val="20"/>
          <w:color w:val="auto"/>
        </w:rPr>
        <w:br w:type="column"/>
      </w:r>
    </w:p>
    <w:p>
      <w:pPr>
        <w:spacing w:after="0" w:line="214" w:lineRule="auto"/>
        <w:rPr>
          <w:sz w:val="20"/>
          <w:szCs w:val="20"/>
          <w:color w:val="auto"/>
        </w:rPr>
      </w:pPr>
      <w:r>
        <w:rPr>
          <w:rFonts w:ascii="Calibri" w:cs="Calibri" w:eastAsia="Calibri" w:hAnsi="Calibri"/>
          <w:sz w:val="20"/>
          <w:szCs w:val="20"/>
          <w:color w:val="auto"/>
        </w:rPr>
        <w:t>pay any indirect cost of the Recipient, except to pay an Intermediary or other workforce organizaton approved by the Department in this Agreement;</w:t>
      </w:r>
    </w:p>
    <w:p>
      <w:pPr>
        <w:spacing w:after="0" w:line="149" w:lineRule="exact"/>
        <w:rPr>
          <w:sz w:val="20"/>
          <w:szCs w:val="20"/>
          <w:color w:val="auto"/>
        </w:rPr>
      </w:pPr>
    </w:p>
    <w:p>
      <w:pPr>
        <w:sectPr>
          <w:pgSz w:w="11900" w:h="16838" w:orient="portrait"/>
          <w:cols w:equalWidth="0" w:num="2">
            <w:col w:w="300" w:space="36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(bu)</w:t>
      </w:r>
    </w:p>
    <w:p>
      <w:pPr>
        <w:spacing w:after="0" w:line="20" w:lineRule="exact"/>
        <w:rPr>
          <w:sz w:val="20"/>
          <w:szCs w:val="20"/>
          <w:color w:val="auto"/>
        </w:rPr>
      </w:pPr>
      <w:r>
        <w:rPr>
          <w:sz w:val="20"/>
          <w:szCs w:val="20"/>
          <w:color w:val="auto"/>
        </w:rPr>
        <w:br w:type="column"/>
      </w:r>
    </w:p>
    <w:p>
      <w:pPr>
        <w:ind w:hanging="1"/>
        <w:spacing w:after="0" w:line="214" w:lineRule="auto"/>
        <w:rPr>
          <w:sz w:val="20"/>
          <w:szCs w:val="20"/>
          <w:color w:val="auto"/>
        </w:rPr>
      </w:pPr>
      <w:r>
        <w:rPr>
          <w:rFonts w:ascii="Calibri" w:cs="Calibri" w:eastAsia="Calibri" w:hAnsi="Calibri"/>
          <w:sz w:val="20"/>
          <w:szCs w:val="20"/>
          <w:color w:val="auto"/>
        </w:rPr>
        <w:t>pay profts, fees, or other incremental charges to the Recipient above the actual costs incurred in executng the approved scope of work subject to the Award;</w:t>
      </w:r>
    </w:p>
    <w:p>
      <w:pPr>
        <w:spacing w:after="0" w:line="149" w:lineRule="exact"/>
        <w:rPr>
          <w:sz w:val="20"/>
          <w:szCs w:val="20"/>
          <w:color w:val="auto"/>
        </w:rPr>
      </w:pPr>
    </w:p>
    <w:p>
      <w:pPr>
        <w:sectPr>
          <w:pgSz w:w="11900" w:h="16838" w:orient="portrait"/>
          <w:cols w:equalWidth="0" w:num="2">
            <w:col w:w="340" w:space="32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(bv)</w:t>
      </w:r>
    </w:p>
    <w:p>
      <w:pPr>
        <w:spacing w:after="0" w:line="20" w:lineRule="exact"/>
        <w:rPr>
          <w:sz w:val="20"/>
          <w:szCs w:val="20"/>
          <w:color w:val="auto"/>
        </w:rPr>
      </w:pPr>
      <w:r>
        <w:rPr>
          <w:sz w:val="20"/>
          <w:szCs w:val="20"/>
          <w:color w:val="auto"/>
        </w:rPr>
        <w:br w:type="column"/>
      </w:r>
    </w:p>
    <w:p>
      <w:pPr>
        <w:ind w:right="20" w:hanging="3"/>
        <w:spacing w:after="0" w:line="214" w:lineRule="auto"/>
        <w:rPr>
          <w:sz w:val="20"/>
          <w:szCs w:val="20"/>
          <w:color w:val="auto"/>
        </w:rPr>
      </w:pPr>
      <w:r>
        <w:rPr>
          <w:rFonts w:ascii="Calibri" w:cs="Calibri" w:eastAsia="Calibri" w:hAnsi="Calibri"/>
          <w:sz w:val="20"/>
          <w:szCs w:val="20"/>
          <w:color w:val="auto"/>
        </w:rPr>
        <w:t>pay costs of certain covered telecommunicatons or video surveillance services or equipment prohibited by Secton 889 of the Natonal Defense Authorizaton Act of 2019 (Pub. L. No. 115-232);</w:t>
      </w:r>
    </w:p>
    <w:p>
      <w:pPr>
        <w:spacing w:after="0" w:line="149"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apply any costs for purposes contrary to Applicable Law; or</w:t>
      </w:r>
    </w:p>
    <w:p>
      <w:pPr>
        <w:spacing w:after="0" w:line="161" w:lineRule="exact"/>
        <w:rPr>
          <w:sz w:val="20"/>
          <w:szCs w:val="20"/>
          <w:color w:val="auto"/>
        </w:rPr>
      </w:pPr>
    </w:p>
    <w:p>
      <w:pPr>
        <w:sectPr>
          <w:pgSz w:w="11900" w:h="16838" w:orient="portrait"/>
          <w:cols w:equalWidth="0" w:num="2">
            <w:col w:w="380" w:space="28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provide any funds to any Foreign Entty of Concern.</w:t>
      </w:r>
    </w:p>
    <w:p>
      <w:pPr>
        <w:spacing w:after="0" w:line="157"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Inital Decision-Maker</w:t>
      </w:r>
      <w:r>
        <w:rPr>
          <w:rFonts w:ascii="Calibri" w:cs="Calibri" w:eastAsia="Calibri" w:hAnsi="Calibri"/>
          <w:sz w:val="20"/>
          <w:szCs w:val="20"/>
          <w:color w:val="auto"/>
        </w:rPr>
        <w:t>” means any “Department Inital Decision-Maker” or “Recipient Inital Decision-Maker” identfed in Schedule H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as applicable.</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Insolvency Proceeding</w:t>
      </w:r>
      <w:r>
        <w:rPr>
          <w:rFonts w:ascii="Calibri" w:cs="Calibri" w:eastAsia="Calibri" w:hAnsi="Calibri"/>
          <w:sz w:val="20"/>
          <w:szCs w:val="20"/>
          <w:color w:val="auto"/>
        </w:rPr>
        <w:t>” means any bankruptcy, insolvency, liquidaton, company reorganizaton, restructuring, controlled management, suspension of payments, scheme of arrangement, appointment of provisional liquidator, receiver or administratve receiver, notfcaton, resoluton, or petton for winding up or similar proceeding, under any Applicable Law, in any jurisdicton and whether voluntary or involuntary.</w:t>
      </w:r>
    </w:p>
    <w:p>
      <w:pPr>
        <w:spacing w:after="0" w:line="160"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Intellectual Property</w:t>
      </w:r>
      <w:r>
        <w:rPr>
          <w:rFonts w:ascii="Calibri" w:cs="Calibri" w:eastAsia="Calibri" w:hAnsi="Calibri"/>
          <w:sz w:val="20"/>
          <w:szCs w:val="20"/>
          <w:color w:val="auto"/>
        </w:rPr>
        <w:t>” means any and all rights, priorites and privileges with respect to intellectual property, whether arising under United States, multnatonal or foreign laws or otherwise, including any and all of the following, as they exist anywhere in the world, whether registered or unregistered and including all registratons, issuances and applicatons therefor (whether or not any such applicatons are modifed, withdrawn, abandoned or resubmited) and all extensions and renewals thereof and whether now or hereafer existng, created, acquired or held:</w:t>
      </w:r>
    </w:p>
    <w:p>
      <w:pPr>
        <w:sectPr>
          <w:pgSz w:w="11900" w:h="16838" w:orient="portrait"/>
          <w:cols w:equalWidth="0" w:num="1">
            <w:col w:w="11240"/>
          </w:cols>
          <w:pgMar w:left="320" w:top="1374"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alibri" w:cs="Calibri" w:eastAsia="Calibri" w:hAnsi="Calibri"/>
          <w:sz w:val="20"/>
          <w:szCs w:val="20"/>
          <w:color w:val="auto"/>
        </w:rPr>
        <w:t>(by)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20" w:hanging="3"/>
        <w:spacing w:after="0" w:line="214" w:lineRule="auto"/>
        <w:rPr>
          <w:sz w:val="20"/>
          <w:szCs w:val="20"/>
          <w:color w:val="auto"/>
        </w:rPr>
      </w:pPr>
      <w:r>
        <w:rPr>
          <w:rFonts w:ascii="Calibri" w:cs="Calibri" w:eastAsia="Calibri" w:hAnsi="Calibri"/>
          <w:sz w:val="20"/>
          <w:szCs w:val="20"/>
          <w:color w:val="auto"/>
        </w:rPr>
        <w:t>all U.S., internatonal and foreign patents and patent applicatons and all reissues, divisions, renewals, extensions, provisionals, contnuatons and contnuatons-in-part thereof;</w:t>
      </w:r>
    </w:p>
    <w:p>
      <w:pPr>
        <w:spacing w:after="0" w:line="149"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(bz)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color w:val="auto"/>
        </w:rPr>
        <w:t>all Trade Secrets;</w:t>
      </w:r>
    </w:p>
    <w:p>
      <w:pPr>
        <w:spacing w:after="0" w:line="149"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(ca)</w:t>
      </w:r>
    </w:p>
    <w:p>
      <w:pPr>
        <w:spacing w:after="0" w:line="20" w:lineRule="exact"/>
        <w:rPr>
          <w:sz w:val="20"/>
          <w:szCs w:val="20"/>
          <w:color w:val="auto"/>
        </w:rPr>
      </w:pPr>
      <w:r>
        <w:rPr>
          <w:sz w:val="20"/>
          <w:szCs w:val="20"/>
          <w:color w:val="auto"/>
        </w:rPr>
        <w:br w:type="column"/>
      </w:r>
    </w:p>
    <w:p>
      <w:pPr>
        <w:ind w:right="20" w:hanging="6"/>
        <w:spacing w:after="0" w:line="214" w:lineRule="auto"/>
        <w:rPr>
          <w:sz w:val="20"/>
          <w:szCs w:val="20"/>
          <w:color w:val="auto"/>
        </w:rPr>
      </w:pPr>
      <w:r>
        <w:rPr>
          <w:rFonts w:ascii="Calibri" w:cs="Calibri" w:eastAsia="Calibri" w:hAnsi="Calibri"/>
          <w:sz w:val="20"/>
          <w:szCs w:val="20"/>
          <w:color w:val="auto"/>
        </w:rPr>
        <w:t>all copyrights or other rights associated with works of authorship, including all copyright registratons and applicatons for copyright registraton, renewals and extensions thereof, and all other rights corresponding thereto throughout the world;</w:t>
      </w:r>
    </w:p>
    <w:p>
      <w:pPr>
        <w:spacing w:after="0" w:line="149"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(cb)</w:t>
      </w:r>
    </w:p>
    <w:p>
      <w:pPr>
        <w:spacing w:after="0" w:line="20" w:lineRule="exact"/>
        <w:rPr>
          <w:sz w:val="20"/>
          <w:szCs w:val="20"/>
          <w:color w:val="auto"/>
        </w:rPr>
      </w:pPr>
      <w:r>
        <w:rPr>
          <w:sz w:val="20"/>
          <w:szCs w:val="20"/>
          <w:color w:val="auto"/>
        </w:rPr>
        <w:br w:type="column"/>
      </w:r>
    </w:p>
    <w:p>
      <w:pPr>
        <w:ind w:right="20" w:firstLine="4"/>
        <w:spacing w:after="0" w:line="214" w:lineRule="auto"/>
        <w:rPr>
          <w:sz w:val="20"/>
          <w:szCs w:val="20"/>
          <w:color w:val="auto"/>
        </w:rPr>
      </w:pPr>
      <w:r>
        <w:rPr>
          <w:rFonts w:ascii="Calibri" w:cs="Calibri" w:eastAsia="Calibri" w:hAnsi="Calibri"/>
          <w:sz w:val="20"/>
          <w:szCs w:val="20"/>
          <w:color w:val="auto"/>
        </w:rPr>
        <w:t>all mask work rights, mask work registratons and applicatons therefor, and any equivalent or similar rights in Semiconductor masks, layouts, architectures or topology;</w:t>
      </w:r>
    </w:p>
    <w:p>
      <w:pPr>
        <w:spacing w:after="0" w:line="149"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ind w:left="660" w:hanging="652"/>
        <w:spacing w:after="0"/>
        <w:tabs>
          <w:tab w:leader="none" w:pos="660" w:val="left"/>
        </w:tabs>
        <w:numPr>
          <w:ilvl w:val="0"/>
          <w:numId w:val="627"/>
        </w:numPr>
        <w:rPr>
          <w:rFonts w:ascii="Calibri" w:cs="Calibri" w:eastAsia="Calibri" w:hAnsi="Calibri"/>
          <w:sz w:val="20"/>
          <w:szCs w:val="20"/>
          <w:color w:val="auto"/>
        </w:rPr>
      </w:pPr>
      <w:r>
        <w:rPr>
          <w:rFonts w:ascii="Calibri" w:cs="Calibri" w:eastAsia="Calibri" w:hAnsi="Calibri"/>
          <w:sz w:val="20"/>
          <w:szCs w:val="20"/>
          <w:color w:val="auto"/>
        </w:rPr>
        <w:t>all rights in industrial designs and any registratons and applicatons therefor throughout the world;</w:t>
      </w:r>
    </w:p>
    <w:p>
      <w:pPr>
        <w:sectPr>
          <w:pgSz w:w="11900" w:h="16838" w:orient="portrait"/>
          <w:cols w:equalWidth="0" w:num="1">
            <w:col w:w="11240"/>
          </w:cols>
          <w:pgMar w:left="320" w:top="1374"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(cd)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0" w:firstLine="4"/>
        <w:spacing w:after="0" w:line="208" w:lineRule="auto"/>
        <w:rPr>
          <w:sz w:val="20"/>
          <w:szCs w:val="20"/>
          <w:color w:val="auto"/>
        </w:rPr>
      </w:pPr>
      <w:r>
        <w:rPr>
          <w:rFonts w:ascii="Calibri" w:cs="Calibri" w:eastAsia="Calibri" w:hAnsi="Calibri"/>
          <w:sz w:val="20"/>
          <w:szCs w:val="20"/>
          <w:color w:val="auto"/>
        </w:rPr>
        <w:t>all rights to trade names, logos, trademarks and service marks, including registered trademarks and service marks and all applicatons to register trademarks and service marks throughout the world;</w:t>
      </w:r>
    </w:p>
    <w:p>
      <w:pPr>
        <w:spacing w:after="0" w:line="161"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rights in Sofware;</w:t>
      </w:r>
    </w:p>
    <w:p>
      <w:pPr>
        <w:spacing w:after="0" w:line="147"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rights to any databases and data collectons throughout the world;</w:t>
      </w:r>
    </w:p>
    <w:p>
      <w:pPr>
        <w:spacing w:after="0" w:line="147" w:lineRule="exact"/>
        <w:rPr>
          <w:sz w:val="20"/>
          <w:szCs w:val="20"/>
          <w:color w:val="auto"/>
        </w:rPr>
      </w:pPr>
    </w:p>
    <w:p>
      <w:pPr>
        <w:sectPr>
          <w:pgSz w:w="11900" w:h="16838" w:orient="portrait"/>
          <w:cols w:equalWidth="0" w:num="2">
            <w:col w:w="280" w:space="380"/>
            <w:col w:w="10580"/>
          </w:cols>
          <w:pgMar w:left="320" w:top="137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all moral and economic rights of authors and inventors, however denominated, throughout the world; and</w:t>
      </w:r>
    </w:p>
    <w:p>
      <w:pPr>
        <w:spacing w:after="0" w:line="200" w:lineRule="exact"/>
        <w:rPr>
          <w:sz w:val="20"/>
          <w:szCs w:val="20"/>
          <w:color w:val="auto"/>
        </w:rPr>
      </w:pPr>
    </w:p>
    <w:p>
      <w:pPr>
        <w:sectPr>
          <w:pgSz w:w="11900" w:h="16838" w:orient="portrait"/>
          <w:cols w:equalWidth="0" w:num="2">
            <w:col w:w="320" w:space="340"/>
            <w:col w:w="10580"/>
          </w:cols>
          <w:pgMar w:left="320" w:top="13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19</w:t>
      </w:r>
    </w:p>
    <w:p>
      <w:pPr>
        <w:sectPr>
          <w:pgSz w:w="11900" w:h="16838" w:orient="portrait"/>
          <w:cols w:equalWidth="0" w:num="1">
            <w:col w:w="11240"/>
          </w:cols>
          <w:pgMar w:left="320" w:top="1374" w:right="339" w:bottom="1440" w:gutter="0" w:footer="0" w:header="0"/>
          <w:type w:val="continuous"/>
        </w:sectPr>
      </w:pPr>
    </w:p>
    <w:bookmarkStart w:id="503" w:name="page504"/>
    <w:bookmarkEnd w:id="503"/>
    <w:p>
      <w:pPr>
        <w:spacing w:after="0"/>
        <w:tabs>
          <w:tab w:leader="none" w:pos="640" w:val="left"/>
        </w:tabs>
        <w:rPr>
          <w:sz w:val="20"/>
          <w:szCs w:val="20"/>
          <w:color w:val="auto"/>
        </w:rPr>
      </w:pPr>
      <w:r>
        <w:rPr>
          <w:rFonts w:ascii="Calibri" w:cs="Calibri" w:eastAsia="Calibri" w:hAnsi="Calibri"/>
          <w:sz w:val="20"/>
          <w:szCs w:val="20"/>
          <w:color w:val="auto"/>
        </w:rPr>
        <w:t>(ch)</w:t>
      </w:r>
      <w:r>
        <w:rPr>
          <w:sz w:val="20"/>
          <w:szCs w:val="20"/>
          <w:color w:val="auto"/>
        </w:rPr>
        <w:tab/>
      </w:r>
      <w:r>
        <w:rPr>
          <w:rFonts w:ascii="Calibri" w:cs="Calibri" w:eastAsia="Calibri" w:hAnsi="Calibri"/>
          <w:sz w:val="20"/>
          <w:szCs w:val="20"/>
          <w:color w:val="auto"/>
        </w:rPr>
        <w:t>any similar or equivalent rights to any of the foregoing anywhere in the world.</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Intellectual Property Embodiments</w:t>
      </w:r>
      <w:r>
        <w:rPr>
          <w:rFonts w:ascii="Calibri" w:cs="Calibri" w:eastAsia="Calibri" w:hAnsi="Calibri"/>
          <w:sz w:val="20"/>
          <w:szCs w:val="20"/>
          <w:color w:val="auto"/>
        </w:rPr>
        <w:t>” means tangible embodiments of Intellectual Property or Technology (including as embodied in Sofware) in any form or medium (including without limitaton, electronic media) that is Project IP.</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Interested Party</w:t>
      </w:r>
      <w:r>
        <w:rPr>
          <w:rFonts w:ascii="Calibri" w:cs="Calibri" w:eastAsia="Calibri" w:hAnsi="Calibri"/>
          <w:sz w:val="20"/>
          <w:szCs w:val="20"/>
          <w:color w:val="auto"/>
        </w:rPr>
        <w:t>” means any (a) ofcer; (b) employee; (c) member of the board of directors or other governing board of the Recipient; (d) partes that advise, approve, recommend, or otherwise partcipate in the business decisions of the Recipient, such as agents, advisors, consultants, atorneys, accountants or shareholders; or (e) immediate family and other Persons directly connected to the Interested Party by law or through a business arrangement.</w:t>
      </w:r>
    </w:p>
    <w:p>
      <w:pPr>
        <w:spacing w:after="0" w:line="173"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Internal Revenue Code</w:t>
      </w:r>
      <w:r>
        <w:rPr>
          <w:rFonts w:ascii="Calibri" w:cs="Calibri" w:eastAsia="Calibri" w:hAnsi="Calibri"/>
          <w:sz w:val="20"/>
          <w:szCs w:val="20"/>
          <w:color w:val="auto"/>
        </w:rPr>
        <w:t>” means the United States Internal Revenue Code of 1986, as amended, and the regulatons promulgated and rulings issued thereunder. Secton references to the Internal Revenue Code are to the Internal Revenue Code as in efect as of the date hereof and any subsequent provisions of the Internal Revenue Code, amendatory thereof, supplemental thereto or substtuted therefor.</w:t>
      </w:r>
    </w:p>
    <w:p>
      <w:pPr>
        <w:spacing w:after="0" w:line="24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ITAR</w:t>
      </w:r>
      <w:r>
        <w:rPr>
          <w:rFonts w:ascii="Calibri" w:cs="Calibri" w:eastAsia="Calibri" w:hAnsi="Calibri"/>
          <w:sz w:val="20"/>
          <w:szCs w:val="20"/>
          <w:color w:val="auto"/>
        </w:rPr>
        <w:t>” means the Internatonal Trafc in Arms Regulatons, 22 C.F.R. Parts 120-130, administered by the US Department of State.</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has the meaning set forth in Secton 6.25(a) (</w:t>
      </w:r>
      <w:r>
        <w:rPr>
          <w:rFonts w:ascii="Calibri" w:cs="Calibri" w:eastAsia="Calibri" w:hAnsi="Calibri"/>
          <w:sz w:val="20"/>
          <w:szCs w:val="20"/>
          <w:b w:val="1"/>
          <w:bCs w:val="1"/>
          <w:color w:val="auto"/>
        </w:rPr>
        <w:t>Informaton Technology; Cyber Security</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Investment Grade Ratng</w:t>
      </w:r>
      <w:r>
        <w:rPr>
          <w:rFonts w:ascii="Calibri" w:cs="Calibri" w:eastAsia="Calibri" w:hAnsi="Calibri"/>
          <w:sz w:val="20"/>
          <w:szCs w:val="20"/>
          <w:color w:val="auto"/>
        </w:rPr>
        <w:t>” means a ratng equal to or higher than BBB-/Baa3 or the equivalent as determined by at least two of Moody’s, S&amp;P or Fitch.</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Joint Research</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Knowingly</w:t>
      </w:r>
      <w:r>
        <w:rPr>
          <w:rFonts w:ascii="Calibri" w:cs="Calibri" w:eastAsia="Calibri" w:hAnsi="Calibri"/>
          <w:sz w:val="20"/>
          <w:szCs w:val="20"/>
          <w:color w:val="auto"/>
        </w:rPr>
        <w:t>” has the meaning set forth in the Guardrail Provisions.</w:t>
      </w:r>
    </w:p>
    <w:p>
      <w:pPr>
        <w:spacing w:after="0" w:line="157"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b w:val="1"/>
          <w:bCs w:val="1"/>
          <w:color w:val="auto"/>
        </w:rPr>
        <w:t>“Knowledge</w:t>
      </w:r>
      <w:r>
        <w:rPr>
          <w:rFonts w:ascii="Calibri" w:cs="Calibri" w:eastAsia="Calibri" w:hAnsi="Calibri"/>
          <w:sz w:val="20"/>
          <w:szCs w:val="20"/>
          <w:color w:val="auto"/>
        </w:rPr>
        <w:t>” means with respect to any Recipient Party, (a) the actual knowledge of any Principal Persons of such Recipient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Party; or (b) any knowledge that should have been obtained by any Principal Person of such Recipient Party upon reasonable investgaton and inquiry in the ordinary course of such Principal Person performing its dutes based on its applicable ttle or positon.</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Lease</w:t>
      </w:r>
      <w:r>
        <w:rPr>
          <w:rFonts w:ascii="Calibri" w:cs="Calibri" w:eastAsia="Calibri" w:hAnsi="Calibri"/>
          <w:sz w:val="20"/>
          <w:szCs w:val="20"/>
          <w:color w:val="auto"/>
        </w:rPr>
        <w:t>” means any agreement that would be characterized under the Applicable Accountng Requirements as an operatng lease, including sub-leases.</w:t>
      </w:r>
    </w:p>
    <w:p>
      <w:pPr>
        <w:spacing w:after="0" w:line="171" w:lineRule="exact"/>
        <w:rPr>
          <w:sz w:val="20"/>
          <w:szCs w:val="20"/>
          <w:color w:val="auto"/>
        </w:rPr>
      </w:pPr>
    </w:p>
    <w:p>
      <w:pPr>
        <w:jc w:val="both"/>
        <w:ind w:firstLine="648"/>
        <w:spacing w:after="0" w:line="22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Lien</w:t>
      </w:r>
      <w:r>
        <w:rPr>
          <w:rFonts w:ascii="Calibri" w:cs="Calibri" w:eastAsia="Calibri" w:hAnsi="Calibri"/>
          <w:sz w:val="20"/>
          <w:szCs w:val="20"/>
          <w:color w:val="auto"/>
        </w:rPr>
        <w:t>” means any lien (statutory or other), pledge, mortgage, charge, security interest, deed of trust, assignment, hypothecaton, ttle retenton, fduciary transfer, deposit arrangement, easement, encumbrance or preference, priority or other security agreement or preferental arrangement of any kind or nature whatsoever in respect of an asset, whether or not fled, recorded or otherwise perfected or efectve under Applicable Law, as well as the interest of a vendor or lessor under any conditonal sale agreement, Finance Lease or other ttle retenton agreement relatng to such asset, (including any conditonal sale or other ttle retenton agreement, any Finance Lease having substantally the same economic efect as any of the foregoing, or any preferental arrangement having the practcal efect of consttutng a security interest with respect to the payment of any obligaton with, or from the proceeds of, any asset or revenue of any kind).</w:t>
      </w:r>
    </w:p>
    <w:p>
      <w:pPr>
        <w:spacing w:after="0" w:line="173" w:lineRule="exact"/>
        <w:rPr>
          <w:sz w:val="20"/>
          <w:szCs w:val="20"/>
          <w:color w:val="auto"/>
        </w:rPr>
      </w:pPr>
    </w:p>
    <w:p>
      <w:pPr>
        <w:jc w:val="both"/>
        <w:ind w:firstLine="648"/>
        <w:spacing w:after="0" w:line="20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Adverse Efect</w:t>
      </w:r>
      <w:r>
        <w:rPr>
          <w:rFonts w:ascii="Calibri" w:cs="Calibri" w:eastAsia="Calibri" w:hAnsi="Calibri"/>
          <w:sz w:val="20"/>
          <w:szCs w:val="20"/>
          <w:color w:val="auto"/>
        </w:rPr>
        <w:t>” means, as of any date of determinaton by the Department, a material and adverse efect on: (a) any Project (excluding for these purposes, any efect on the Total Project Costs of any Project); (b) the ability of any Recipient Party to observe and perform its material obligatons or enforce its rights in a tmely manner under any Financing Document to which it is a party; (c) the business, operatons, liabilites, conditon (fnancial or otherwise) or Property of the Recipient Partes taken as a whole;</w:t>
      </w:r>
    </w:p>
    <w:p>
      <w:pPr>
        <w:spacing w:after="0" w:line="3" w:lineRule="exact"/>
        <w:rPr>
          <w:sz w:val="20"/>
          <w:szCs w:val="20"/>
          <w:color w:val="auto"/>
        </w:rPr>
      </w:pPr>
    </w:p>
    <w:p>
      <w:pPr>
        <w:ind w:firstLine="8"/>
        <w:spacing w:after="0" w:line="196" w:lineRule="auto"/>
        <w:tabs>
          <w:tab w:leader="none" w:pos="312" w:val="left"/>
        </w:tabs>
        <w:numPr>
          <w:ilvl w:val="0"/>
          <w:numId w:val="628"/>
        </w:numPr>
        <w:rPr>
          <w:rFonts w:ascii="Calibri" w:cs="Calibri" w:eastAsia="Calibri" w:hAnsi="Calibri"/>
          <w:sz w:val="20"/>
          <w:szCs w:val="20"/>
          <w:color w:val="auto"/>
        </w:rPr>
      </w:pPr>
      <w:r>
        <w:rPr>
          <w:rFonts w:ascii="Calibri" w:cs="Calibri" w:eastAsia="Calibri" w:hAnsi="Calibri"/>
          <w:sz w:val="20"/>
          <w:szCs w:val="20"/>
          <w:color w:val="auto"/>
        </w:rPr>
        <w:t>the validity or enforceability of any material provision of any Financing Document; or (e) any material right or remedy of any Recipient Party or the Department under the Financing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240"/>
          </w:cols>
          <w:pgMar w:left="320" w:top="1374" w:right="339" w:bottom="1440" w:gutter="0" w:footer="0" w:header="0"/>
        </w:sectPr>
      </w:pPr>
    </w:p>
    <w:bookmarkStart w:id="504" w:name="page505"/>
    <w:bookmarkEnd w:id="504"/>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Expansion</w:t>
      </w:r>
      <w:r>
        <w:rPr>
          <w:rFonts w:ascii="Calibri" w:cs="Calibri" w:eastAsia="Calibri" w:hAnsi="Calibri"/>
          <w:sz w:val="20"/>
          <w:szCs w:val="20"/>
          <w:color w:val="auto"/>
        </w:rPr>
        <w:t>” has the meaning set forth in the Guardrail Provisions.</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Maximum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Maximum Direct Funding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Maximum Workforce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has the meaning set forth in the Guardrail Provisions.</w:t>
      </w:r>
    </w:p>
    <w:p>
      <w:pPr>
        <w:spacing w:after="0" w:line="157"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Milestone Based Schedule</w:t>
      </w:r>
      <w:r>
        <w:rPr>
          <w:rFonts w:ascii="Calibri" w:cs="Calibri" w:eastAsia="Calibri" w:hAnsi="Calibri"/>
          <w:sz w:val="20"/>
          <w:szCs w:val="20"/>
          <w:color w:val="auto"/>
        </w:rPr>
        <w:t>” means, with respect to each Project, a milestone-based constructon schedule that sets out each critcal path constructon milestone (including each Disbursement Milestone) necessary to achieve the Project Completon Date for such Project, which schedule shall include at a minimum (a) antcipated progress on a no less than monthly interim for each constructon milestone; (b) estmated and actual start dates for each constructon milestone; (c) estmated and actual completon dates for each constructon milestone; (d) progress metrics for each constructon milestone; and (e) other informaton requested by the Department.</w:t>
      </w:r>
    </w:p>
    <w:p>
      <w:pPr>
        <w:spacing w:after="0" w:line="161"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Milestone Completon Longstop Date</w:t>
      </w:r>
      <w:r>
        <w:rPr>
          <w:rFonts w:ascii="Calibri" w:cs="Calibri" w:eastAsia="Calibri" w:hAnsi="Calibri"/>
          <w:sz w:val="20"/>
          <w:szCs w:val="20"/>
          <w:color w:val="auto"/>
        </w:rPr>
        <w:t>” means, with respect to any Disbursement Milestone, the relevant date set forth in the Disbursement Milestone Schedule under the column enttled “Milestone Completon Longstop Date” for such Disbursement Milestone.</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Mitgaton Agreement</w:t>
      </w:r>
      <w:r>
        <w:rPr>
          <w:rFonts w:ascii="Calibri" w:cs="Calibri" w:eastAsia="Calibri" w:hAnsi="Calibri"/>
          <w:sz w:val="20"/>
          <w:szCs w:val="20"/>
          <w:color w:val="auto"/>
        </w:rPr>
        <w:t>” has the meaning set forth in the Guardrail Provisions.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Moody’s</w:t>
      </w:r>
      <w:r>
        <w:rPr>
          <w:rFonts w:ascii="Calibri" w:cs="Calibri" w:eastAsia="Calibri" w:hAnsi="Calibri"/>
          <w:sz w:val="20"/>
          <w:szCs w:val="20"/>
          <w:color w:val="auto"/>
        </w:rPr>
        <w:t>” means Moody’s Ratngs (formerly known as Moody’s Investors Service, Inc.), so long as it is a ratng agency.</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NEPA</w:t>
      </w:r>
      <w:r>
        <w:rPr>
          <w:rFonts w:ascii="Calibri" w:cs="Calibri" w:eastAsia="Calibri" w:hAnsi="Calibri"/>
          <w:sz w:val="20"/>
          <w:szCs w:val="20"/>
          <w:color w:val="auto"/>
        </w:rPr>
        <w:t xml:space="preserve">” means the Natonal Environmental Policy Act of 1969, as amended, 42 U.S.C. § 4321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NOFO</w:t>
      </w:r>
      <w:r>
        <w:rPr>
          <w:rFonts w:ascii="Calibri" w:cs="Calibri" w:eastAsia="Calibri" w:hAnsi="Calibri"/>
          <w:sz w:val="20"/>
          <w:szCs w:val="20"/>
          <w:color w:val="auto"/>
        </w:rPr>
        <w:t>” has the meaning set forth in the recitals hereto.</w:t>
      </w:r>
    </w:p>
    <w:p>
      <w:pPr>
        <w:spacing w:after="0" w:line="157"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Non-Appealable</w:t>
      </w:r>
      <w:r>
        <w:rPr>
          <w:rFonts w:ascii="Calibri" w:cs="Calibri" w:eastAsia="Calibri" w:hAnsi="Calibri"/>
          <w:sz w:val="20"/>
          <w:szCs w:val="20"/>
          <w:color w:val="auto"/>
        </w:rPr>
        <w:t>” means, with respect to any Required Approval, unless otherwise agreed by the Department, (a) such Required Approval is not subject to any pending appeal, interventon or similar proceeding or any unsatsfed conditon which may result in modifcaton or revocaton; and (b) all applicable appeal periods have expired (except for any Required Approval which does not have any limit on an appeal period under Applicable Law).</w:t>
      </w:r>
    </w:p>
    <w:p>
      <w:pPr>
        <w:spacing w:after="0" w:line="15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1 Direct Funding Award</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1 Maximum Direct Funding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1 Project</w:t>
      </w:r>
      <w:r>
        <w:rPr>
          <w:rFonts w:ascii="Calibri" w:cs="Calibri" w:eastAsia="Calibri" w:hAnsi="Calibri"/>
          <w:sz w:val="20"/>
          <w:szCs w:val="20"/>
          <w:color w:val="auto"/>
        </w:rPr>
        <w:t>” has the meaning set forth in the recitals hereto.</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2 Direct Funding Award</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2 Maximum Direct Funding Award Amount</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Fab 2 Project</w:t>
      </w:r>
      <w:r>
        <w:rPr>
          <w:rFonts w:ascii="Calibri" w:cs="Calibri" w:eastAsia="Calibri" w:hAnsi="Calibri"/>
          <w:sz w:val="20"/>
          <w:szCs w:val="20"/>
          <w:color w:val="auto"/>
        </w:rPr>
        <w:t>” has the meaning set forth in the recitals hereto.</w:t>
      </w:r>
    </w:p>
    <w:p>
      <w:pPr>
        <w:spacing w:after="0" w:line="157" w:lineRule="exact"/>
        <w:rPr>
          <w:sz w:val="20"/>
          <w:szCs w:val="20"/>
          <w:color w:val="auto"/>
        </w:rPr>
      </w:pPr>
    </w:p>
    <w:p>
      <w:pPr>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OFAC</w:t>
      </w:r>
      <w:r>
        <w:rPr>
          <w:rFonts w:ascii="Calibri" w:cs="Calibri" w:eastAsia="Calibri" w:hAnsi="Calibri"/>
          <w:sz w:val="20"/>
          <w:szCs w:val="20"/>
          <w:color w:val="auto"/>
        </w:rPr>
        <w:t>” means the Ofce of Foreign Assets Control, agency of the United States Department of the Treasury under the auspices of the Under-Secretary of the Treasury for Terrorism and Financial Intelligence.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ectPr>
          <w:pgSz w:w="11900" w:h="16838" w:orient="portrait"/>
          <w:cols w:equalWidth="0" w:num="1">
            <w:col w:w="11240"/>
          </w:cols>
          <w:pgMar w:left="320" w:top="1374" w:right="339" w:bottom="1440" w:gutter="0" w:footer="0" w:header="0"/>
        </w:sectPr>
      </w:pPr>
    </w:p>
    <w:bookmarkStart w:id="505" w:name="page506"/>
    <w:bookmarkEnd w:id="505"/>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Ofcer’s Certfcate</w:t>
      </w:r>
      <w:r>
        <w:rPr>
          <w:rFonts w:ascii="Calibri" w:cs="Calibri" w:eastAsia="Calibri" w:hAnsi="Calibri"/>
          <w:sz w:val="20"/>
          <w:szCs w:val="20"/>
          <w:color w:val="auto"/>
        </w:rPr>
        <w:t>” means, with respect to any Person, a certfcate signed on behalf of such Person by an Authorized Ofcer thereof and relatng to the items or maters for which such certfcate is required, in each case, in form and substance reasonably acceptable to the Department.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OIG</w:t>
      </w:r>
      <w:r>
        <w:rPr>
          <w:rFonts w:ascii="Calibri" w:cs="Calibri" w:eastAsia="Calibri" w:hAnsi="Calibri"/>
          <w:sz w:val="20"/>
          <w:szCs w:val="20"/>
          <w:color w:val="auto"/>
        </w:rPr>
        <w:t>” means the Ofce of Inspector General of the Department.</w:t>
      </w:r>
    </w:p>
    <w:p>
      <w:pPr>
        <w:spacing w:after="0" w:line="17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Operatng Expenses</w:t>
      </w:r>
      <w:r>
        <w:rPr>
          <w:rFonts w:ascii="Calibri" w:cs="Calibri" w:eastAsia="Calibri" w:hAnsi="Calibri"/>
          <w:sz w:val="20"/>
          <w:szCs w:val="20"/>
          <w:color w:val="auto"/>
        </w:rPr>
        <w:t>” has the meaning set forth in the Applicable Accountng Requirements.</w:t>
      </w:r>
    </w:p>
    <w:p>
      <w:pPr>
        <w:spacing w:after="0" w:line="171"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Organizatonal Documents</w:t>
      </w:r>
      <w:r>
        <w:rPr>
          <w:rFonts w:ascii="Calibri" w:cs="Calibri" w:eastAsia="Calibri" w:hAnsi="Calibri"/>
          <w:sz w:val="20"/>
          <w:szCs w:val="20"/>
          <w:color w:val="auto"/>
        </w:rPr>
        <w:t>” means, with respect to any Person: (a) to the extent such Person is a corporaton, the certfcate or artcles of incorporaton and the by-laws of such Person; (b) to the extent such Person is a limited liability company, the certfcate of formaton or artcles of formaton or organizaton and operatng or limited liability company agreement of such Person; and (c) to the extent such Person is a partnership, joint venture, trust or other form of business, the partnership, joint venture, trust or other applicable agreement of formaton or organizaton, and any agreement, instrument, fling or notce with respect thereto fled in connecton with its formaton or organizaton with the applicable Governmental Authority in the jurisdicton of its formaton or organizaton and, if applicable, any certfcate or artcles of formaton or organizaton or formaton of such Person.</w:t>
      </w:r>
    </w:p>
    <w:p>
      <w:pPr>
        <w:spacing w:after="0" w:line="15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Party</w:t>
      </w:r>
      <w:r>
        <w:rPr>
          <w:rFonts w:ascii="Calibri" w:cs="Calibri" w:eastAsia="Calibri" w:hAnsi="Calibri"/>
          <w:sz w:val="20"/>
          <w:szCs w:val="20"/>
          <w:color w:val="auto"/>
        </w:rPr>
        <w:t>” and “</w:t>
      </w:r>
      <w:r>
        <w:rPr>
          <w:rFonts w:ascii="Calibri" w:cs="Calibri" w:eastAsia="Calibri" w:hAnsi="Calibri"/>
          <w:sz w:val="20"/>
          <w:szCs w:val="20"/>
          <w:b w:val="1"/>
          <w:bCs w:val="1"/>
          <w:color w:val="auto"/>
        </w:rPr>
        <w:t>Partes</w:t>
      </w:r>
      <w:r>
        <w:rPr>
          <w:rFonts w:ascii="Calibri" w:cs="Calibri" w:eastAsia="Calibri" w:hAnsi="Calibri"/>
          <w:sz w:val="20"/>
          <w:szCs w:val="20"/>
          <w:color w:val="auto"/>
        </w:rPr>
        <w:t>” has the meaning set forth in the preamble hereto.</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Patriot Act</w:t>
      </w:r>
      <w:r>
        <w:rPr>
          <w:rFonts w:ascii="Calibri" w:cs="Calibri" w:eastAsia="Calibri" w:hAnsi="Calibri"/>
          <w:sz w:val="20"/>
          <w:szCs w:val="20"/>
          <w:color w:val="auto"/>
        </w:rPr>
        <w:t>” means the Unitng and Strengthening America by Providing Appropriate Tools Required to Intercept and Obstruct Terrorism Act of 2001, and all regulatons promulgated thereunder.</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Period of Performance”</w:t>
      </w:r>
      <w:r>
        <w:rPr>
          <w:rFonts w:ascii="Calibri" w:cs="Calibri" w:eastAsia="Calibri" w:hAnsi="Calibri"/>
          <w:sz w:val="20"/>
          <w:szCs w:val="20"/>
          <w:color w:val="auto"/>
        </w:rPr>
        <w:t xml:space="preserve"> means, with respect to each Project, the period commencing on the Award Date and ending on the earlier of (a) the ffh (5th) anniversary of the Project Completon Date for such Project and (b) the date on which such Project is Abandoned prior to the Project Completon Date and the Department Obligatons have been paid in full.</w:t>
      </w:r>
    </w:p>
    <w:p>
      <w:pPr>
        <w:spacing w:after="0" w:line="157"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Periodic Expenses</w:t>
      </w:r>
      <w:r>
        <w:rPr>
          <w:rFonts w:ascii="Calibri" w:cs="Calibri" w:eastAsia="Calibri" w:hAnsi="Calibri"/>
          <w:sz w:val="20"/>
          <w:szCs w:val="20"/>
          <w:color w:val="auto"/>
        </w:rPr>
        <w:t>” means all of the following amounts from tme to tme incurred under or in connecton with the Financing Documents: (a) recordaton and other costs, fees and charges in connecton with the executon, delivery, fling, registraton, or performance of the Financing Documents; (b) fees, charges, and expenses of any Consultants, in each case, solely to the extent payable by the Recipient pursuant to the applicable fee leter or similar arrangements; and (c) other fees, charges, expenses and other amounts from tme to tme due under or in connecton with the Financing Documents.</w:t>
      </w:r>
    </w:p>
    <w:p>
      <w:pPr>
        <w:spacing w:after="0" w:line="15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Dispositon</w:t>
      </w:r>
      <w:r>
        <w:rPr>
          <w:rFonts w:ascii="Calibri" w:cs="Calibri" w:eastAsia="Calibri" w:hAnsi="Calibri"/>
          <w:sz w:val="20"/>
          <w:szCs w:val="20"/>
          <w:color w:val="auto"/>
        </w:rPr>
        <w:t>” means:</w:t>
      </w:r>
    </w:p>
    <w:p>
      <w:pPr>
        <w:sectPr>
          <w:pgSz w:w="11900" w:h="16838" w:orient="portrait"/>
          <w:cols w:equalWidth="0" w:num="1">
            <w:col w:w="11240"/>
          </w:cols>
          <w:pgMar w:left="320" w:top="1384" w:right="339" w:bottom="1440" w:gutter="0" w:footer="0" w:header="0"/>
        </w:sectPr>
      </w:pP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(ci)</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0" w:hanging="1"/>
        <w:spacing w:after="0" w:line="208" w:lineRule="auto"/>
        <w:rPr>
          <w:sz w:val="20"/>
          <w:szCs w:val="20"/>
          <w:color w:val="auto"/>
        </w:rPr>
      </w:pPr>
      <w:r>
        <w:rPr>
          <w:rFonts w:ascii="Calibri" w:cs="Calibri" w:eastAsia="Calibri" w:hAnsi="Calibri"/>
          <w:sz w:val="20"/>
          <w:szCs w:val="20"/>
          <w:color w:val="auto"/>
        </w:rPr>
        <w:t>any transacton permited under the Financing Documents, including any Dispositon of Product under any Customer Agreement; and</w:t>
      </w:r>
    </w:p>
    <w:p>
      <w:pPr>
        <w:spacing w:after="0" w:line="161" w:lineRule="exact"/>
        <w:rPr>
          <w:sz w:val="20"/>
          <w:szCs w:val="20"/>
          <w:color w:val="auto"/>
        </w:rPr>
      </w:pPr>
    </w:p>
    <w:p>
      <w:pPr>
        <w:sectPr>
          <w:pgSz w:w="11900" w:h="16838" w:orient="portrait"/>
          <w:cols w:equalWidth="0" w:num="2">
            <w:col w:w="260" w:space="40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(cj)</w:t>
      </w:r>
    </w:p>
    <w:p>
      <w:pPr>
        <w:spacing w:after="0" w:line="20" w:lineRule="exact"/>
        <w:rPr>
          <w:sz w:val="20"/>
          <w:szCs w:val="20"/>
          <w:color w:val="auto"/>
        </w:rPr>
      </w:pPr>
      <w:r>
        <w:rPr>
          <w:sz w:val="20"/>
          <w:szCs w:val="20"/>
          <w:color w:val="auto"/>
        </w:rPr>
        <w:br w:type="column"/>
      </w:r>
    </w:p>
    <w:p>
      <w:pPr>
        <w:ind w:right="20"/>
        <w:spacing w:after="0" w:line="208" w:lineRule="auto"/>
        <w:rPr>
          <w:sz w:val="20"/>
          <w:szCs w:val="20"/>
          <w:color w:val="auto"/>
        </w:rPr>
      </w:pPr>
      <w:r>
        <w:rPr>
          <w:rFonts w:ascii="Calibri" w:cs="Calibri" w:eastAsia="Calibri" w:hAnsi="Calibri"/>
          <w:sz w:val="20"/>
          <w:szCs w:val="20"/>
          <w:color w:val="auto"/>
        </w:rPr>
        <w:t>any Dispositon of any equipment or property of the Recipient that is: (i) obsolete; (ii) no longer used or useful in the operaton of any Project; or (iii) replaced by other equipment of equal value and utlity, and in all cases for which the (A) Recipient has</w:t>
      </w:r>
    </w:p>
    <w:p>
      <w:pPr>
        <w:spacing w:after="0" w:line="1" w:lineRule="exact"/>
        <w:rPr>
          <w:sz w:val="20"/>
          <w:szCs w:val="20"/>
          <w:color w:val="auto"/>
        </w:rPr>
      </w:pPr>
    </w:p>
    <w:p>
      <w:pPr>
        <w:sectPr>
          <w:pgSz w:w="11900" w:h="16838" w:orient="portrait"/>
          <w:cols w:equalWidth="0" w:num="2">
            <w:col w:w="260" w:space="400"/>
            <w:col w:w="10580"/>
          </w:cols>
          <w:pgMar w:left="320" w:top="1384" w:right="339" w:bottom="1440" w:gutter="0" w:footer="0" w:header="0"/>
          <w:type w:val="continuous"/>
        </w:sectPr>
      </w:pPr>
    </w:p>
    <w:p>
      <w:pPr>
        <w:ind w:left="660"/>
        <w:spacing w:after="0" w:line="199" w:lineRule="auto"/>
        <w:rPr>
          <w:sz w:val="20"/>
          <w:szCs w:val="20"/>
          <w:color w:val="auto"/>
        </w:rPr>
      </w:pPr>
      <w:r>
        <w:rPr>
          <w:rFonts w:ascii="Calibri" w:cs="Calibri" w:eastAsia="Calibri" w:hAnsi="Calibri"/>
          <w:sz w:val="20"/>
          <w:szCs w:val="20"/>
          <w:color w:val="auto"/>
        </w:rPr>
        <w:t>received proceeds from such Dispositon in an amount equal to the value that would have been obtained in an arm’s length</w:t>
      </w:r>
    </w:p>
    <w:p>
      <w:pPr>
        <w:ind w:left="660"/>
        <w:spacing w:after="0" w:line="192" w:lineRule="auto"/>
        <w:rPr>
          <w:sz w:val="20"/>
          <w:szCs w:val="20"/>
          <w:color w:val="auto"/>
        </w:rPr>
      </w:pPr>
      <w:r>
        <w:rPr>
          <w:rFonts w:ascii="Calibri" w:cs="Calibri" w:eastAsia="Calibri" w:hAnsi="Calibri"/>
          <w:sz w:val="20"/>
          <w:szCs w:val="20"/>
          <w:color w:val="auto"/>
        </w:rPr>
        <w:t>transacton with an unafliated third party (unless such assets only have scrap value); and (B) such proceeds are either (1) applied towards the purchase of replacement equipment or property for use in connecton with any Project or (2) are not</w:t>
      </w:r>
    </w:p>
    <w:p>
      <w:pPr>
        <w:spacing w:after="0" w:line="1" w:lineRule="exact"/>
        <w:rPr>
          <w:sz w:val="20"/>
          <w:szCs w:val="20"/>
          <w:color w:val="auto"/>
        </w:rPr>
      </w:pPr>
    </w:p>
    <w:p>
      <w:pPr>
        <w:ind w:left="660"/>
        <w:spacing w:after="0" w:line="199" w:lineRule="auto"/>
        <w:rPr>
          <w:sz w:val="20"/>
          <w:szCs w:val="20"/>
          <w:color w:val="auto"/>
        </w:rPr>
      </w:pPr>
      <w:r>
        <w:rPr>
          <w:rFonts w:ascii="Calibri" w:cs="Calibri" w:eastAsia="Calibri" w:hAnsi="Calibri"/>
          <w:sz w:val="20"/>
          <w:szCs w:val="20"/>
          <w:color w:val="auto"/>
        </w:rPr>
        <w:t>applied towards the purchase of replacement equipment or property for use in connecton with the Project and do not exceed (in an aggregate amount) two hundred ffy thousand Dollars ($250,000,000) in any Fiscal Year of the Recipient.</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Shareholder Loans</w:t>
      </w:r>
      <w:r>
        <w:rPr>
          <w:rFonts w:ascii="Calibri" w:cs="Calibri" w:eastAsia="Calibri" w:hAnsi="Calibri"/>
          <w:sz w:val="20"/>
          <w:szCs w:val="20"/>
          <w:color w:val="auto"/>
        </w:rPr>
        <w:t>” means:</w:t>
      </w:r>
    </w:p>
    <w:p>
      <w:pPr>
        <w:sectPr>
          <w:pgSz w:w="11900" w:h="16838" w:orient="portrait"/>
          <w:cols w:equalWidth="0" w:num="1">
            <w:col w:w="11240"/>
          </w:cols>
          <w:pgMar w:left="320" w:top="1384"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(ck)</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loans made pursuant to the Revolving Credit Agreement dated July 18, 2023, by and between the Sponsor Guarantor, as lender,</w:t>
      </w:r>
    </w:p>
    <w:p>
      <w:pPr>
        <w:spacing w:after="0" w:line="1" w:lineRule="exact"/>
        <w:rPr>
          <w:sz w:val="20"/>
          <w:szCs w:val="20"/>
          <w:color w:val="auto"/>
        </w:rPr>
      </w:pPr>
    </w:p>
    <w:p>
      <w:pPr>
        <w:sectPr>
          <w:pgSz w:w="11900" w:h="16838" w:orient="portrait"/>
          <w:cols w:equalWidth="0" w:num="2">
            <w:col w:w="300" w:space="360"/>
            <w:col w:w="10580"/>
          </w:cols>
          <w:pgMar w:left="320" w:top="1384" w:right="339" w:bottom="1440" w:gutter="0" w:footer="0" w:header="0"/>
          <w:type w:val="continuous"/>
        </w:sectPr>
      </w:pPr>
    </w:p>
    <w:p>
      <w:pPr>
        <w:ind w:left="660"/>
        <w:spacing w:after="0" w:line="199" w:lineRule="auto"/>
        <w:rPr>
          <w:sz w:val="20"/>
          <w:szCs w:val="20"/>
          <w:color w:val="auto"/>
        </w:rPr>
      </w:pPr>
      <w:r>
        <w:rPr>
          <w:rFonts w:ascii="Calibri" w:cs="Calibri" w:eastAsia="Calibri" w:hAnsi="Calibri"/>
          <w:sz w:val="20"/>
          <w:szCs w:val="20"/>
          <w:color w:val="auto"/>
        </w:rPr>
        <w:t>and the Recipient, as borrower; and</w:t>
      </w:r>
    </w:p>
    <w:p>
      <w:pPr>
        <w:sectPr>
          <w:pgSz w:w="11900" w:h="16838" w:orient="portrait"/>
          <w:cols w:equalWidth="0" w:num="1">
            <w:col w:w="11240"/>
          </w:cols>
          <w:pgMar w:left="320" w:top="1384" w:right="3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(cl)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alibri" w:cs="Calibri" w:eastAsia="Calibri" w:hAnsi="Calibri"/>
          <w:sz w:val="20"/>
          <w:szCs w:val="20"/>
          <w:color w:val="auto"/>
        </w:rPr>
        <w:t>any loans that are made:</w:t>
      </w:r>
    </w:p>
    <w:p>
      <w:pPr>
        <w:spacing w:after="0" w:line="200" w:lineRule="exact"/>
        <w:rPr>
          <w:sz w:val="20"/>
          <w:szCs w:val="20"/>
          <w:color w:val="auto"/>
        </w:rPr>
      </w:pPr>
    </w:p>
    <w:p>
      <w:pPr>
        <w:sectPr>
          <w:pgSz w:w="11900" w:h="16838" w:orient="portrait"/>
          <w:cols w:equalWidth="0" w:num="2">
            <w:col w:w="260" w:space="400"/>
            <w:col w:w="10580"/>
          </w:cols>
          <w:pgMar w:left="320" w:top="1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22</w:t>
      </w:r>
    </w:p>
    <w:p>
      <w:pPr>
        <w:sectPr>
          <w:pgSz w:w="11900" w:h="16838" w:orient="portrait"/>
          <w:cols w:equalWidth="0" w:num="1">
            <w:col w:w="11240"/>
          </w:cols>
          <w:pgMar w:left="320" w:top="1384" w:right="339" w:bottom="1440" w:gutter="0" w:footer="0" w:header="0"/>
          <w:type w:val="continuous"/>
        </w:sectPr>
      </w:pPr>
    </w:p>
    <w:bookmarkStart w:id="506" w:name="page507"/>
    <w:bookmarkEnd w:id="506"/>
    <w:p>
      <w:pPr>
        <w:jc w:val="both"/>
        <w:ind w:left="1300" w:hanging="644"/>
        <w:spacing w:after="0" w:line="205" w:lineRule="auto"/>
        <w:tabs>
          <w:tab w:leader="none" w:pos="1294" w:val="left"/>
        </w:tabs>
        <w:numPr>
          <w:ilvl w:val="0"/>
          <w:numId w:val="629"/>
        </w:numPr>
        <w:rPr>
          <w:rFonts w:ascii="Calibri" w:cs="Calibri" w:eastAsia="Calibri" w:hAnsi="Calibri"/>
          <w:sz w:val="20"/>
          <w:szCs w:val="20"/>
          <w:color w:val="auto"/>
        </w:rPr>
      </w:pPr>
      <w:r>
        <w:rPr>
          <w:rFonts w:ascii="Calibri" w:cs="Calibri" w:eastAsia="Calibri" w:hAnsi="Calibri"/>
          <w:sz w:val="20"/>
          <w:szCs w:val="20"/>
          <w:color w:val="auto"/>
        </w:rPr>
        <w:t>by, or on behalf of, the Sponsor Guarantor to the Recipient in lieu of purchasing Equity Interests or refectng non-cash intercompany allocatons of overhead and other costs appropriately atributable to the Recipient and allocated in accordance with the Sponsor Guarantor’s customary allocaton practces,</w:t>
      </w:r>
    </w:p>
    <w:p>
      <w:pPr>
        <w:spacing w:after="0" w:line="161" w:lineRule="exact"/>
        <w:rPr>
          <w:rFonts w:ascii="Calibri" w:cs="Calibri" w:eastAsia="Calibri" w:hAnsi="Calibri"/>
          <w:sz w:val="20"/>
          <w:szCs w:val="20"/>
          <w:color w:val="auto"/>
        </w:rPr>
      </w:pPr>
    </w:p>
    <w:p>
      <w:pPr>
        <w:ind w:left="1300" w:hanging="644"/>
        <w:spacing w:after="0"/>
        <w:tabs>
          <w:tab w:leader="none" w:pos="1300" w:val="left"/>
        </w:tabs>
        <w:numPr>
          <w:ilvl w:val="0"/>
          <w:numId w:val="629"/>
        </w:numPr>
        <w:rPr>
          <w:rFonts w:ascii="Calibri" w:cs="Calibri" w:eastAsia="Calibri" w:hAnsi="Calibri"/>
          <w:sz w:val="20"/>
          <w:szCs w:val="20"/>
          <w:color w:val="auto"/>
        </w:rPr>
      </w:pPr>
      <w:r>
        <w:rPr>
          <w:rFonts w:ascii="Calibri" w:cs="Calibri" w:eastAsia="Calibri" w:hAnsi="Calibri"/>
          <w:sz w:val="20"/>
          <w:szCs w:val="20"/>
          <w:color w:val="auto"/>
        </w:rPr>
        <w:t>are unsecured; and</w:t>
      </w:r>
    </w:p>
    <w:p>
      <w:pPr>
        <w:spacing w:after="0" w:line="147" w:lineRule="exact"/>
        <w:rPr>
          <w:rFonts w:ascii="Calibri" w:cs="Calibri" w:eastAsia="Calibri" w:hAnsi="Calibri"/>
          <w:sz w:val="20"/>
          <w:szCs w:val="20"/>
          <w:color w:val="auto"/>
        </w:rPr>
      </w:pPr>
    </w:p>
    <w:p>
      <w:pPr>
        <w:ind w:left="1300" w:hanging="644"/>
        <w:spacing w:after="0"/>
        <w:tabs>
          <w:tab w:leader="none" w:pos="1300" w:val="left"/>
        </w:tabs>
        <w:numPr>
          <w:ilvl w:val="0"/>
          <w:numId w:val="629"/>
        </w:numPr>
        <w:rPr>
          <w:rFonts w:ascii="Calibri" w:cs="Calibri" w:eastAsia="Calibri" w:hAnsi="Calibri"/>
          <w:sz w:val="20"/>
          <w:szCs w:val="20"/>
          <w:color w:val="auto"/>
        </w:rPr>
      </w:pPr>
      <w:r>
        <w:rPr>
          <w:rFonts w:ascii="Calibri" w:cs="Calibri" w:eastAsia="Calibri" w:hAnsi="Calibri"/>
          <w:sz w:val="20"/>
          <w:szCs w:val="20"/>
          <w:color w:val="auto"/>
        </w:rPr>
        <w:t>are made on the terms and conditons substantally similar to those described in clause (a) above.</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Permitng Plan</w:t>
      </w:r>
      <w:r>
        <w:rPr>
          <w:rFonts w:ascii="Calibri" w:cs="Calibri" w:eastAsia="Calibri" w:hAnsi="Calibri"/>
          <w:sz w:val="20"/>
          <w:szCs w:val="20"/>
          <w:color w:val="auto"/>
        </w:rPr>
        <w:t>” means, with respect to any Project, the list of Required Approvals for such Project and corresponding deadline for each such Required Approval to be obtained set forth on Schedule C (</w:t>
      </w:r>
      <w:r>
        <w:rPr>
          <w:rFonts w:ascii="Calibri" w:cs="Calibri" w:eastAsia="Calibri" w:hAnsi="Calibri"/>
          <w:sz w:val="20"/>
          <w:szCs w:val="20"/>
          <w:b w:val="1"/>
          <w:bCs w:val="1"/>
          <w:color w:val="auto"/>
        </w:rPr>
        <w:t>Permitng Plan</w:t>
      </w:r>
      <w:r>
        <w:rPr>
          <w:rFonts w:ascii="Calibri" w:cs="Calibri" w:eastAsia="Calibri" w:hAnsi="Calibri"/>
          <w:sz w:val="20"/>
          <w:szCs w:val="20"/>
          <w:color w:val="auto"/>
        </w:rPr>
        <w:t>) hereto, as the same may be updated or otherwise modifed from tme to tme.</w:t>
      </w:r>
    </w:p>
    <w:p>
      <w:pPr>
        <w:spacing w:after="0" w:line="159"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Person</w:t>
      </w:r>
      <w:r>
        <w:rPr>
          <w:rFonts w:ascii="Calibri" w:cs="Calibri" w:eastAsia="Calibri" w:hAnsi="Calibri"/>
          <w:sz w:val="20"/>
          <w:szCs w:val="20"/>
          <w:color w:val="auto"/>
        </w:rPr>
        <w:t>” means any individual, frm, corporaton, company, voluntary associaton, partnership, limited liability company, joint venture, trust, unincorporated organizaton, Governmental Authority, commitee, department, authority or any other body, incorporated or unincorporated, whether having distnct legal personality or not.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Platorm</w:t>
      </w:r>
      <w:r>
        <w:rPr>
          <w:rFonts w:ascii="Calibri" w:cs="Calibri" w:eastAsia="Calibri" w:hAnsi="Calibri"/>
          <w:sz w:val="20"/>
          <w:szCs w:val="20"/>
          <w:color w:val="auto"/>
        </w:rPr>
        <w:t>” has the meaning set forth in Secton 10.2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PMT</w:t>
      </w:r>
      <w:r>
        <w:rPr>
          <w:rFonts w:ascii="Calibri" w:cs="Calibri" w:eastAsia="Calibri" w:hAnsi="Calibri"/>
          <w:sz w:val="20"/>
          <w:szCs w:val="20"/>
          <w:color w:val="auto"/>
        </w:rPr>
        <w:t>” means the preliminary memorandum of terms in respect of the Projects dated March 29, 2024.</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Potental Event of Default</w:t>
      </w:r>
      <w:r>
        <w:rPr>
          <w:rFonts w:ascii="Calibri" w:cs="Calibri" w:eastAsia="Calibri" w:hAnsi="Calibri"/>
          <w:sz w:val="20"/>
          <w:szCs w:val="20"/>
          <w:color w:val="auto"/>
        </w:rPr>
        <w:t>” means an event or circumstance that, with the giving of notce or passage of tme or both, would become an Event of Default.</w:t>
      </w:r>
    </w:p>
    <w:p>
      <w:pPr>
        <w:spacing w:after="0" w:line="159"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Practce</w:t>
      </w:r>
      <w:r>
        <w:rPr>
          <w:rFonts w:ascii="Calibri" w:cs="Calibri" w:eastAsia="Calibri" w:hAnsi="Calibri"/>
          <w:sz w:val="20"/>
          <w:szCs w:val="20"/>
          <w:color w:val="auto"/>
        </w:rPr>
        <w:t>” means to practce Intellectual Property in any way, including to use, reproduce, distribute, modify, improve, make, display, perform, create derivatve works of, access and utlize.</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Principal Persons</w:t>
      </w:r>
      <w:r>
        <w:rPr>
          <w:rFonts w:ascii="Calibri" w:cs="Calibri" w:eastAsia="Calibri" w:hAnsi="Calibri"/>
          <w:sz w:val="20"/>
          <w:szCs w:val="20"/>
          <w:color w:val="auto"/>
        </w:rPr>
        <w:t>” means:</w:t>
      </w:r>
    </w:p>
    <w:p>
      <w:pPr>
        <w:spacing w:after="0" w:line="157" w:lineRule="exact"/>
        <w:rPr>
          <w:sz w:val="20"/>
          <w:szCs w:val="20"/>
          <w:color w:val="auto"/>
        </w:rPr>
      </w:pPr>
    </w:p>
    <w:p>
      <w:pPr>
        <w:jc w:val="both"/>
        <w:ind w:left="660" w:right="20" w:hanging="652"/>
        <w:spacing w:after="0" w:line="203" w:lineRule="auto"/>
        <w:tabs>
          <w:tab w:leader="none" w:pos="664" w:val="left"/>
        </w:tabs>
        <w:numPr>
          <w:ilvl w:val="0"/>
          <w:numId w:val="630"/>
        </w:numPr>
        <w:rPr>
          <w:rFonts w:ascii="Calibri" w:cs="Calibri" w:eastAsia="Calibri" w:hAnsi="Calibri"/>
          <w:sz w:val="20"/>
          <w:szCs w:val="20"/>
          <w:color w:val="auto"/>
        </w:rPr>
      </w:pPr>
      <w:r>
        <w:rPr>
          <w:rFonts w:ascii="Calibri" w:cs="Calibri" w:eastAsia="Calibri" w:hAnsi="Calibri"/>
          <w:sz w:val="20"/>
          <w:szCs w:val="20"/>
          <w:color w:val="auto"/>
        </w:rPr>
        <w:t>with respect to the Recipient, any ofcer, director, benefcial owner of ten percent (10%) or more of equity interests that are not publicly traded securites (other than the Recipient), the Principal Persons of the Sponsor Guarantor, or other natural person (whether or not an employee) with executve responsibilites over the Recipient or who has practcal control over the Recipient, and each of their respectve successors or assigns; and</w:t>
      </w:r>
    </w:p>
    <w:p>
      <w:pPr>
        <w:spacing w:after="0" w:line="173" w:lineRule="exact"/>
        <w:rPr>
          <w:rFonts w:ascii="Calibri" w:cs="Calibri" w:eastAsia="Calibri" w:hAnsi="Calibri"/>
          <w:sz w:val="20"/>
          <w:szCs w:val="20"/>
          <w:color w:val="auto"/>
        </w:rPr>
      </w:pPr>
    </w:p>
    <w:p>
      <w:pPr>
        <w:jc w:val="both"/>
        <w:ind w:left="660" w:hanging="652"/>
        <w:spacing w:after="0" w:line="205" w:lineRule="auto"/>
        <w:tabs>
          <w:tab w:leader="none" w:pos="660" w:val="left"/>
        </w:tabs>
        <w:numPr>
          <w:ilvl w:val="0"/>
          <w:numId w:val="630"/>
        </w:numPr>
        <w:rPr>
          <w:rFonts w:ascii="Calibri" w:cs="Calibri" w:eastAsia="Calibri" w:hAnsi="Calibri"/>
          <w:sz w:val="20"/>
          <w:szCs w:val="20"/>
          <w:color w:val="auto"/>
        </w:rPr>
      </w:pPr>
      <w:r>
        <w:rPr>
          <w:rFonts w:ascii="Calibri" w:cs="Calibri" w:eastAsia="Calibri" w:hAnsi="Calibri"/>
          <w:sz w:val="20"/>
          <w:szCs w:val="20"/>
          <w:color w:val="auto"/>
        </w:rPr>
        <w:t>with respect to the Sponsor Guarantor, any ofcer or employee of the Sponsor Guarantor responsible for (i) the constructon and operaton of any Projects; (ii) any Project-related legal, technology, engineering or fnancial maters; and (iii) preparing, in the ordinary course of performing such Person’s dutes, any reportng deliverables to the Department under the Award Documents.</w:t>
      </w:r>
    </w:p>
    <w:p>
      <w:pPr>
        <w:spacing w:after="0" w:line="157"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Processing</w:t>
      </w:r>
      <w:r>
        <w:rPr>
          <w:rFonts w:ascii="Calibri" w:cs="Calibri" w:eastAsia="Calibri" w:hAnsi="Calibri"/>
          <w:sz w:val="20"/>
          <w:szCs w:val="20"/>
          <w:color w:val="auto"/>
        </w:rPr>
        <w:t>” means any operaton or set of operatons that are performed on data or on sets of data, whether or not by automated means, including creaton, receipt, maintenance, access, acquisiton, use, disclosure, transmission, storage, retenton, processing, destructon, modifcaton or transfer (including cross-border transfer), and the words “Process” and similar constructons shall have correlatve meanings.</w:t>
      </w:r>
    </w:p>
    <w:p>
      <w:pPr>
        <w:spacing w:after="0" w:line="173"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Product</w:t>
      </w:r>
      <w:r>
        <w:rPr>
          <w:rFonts w:ascii="Calibri" w:cs="Calibri" w:eastAsia="Calibri" w:hAnsi="Calibri"/>
          <w:sz w:val="20"/>
          <w:szCs w:val="20"/>
          <w:color w:val="auto"/>
        </w:rPr>
        <w:t>” means leading edge DRAM Semiconductor wafers and die, including double data rate (DDR), graphics DDR (GDDR), low-power DDR (LPDDR), and HBM (high-bandwidth memory).</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Program Requirement</w:t>
      </w:r>
      <w:r>
        <w:rPr>
          <w:rFonts w:ascii="Calibri" w:cs="Calibri" w:eastAsia="Calibri" w:hAnsi="Calibri"/>
          <w:sz w:val="20"/>
          <w:szCs w:val="20"/>
          <w:color w:val="auto"/>
        </w:rPr>
        <w:t>” means each requirement set forth in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Prohibited Person</w:t>
      </w:r>
      <w:r>
        <w:rPr>
          <w:rFonts w:ascii="Calibri" w:cs="Calibri" w:eastAsia="Calibri" w:hAnsi="Calibri"/>
          <w:sz w:val="20"/>
          <w:szCs w:val="20"/>
          <w:color w:val="auto"/>
        </w:rPr>
        <w:t>” means any Person or entty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240"/>
          </w:cols>
          <w:pgMar w:left="320" w:top="1384" w:right="339" w:bottom="1440" w:gutter="0" w:footer="0" w:header="0"/>
        </w:sectPr>
      </w:pPr>
    </w:p>
    <w:bookmarkStart w:id="507" w:name="page508"/>
    <w:bookmarkEnd w:id="507"/>
    <w:p>
      <w:pPr>
        <w:ind w:left="640" w:hanging="632"/>
        <w:spacing w:after="0"/>
        <w:tabs>
          <w:tab w:leader="none" w:pos="640"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a Sanctoned Person;</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debarred or suspended from contractng with the U.S. government or any agency or instrumentality thereof;</w:t>
      </w:r>
    </w:p>
    <w:p>
      <w:pPr>
        <w:spacing w:after="0" w:line="170" w:lineRule="exact"/>
        <w:rPr>
          <w:rFonts w:ascii="Calibri" w:cs="Calibri" w:eastAsia="Calibri" w:hAnsi="Calibri"/>
          <w:sz w:val="20"/>
          <w:szCs w:val="20"/>
          <w:color w:val="auto"/>
        </w:rPr>
      </w:pPr>
    </w:p>
    <w:p>
      <w:pPr>
        <w:jc w:val="both"/>
        <w:ind w:left="660" w:hanging="652"/>
        <w:spacing w:after="0" w:line="203" w:lineRule="auto"/>
        <w:tabs>
          <w:tab w:leader="none" w:pos="654"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debarred, suspended, proposed for debarment with a fnal determinaton stll pending, declared ineligible or voluntarily excluded (as such terms are defned in any of the Debarment Regulatons) from contractng with any U.S. federal government department or any agency or instrumentality thereof or otherwise partcipatng in procurement or non-procurement transactons with any U.S. federal government department or agency pursuant to any of the Debarment Regulatons; or</w:t>
      </w:r>
    </w:p>
    <w:p>
      <w:pPr>
        <w:spacing w:after="0" w:line="159" w:lineRule="exact"/>
        <w:rPr>
          <w:rFonts w:ascii="Calibri" w:cs="Calibri" w:eastAsia="Calibri" w:hAnsi="Calibri"/>
          <w:sz w:val="20"/>
          <w:szCs w:val="20"/>
          <w:color w:val="auto"/>
        </w:rPr>
      </w:pPr>
    </w:p>
    <w:p>
      <w:pPr>
        <w:ind w:left="660" w:hanging="652"/>
        <w:spacing w:after="0" w:line="214" w:lineRule="auto"/>
        <w:tabs>
          <w:tab w:leader="none" w:pos="658"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indicted, convicted or had a Governmental Judgment rendered against it for any of the ofenses listed in any of the Debarment Regulatons.</w:t>
      </w:r>
    </w:p>
    <w:p>
      <w:pPr>
        <w:spacing w:after="0" w:line="158" w:lineRule="exact"/>
        <w:rPr>
          <w:rFonts w:ascii="Calibri" w:cs="Calibri" w:eastAsia="Calibri" w:hAnsi="Calibri"/>
          <w:sz w:val="20"/>
          <w:szCs w:val="20"/>
          <w:color w:val="auto"/>
        </w:rPr>
      </w:pPr>
    </w:p>
    <w:p>
      <w:pPr>
        <w:ind w:left="660" w:right="4620"/>
        <w:spacing w:after="0" w:line="375" w:lineRule="auto"/>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w:t>
      </w:r>
      <w:r>
        <w:rPr>
          <w:rFonts w:ascii="Calibri" w:cs="Calibri" w:eastAsia="Calibri" w:hAnsi="Calibri"/>
          <w:sz w:val="20"/>
          <w:szCs w:val="20"/>
          <w:color w:val="auto"/>
        </w:rPr>
        <w:t>” and “</w:t>
      </w:r>
      <w:r>
        <w:rPr>
          <w:rFonts w:ascii="Calibri" w:cs="Calibri" w:eastAsia="Calibri" w:hAnsi="Calibri"/>
          <w:sz w:val="20"/>
          <w:szCs w:val="20"/>
          <w:b w:val="1"/>
          <w:bCs w:val="1"/>
          <w:color w:val="auto"/>
        </w:rPr>
        <w:t>Projects</w:t>
      </w:r>
      <w:r>
        <w:rPr>
          <w:rFonts w:ascii="Calibri" w:cs="Calibri" w:eastAsia="Calibri" w:hAnsi="Calibri"/>
          <w:sz w:val="20"/>
          <w:szCs w:val="20"/>
          <w:color w:val="auto"/>
        </w:rPr>
        <w:t>” has the meaning set forth in the recitals hereto. “</w:t>
      </w:r>
      <w:r>
        <w:rPr>
          <w:rFonts w:ascii="Calibri" w:cs="Calibri" w:eastAsia="Calibri" w:hAnsi="Calibri"/>
          <w:sz w:val="20"/>
          <w:szCs w:val="20"/>
          <w:b w:val="1"/>
          <w:bCs w:val="1"/>
          <w:color w:val="auto"/>
        </w:rPr>
        <w:t>Project Commencement Clawback Date</w:t>
      </w:r>
      <w:r>
        <w:rPr>
          <w:rFonts w:ascii="Calibri" w:cs="Calibri" w:eastAsia="Calibri" w:hAnsi="Calibri"/>
          <w:sz w:val="20"/>
          <w:szCs w:val="20"/>
          <w:color w:val="auto"/>
        </w:rPr>
        <w:t>” means:</w:t>
      </w:r>
    </w:p>
    <w:p>
      <w:pPr>
        <w:spacing w:after="0" w:line="33" w:lineRule="exact"/>
        <w:rPr>
          <w:rFonts w:ascii="Calibri" w:cs="Calibri" w:eastAsia="Calibri" w:hAnsi="Calibri"/>
          <w:sz w:val="20"/>
          <w:szCs w:val="20"/>
          <w:color w:val="auto"/>
        </w:rPr>
      </w:pPr>
    </w:p>
    <w:p>
      <w:pPr>
        <w:jc w:val="both"/>
        <w:ind w:left="660" w:hanging="652"/>
        <w:spacing w:after="0" w:line="205" w:lineRule="auto"/>
        <w:tabs>
          <w:tab w:leader="none" w:pos="663"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NY Fab 1 Project, the later of (i) </w:t>
      </w:r>
      <w:r>
        <w:rPr>
          <w:rFonts w:ascii="Calibri" w:cs="Calibri" w:eastAsia="Calibri" w:hAnsi="Calibri"/>
          <w:sz w:val="20"/>
          <w:szCs w:val="20"/>
          <w:b w:val="1"/>
          <w:bCs w:val="1"/>
          <w:color w:val="auto"/>
        </w:rPr>
        <w:t>[***]</w:t>
      </w:r>
      <w:r>
        <w:rPr>
          <w:rFonts w:ascii="Calibri" w:cs="Calibri" w:eastAsia="Calibri" w:hAnsi="Calibri"/>
          <w:sz w:val="20"/>
          <w:szCs w:val="20"/>
          <w:color w:val="auto"/>
        </w:rPr>
        <w:t>; and (ii) the date falling sixty (60) days afer the date the Recipient is permited to commence constructon of the Project under (A) the terms of the Department’s fnal decision under NEPA; and (B) all other Applicable Laws; and</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31"/>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NY Fab 2 Project,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Commencement Date</w:t>
      </w:r>
      <w:r>
        <w:rPr>
          <w:rFonts w:ascii="Calibri" w:cs="Calibri" w:eastAsia="Calibri" w:hAnsi="Calibri"/>
          <w:sz w:val="20"/>
          <w:szCs w:val="20"/>
          <w:color w:val="auto"/>
        </w:rPr>
        <w:t>” means, with respect to any Project, and as demonstrated by evidence delivered to the Department, in form and substance satsfactory to the Department, the date on which the Recipient commenced such Project.</w:t>
      </w:r>
    </w:p>
    <w:p>
      <w:pPr>
        <w:spacing w:after="0" w:line="186" w:lineRule="exact"/>
        <w:rPr>
          <w:sz w:val="20"/>
          <w:szCs w:val="20"/>
          <w:color w:val="auto"/>
        </w:rPr>
      </w:pPr>
    </w:p>
    <w:p>
      <w:pPr>
        <w:jc w:val="both"/>
        <w:ind w:right="20" w:firstLine="648"/>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Clawback Date</w:t>
      </w:r>
      <w:r>
        <w:rPr>
          <w:rFonts w:ascii="Calibri" w:cs="Calibri" w:eastAsia="Calibri" w:hAnsi="Calibri"/>
          <w:sz w:val="20"/>
          <w:szCs w:val="20"/>
          <w:color w:val="auto"/>
        </w:rPr>
        <w:t>” means, with respect to any Project, the date the Recipient is required to achieve the Project Completon Date for such Project, as set forth in the Disbursement Milestone Schedule under the column enttled “Clawback Date” with respect to the fnal Disbursement Milestone for such Project.</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Date</w:t>
      </w:r>
      <w:r>
        <w:rPr>
          <w:rFonts w:ascii="Calibri" w:cs="Calibri" w:eastAsia="Calibri" w:hAnsi="Calibri"/>
          <w:sz w:val="20"/>
          <w:szCs w:val="20"/>
          <w:color w:val="auto"/>
        </w:rPr>
        <w:t>” means, with respect to any Project, the frst date on which the applicable Project Completon Requirements have been achieved with respect to such Project to the satsfacton of the Department, as evidenced by a writen notfcaton from the Department to the Recipient.</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Completon Requirements</w:t>
      </w:r>
      <w:r>
        <w:rPr>
          <w:rFonts w:ascii="Calibri" w:cs="Calibri" w:eastAsia="Calibri" w:hAnsi="Calibri"/>
          <w:sz w:val="20"/>
          <w:szCs w:val="20"/>
          <w:color w:val="auto"/>
        </w:rPr>
        <w:t>” means, with respect to any Project:</w:t>
      </w:r>
    </w:p>
    <w:p>
      <w:pPr>
        <w:spacing w:after="0" w:line="161" w:lineRule="exact"/>
        <w:rPr>
          <w:sz w:val="20"/>
          <w:szCs w:val="20"/>
          <w:color w:val="auto"/>
        </w:rPr>
      </w:pPr>
    </w:p>
    <w:p>
      <w:pPr>
        <w:ind w:left="640" w:hanging="632"/>
        <w:spacing w:after="0"/>
        <w:tabs>
          <w:tab w:leader="none" w:pos="640" w:val="left"/>
        </w:tabs>
        <w:numPr>
          <w:ilvl w:val="0"/>
          <w:numId w:val="632"/>
        </w:numPr>
        <w:rPr>
          <w:rFonts w:ascii="Calibri" w:cs="Calibri" w:eastAsia="Calibri" w:hAnsi="Calibri"/>
          <w:sz w:val="20"/>
          <w:szCs w:val="20"/>
          <w:color w:val="auto"/>
        </w:rPr>
      </w:pPr>
      <w:r>
        <w:rPr>
          <w:rFonts w:ascii="Calibri" w:cs="Calibri" w:eastAsia="Calibri" w:hAnsi="Calibri"/>
          <w:sz w:val="20"/>
          <w:szCs w:val="20"/>
          <w:color w:val="auto"/>
        </w:rPr>
        <w:t>the fnal Disbursement Milestone for such Project has been achieved to the satsfacton of the Department;</w:t>
      </w:r>
    </w:p>
    <w:p>
      <w:pPr>
        <w:spacing w:after="0" w:line="157" w:lineRule="exact"/>
        <w:rPr>
          <w:rFonts w:ascii="Calibri" w:cs="Calibri" w:eastAsia="Calibri" w:hAnsi="Calibri"/>
          <w:sz w:val="20"/>
          <w:szCs w:val="20"/>
          <w:color w:val="auto"/>
        </w:rPr>
      </w:pPr>
    </w:p>
    <w:p>
      <w:pPr>
        <w:ind w:left="660" w:right="20" w:hanging="652"/>
        <w:spacing w:after="0" w:line="214" w:lineRule="auto"/>
        <w:tabs>
          <w:tab w:leader="none" w:pos="662" w:val="left"/>
        </w:tabs>
        <w:numPr>
          <w:ilvl w:val="0"/>
          <w:numId w:val="632"/>
        </w:numPr>
        <w:rPr>
          <w:rFonts w:ascii="Calibri" w:cs="Calibri" w:eastAsia="Calibri" w:hAnsi="Calibri"/>
          <w:sz w:val="20"/>
          <w:szCs w:val="20"/>
          <w:color w:val="auto"/>
        </w:rPr>
      </w:pPr>
      <w:r>
        <w:rPr>
          <w:rFonts w:ascii="Calibri" w:cs="Calibri" w:eastAsia="Calibri" w:hAnsi="Calibri"/>
          <w:sz w:val="20"/>
          <w:szCs w:val="20"/>
          <w:color w:val="auto"/>
        </w:rPr>
        <w:t>the contractual requirements for completon of the constructon of such Project under the Constructon Contracts and any other relevant Project Documents have been met, and such Project has commenced commercial operatons;</w:t>
      </w:r>
    </w:p>
    <w:p>
      <w:pPr>
        <w:spacing w:after="0" w:line="158" w:lineRule="exact"/>
        <w:rPr>
          <w:rFonts w:ascii="Calibri" w:cs="Calibri" w:eastAsia="Calibri" w:hAnsi="Calibri"/>
          <w:sz w:val="20"/>
          <w:szCs w:val="20"/>
          <w:color w:val="auto"/>
        </w:rPr>
      </w:pPr>
    </w:p>
    <w:p>
      <w:pPr>
        <w:ind w:left="660" w:right="20" w:hanging="652"/>
        <w:spacing w:after="0" w:line="214" w:lineRule="auto"/>
        <w:tabs>
          <w:tab w:leader="none" w:pos="659" w:val="left"/>
        </w:tabs>
        <w:numPr>
          <w:ilvl w:val="0"/>
          <w:numId w:val="632"/>
        </w:numPr>
        <w:rPr>
          <w:rFonts w:ascii="Calibri" w:cs="Calibri" w:eastAsia="Calibri" w:hAnsi="Calibri"/>
          <w:sz w:val="20"/>
          <w:szCs w:val="20"/>
          <w:color w:val="auto"/>
        </w:rPr>
      </w:pPr>
      <w:r>
        <w:rPr>
          <w:rFonts w:ascii="Calibri" w:cs="Calibri" w:eastAsia="Calibri" w:hAnsi="Calibri"/>
          <w:sz w:val="20"/>
          <w:szCs w:val="20"/>
          <w:color w:val="auto"/>
        </w:rPr>
        <w:t>no Event of Default or Potental Event of Default shall exist as of the Project Completon Date or would result from the occurrence of the Project Completon Date;</w:t>
      </w:r>
    </w:p>
    <w:p>
      <w:pPr>
        <w:spacing w:after="0" w:line="158" w:lineRule="exact"/>
        <w:rPr>
          <w:rFonts w:ascii="Calibri" w:cs="Calibri" w:eastAsia="Calibri" w:hAnsi="Calibri"/>
          <w:sz w:val="20"/>
          <w:szCs w:val="20"/>
          <w:color w:val="auto"/>
        </w:rPr>
      </w:pPr>
    </w:p>
    <w:p>
      <w:pPr>
        <w:jc w:val="both"/>
        <w:ind w:left="660" w:hanging="652"/>
        <w:spacing w:after="0" w:line="202" w:lineRule="auto"/>
        <w:tabs>
          <w:tab w:leader="none" w:pos="654" w:val="left"/>
        </w:tabs>
        <w:numPr>
          <w:ilvl w:val="0"/>
          <w:numId w:val="632"/>
        </w:numPr>
        <w:rPr>
          <w:rFonts w:ascii="Calibri" w:cs="Calibri" w:eastAsia="Calibri" w:hAnsi="Calibri"/>
          <w:sz w:val="20"/>
          <w:szCs w:val="20"/>
          <w:color w:val="auto"/>
        </w:rPr>
      </w:pPr>
      <w:r>
        <w:rPr>
          <w:rFonts w:ascii="Calibri" w:cs="Calibri" w:eastAsia="Calibri" w:hAnsi="Calibri"/>
          <w:sz w:val="20"/>
          <w:szCs w:val="20"/>
          <w:color w:val="auto"/>
        </w:rPr>
        <w:t>each of the representatons and warrantes made (or deemed made) by any Recipient Party in any Award Document shall be true and correct in all material respects (except to the extent any such representaton and warranty itself is qualifed by “materiality,” “material adverse efect” or a similar qualifer, in which case it shall be true and correct in all respects) as of such date, except to the extent such representaton or warranty is made only as of a specifc date or tme (in which event such representaton or warranty shall be true and correct as of such date or tme);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ectPr>
          <w:pgSz w:w="11900" w:h="16838" w:orient="portrait"/>
          <w:cols w:equalWidth="0" w:num="1">
            <w:col w:w="11240"/>
          </w:cols>
          <w:pgMar w:left="320" w:top="1374" w:right="339" w:bottom="1440" w:gutter="0" w:footer="0" w:header="0"/>
        </w:sectPr>
      </w:pPr>
    </w:p>
    <w:bookmarkStart w:id="508" w:name="page509"/>
    <w:bookmarkEnd w:id="508"/>
    <w:p>
      <w:pPr>
        <w:jc w:val="both"/>
        <w:ind w:left="660" w:hanging="4"/>
        <w:spacing w:after="0" w:line="231" w:lineRule="auto"/>
        <w:tabs>
          <w:tab w:leader="none" w:pos="1309" w:val="left"/>
        </w:tabs>
        <w:numPr>
          <w:ilvl w:val="0"/>
          <w:numId w:val="633"/>
        </w:numPr>
        <w:rPr>
          <w:rFonts w:ascii="Calibri" w:cs="Calibri" w:eastAsia="Calibri" w:hAnsi="Calibri"/>
          <w:sz w:val="20"/>
          <w:szCs w:val="20"/>
          <w:color w:val="auto"/>
        </w:rPr>
      </w:pPr>
      <w:r>
        <w:rPr>
          <w:rFonts w:ascii="Calibri" w:cs="Calibri" w:eastAsia="Calibri" w:hAnsi="Calibri"/>
          <w:sz w:val="20"/>
          <w:szCs w:val="20"/>
          <w:color w:val="auto"/>
        </w:rPr>
        <w:t>the Recipient has delivered to the Department a project completon certfcate executed by an Authorized Ofcer of the Recipient, substantally in the form atached as Exhibit E (</w:t>
      </w:r>
      <w:r>
        <w:rPr>
          <w:rFonts w:ascii="Calibri" w:cs="Calibri" w:eastAsia="Calibri" w:hAnsi="Calibri"/>
          <w:sz w:val="20"/>
          <w:szCs w:val="20"/>
          <w:b w:val="1"/>
          <w:bCs w:val="1"/>
          <w:color w:val="auto"/>
        </w:rPr>
        <w:t>Form of Project Completon Certfcate</w:t>
      </w:r>
      <w:r>
        <w:rPr>
          <w:rFonts w:ascii="Calibri" w:cs="Calibri" w:eastAsia="Calibri" w:hAnsi="Calibri"/>
          <w:sz w:val="20"/>
          <w:szCs w:val="20"/>
          <w:color w:val="auto"/>
        </w:rPr>
        <w:t>), certfying that each of the requirements set forth in clauses (a) through (d) has been satsfed as of the date of such certfcate.</w:t>
      </w:r>
    </w:p>
    <w:p>
      <w:pPr>
        <w:spacing w:after="0" w:line="173"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Costs</w:t>
      </w:r>
      <w:r>
        <w:rPr>
          <w:rFonts w:ascii="Calibri" w:cs="Calibri" w:eastAsia="Calibri" w:hAnsi="Calibri"/>
          <w:sz w:val="20"/>
          <w:szCs w:val="20"/>
          <w:color w:val="auto"/>
        </w:rPr>
        <w:t>” means, with respect to any Project, all costs that have been incurred or are projected to be incurred by the Recipient, or on behalf of the Recipient and incurred by the Sponsor Guarantor in connecton with the constructon of such Project through the Project Completon Date for such Project, including:</w:t>
      </w:r>
    </w:p>
    <w:p>
      <w:pPr>
        <w:spacing w:after="0" w:line="149" w:lineRule="exact"/>
        <w:rPr>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amounts payable under the Constructon Contracts entered into in connecton with such Project;</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fees and expenses payable under the Financing Documents prior to the end of the Direct Funding Disbursement Period;</w:t>
      </w:r>
    </w:p>
    <w:p>
      <w:pPr>
        <w:spacing w:after="0" w:line="160"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costs to acquire ttle or use rights to the applicable Project Site, necessary easements and other real property interests;</w:t>
      </w:r>
    </w:p>
    <w:p>
      <w:pPr>
        <w:spacing w:after="0" w:line="157"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costs and expenses of legal, engineering, accountng, constructon management and other advisors or Consultants incurred in connecton with any Project;</w:t>
      </w:r>
    </w:p>
    <w:p>
      <w:pPr>
        <w:spacing w:after="0" w:line="148"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fees, commissions and expenses payable to the Department;</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development costs to the extent permited to be paid under the Financing Documents;</w:t>
      </w:r>
    </w:p>
    <w:p>
      <w:pPr>
        <w:spacing w:after="0" w:line="160"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insurance premiums in connecton with such Project obtained prior to the applicable Project Completon Date for such Project;</w:t>
      </w:r>
    </w:p>
    <w:p>
      <w:pPr>
        <w:spacing w:after="0" w:line="147"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the Recipient’s labor costs and general and administraton costs;</w:t>
      </w:r>
    </w:p>
    <w:p>
      <w:pPr>
        <w:spacing w:after="0" w:line="157" w:lineRule="exact"/>
        <w:rPr>
          <w:rFonts w:ascii="Calibri" w:cs="Calibri" w:eastAsia="Calibri" w:hAnsi="Calibri"/>
          <w:sz w:val="20"/>
          <w:szCs w:val="20"/>
          <w:color w:val="auto"/>
        </w:rPr>
      </w:pPr>
    </w:p>
    <w:p>
      <w:pPr>
        <w:ind w:left="660" w:hanging="652"/>
        <w:spacing w:after="0" w:line="214" w:lineRule="auto"/>
        <w:tabs>
          <w:tab w:leader="none" w:pos="658"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costs incurred under the relevant operatons and management agreement and mobilizaton costs included in the Base Case Financial Model;</w:t>
      </w:r>
    </w:p>
    <w:p>
      <w:pPr>
        <w:spacing w:after="0" w:line="148"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operatng losses through the Breakeven Date; and</w:t>
      </w:r>
    </w:p>
    <w:p>
      <w:pPr>
        <w:spacing w:after="0" w:line="160" w:lineRule="exact"/>
        <w:rPr>
          <w:rFonts w:ascii="Calibri" w:cs="Calibri" w:eastAsia="Calibri" w:hAnsi="Calibri"/>
          <w:sz w:val="20"/>
          <w:szCs w:val="20"/>
          <w:color w:val="auto"/>
        </w:rPr>
      </w:pPr>
    </w:p>
    <w:p>
      <w:pPr>
        <w:ind w:left="660" w:hanging="652"/>
        <w:spacing w:after="0"/>
        <w:tabs>
          <w:tab w:leader="none" w:pos="660" w:val="left"/>
        </w:tabs>
        <w:numPr>
          <w:ilvl w:val="0"/>
          <w:numId w:val="634"/>
        </w:numPr>
        <w:rPr>
          <w:rFonts w:ascii="Calibri" w:cs="Calibri" w:eastAsia="Calibri" w:hAnsi="Calibri"/>
          <w:sz w:val="20"/>
          <w:szCs w:val="20"/>
          <w:color w:val="auto"/>
        </w:rPr>
      </w:pPr>
      <w:r>
        <w:rPr>
          <w:rFonts w:ascii="Calibri" w:cs="Calibri" w:eastAsia="Calibri" w:hAnsi="Calibri"/>
          <w:sz w:val="20"/>
          <w:szCs w:val="20"/>
          <w:color w:val="auto"/>
        </w:rPr>
        <w:t>such other costs or expenses approved by the Department.</w:t>
      </w:r>
    </w:p>
    <w:p>
      <w:pPr>
        <w:spacing w:after="0" w:line="157"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Document</w:t>
      </w:r>
      <w:r>
        <w:rPr>
          <w:rFonts w:ascii="Calibri" w:cs="Calibri" w:eastAsia="Calibri" w:hAnsi="Calibri"/>
          <w:sz w:val="20"/>
          <w:szCs w:val="20"/>
          <w:color w:val="auto"/>
        </w:rPr>
        <w:t>” means, with respect to each Project, each contract entered into by the Recipient that is necessary for or material to the constructon and operaton of such Project.</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Initaton Date</w:t>
      </w:r>
      <w:r>
        <w:rPr>
          <w:rFonts w:ascii="Calibri" w:cs="Calibri" w:eastAsia="Calibri" w:hAnsi="Calibri"/>
          <w:sz w:val="20"/>
          <w:szCs w:val="20"/>
          <w:color w:val="auto"/>
        </w:rPr>
        <w:t>” means, with respect to any Project, the frst date on which any Recipient Party or any afliate of the Recipient made expenditures related to the Project.</w:t>
      </w:r>
    </w:p>
    <w:p>
      <w:pPr>
        <w:spacing w:after="0" w:line="171" w:lineRule="exact"/>
        <w:rPr>
          <w:sz w:val="20"/>
          <w:szCs w:val="20"/>
          <w:color w:val="auto"/>
        </w:rPr>
      </w:pPr>
    </w:p>
    <w:p>
      <w:pPr>
        <w:jc w:val="both"/>
        <w:ind w:firstLine="648"/>
        <w:spacing w:after="0" w:line="19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IP</w:t>
      </w:r>
      <w:r>
        <w:rPr>
          <w:rFonts w:ascii="Calibri" w:cs="Calibri" w:eastAsia="Calibri" w:hAnsi="Calibri"/>
          <w:sz w:val="20"/>
          <w:szCs w:val="20"/>
          <w:color w:val="auto"/>
        </w:rPr>
        <w:t>” means, with respect to any Project, all Technology and Intellectual Property, excluding patents, that are: (a) necessary for, or arising from, the achievement of any Disbursement Milestone by the respectve Milestone Completon Longstop Date; or (c) necessary to exercise the Recipient’s rights and perform its obligatons under the Project Documents for such Project, as applicable at the relevant tme, but excluding any Sofware or equipment that: (i) has not been modifed or customized for the Recipient; (ii) is readily commercially available; and (iii) is licensed or procured under standard terms and conditons. For clarity, the Recipient’s or the Sponsor Guarantor’s research and development of Semiconductor processes and related product designs are independent of the Projects, and accordingly, the Department does not take any security interest in the Project IP except to the extent expressly provided for in the Award Documents.</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IP Agreement</w:t>
      </w:r>
      <w:r>
        <w:rPr>
          <w:rFonts w:ascii="Calibri" w:cs="Calibri" w:eastAsia="Calibri" w:hAnsi="Calibri"/>
          <w:sz w:val="20"/>
          <w:szCs w:val="20"/>
          <w:color w:val="auto"/>
        </w:rPr>
        <w:t>” means, with respect to each Project, each agreement grantng or document evidencing the Recipient’s exclusive ownership of or rights to use Project IP (including assignment agreements) for such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ectPr>
          <w:pgSz w:w="11900" w:h="16838" w:orient="portrait"/>
          <w:cols w:equalWidth="0" w:num="1">
            <w:col w:w="11240"/>
          </w:cols>
          <w:pgMar w:left="320" w:top="1411" w:right="339" w:bottom="1440" w:gutter="0" w:footer="0" w:header="0"/>
        </w:sectPr>
      </w:pPr>
    </w:p>
    <w:bookmarkStart w:id="509" w:name="page510"/>
    <w:bookmarkEnd w:id="509"/>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 Site</w:t>
      </w:r>
      <w:r>
        <w:rPr>
          <w:rFonts w:ascii="Calibri" w:cs="Calibri" w:eastAsia="Calibri" w:hAnsi="Calibri"/>
          <w:sz w:val="20"/>
          <w:szCs w:val="20"/>
          <w:color w:val="auto"/>
        </w:rPr>
        <w:t>” means:</w:t>
      </w:r>
    </w:p>
    <w:p>
      <w:pPr>
        <w:spacing w:after="0" w:line="147" w:lineRule="exact"/>
        <w:rPr>
          <w:sz w:val="20"/>
          <w:szCs w:val="20"/>
          <w:color w:val="auto"/>
        </w:rPr>
      </w:pPr>
    </w:p>
    <w:p>
      <w:pPr>
        <w:ind w:left="660" w:hanging="652"/>
        <w:spacing w:after="0"/>
        <w:tabs>
          <w:tab w:leader="none" w:pos="660" w:val="left"/>
        </w:tabs>
        <w:numPr>
          <w:ilvl w:val="0"/>
          <w:numId w:val="635"/>
        </w:numPr>
        <w:rPr>
          <w:rFonts w:ascii="Calibri" w:cs="Calibri" w:eastAsia="Calibri" w:hAnsi="Calibri"/>
          <w:sz w:val="20"/>
          <w:szCs w:val="20"/>
          <w:color w:val="auto"/>
        </w:rPr>
      </w:pPr>
      <w:r>
        <w:rPr>
          <w:rFonts w:ascii="Calibri" w:cs="Calibri" w:eastAsia="Calibri" w:hAnsi="Calibri"/>
          <w:sz w:val="20"/>
          <w:szCs w:val="20"/>
          <w:color w:val="auto"/>
        </w:rPr>
        <w:t>with respect to NY Fab 1 Project, the Real Property described on Part 1 of Schedule D (</w:t>
      </w:r>
      <w:r>
        <w:rPr>
          <w:rFonts w:ascii="Calibri" w:cs="Calibri" w:eastAsia="Calibri" w:hAnsi="Calibri"/>
          <w:sz w:val="20"/>
          <w:szCs w:val="20"/>
          <w:b w:val="1"/>
          <w:bCs w:val="1"/>
          <w:color w:val="auto"/>
        </w:rPr>
        <w:t>Project Sites</w:t>
      </w:r>
      <w:r>
        <w:rPr>
          <w:rFonts w:ascii="Calibri" w:cs="Calibri" w:eastAsia="Calibri" w:hAnsi="Calibri"/>
          <w:sz w:val="20"/>
          <w:szCs w:val="20"/>
          <w:color w:val="auto"/>
        </w:rPr>
        <w:t>); and</w:t>
      </w:r>
    </w:p>
    <w:p>
      <w:pPr>
        <w:spacing w:after="0" w:line="200" w:lineRule="exact"/>
        <w:rPr>
          <w:rFonts w:ascii="Calibri" w:cs="Calibri" w:eastAsia="Calibri" w:hAnsi="Calibri"/>
          <w:sz w:val="20"/>
          <w:szCs w:val="20"/>
          <w:color w:val="auto"/>
        </w:rPr>
      </w:pPr>
    </w:p>
    <w:p>
      <w:pPr>
        <w:spacing w:after="0" w:line="224" w:lineRule="exact"/>
        <w:rPr>
          <w:rFonts w:ascii="Calibri" w:cs="Calibri" w:eastAsia="Calibri" w:hAnsi="Calibri"/>
          <w:sz w:val="20"/>
          <w:szCs w:val="20"/>
          <w:color w:val="auto"/>
        </w:rPr>
      </w:pPr>
    </w:p>
    <w:p>
      <w:pPr>
        <w:ind w:left="660" w:hanging="652"/>
        <w:spacing w:after="0"/>
        <w:tabs>
          <w:tab w:leader="none" w:pos="660" w:val="left"/>
        </w:tabs>
        <w:numPr>
          <w:ilvl w:val="0"/>
          <w:numId w:val="635"/>
        </w:numPr>
        <w:rPr>
          <w:rFonts w:ascii="Calibri" w:cs="Calibri" w:eastAsia="Calibri" w:hAnsi="Calibri"/>
          <w:sz w:val="20"/>
          <w:szCs w:val="20"/>
          <w:color w:val="auto"/>
        </w:rPr>
      </w:pPr>
      <w:r>
        <w:rPr>
          <w:rFonts w:ascii="Calibri" w:cs="Calibri" w:eastAsia="Calibri" w:hAnsi="Calibri"/>
          <w:sz w:val="20"/>
          <w:szCs w:val="20"/>
          <w:color w:val="auto"/>
        </w:rPr>
        <w:t>with respect to NY Fab 2 Project, the Real Property described on Part 2 of Schedule D (</w:t>
      </w:r>
      <w:r>
        <w:rPr>
          <w:rFonts w:ascii="Times New Roman" w:cs="Times New Roman" w:eastAsia="Times New Roman" w:hAnsi="Times New Roman"/>
          <w:sz w:val="20"/>
          <w:szCs w:val="20"/>
          <w:b w:val="1"/>
          <w:bCs w:val="1"/>
          <w:color w:val="auto"/>
        </w:rPr>
        <w:t>Project Sites</w:t>
      </w:r>
      <w:r>
        <w:rPr>
          <w:rFonts w:ascii="Calibri" w:cs="Calibri" w:eastAsia="Calibri" w:hAnsi="Calibri"/>
          <w:sz w:val="20"/>
          <w:szCs w:val="20"/>
          <w:color w:val="auto"/>
        </w:rPr>
        <w:t>).</w:t>
      </w:r>
    </w:p>
    <w:p>
      <w:pPr>
        <w:spacing w:after="0" w:line="204"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Projected Cumulatve Unlevered Free Cash Flow</w:t>
      </w:r>
      <w:r>
        <w:rPr>
          <w:rFonts w:ascii="Calibri" w:cs="Calibri" w:eastAsia="Calibri" w:hAnsi="Calibri"/>
          <w:sz w:val="20"/>
          <w:szCs w:val="20"/>
          <w:color w:val="auto"/>
        </w:rPr>
        <w:t>” means, with respect to any Project and for any Relevant Period, the cumulatve total of all projected cumulatve Unlevered Free Cash Flow for such Project from the Project Initaton Date for such Project through the end of such Relevant Period, as set forth in and as calculated in accordance with the Base Case Financial Model for such Project.</w:t>
      </w:r>
    </w:p>
    <w:p>
      <w:pPr>
        <w:spacing w:after="0" w:line="267"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Property</w:t>
      </w:r>
      <w:r>
        <w:rPr>
          <w:rFonts w:ascii="Calibri" w:cs="Calibri" w:eastAsia="Calibri" w:hAnsi="Calibri"/>
          <w:sz w:val="20"/>
          <w:szCs w:val="20"/>
          <w:color w:val="auto"/>
        </w:rPr>
        <w:t>” means, unless otherwise specifcally limited, real or personal property of any kind, tangible or intangible, choate or inchoate.</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Prudent Industry Practce</w:t>
      </w:r>
      <w:r>
        <w:rPr>
          <w:rFonts w:ascii="Calibri" w:cs="Calibri" w:eastAsia="Calibri" w:hAnsi="Calibri"/>
          <w:sz w:val="20"/>
          <w:szCs w:val="20"/>
          <w:color w:val="auto"/>
        </w:rPr>
        <w:t>” shall mean, with respect to any Project, that range of practces, methods, equipment, specifcatons, and standards of safety and performance, as are commonly accepted in the Semiconductor industry as good, safe, prudent and commercial practces in connecton with the design, constructon, operaton, maintenance, repair and use of such Project; provided that the standard operatng practces of the Sponsor Guarantor as of the Award Date shall be deemed to be Prudent Industry Practce.</w:t>
      </w:r>
    </w:p>
    <w:p>
      <w:pPr>
        <w:spacing w:after="0" w:line="160"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Real Property</w:t>
      </w:r>
      <w:r>
        <w:rPr>
          <w:rFonts w:ascii="Calibri" w:cs="Calibri" w:eastAsia="Calibri" w:hAnsi="Calibri"/>
          <w:sz w:val="20"/>
          <w:szCs w:val="20"/>
          <w:color w:val="auto"/>
        </w:rPr>
        <w:t>” means, with respect to any Person, all right, ttle and interest of such Person in and to any and all parcels of real property owned, leased or encumbered by such Person, together with all improvements and appurtenant fxtures, equipment, easements, mineral rights and other property and rights incidental to the ownership, lease or operaton thereof.</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 Party</w:t>
      </w:r>
      <w:r>
        <w:rPr>
          <w:rFonts w:ascii="Calibri" w:cs="Calibri" w:eastAsia="Calibri" w:hAnsi="Calibri"/>
          <w:sz w:val="20"/>
          <w:szCs w:val="20"/>
          <w:color w:val="auto"/>
        </w:rPr>
        <w:t>” means each of (a) the Recipient; and (b) the Sponsor Guarantor</w:t>
      </w:r>
    </w:p>
    <w:p>
      <w:pPr>
        <w:spacing w:after="0" w:line="171"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Recipient’s Accountant</w:t>
      </w:r>
      <w:r>
        <w:rPr>
          <w:rFonts w:ascii="Calibri" w:cs="Calibri" w:eastAsia="Calibri" w:hAnsi="Calibri"/>
          <w:sz w:val="20"/>
          <w:szCs w:val="20"/>
          <w:color w:val="auto"/>
        </w:rPr>
        <w:t>” means PricewaterhouseCoopers LLP, or such other frm of independent certfed public accountants of natonally recognized standing as may be appointed by the Recipient from tme to tme.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has the meaning set forth in the preamble hereto.</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Referral</w:t>
      </w:r>
      <w:r>
        <w:rPr>
          <w:rFonts w:ascii="Calibri" w:cs="Calibri" w:eastAsia="Calibri" w:hAnsi="Calibri"/>
          <w:sz w:val="20"/>
          <w:szCs w:val="20"/>
          <w:color w:val="auto"/>
        </w:rPr>
        <w:t>” has the meaning set forth in Secton 10.12.4 (</w:t>
      </w:r>
      <w:r>
        <w:rPr>
          <w:rFonts w:ascii="Calibri" w:cs="Calibri" w:eastAsia="Calibri" w:hAnsi="Calibri"/>
          <w:sz w:val="20"/>
          <w:szCs w:val="20"/>
          <w:b w:val="1"/>
          <w:bCs w:val="1"/>
          <w:color w:val="auto"/>
        </w:rPr>
        <w:t>Referral to Inital Decision-Maker</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Related Entty</w:t>
      </w:r>
      <w:r>
        <w:rPr>
          <w:rFonts w:ascii="Calibri" w:cs="Calibri" w:eastAsia="Calibri" w:hAnsi="Calibri"/>
          <w:sz w:val="20"/>
          <w:szCs w:val="20"/>
          <w:color w:val="auto"/>
        </w:rPr>
        <w:t>” has the meaning set forth in the Guardrail Provisions.</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Release</w:t>
      </w:r>
      <w:r>
        <w:rPr>
          <w:rFonts w:ascii="Calibri" w:cs="Calibri" w:eastAsia="Calibri" w:hAnsi="Calibri"/>
          <w:sz w:val="20"/>
          <w:szCs w:val="20"/>
          <w:color w:val="auto"/>
        </w:rPr>
        <w:t>” means disposing, discharging, injectng, spilling, leaking, leaching, dumping, pumping, pouring, emitng, escaping, emptying, depositng or seeping into the environment, and the term “Released” and similar constructons have correlatve meanings.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Event</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w:t>
      </w:r>
      <w:r>
        <w:rPr>
          <w:rFonts w:ascii="Calibri" w:cs="Calibri" w:eastAsia="Calibri" w:hAnsi="Calibri"/>
          <w:sz w:val="20"/>
          <w:szCs w:val="20"/>
          <w:color w:val="auto"/>
        </w:rPr>
        <w:t>” means, for any Project, (a) Relevant Period 1; and (b) Relevant Period 2, as applicable.</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 1</w:t>
      </w:r>
      <w:r>
        <w:rPr>
          <w:rFonts w:ascii="Calibri" w:cs="Calibri" w:eastAsia="Calibri" w:hAnsi="Calibri"/>
          <w:sz w:val="20"/>
          <w:szCs w:val="20"/>
          <w:color w:val="auto"/>
        </w:rPr>
        <w:t>” means, with respect to any Project, the fve (5) Fiscal Year period commencing with the frst (1st) Fiscal Year afer the Fiscal Year in which the Breakeven Date occurs for such Project.</w:t>
      </w:r>
    </w:p>
    <w:p>
      <w:pPr>
        <w:spacing w:after="0" w:line="159" w:lineRule="exact"/>
        <w:rPr>
          <w:sz w:val="20"/>
          <w:szCs w:val="20"/>
          <w:color w:val="auto"/>
        </w:rPr>
      </w:pPr>
    </w:p>
    <w:p>
      <w:pPr>
        <w:jc w:val="both"/>
        <w:ind w:right="20"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Relevant Period 2</w:t>
      </w:r>
      <w:r>
        <w:rPr>
          <w:rFonts w:ascii="Calibri" w:cs="Calibri" w:eastAsia="Calibri" w:hAnsi="Calibri"/>
          <w:sz w:val="20"/>
          <w:szCs w:val="20"/>
          <w:color w:val="auto"/>
        </w:rPr>
        <w:t>” means, with respect to any Project, the ten (10) Fiscal Year period commencing with the frst (1st) Fiscal Year afer the Fiscal Year in which the Breakeven Date occurs for such Project (it being understood that such Relevant Period 2 and any calculatons of the Upside Sharing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1">
            <w:col w:w="11240"/>
          </w:cols>
          <w:pgMar w:left="320" w:top="1374" w:right="339" w:bottom="1440" w:gutter="0" w:footer="0" w:header="0"/>
        </w:sectPr>
      </w:pPr>
    </w:p>
    <w:bookmarkStart w:id="510" w:name="page511"/>
    <w:bookmarkEnd w:id="510"/>
    <w:p>
      <w:pPr>
        <w:jc w:val="both"/>
        <w:spacing w:after="0" w:line="191" w:lineRule="auto"/>
        <w:rPr>
          <w:sz w:val="20"/>
          <w:szCs w:val="20"/>
          <w:color w:val="auto"/>
        </w:rPr>
      </w:pPr>
      <w:r>
        <w:rPr>
          <w:rFonts w:ascii="Calibri" w:cs="Calibri" w:eastAsia="Calibri" w:hAnsi="Calibri"/>
          <w:sz w:val="20"/>
          <w:szCs w:val="20"/>
          <w:color w:val="auto"/>
        </w:rPr>
        <w:t>Amount for such Relevant Period 2 is applicable commencing with sixth (6</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Fiscal Year afer the Fiscal Year in which the Breakeven Date occurs).</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Responding Party</w:t>
      </w:r>
      <w:r>
        <w:rPr>
          <w:rFonts w:ascii="Calibri" w:cs="Calibri" w:eastAsia="Calibri" w:hAnsi="Calibri"/>
          <w:sz w:val="20"/>
          <w:szCs w:val="20"/>
          <w:color w:val="auto"/>
        </w:rPr>
        <w:t>” has the meaning set forth in Secton 10.12.3 (</w:t>
      </w:r>
      <w:r>
        <w:rPr>
          <w:rFonts w:ascii="Calibri" w:cs="Calibri" w:eastAsia="Calibri" w:hAnsi="Calibri"/>
          <w:sz w:val="20"/>
          <w:szCs w:val="20"/>
          <w:b w:val="1"/>
          <w:bCs w:val="1"/>
          <w:color w:val="auto"/>
        </w:rPr>
        <w:t>Dispute Notce</w:t>
      </w:r>
      <w:r>
        <w:rPr>
          <w:rFonts w:ascii="Calibri" w:cs="Calibri" w:eastAsia="Calibri" w:hAnsi="Calibri"/>
          <w:sz w:val="20"/>
          <w:szCs w:val="20"/>
          <w:color w:val="auto"/>
        </w:rPr>
        <w:t>).</w:t>
      </w:r>
    </w:p>
    <w:p>
      <w:pPr>
        <w:spacing w:after="0" w:line="157"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means all material Governmental Approvals and other consents and approvals of third partes necessary or required by any Recipient Party (or with respect to its respectve Propertes) under Applicable Law, the Program Requirements, the Financing Documents or any contractual obligaton including: (a) the due executon, delivery recordaton, fling or performance by any Recipient Party of any Financing Document to which such Recipient Party or is or is to be a party; (b) the grant by any Recipient Party of any Liens granted by such Person pursuant to the Financing Documents; (c) the exercise by the Department of its rights under any of the Financing Documents; (d) the development, constructon, operaton or maintenance of the Project; and (e) the Recipient’s ownership of the Project, other than those that are of a routne nature and can be obtained in the ordinary course of business.</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S&amp;P</w:t>
      </w:r>
      <w:r>
        <w:rPr>
          <w:rFonts w:ascii="Calibri" w:cs="Calibri" w:eastAsia="Calibri" w:hAnsi="Calibri"/>
          <w:sz w:val="20"/>
          <w:szCs w:val="20"/>
          <w:color w:val="auto"/>
        </w:rPr>
        <w:t>” means Standard &amp; Poor’s Financial Services LLC, so long as it is a ratng agency.</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SAM</w:t>
      </w:r>
      <w:r>
        <w:rPr>
          <w:rFonts w:ascii="Calibri" w:cs="Calibri" w:eastAsia="Calibri" w:hAnsi="Calibri"/>
          <w:sz w:val="20"/>
          <w:szCs w:val="20"/>
          <w:color w:val="auto"/>
        </w:rPr>
        <w:t xml:space="preserve">” means the System for Award Management electronic database administered by the United States General Services Administraton, found at </w:t>
      </w:r>
      <w:r>
        <w:rPr>
          <w:rFonts w:ascii="Calibri" w:cs="Calibri" w:eastAsia="Calibri" w:hAnsi="Calibri"/>
          <w:sz w:val="20"/>
          <w:szCs w:val="20"/>
          <w:i w:val="1"/>
          <w:iCs w:val="1"/>
          <w:color w:val="0000FF"/>
        </w:rPr>
        <w:t>www.sam.gov</w:t>
      </w:r>
      <w:r>
        <w:rPr>
          <w:rFonts w:ascii="Calibri" w:cs="Calibri" w:eastAsia="Calibri" w:hAnsi="Calibri"/>
          <w:sz w:val="20"/>
          <w:szCs w:val="20"/>
          <w:color w:val="auto"/>
        </w:rPr>
        <w:t>.</w:t>
      </w:r>
    </w:p>
    <w:p>
      <w:pPr>
        <w:spacing w:after="0" w:line="159"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Sanctoned Country</w:t>
      </w:r>
      <w:r>
        <w:rPr>
          <w:rFonts w:ascii="Calibri" w:cs="Calibri" w:eastAsia="Calibri" w:hAnsi="Calibri"/>
          <w:sz w:val="20"/>
          <w:szCs w:val="20"/>
          <w:color w:val="auto"/>
        </w:rPr>
        <w:t>” means, at any tme, a country, region or territory which is itself the subject or target of comprehensive country-wide or territory-wide Sanctons.</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Sanctoned Person</w:t>
      </w:r>
      <w:r>
        <w:rPr>
          <w:rFonts w:ascii="Calibri" w:cs="Calibri" w:eastAsia="Calibri" w:hAnsi="Calibri"/>
          <w:sz w:val="20"/>
          <w:szCs w:val="20"/>
          <w:color w:val="auto"/>
        </w:rPr>
        <w:t>” means, at any tme, (a) any Person identfed on any Sanctons List; (b) any Person located, organized or resident in a Sanctoned Country; (c) any Person owned ffy percent (50%) or more or controlled by any such Person or Persons described in the foregoing clauses (a) or (b); or (d) any Person that is otherwise the subject or target of any Sanctons.</w:t>
      </w:r>
    </w:p>
    <w:p>
      <w:pPr>
        <w:spacing w:after="0" w:line="157"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w:t>
      </w:r>
      <w:r>
        <w:rPr>
          <w:rFonts w:ascii="Calibri" w:cs="Calibri" w:eastAsia="Calibri" w:hAnsi="Calibri"/>
          <w:sz w:val="20"/>
          <w:szCs w:val="20"/>
          <w:color w:val="auto"/>
        </w:rPr>
        <w:t>” means any and all laws concerning or relatng to economic, fnancial or trade sanctons, embargoes, or similar restrictve measures imposed, administered, enacted or enforced by a Sanctons Authority.</w:t>
      </w:r>
    </w:p>
    <w:p>
      <w:pPr>
        <w:spacing w:after="0" w:line="159"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 Authority</w:t>
      </w:r>
      <w:r>
        <w:rPr>
          <w:rFonts w:ascii="Calibri" w:cs="Calibri" w:eastAsia="Calibri" w:hAnsi="Calibri"/>
          <w:sz w:val="20"/>
          <w:szCs w:val="20"/>
          <w:color w:val="auto"/>
        </w:rPr>
        <w:t>” means any agency, department, division or instrumentality of the United States federal government, including OFAC, the U.S. Department of State, and BIS.</w:t>
      </w:r>
    </w:p>
    <w:p>
      <w:pPr>
        <w:spacing w:after="0" w:line="15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Sanctons List</w:t>
      </w:r>
      <w:r>
        <w:rPr>
          <w:rFonts w:ascii="Calibri" w:cs="Calibri" w:eastAsia="Calibri" w:hAnsi="Calibri"/>
          <w:sz w:val="20"/>
          <w:szCs w:val="20"/>
          <w:color w:val="auto"/>
        </w:rPr>
        <w:t>” means any list of designated Persons maintained by any Sanctons Authority, including, without limitaton, the “Specially Designated Natonals and Blocked Persons” list, “Sectoral Sanctons Identfcatons List,” and “Non-SDN Chinese Military-Industrial Complex Companies List” maintained by OFAC and the “Denied Persons List,” “Entty List,” “Unverifed List,” and “Military End-User List” maintained by BIS.</w:t>
      </w:r>
    </w:p>
    <w:p>
      <w:pPr>
        <w:spacing w:after="0" w:line="173" w:lineRule="exact"/>
        <w:rPr>
          <w:sz w:val="20"/>
          <w:szCs w:val="20"/>
          <w:color w:val="auto"/>
        </w:rPr>
      </w:pPr>
    </w:p>
    <w:p>
      <w:pPr>
        <w:jc w:val="both"/>
        <w:ind w:right="20"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Capex Amount</w:t>
      </w:r>
      <w:r>
        <w:rPr>
          <w:rFonts w:ascii="Calibri" w:cs="Calibri" w:eastAsia="Calibri" w:hAnsi="Calibri"/>
          <w:sz w:val="20"/>
          <w:szCs w:val="20"/>
          <w:color w:val="auto"/>
        </w:rPr>
        <w:t>” means, with respect to any Disbursement Milestone for any Project, the scheduled amount of Capital Expenditures to be paid or incurred by the Recipient for such Disbursement Milestone as set forth in the Disbursement Milestone Schedule under the column enttled “Scheduled Capex Amount.”</w:t>
      </w:r>
    </w:p>
    <w:p>
      <w:pPr>
        <w:spacing w:after="0" w:line="157"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Capex Amount</w:t>
      </w:r>
      <w:r>
        <w:rPr>
          <w:rFonts w:ascii="Calibri" w:cs="Calibri" w:eastAsia="Calibri" w:hAnsi="Calibri"/>
          <w:sz w:val="20"/>
          <w:szCs w:val="20"/>
          <w:color w:val="auto"/>
        </w:rPr>
        <w:t>” means, with respect to any Disbursement Milestone for any Project and as of any date of determinaton, the aggregate Scheduled Capex Amount for all Disbursement Milestones as of such date, including the then-current Disbursement Milestone, as set forth in the Disbursement Milestone Schedule under the column enttled “Scheduled Cumulatve Capex Amount.”</w:t>
      </w:r>
    </w:p>
    <w:p>
      <w:pPr>
        <w:spacing w:after="0" w:line="173"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Disbursement Amount</w:t>
      </w:r>
      <w:r>
        <w:rPr>
          <w:rFonts w:ascii="Calibri" w:cs="Calibri" w:eastAsia="Calibri" w:hAnsi="Calibri"/>
          <w:sz w:val="20"/>
          <w:szCs w:val="20"/>
          <w:color w:val="auto"/>
        </w:rPr>
        <w:t>” means, with respect to any Project and as of any date of determinaton, an amount equal to the aggregate Scheduled Disbursement Amount for all Disbursement Milestones of such Project as of such date, including the then-current Disbursement Milestone, as set forth in the Disbursement Milestone Schedule under the column enttled “Scheduled Disbursement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1240"/>
          </w:cols>
          <w:pgMar w:left="320" w:top="1382" w:right="339" w:bottom="1440" w:gutter="0" w:footer="0" w:header="0"/>
        </w:sectPr>
      </w:pPr>
    </w:p>
    <w:bookmarkStart w:id="511" w:name="page512"/>
    <w:bookmarkEnd w:id="511"/>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Cumulatve Disbursement Rato</w:t>
      </w:r>
      <w:r>
        <w:rPr>
          <w:rFonts w:ascii="Calibri" w:cs="Calibri" w:eastAsia="Calibri" w:hAnsi="Calibri"/>
          <w:sz w:val="20"/>
          <w:szCs w:val="20"/>
          <w:color w:val="auto"/>
        </w:rPr>
        <w:t>” means, with respect to any Project and as of any date of determinaton, the rato, expressed as a percentage, equal to (a) the Scheduled Cumulatve Disbursement Amount for such Project as of such date divided by (b) the Scheduled Cumulatve Capex Amount for such Project as of such date.</w:t>
      </w:r>
    </w:p>
    <w:p>
      <w:pPr>
        <w:spacing w:after="0" w:line="171"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Scheduled Disbursement Amount</w:t>
      </w:r>
      <w:r>
        <w:rPr>
          <w:rFonts w:ascii="Calibri" w:cs="Calibri" w:eastAsia="Calibri" w:hAnsi="Calibri"/>
          <w:sz w:val="20"/>
          <w:szCs w:val="20"/>
          <w:color w:val="auto"/>
        </w:rPr>
        <w:t>” means, with respect to any Disbursement Milestone for any Project, the scheduled amount of the Maximum Direct Funding Award Amount to be made by the Department for such Disbursement Milestone, as set forth in the Disbursement Milestone Schedule under the column enttled “Scheduled Disbursement Amount.</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Secretary</w:t>
      </w:r>
      <w:r>
        <w:rPr>
          <w:rFonts w:ascii="Calibri" w:cs="Calibri" w:eastAsia="Calibri" w:hAnsi="Calibri"/>
          <w:sz w:val="20"/>
          <w:szCs w:val="20"/>
          <w:color w:val="auto"/>
        </w:rPr>
        <w:t>” has the meaning set forth in the Guardrail Provisions.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w:t>
      </w:r>
      <w:r>
        <w:rPr>
          <w:rFonts w:ascii="Calibri" w:cs="Calibri" w:eastAsia="Calibri" w:hAnsi="Calibri"/>
          <w:sz w:val="20"/>
          <w:szCs w:val="20"/>
          <w:color w:val="auto"/>
        </w:rPr>
        <w:t>” has the meaning set forth in Secton 7(h)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the Guardrail Provisions.</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 Capacity</w:t>
      </w:r>
      <w:r>
        <w:rPr>
          <w:rFonts w:ascii="Calibri" w:cs="Calibri" w:eastAsia="Calibri" w:hAnsi="Calibri"/>
          <w:sz w:val="20"/>
          <w:szCs w:val="20"/>
          <w:color w:val="auto"/>
        </w:rPr>
        <w:t>” has the meaning set forth in the Guardrail Provisions.</w:t>
      </w:r>
    </w:p>
    <w:p>
      <w:pPr>
        <w:spacing w:after="0" w:line="157"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Sensitve Informaton</w:t>
      </w:r>
      <w:r>
        <w:rPr>
          <w:rFonts w:ascii="Calibri" w:cs="Calibri" w:eastAsia="Calibri" w:hAnsi="Calibri"/>
          <w:sz w:val="20"/>
          <w:szCs w:val="20"/>
          <w:color w:val="auto"/>
        </w:rPr>
        <w:t>” means: (a) any informaton that is subject to Data Protecton Laws; (b) Trade Secrets, or any other informaton in which any Recipient Party has confdental Intellectual Property (including any relevant Project IP owned by any Recipient Party); and (c) any informaton with respect to which any Recipient Party has contractual non-disclosure obligatons owed to any Person.</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Transacton</w:t>
      </w:r>
      <w:r>
        <w:rPr>
          <w:rFonts w:ascii="Calibri" w:cs="Calibri" w:eastAsia="Calibri" w:hAnsi="Calibri"/>
          <w:sz w:val="20"/>
          <w:szCs w:val="20"/>
          <w:color w:val="auto"/>
        </w:rPr>
        <w:t>” has the meaning set forth in the Guardrail Provisions.</w:t>
      </w:r>
    </w:p>
    <w:p>
      <w:pPr>
        <w:spacing w:after="0" w:line="157"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Sofware</w:t>
      </w:r>
      <w:r>
        <w:rPr>
          <w:rFonts w:ascii="Calibri" w:cs="Calibri" w:eastAsia="Calibri" w:hAnsi="Calibri"/>
          <w:sz w:val="20"/>
          <w:szCs w:val="20"/>
          <w:color w:val="auto"/>
        </w:rPr>
        <w:t>” means any and all: (a) computer programs and sofware implementatons of algorithms, models and methodologies, in each case, whether in source code, object code or any other form; (b) descriptons, fow charts and other work product used to design, plan, organize and develop any of the foregoing, frmware, development tools, confguratons, interfaces, platorms and applicatons; (c) data, databases and compilatons; and (d) documentaton supportng or related to any of the foregoing (including training materials) . Sofware shall include “sofware” as such term is defned in the UCC and computer programs that may be construed as included in the defniton of “goods” in the UCC, including any licensed rights to Sofware, and all media that may contain Sofware or recorded data of any kind.</w:t>
      </w:r>
    </w:p>
    <w:p>
      <w:pPr>
        <w:spacing w:after="0" w:line="15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Source Code</w:t>
      </w:r>
      <w:r>
        <w:rPr>
          <w:rFonts w:ascii="Calibri" w:cs="Calibri" w:eastAsia="Calibri" w:hAnsi="Calibri"/>
          <w:sz w:val="20"/>
          <w:szCs w:val="20"/>
          <w:color w:val="auto"/>
        </w:rPr>
        <w:t>” means, with respect to any Sofware, the human-readable form of such Sofware.</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Sources and Uses Plan</w:t>
      </w:r>
      <w:r>
        <w:rPr>
          <w:rFonts w:ascii="Calibri" w:cs="Calibri" w:eastAsia="Calibri" w:hAnsi="Calibri"/>
          <w:sz w:val="20"/>
          <w:szCs w:val="20"/>
          <w:color w:val="auto"/>
        </w:rPr>
        <w:t>” means the detailed descripton of the overall fnancing plan for each Project, including expected sources and uses of funding associated with such Project (including specifc line items for each material component, phase or element of such Project); and refectng Capital Expenditures and operatng losses for such Project through the Breakeven Date, delivered by the Recipient to the Department pursuant to Secton 4.3 (</w:t>
      </w:r>
      <w:r>
        <w:rPr>
          <w:rFonts w:ascii="Calibri" w:cs="Calibri" w:eastAsia="Calibri" w:hAnsi="Calibri"/>
          <w:sz w:val="20"/>
          <w:szCs w:val="20"/>
          <w:b w:val="1"/>
          <w:bCs w:val="1"/>
          <w:color w:val="auto"/>
        </w:rPr>
        <w:t>Sources and Uses Plan</w:t>
      </w:r>
      <w:r>
        <w:rPr>
          <w:rFonts w:ascii="Calibri" w:cs="Calibri" w:eastAsia="Calibri" w:hAnsi="Calibri"/>
          <w:sz w:val="20"/>
          <w:szCs w:val="20"/>
          <w:color w:val="auto"/>
        </w:rPr>
        <w:t>).</w:t>
      </w:r>
    </w:p>
    <w:p>
      <w:pPr>
        <w:spacing w:after="0" w:line="160"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Guarantee</w:t>
      </w:r>
      <w:r>
        <w:rPr>
          <w:rFonts w:ascii="Calibri" w:cs="Calibri" w:eastAsia="Calibri" w:hAnsi="Calibri"/>
          <w:sz w:val="20"/>
          <w:szCs w:val="20"/>
          <w:color w:val="auto"/>
        </w:rPr>
        <w:t>” means that certain Sponsor Guarantee and Equity Contributon Agreement in favor of the Department entered into by and between the Sponsor Guarantor and the Department as of the Award Date.</w:t>
      </w:r>
    </w:p>
    <w:p>
      <w:pPr>
        <w:spacing w:after="0" w:line="159"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Guarantor</w:t>
      </w:r>
      <w:r>
        <w:rPr>
          <w:rFonts w:ascii="Calibri" w:cs="Calibri" w:eastAsia="Calibri" w:hAnsi="Calibri"/>
          <w:sz w:val="20"/>
          <w:szCs w:val="20"/>
          <w:color w:val="auto"/>
        </w:rPr>
        <w:t>” means Micron Technology, Inc., a corporaton organized and existng under the laws of Delaware, in its capacity as guarantor under the Sponsor Guarantee.</w:t>
      </w:r>
    </w:p>
    <w:p>
      <w:pPr>
        <w:spacing w:after="0" w:line="159"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Guarantor’s Accountant</w:t>
      </w:r>
      <w:r>
        <w:rPr>
          <w:rFonts w:ascii="Calibri" w:cs="Calibri" w:eastAsia="Calibri" w:hAnsi="Calibri"/>
          <w:sz w:val="20"/>
          <w:szCs w:val="20"/>
          <w:color w:val="auto"/>
        </w:rPr>
        <w:t>” means PricewaterhouseCoopers LLP, or such other frm of independent certfed public accountants of natonally recognized standing as may be appointed by the Sponsor from tme to tme.</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Subaward</w:t>
      </w:r>
      <w:r>
        <w:rPr>
          <w:rFonts w:ascii="Calibri" w:cs="Calibri" w:eastAsia="Calibri" w:hAnsi="Calibri"/>
          <w:sz w:val="20"/>
          <w:szCs w:val="20"/>
          <w:color w:val="auto"/>
        </w:rPr>
        <w:t>” means an award to carry out the Authorized Purpose that is not a contract for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ectPr>
          <w:pgSz w:w="11900" w:h="16838" w:orient="portrait"/>
          <w:cols w:equalWidth="0" w:num="1">
            <w:col w:w="11240"/>
          </w:cols>
          <w:pgMar w:left="320" w:top="1384" w:right="339" w:bottom="1440" w:gutter="0" w:footer="0" w:header="0"/>
        </w:sectPr>
      </w:pPr>
    </w:p>
    <w:bookmarkStart w:id="512" w:name="page513"/>
    <w:bookmarkEnd w:id="512"/>
    <w:p>
      <w:pPr>
        <w:jc w:val="both"/>
        <w:ind w:firstLine="648"/>
        <w:spacing w:after="0" w:line="22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Subsidiary</w:t>
      </w:r>
      <w:r>
        <w:rPr>
          <w:rFonts w:ascii="Calibri" w:cs="Calibri" w:eastAsia="Calibri" w:hAnsi="Calibri"/>
          <w:sz w:val="20"/>
          <w:szCs w:val="20"/>
          <w:color w:val="auto"/>
        </w:rPr>
        <w:t>” means, with respect to any Person, any corporaton, partnership, limited liability company, associaton, joint venture or other business entty the accounts of which would be consolidated with those of such Person in such Person’s consolidated fnancial statements if such fnancial statements were prepared in accordance with the Applicable Accountng Requirements as of such date, as well as any other corporaton, partnership, limited liability company, associaton, joint venture or other business entty of which more than ffy percent (50%) of the total votng power of shares of stock or other ownership interests enttled (without regard to the occurrence of any contngency) to vote in the electon of the Person or Persons (whether directors, managers, trustees or other Persons performing similar functons) having the power to direct or cause the directon of the management and policies thereof is at the tme owned or controlled, directly or indirectly, by that Person or one or more of the other Subsidiaries of that Person or a combinaton thereof.</w:t>
      </w:r>
    </w:p>
    <w:p>
      <w:pPr>
        <w:spacing w:after="0" w:line="178"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Taxes</w:t>
      </w:r>
      <w:r>
        <w:rPr>
          <w:rFonts w:ascii="Calibri" w:cs="Calibri" w:eastAsia="Calibri" w:hAnsi="Calibri"/>
          <w:sz w:val="20"/>
          <w:szCs w:val="20"/>
          <w:color w:val="auto"/>
        </w:rPr>
        <w:t>” means all taxes, levies, imposts, dutes, deductons, charges or withholdings imposed by any Governmental Authority, including any interest, penaltes or additons thereto imposed in respect thereof.</w:t>
      </w:r>
    </w:p>
    <w:p>
      <w:pPr>
        <w:spacing w:after="0" w:line="171"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w:t>
      </w:r>
      <w:r>
        <w:rPr>
          <w:rFonts w:ascii="Calibri" w:cs="Calibri" w:eastAsia="Calibri" w:hAnsi="Calibri"/>
          <w:sz w:val="20"/>
          <w:szCs w:val="20"/>
          <w:color w:val="auto"/>
        </w:rPr>
        <w:t>” means regardless of form, any inventon (whether or not patentable or reduced to Practce), discovery, informaton, work of authorship, artcles of manufacture, machines, methods, processes, models, procedures, protocols, designs, diagrams, drawings, documentaton, fow charts, network confguratons and architectures, schematcs, specifcatons, concepts, data, databases and data collectons, algorithms, formulas, know-how, and techniques, Sofware code, including all Source Code, object code, frmware, development tools and applicaton programming interfaces, tools, materials, marketng and development plans, and other forms of technology and all media on which any of the foregoing is recorded.</w:t>
      </w:r>
    </w:p>
    <w:p>
      <w:pPr>
        <w:spacing w:after="0" w:line="16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Clawback Term</w:t>
      </w:r>
      <w:r>
        <w:rPr>
          <w:rFonts w:ascii="Calibri" w:cs="Calibri" w:eastAsia="Calibri" w:hAnsi="Calibri"/>
          <w:sz w:val="20"/>
          <w:szCs w:val="20"/>
          <w:color w:val="auto"/>
        </w:rPr>
        <w:t>” means, with respect to any Project, the period commencing on the Award Date and ending on to the last day of the Period of Performance.</w:t>
      </w:r>
    </w:p>
    <w:p>
      <w:pPr>
        <w:spacing w:after="0" w:line="159"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Licensing</w:t>
      </w:r>
      <w:r>
        <w:rPr>
          <w:rFonts w:ascii="Calibri" w:cs="Calibri" w:eastAsia="Calibri" w:hAnsi="Calibri"/>
          <w:sz w:val="20"/>
          <w:szCs w:val="20"/>
          <w:color w:val="auto"/>
        </w:rPr>
        <w:t>” has the meaning set forth in Secton 7(c)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the Guardrail Provisions.</w:t>
      </w:r>
    </w:p>
    <w:p>
      <w:pPr>
        <w:spacing w:after="0" w:line="350"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Terminaton Date</w:t>
      </w:r>
      <w:r>
        <w:rPr>
          <w:rFonts w:ascii="Calibri" w:cs="Calibri" w:eastAsia="Calibri" w:hAnsi="Calibri"/>
          <w:sz w:val="20"/>
          <w:szCs w:val="20"/>
          <w:color w:val="auto"/>
        </w:rPr>
        <w:t>” means the date that is the later of (a) the last day of the Upside Sharing Term; and (b) the tenth (10th) anniversary from the Award Date.</w:t>
      </w:r>
    </w:p>
    <w:p>
      <w:pPr>
        <w:spacing w:after="0" w:line="159"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Third Party Debt Funding Documents</w:t>
      </w:r>
      <w:r>
        <w:rPr>
          <w:rFonts w:ascii="Calibri" w:cs="Calibri" w:eastAsia="Calibri" w:hAnsi="Calibri"/>
          <w:sz w:val="20"/>
          <w:szCs w:val="20"/>
          <w:color w:val="auto"/>
        </w:rPr>
        <w:t>” any debt fnancing received by the Recipient from third partes used to fund Eligible Uses of Funds.</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Threshold</w:t>
      </w:r>
      <w:r>
        <w:rPr>
          <w:rFonts w:ascii="Calibri" w:cs="Calibri" w:eastAsia="Calibri" w:hAnsi="Calibri"/>
          <w:sz w:val="20"/>
          <w:szCs w:val="20"/>
          <w:color w:val="auto"/>
        </w:rPr>
        <w:t>” means, with respect to any Project and each Relevant Period, the amount equal to the product of:</w:t>
      </w:r>
    </w:p>
    <w:p>
      <w:pPr>
        <w:spacing w:after="0" w:line="174" w:lineRule="exact"/>
        <w:rPr>
          <w:sz w:val="20"/>
          <w:szCs w:val="20"/>
          <w:color w:val="auto"/>
        </w:rPr>
      </w:pPr>
    </w:p>
    <w:p>
      <w:pPr>
        <w:ind w:left="660"/>
        <w:spacing w:after="0"/>
        <w:tabs>
          <w:tab w:leader="none" w:pos="1040" w:val="left"/>
        </w:tabs>
        <w:rPr>
          <w:sz w:val="20"/>
          <w:szCs w:val="20"/>
          <w:color w:val="auto"/>
        </w:rPr>
      </w:pPr>
      <w:r>
        <w:rPr>
          <w:rFonts w:ascii="Calibri" w:cs="Calibri" w:eastAsia="Calibri" w:hAnsi="Calibri"/>
          <w:sz w:val="20"/>
          <w:szCs w:val="20"/>
          <w:color w:val="auto"/>
        </w:rPr>
        <w:t>(1)</w:t>
        <w:tab/>
        <w:t>the applicable percentage set forth in the table below for such Project and Relevant Period:</w:t>
      </w:r>
    </w:p>
    <w:p>
      <w:pPr>
        <w:spacing w:after="0" w:line="242" w:lineRule="exact"/>
        <w:rPr>
          <w:sz w:val="20"/>
          <w:szCs w:val="20"/>
          <w:color w:val="auto"/>
        </w:rPr>
      </w:pPr>
    </w:p>
    <w:tbl>
      <w:tblPr>
        <w:tblLayout w:type="fixed"/>
        <w:tblInd w:w="670" w:type="dxa"/>
        <w:tblCellMar>
          <w:top w:w="0" w:type="dxa"/>
          <w:left w:w="0" w:type="dxa"/>
          <w:bottom w:w="0" w:type="dxa"/>
          <w:right w:w="0" w:type="dxa"/>
        </w:tblCellMar>
      </w:tblPr>
      <w:tr>
        <w:trPr>
          <w:trHeight w:val="275"/>
        </w:trPr>
        <w:tc>
          <w:tcPr>
            <w:tcW w:w="480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Calibri" w:cs="Calibri" w:eastAsia="Calibri" w:hAnsi="Calibri"/>
                <w:sz w:val="20"/>
                <w:szCs w:val="20"/>
                <w:b w:val="1"/>
                <w:bCs w:val="1"/>
                <w:color w:val="auto"/>
                <w:w w:val="99"/>
              </w:rPr>
              <w:t>Relevant Period</w:t>
            </w:r>
          </w:p>
        </w:tc>
        <w:tc>
          <w:tcPr>
            <w:tcW w:w="49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Calibri" w:cs="Calibri" w:eastAsia="Calibri" w:hAnsi="Calibri"/>
                <w:sz w:val="20"/>
                <w:szCs w:val="20"/>
                <w:b w:val="1"/>
                <w:bCs w:val="1"/>
                <w:color w:val="auto"/>
              </w:rPr>
              <w:t>Threshold</w:t>
            </w:r>
          </w:p>
        </w:tc>
      </w:tr>
      <w:tr>
        <w:trPr>
          <w:trHeight w:val="230"/>
        </w:trPr>
        <w:tc>
          <w:tcPr>
            <w:tcW w:w="4800" w:type="dxa"/>
            <w:vAlign w:val="bottom"/>
            <w:tcBorders>
              <w:top w:val="single" w:sz="8" w:color="auto"/>
              <w:left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Relevant Period 1</w:t>
            </w:r>
          </w:p>
        </w:tc>
        <w:tc>
          <w:tcPr>
            <w:tcW w:w="4980" w:type="dxa"/>
            <w:vAlign w:val="bottom"/>
            <w:tcBorders>
              <w:top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r>
      <w:tr>
        <w:trPr>
          <w:trHeight w:val="168"/>
        </w:trPr>
        <w:tc>
          <w:tcPr>
            <w:tcW w:w="4800" w:type="dxa"/>
            <w:vAlign w:val="bottom"/>
            <w:tcBorders>
              <w:left w:val="single" w:sz="8" w:color="auto"/>
              <w:bottom w:val="single" w:sz="8" w:color="auto"/>
              <w:right w:val="single" w:sz="8" w:color="auto"/>
            </w:tcBorders>
          </w:tcPr>
          <w:p>
            <w:pPr>
              <w:spacing w:after="0"/>
              <w:rPr>
                <w:sz w:val="14"/>
                <w:szCs w:val="14"/>
                <w:color w:val="auto"/>
              </w:rPr>
            </w:pPr>
          </w:p>
        </w:tc>
        <w:tc>
          <w:tcPr>
            <w:tcW w:w="4980" w:type="dxa"/>
            <w:vAlign w:val="bottom"/>
            <w:tcBorders>
              <w:bottom w:val="single" w:sz="8" w:color="auto"/>
              <w:right w:val="single" w:sz="8" w:color="auto"/>
            </w:tcBorders>
          </w:tcPr>
          <w:p>
            <w:pPr>
              <w:spacing w:after="0"/>
              <w:rPr>
                <w:sz w:val="14"/>
                <w:szCs w:val="14"/>
                <w:color w:val="auto"/>
              </w:rPr>
            </w:pPr>
          </w:p>
        </w:tc>
      </w:tr>
      <w:tr>
        <w:trPr>
          <w:trHeight w:val="230"/>
        </w:trPr>
        <w:tc>
          <w:tcPr>
            <w:tcW w:w="4800" w:type="dxa"/>
            <w:vAlign w:val="bottom"/>
            <w:tcBorders>
              <w:left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color w:val="auto"/>
              </w:rPr>
              <w:t>Relevant Period 2</w:t>
            </w:r>
          </w:p>
        </w:tc>
        <w:tc>
          <w:tcPr>
            <w:tcW w:w="4980" w:type="dxa"/>
            <w:vAlign w:val="bottom"/>
            <w:tcBorders>
              <w:right w:val="single" w:sz="8" w:color="auto"/>
            </w:tcBorders>
          </w:tcPr>
          <w:p>
            <w:pPr>
              <w:jc w:val="center"/>
              <w:spacing w:after="0" w:line="230" w:lineRule="exact"/>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tc>
      </w:tr>
      <w:tr>
        <w:trPr>
          <w:trHeight w:val="168"/>
        </w:trPr>
        <w:tc>
          <w:tcPr>
            <w:tcW w:w="4800" w:type="dxa"/>
            <w:vAlign w:val="bottom"/>
            <w:tcBorders>
              <w:left w:val="single" w:sz="8" w:color="auto"/>
              <w:bottom w:val="single" w:sz="8" w:color="auto"/>
              <w:right w:val="single" w:sz="8" w:color="auto"/>
            </w:tcBorders>
          </w:tcPr>
          <w:p>
            <w:pPr>
              <w:spacing w:after="0"/>
              <w:rPr>
                <w:sz w:val="14"/>
                <w:szCs w:val="14"/>
                <w:color w:val="auto"/>
              </w:rPr>
            </w:pPr>
          </w:p>
        </w:tc>
        <w:tc>
          <w:tcPr>
            <w:tcW w:w="49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Calibri" w:cs="Calibri" w:eastAsia="Calibri" w:hAnsi="Calibri"/>
          <w:sz w:val="20"/>
          <w:szCs w:val="20"/>
          <w:u w:val="single" w:color="auto"/>
          <w:color w:val="auto"/>
        </w:rPr>
        <w:t>multplied by</w:t>
      </w:r>
    </w:p>
    <w:p>
      <w:pPr>
        <w:spacing w:after="0" w:line="188" w:lineRule="exact"/>
        <w:rPr>
          <w:sz w:val="20"/>
          <w:szCs w:val="20"/>
          <w:color w:val="auto"/>
        </w:rPr>
      </w:pPr>
    </w:p>
    <w:p>
      <w:pPr>
        <w:ind w:left="1320" w:hanging="664"/>
        <w:spacing w:after="0"/>
        <w:tabs>
          <w:tab w:leader="none" w:pos="1320" w:val="left"/>
        </w:tabs>
        <w:numPr>
          <w:ilvl w:val="0"/>
          <w:numId w:val="636"/>
        </w:numPr>
        <w:rPr>
          <w:rFonts w:ascii="Calibri" w:cs="Calibri" w:eastAsia="Calibri" w:hAnsi="Calibri"/>
          <w:sz w:val="20"/>
          <w:szCs w:val="20"/>
          <w:color w:val="auto"/>
        </w:rPr>
      </w:pPr>
      <w:r>
        <w:rPr>
          <w:rFonts w:ascii="Calibri" w:cs="Calibri" w:eastAsia="Calibri" w:hAnsi="Calibri"/>
          <w:sz w:val="20"/>
          <w:szCs w:val="20"/>
          <w:color w:val="auto"/>
        </w:rPr>
        <w:t>(2)  the Projected Cumulatve Unlevered Free Cash Flow for such Project for such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ectPr>
          <w:pgSz w:w="11900" w:h="16838" w:orient="portrait"/>
          <w:cols w:equalWidth="0" w:num="1">
            <w:col w:w="11240"/>
          </w:cols>
          <w:pgMar w:left="320" w:top="1384" w:right="339" w:bottom="1440" w:gutter="0" w:footer="0" w:header="0"/>
        </w:sectPr>
      </w:pPr>
    </w:p>
    <w:bookmarkStart w:id="513" w:name="page514"/>
    <w:bookmarkEnd w:id="513"/>
    <w:p>
      <w:pPr>
        <w:jc w:val="both"/>
        <w:ind w:firstLine="648"/>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Funding Available</w:t>
      </w:r>
      <w:r>
        <w:rPr>
          <w:rFonts w:ascii="Calibri" w:cs="Calibri" w:eastAsia="Calibri" w:hAnsi="Calibri"/>
          <w:sz w:val="20"/>
          <w:szCs w:val="20"/>
          <w:color w:val="auto"/>
        </w:rPr>
        <w:t xml:space="preserve">” means, with respect to any Project and as of any date of determinaton, the sum of: (a) the unused porton of the Maximum Direct Funding Award Amount for such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(b) the unused porton (if any) of the Equity Commitment for such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(c) any other unused equity funding that is commited for such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(d) any debt provided under the Third Party Debt Funding Documents for such Project; </w:t>
      </w:r>
      <w:r>
        <w:rPr>
          <w:rFonts w:ascii="Calibri" w:cs="Calibri" w:eastAsia="Calibri" w:hAnsi="Calibri"/>
          <w:sz w:val="20"/>
          <w:szCs w:val="20"/>
          <w:i w:val="1"/>
          <w:iCs w:val="1"/>
          <w:color w:val="auto"/>
        </w:rPr>
        <w:t>plus</w:t>
      </w:r>
      <w:r>
        <w:rPr>
          <w:rFonts w:ascii="Calibri" w:cs="Calibri" w:eastAsia="Calibri" w:hAnsi="Calibri"/>
          <w:sz w:val="20"/>
          <w:szCs w:val="20"/>
          <w:color w:val="auto"/>
        </w:rPr>
        <w:t xml:space="preserve"> (e) any other funding that the Department determines to be reasonably likely to become available to the Recipient for such Project afer such date of determinaton to pay all remaining Project Costs.</w:t>
      </w:r>
    </w:p>
    <w:p>
      <w:pPr>
        <w:spacing w:after="0" w:line="161"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Project Costs</w:t>
      </w:r>
      <w:r>
        <w:rPr>
          <w:rFonts w:ascii="Calibri" w:cs="Calibri" w:eastAsia="Calibri" w:hAnsi="Calibri"/>
          <w:sz w:val="20"/>
          <w:szCs w:val="20"/>
          <w:color w:val="auto"/>
        </w:rPr>
        <w:t>” means, with respect to any Project and as of any date of determinaton, the total amount of Project Costs reasonably likely to be required to be paid by the Recipient to achieve the Project Completon Date for such Project.</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Total Revenue</w:t>
      </w:r>
      <w:r>
        <w:rPr>
          <w:rFonts w:ascii="Calibri" w:cs="Calibri" w:eastAsia="Calibri" w:hAnsi="Calibri"/>
          <w:sz w:val="20"/>
          <w:szCs w:val="20"/>
          <w:color w:val="auto"/>
        </w:rPr>
        <w:t>” has the meaning set forth in the Applicable Accountng Requirements.</w:t>
      </w:r>
    </w:p>
    <w:p>
      <w:pPr>
        <w:spacing w:after="0" w:line="157" w:lineRule="exact"/>
        <w:rPr>
          <w:sz w:val="20"/>
          <w:szCs w:val="20"/>
          <w:color w:val="auto"/>
        </w:rPr>
      </w:pPr>
    </w:p>
    <w:p>
      <w:pPr>
        <w:jc w:val="both"/>
        <w:ind w:right="20"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Trade Secrets</w:t>
      </w:r>
      <w:r>
        <w:rPr>
          <w:rFonts w:ascii="Calibri" w:cs="Calibri" w:eastAsia="Calibri" w:hAnsi="Calibri"/>
          <w:sz w:val="20"/>
          <w:szCs w:val="20"/>
          <w:color w:val="auto"/>
        </w:rPr>
        <w:t>” means any trade secrets and other confdental or proprietary informaton, including know-how, inventons, processes, procedures, algorithms, Source Code, databases, concepts, ideas, research or development informaton, techniques, technical informaton and data, specifcatons, methods, discoveries, modifcatons, extensions, and customer and supplier lists, in each case, whether or not reduced to a writen or other tangible form.</w:t>
      </w:r>
    </w:p>
    <w:p>
      <w:pPr>
        <w:spacing w:after="0" w:line="173"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Transfer</w:t>
      </w:r>
      <w:r>
        <w:rPr>
          <w:rFonts w:ascii="Calibri" w:cs="Calibri" w:eastAsia="Calibri" w:hAnsi="Calibri"/>
          <w:sz w:val="20"/>
          <w:szCs w:val="20"/>
          <w:color w:val="auto"/>
        </w:rPr>
        <w:t>” means any sale, assignment, pledge, creaton of a security interest or other transfer, regardless of whether carried out directly or indirectly.</w:t>
      </w:r>
    </w:p>
    <w:p>
      <w:pPr>
        <w:spacing w:after="0" w:line="148"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True-Up Amount</w:t>
      </w:r>
      <w:r>
        <w:rPr>
          <w:rFonts w:ascii="Calibri" w:cs="Calibri" w:eastAsia="Calibri" w:hAnsi="Calibri"/>
          <w:sz w:val="20"/>
          <w:szCs w:val="20"/>
          <w:color w:val="auto"/>
        </w:rPr>
        <w:t>” means, with respect to any requested Direct Funding Disbursement for any Disbursement Milestone of any</w:t>
      </w:r>
    </w:p>
    <w:p>
      <w:pPr>
        <w:spacing w:after="0" w:line="199" w:lineRule="auto"/>
        <w:rPr>
          <w:sz w:val="20"/>
          <w:szCs w:val="20"/>
          <w:color w:val="auto"/>
        </w:rPr>
      </w:pPr>
      <w:r>
        <w:rPr>
          <w:rFonts w:ascii="Calibri" w:cs="Calibri" w:eastAsia="Calibri" w:hAnsi="Calibri"/>
          <w:sz w:val="20"/>
          <w:szCs w:val="20"/>
          <w:color w:val="auto"/>
        </w:rPr>
        <w:t>Project and as of any date of determinaton, an amount equal to:</w:t>
      </w:r>
    </w:p>
    <w:p>
      <w:pPr>
        <w:spacing w:after="0" w:line="14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color w:val="auto"/>
        </w:rPr>
        <w:t>(ab)</w:t>
      </w:r>
      <w:r>
        <w:rPr>
          <w:sz w:val="20"/>
          <w:szCs w:val="20"/>
          <w:color w:val="auto"/>
        </w:rPr>
        <w:tab/>
      </w:r>
      <w:r>
        <w:rPr>
          <w:rFonts w:ascii="Calibri" w:cs="Calibri" w:eastAsia="Calibri" w:hAnsi="Calibri"/>
          <w:sz w:val="20"/>
          <w:szCs w:val="20"/>
          <w:color w:val="auto"/>
        </w:rPr>
        <w:t>the lesser of (i) the product of (A) the Scheduled Cumulatve Disbursement Rato for such Disbursement Milestone multplied by</w:t>
      </w:r>
    </w:p>
    <w:p>
      <w:pPr>
        <w:ind w:left="660" w:right="20" w:hanging="4"/>
        <w:spacing w:after="0" w:line="199" w:lineRule="auto"/>
        <w:tabs>
          <w:tab w:leader="none" w:pos="970" w:val="left"/>
        </w:tabs>
        <w:numPr>
          <w:ilvl w:val="0"/>
          <w:numId w:val="637"/>
        </w:numPr>
        <w:rPr>
          <w:rFonts w:ascii="Calibri" w:cs="Calibri" w:eastAsia="Calibri" w:hAnsi="Calibri"/>
          <w:sz w:val="20"/>
          <w:szCs w:val="20"/>
          <w:color w:val="auto"/>
        </w:rPr>
      </w:pPr>
      <w:r>
        <w:rPr>
          <w:rFonts w:ascii="Calibri" w:cs="Calibri" w:eastAsia="Calibri" w:hAnsi="Calibri"/>
          <w:sz w:val="20"/>
          <w:szCs w:val="20"/>
          <w:color w:val="auto"/>
        </w:rPr>
        <w:t>the Actual Cumulatve Capex Amount for such Project as of such date; and (ii) the Scheduled Cumulatve Disbursement Amount for such Project as of such date; minus</w:t>
      </w:r>
    </w:p>
    <w:p>
      <w:pPr>
        <w:spacing w:after="0" w:line="14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0"/>
          <w:szCs w:val="20"/>
          <w:color w:val="auto"/>
        </w:rPr>
        <w:t>(ac)</w:t>
      </w:r>
      <w:r>
        <w:rPr>
          <w:sz w:val="20"/>
          <w:szCs w:val="20"/>
          <w:color w:val="auto"/>
        </w:rPr>
        <w:tab/>
      </w:r>
      <w:r>
        <w:rPr>
          <w:rFonts w:ascii="Calibri" w:cs="Calibri" w:eastAsia="Calibri" w:hAnsi="Calibri"/>
          <w:sz w:val="20"/>
          <w:szCs w:val="20"/>
          <w:color w:val="auto"/>
        </w:rPr>
        <w:t>the Actual Cumulatve Disbursement Amount for such Project as of such date.</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TVPA</w:t>
      </w:r>
      <w:r>
        <w:rPr>
          <w:rFonts w:ascii="Calibri" w:cs="Calibri" w:eastAsia="Calibri" w:hAnsi="Calibri"/>
          <w:sz w:val="20"/>
          <w:szCs w:val="20"/>
          <w:color w:val="auto"/>
        </w:rPr>
        <w:t xml:space="preserve">” means the Trafcking Victms Protecton Act of 2000 (22 U.S.C. § 7101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UCC</w:t>
      </w:r>
      <w:r>
        <w:rPr>
          <w:rFonts w:ascii="Calibri" w:cs="Calibri" w:eastAsia="Calibri" w:hAnsi="Calibri"/>
          <w:sz w:val="20"/>
          <w:szCs w:val="20"/>
          <w:color w:val="auto"/>
        </w:rPr>
        <w:t>” means the Uniform Commercial Code of the applicable jurisdicton.</w:t>
      </w:r>
    </w:p>
    <w:p>
      <w:pPr>
        <w:spacing w:after="0" w:line="147"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United States</w:t>
      </w:r>
      <w:r>
        <w:rPr>
          <w:rFonts w:ascii="Calibri" w:cs="Calibri" w:eastAsia="Calibri" w:hAnsi="Calibri"/>
          <w:sz w:val="20"/>
          <w:szCs w:val="20"/>
          <w:color w:val="auto"/>
        </w:rPr>
        <w:t>” or “</w:t>
      </w:r>
      <w:r>
        <w:rPr>
          <w:rFonts w:ascii="Calibri" w:cs="Calibri" w:eastAsia="Calibri" w:hAnsi="Calibri"/>
          <w:sz w:val="20"/>
          <w:szCs w:val="20"/>
          <w:b w:val="1"/>
          <w:bCs w:val="1"/>
          <w:color w:val="auto"/>
        </w:rPr>
        <w:t>U.S.</w:t>
      </w:r>
      <w:r>
        <w:rPr>
          <w:rFonts w:ascii="Calibri" w:cs="Calibri" w:eastAsia="Calibri" w:hAnsi="Calibri"/>
          <w:sz w:val="20"/>
          <w:szCs w:val="20"/>
          <w:color w:val="auto"/>
        </w:rPr>
        <w:t>” means the United States of America.</w:t>
      </w:r>
    </w:p>
    <w:p>
      <w:pPr>
        <w:spacing w:after="0" w:line="157"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Amount</w:t>
      </w:r>
      <w:r>
        <w:rPr>
          <w:rFonts w:ascii="Calibri" w:cs="Calibri" w:eastAsia="Calibri" w:hAnsi="Calibri"/>
          <w:sz w:val="20"/>
          <w:szCs w:val="20"/>
          <w:color w:val="auto"/>
        </w:rPr>
        <w:t xml:space="preserve">” means, with respect to any Project for each Relevant Period, the amount due (if any) to the Department for such Relevant Period calculated in accordance with Secton 3.2.2 </w:t>
      </w:r>
      <w:r>
        <w:rPr>
          <w:rFonts w:ascii="Calibri" w:cs="Calibri" w:eastAsia="Calibri" w:hAnsi="Calibri"/>
          <w:sz w:val="20"/>
          <w:szCs w:val="20"/>
          <w:b w:val="1"/>
          <w:bCs w:val="1"/>
          <w:color w:val="auto"/>
        </w:rPr>
        <w:t>(Upside Sharing Amount Calculaton</w:t>
      </w:r>
      <w:r>
        <w:rPr>
          <w:rFonts w:ascii="Calibri" w:cs="Calibri" w:eastAsia="Calibri" w:hAnsi="Calibri"/>
          <w:sz w:val="20"/>
          <w:szCs w:val="20"/>
          <w:color w:val="auto"/>
        </w:rPr>
        <w:t>).</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 has the meaning set forth in Secton 3.2.3 (</w:t>
      </w:r>
      <w:r>
        <w:rPr>
          <w:rFonts w:ascii="Calibri" w:cs="Calibri" w:eastAsia="Calibri" w:hAnsi="Calibri"/>
          <w:sz w:val="20"/>
          <w:szCs w:val="20"/>
          <w:b w:val="1"/>
          <w:bCs w:val="1"/>
          <w:color w:val="auto"/>
        </w:rPr>
        <w:t>Upside Sharing Amount Certfcaton</w:t>
      </w:r>
      <w:r>
        <w:rPr>
          <w:rFonts w:ascii="Calibri" w:cs="Calibri" w:eastAsia="Calibri" w:hAnsi="Calibri"/>
          <w:sz w:val="20"/>
          <w:szCs w:val="20"/>
          <w:color w:val="auto"/>
        </w:rPr>
        <w:t>).</w:t>
      </w:r>
    </w:p>
    <w:p>
      <w:pPr>
        <w:spacing w:after="0" w:line="171"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Percentage</w:t>
      </w:r>
      <w:r>
        <w:rPr>
          <w:rFonts w:ascii="Calibri" w:cs="Calibri" w:eastAsia="Calibri" w:hAnsi="Calibri"/>
          <w:sz w:val="20"/>
          <w:szCs w:val="20"/>
          <w:color w:val="auto"/>
        </w:rPr>
        <w:t xml:space="preserve">” means, with respect to each Project for each Relevant Period, (a) with respect to the NY Fab 1 Project,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and (b) with respect to the NY Fab 2 Project,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Upside Sharing Term</w:t>
      </w:r>
      <w:r>
        <w:rPr>
          <w:rFonts w:ascii="Calibri" w:cs="Calibri" w:eastAsia="Calibri" w:hAnsi="Calibri"/>
          <w:sz w:val="20"/>
          <w:szCs w:val="20"/>
          <w:color w:val="auto"/>
        </w:rPr>
        <w:t>” means with respect to each Project, the period commencing on the Award Date and ending on the earlier of (a) the last day of the tenth (10th) Fiscal Year afer the Fiscal Year in which the Breakeven Date occurs for the applicable Project; and (b) the date on which all Upside Sharing Amounts owing by the Recipient have been made by the Recipient to the Department pursuant to this Agreement.</w:t>
      </w:r>
    </w:p>
    <w:p>
      <w:pPr>
        <w:spacing w:after="0" w:line="15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Workforce Award</w:t>
      </w:r>
      <w:r>
        <w:rPr>
          <w:rFonts w:ascii="Calibri" w:cs="Calibri" w:eastAsia="Calibri" w:hAnsi="Calibri"/>
          <w:sz w:val="20"/>
          <w:szCs w:val="20"/>
          <w:color w:val="auto"/>
        </w:rPr>
        <w:t>” has the meaning set forth in Secton 2.1(a) (</w:t>
      </w:r>
      <w:r>
        <w:rPr>
          <w:rFonts w:ascii="Calibri" w:cs="Calibri" w:eastAsia="Calibri" w:hAnsi="Calibri"/>
          <w:sz w:val="20"/>
          <w:szCs w:val="20"/>
          <w:b w:val="1"/>
          <w:bCs w:val="1"/>
          <w:color w:val="auto"/>
        </w:rPr>
        <w:t>Award Amount</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ectPr>
          <w:pgSz w:w="11900" w:h="16838" w:orient="portrait"/>
          <w:cols w:equalWidth="0" w:num="1">
            <w:col w:w="11240"/>
          </w:cols>
          <w:pgMar w:left="320" w:top="1384" w:right="339" w:bottom="1440" w:gutter="0" w:footer="0" w:header="0"/>
        </w:sectPr>
      </w:pPr>
    </w:p>
    <w:bookmarkStart w:id="514" w:name="page515"/>
    <w:bookmarkEnd w:id="514"/>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Workforce Disbursement</w:t>
      </w:r>
      <w:r>
        <w:rPr>
          <w:rFonts w:ascii="Calibri" w:cs="Calibri" w:eastAsia="Calibri" w:hAnsi="Calibri"/>
          <w:sz w:val="20"/>
          <w:szCs w:val="20"/>
          <w:color w:val="auto"/>
        </w:rPr>
        <w:t>” has the meaning set forth in Annex G (</w:t>
      </w:r>
      <w:r>
        <w:rPr>
          <w:rFonts w:ascii="Times New Roman" w:cs="Times New Roman" w:eastAsia="Times New Roman" w:hAnsi="Times New Roman"/>
          <w:sz w:val="20"/>
          <w:szCs w:val="20"/>
          <w:b w:val="1"/>
          <w:bCs w:val="1"/>
          <w:color w:val="auto"/>
        </w:rPr>
        <w:t>Direct Funding for Workforce Activities</w:t>
      </w:r>
      <w:r>
        <w:rPr>
          <w:rFonts w:ascii="Calibri" w:cs="Calibri" w:eastAsia="Calibri" w:hAnsi="Calibri"/>
          <w:sz w:val="20"/>
          <w:szCs w:val="20"/>
          <w:color w:val="auto"/>
        </w:rPr>
        <w:t>).</w:t>
      </w:r>
    </w:p>
    <w:p>
      <w:pPr>
        <w:spacing w:after="0" w:line="163"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Workforce Disbursement Date</w:t>
      </w:r>
      <w:r>
        <w:rPr>
          <w:rFonts w:ascii="Calibri" w:cs="Calibri" w:eastAsia="Calibri" w:hAnsi="Calibri"/>
          <w:sz w:val="20"/>
          <w:szCs w:val="20"/>
          <w:color w:val="auto"/>
        </w:rPr>
        <w:t>” means a Disbursement Date on which a Workforce Disbursement is made in accordance with this Agreement.</w:t>
      </w:r>
    </w:p>
    <w:p>
      <w:pPr>
        <w:spacing w:after="0" w:line="17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Workforce Disbursement Request</w:t>
      </w:r>
      <w:r>
        <w:rPr>
          <w:rFonts w:ascii="Calibri" w:cs="Calibri" w:eastAsia="Calibri" w:hAnsi="Calibri"/>
          <w:sz w:val="20"/>
          <w:szCs w:val="20"/>
          <w:color w:val="auto"/>
        </w:rPr>
        <w:t>” has the meaning set forth in Annex G (</w:t>
      </w:r>
      <w:r>
        <w:rPr>
          <w:rFonts w:ascii="Times New Roman" w:cs="Times New Roman" w:eastAsia="Times New Roman" w:hAnsi="Times New Roman"/>
          <w:sz w:val="20"/>
          <w:szCs w:val="20"/>
          <w:b w:val="1"/>
          <w:bCs w:val="1"/>
          <w:color w:val="auto"/>
        </w:rPr>
        <w:t>Direct Funding for Workforce Activities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ectPr>
          <w:pgSz w:w="11900" w:h="16838" w:orient="portrait"/>
          <w:cols w:equalWidth="0" w:num="1">
            <w:col w:w="11220"/>
          </w:cols>
          <w:pgMar w:left="320" w:top="1395" w:right="359" w:bottom="1440" w:gutter="0" w:footer="0" w:header="0"/>
        </w:sectPr>
      </w:pPr>
    </w:p>
    <w:bookmarkStart w:id="515" w:name="page516"/>
    <w:bookmarkEnd w:id="515"/>
    <w:p>
      <w:pPr>
        <w:ind w:left="4980"/>
        <w:spacing w:after="0"/>
        <w:rPr>
          <w:sz w:val="20"/>
          <w:szCs w:val="20"/>
          <w:color w:val="auto"/>
        </w:rPr>
      </w:pPr>
      <w:r>
        <w:rPr>
          <w:rFonts w:ascii="Calibri" w:cs="Calibri" w:eastAsia="Calibri" w:hAnsi="Calibri"/>
          <w:sz w:val="20"/>
          <w:szCs w:val="20"/>
          <w:b w:val="1"/>
          <w:bCs w:val="1"/>
          <w:color w:val="auto"/>
        </w:rPr>
        <w:t>Annex B</w:t>
      </w:r>
    </w:p>
    <w:p>
      <w:pPr>
        <w:ind w:left="4480"/>
        <w:spacing w:after="0" w:line="199" w:lineRule="auto"/>
        <w:rPr>
          <w:sz w:val="20"/>
          <w:szCs w:val="20"/>
          <w:color w:val="auto"/>
        </w:rPr>
      </w:pPr>
      <w:r>
        <w:rPr>
          <w:rFonts w:ascii="Calibri" w:cs="Calibri" w:eastAsia="Calibri" w:hAnsi="Calibri"/>
          <w:sz w:val="20"/>
          <w:szCs w:val="20"/>
          <w:b w:val="1"/>
          <w:bCs w:val="1"/>
          <w:color w:val="auto"/>
        </w:rPr>
        <w:t>RULES OF INTERPRETATION</w:t>
      </w:r>
    </w:p>
    <w:p>
      <w:pPr>
        <w:spacing w:after="0" w:line="184"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For all purposes of this Agreement, including any Exhibits, Schedules, Annexes and Appendices hereto, unless otherwise indicated or required by the context:</w:t>
      </w:r>
    </w:p>
    <w:p>
      <w:pPr>
        <w:spacing w:after="0" w:line="172" w:lineRule="exact"/>
        <w:rPr>
          <w:sz w:val="20"/>
          <w:szCs w:val="20"/>
          <w:color w:val="auto"/>
        </w:rPr>
      </w:pPr>
    </w:p>
    <w:p>
      <w:pPr>
        <w:ind w:left="660" w:right="20" w:hanging="652"/>
        <w:spacing w:after="0" w:line="208"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Plurals and Gender</w:t>
      </w:r>
      <w:r>
        <w:rPr>
          <w:rFonts w:ascii="Calibri" w:cs="Calibri" w:eastAsia="Calibri" w:hAnsi="Calibri"/>
          <w:sz w:val="20"/>
          <w:szCs w:val="20"/>
          <w:color w:val="auto"/>
        </w:rPr>
        <w:t>. Defned terms in the singular shall include the plural and</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vice versa</w:t>
      </w:r>
      <w:r>
        <w:rPr>
          <w:rFonts w:ascii="Calibri" w:cs="Calibri" w:eastAsia="Calibri" w:hAnsi="Calibri"/>
          <w:sz w:val="20"/>
          <w:szCs w:val="20"/>
          <w:color w:val="auto"/>
        </w:rPr>
        <w:t>, and the masculine, feminine or neuter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gender shall include all genders.</w:t>
      </w:r>
    </w:p>
    <w:p>
      <w:pPr>
        <w:spacing w:after="0" w:line="161" w:lineRule="exact"/>
        <w:rPr>
          <w:rFonts w:ascii="Calibri" w:cs="Calibri" w:eastAsia="Calibri" w:hAnsi="Calibri"/>
          <w:sz w:val="20"/>
          <w:szCs w:val="20"/>
          <w:color w:val="auto"/>
        </w:rPr>
      </w:pPr>
    </w:p>
    <w:p>
      <w:pPr>
        <w:ind w:left="640" w:hanging="632"/>
        <w:spacing w:after="0"/>
        <w:tabs>
          <w:tab w:leader="none" w:pos="640"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Use of Or</w:t>
      </w:r>
      <w:r>
        <w:rPr>
          <w:rFonts w:ascii="Calibri" w:cs="Calibri" w:eastAsia="Calibri" w:hAnsi="Calibri"/>
          <w:sz w:val="20"/>
          <w:szCs w:val="20"/>
          <w:color w:val="auto"/>
        </w:rPr>
        <w:t>. The word “or” is not exclusive.</w:t>
      </w:r>
    </w:p>
    <w:p>
      <w:pPr>
        <w:spacing w:after="0" w:line="157" w:lineRule="exact"/>
        <w:rPr>
          <w:rFonts w:ascii="Calibri" w:cs="Calibri" w:eastAsia="Calibri" w:hAnsi="Calibri"/>
          <w:sz w:val="20"/>
          <w:szCs w:val="20"/>
          <w:color w:val="auto"/>
        </w:rPr>
      </w:pPr>
    </w:p>
    <w:p>
      <w:pPr>
        <w:jc w:val="both"/>
        <w:ind w:left="660" w:hanging="652"/>
        <w:spacing w:after="0"/>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Change of Law</w:t>
      </w:r>
      <w:r>
        <w:rPr>
          <w:rFonts w:ascii="Calibri" w:cs="Calibri" w:eastAsia="Calibri" w:hAnsi="Calibri"/>
          <w:sz w:val="20"/>
          <w:szCs w:val="20"/>
          <w:color w:val="auto"/>
        </w:rPr>
        <w:t>. Each reference to an Applicable Law or Environmental Law includes any amendment, supplement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modifcaton of such Applicable Law or Environmental Law, as the case may be, and all regulatons, rulings and other Applicable Laws or Environmental Laws promulgated thereunder, including with respect to any successor Applicable Law or Environmental Law.</w:t>
      </w:r>
    </w:p>
    <w:p>
      <w:pPr>
        <w:spacing w:after="0" w:line="243" w:lineRule="exact"/>
        <w:rPr>
          <w:rFonts w:ascii="Calibri" w:cs="Calibri" w:eastAsia="Calibri" w:hAnsi="Calibri"/>
          <w:sz w:val="20"/>
          <w:szCs w:val="20"/>
          <w:color w:val="auto"/>
        </w:rPr>
      </w:pPr>
    </w:p>
    <w:p>
      <w:pPr>
        <w:ind w:left="640" w:hanging="632"/>
        <w:spacing w:after="0"/>
        <w:tabs>
          <w:tab w:leader="none" w:pos="640"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Successor and Assigns</w:t>
      </w:r>
      <w:r>
        <w:rPr>
          <w:rFonts w:ascii="Calibri" w:cs="Calibri" w:eastAsia="Calibri" w:hAnsi="Calibri"/>
          <w:sz w:val="20"/>
          <w:szCs w:val="20"/>
          <w:color w:val="auto"/>
        </w:rPr>
        <w:t>. A reference to a Person includes its successors and permited assigns.</w:t>
      </w:r>
    </w:p>
    <w:p>
      <w:pPr>
        <w:spacing w:after="0" w:line="170" w:lineRule="exact"/>
        <w:rPr>
          <w:rFonts w:ascii="Calibri" w:cs="Calibri" w:eastAsia="Calibri" w:hAnsi="Calibri"/>
          <w:sz w:val="20"/>
          <w:szCs w:val="20"/>
          <w:color w:val="auto"/>
        </w:rPr>
      </w:pPr>
    </w:p>
    <w:p>
      <w:pPr>
        <w:ind w:left="660" w:right="20" w:hanging="652"/>
        <w:spacing w:after="0" w:line="208"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Including</w:t>
      </w:r>
      <w:r>
        <w:rPr>
          <w:rFonts w:ascii="Calibri" w:cs="Calibri" w:eastAsia="Calibri" w:hAnsi="Calibri"/>
          <w:sz w:val="20"/>
          <w:szCs w:val="20"/>
          <w:color w:val="auto"/>
        </w:rPr>
        <w:t>. The words “include,” “includes” and “including” are not limitng and mean include, includes and including “without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limitaton,” “without limitaton by specifcaton” and “but not limited to.”</w:t>
      </w:r>
    </w:p>
    <w:p>
      <w:pPr>
        <w:spacing w:after="0" w:line="170" w:lineRule="exact"/>
        <w:rPr>
          <w:rFonts w:ascii="Calibri" w:cs="Calibri" w:eastAsia="Calibri" w:hAnsi="Calibri"/>
          <w:sz w:val="20"/>
          <w:szCs w:val="20"/>
          <w:color w:val="auto"/>
        </w:rPr>
      </w:pPr>
    </w:p>
    <w:p>
      <w:pPr>
        <w:ind w:left="660" w:hanging="652"/>
        <w:spacing w:after="0" w:line="208"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Hereof, Herein, Hereunder</w:t>
      </w:r>
      <w:r>
        <w:rPr>
          <w:rFonts w:ascii="Calibri" w:cs="Calibri" w:eastAsia="Calibri" w:hAnsi="Calibri"/>
          <w:sz w:val="20"/>
          <w:szCs w:val="20"/>
          <w:color w:val="auto"/>
        </w:rPr>
        <w:t>. The words “hereof,” “herein” and “hereunder” and words of similar import when used in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 shall refer to such document as a whole and not to any partcular provision of such document.</w:t>
      </w:r>
    </w:p>
    <w:p>
      <w:pPr>
        <w:spacing w:after="0" w:line="170" w:lineRule="exact"/>
        <w:rPr>
          <w:rFonts w:ascii="Calibri" w:cs="Calibri" w:eastAsia="Calibri" w:hAnsi="Calibri"/>
          <w:sz w:val="20"/>
          <w:szCs w:val="20"/>
          <w:color w:val="auto"/>
        </w:rPr>
      </w:pPr>
    </w:p>
    <w:p>
      <w:pPr>
        <w:ind w:left="660" w:hanging="652"/>
        <w:spacing w:after="0" w:line="208"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Artcles, Sectons, Exhibits</w:t>
      </w:r>
      <w:r>
        <w:rPr>
          <w:rFonts w:ascii="Calibri" w:cs="Calibri" w:eastAsia="Calibri" w:hAnsi="Calibri"/>
          <w:sz w:val="20"/>
          <w:szCs w:val="20"/>
          <w:color w:val="auto"/>
        </w:rPr>
        <w:t>. A reference in a document to an Artcle, Secton, Exhibit, Schedule, Annex or Appendix is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Artcle, Secton, Exhibit, Schedule, Annex or Appendix of such document unless otherwise indicated.</w:t>
      </w:r>
    </w:p>
    <w:p>
      <w:pPr>
        <w:spacing w:after="0" w:line="170" w:lineRule="exact"/>
        <w:rPr>
          <w:rFonts w:ascii="Calibri" w:cs="Calibri" w:eastAsia="Calibri" w:hAnsi="Calibri"/>
          <w:sz w:val="20"/>
          <w:szCs w:val="20"/>
          <w:color w:val="auto"/>
        </w:rPr>
      </w:pPr>
    </w:p>
    <w:p>
      <w:pPr>
        <w:jc w:val="both"/>
        <w:ind w:left="660" w:hanging="652"/>
        <w:spacing w:after="0" w:line="199"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Atachments, Replacements, Amendments</w:t>
      </w:r>
      <w:r>
        <w:rPr>
          <w:rFonts w:ascii="Calibri" w:cs="Calibri" w:eastAsia="Calibri" w:hAnsi="Calibri"/>
          <w:sz w:val="20"/>
          <w:szCs w:val="20"/>
          <w:color w:val="auto"/>
        </w:rPr>
        <w:t>. References to any document, instrument or agreement (a) shall include all Exhibits,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schedules, annexes and appendices thereto, and all Exhibits, schedules, annexes or appendices to any document shall be deemed incorporated by reference in such document; (b) shall include all documents, instruments or agreements issued or executed in replacement thereof; and (c) shall mean such document, instrument or agreement, or replacement thereto, as amended, amended and restated, supplemented, or otherwise modifed from tme to tme and in efect at any given tme to the extent that any such amendment, amendment and restatement, supplement, or modifcaton is permited under the terms of such document, instrument or agreement and under the terms of the Financing Documents.</w:t>
      </w:r>
    </w:p>
    <w:p>
      <w:pPr>
        <w:spacing w:after="0" w:line="162" w:lineRule="exact"/>
        <w:rPr>
          <w:rFonts w:ascii="Calibri" w:cs="Calibri" w:eastAsia="Calibri" w:hAnsi="Calibri"/>
          <w:sz w:val="20"/>
          <w:szCs w:val="20"/>
          <w:color w:val="auto"/>
        </w:rPr>
      </w:pPr>
    </w:p>
    <w:p>
      <w:pPr>
        <w:ind w:left="660" w:right="20" w:hanging="652"/>
        <w:spacing w:after="0" w:line="214" w:lineRule="auto"/>
        <w:tabs>
          <w:tab w:leader="none" w:pos="652"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Periods and Time</w:t>
      </w:r>
      <w:r>
        <w:rPr>
          <w:rFonts w:ascii="Calibri" w:cs="Calibri" w:eastAsia="Calibri" w:hAnsi="Calibri"/>
          <w:sz w:val="20"/>
          <w:szCs w:val="20"/>
          <w:color w:val="auto"/>
        </w:rPr>
        <w:t>. Unless otherwise specifed, references to “days,” “weeks,” “months” and “years” shall mean calendar days,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weeks, months and years, respectvely. References to a tme of day shall mean such tme in Washington, D.C.</w:t>
      </w:r>
    </w:p>
    <w:p>
      <w:pPr>
        <w:spacing w:after="0" w:line="158" w:lineRule="exact"/>
        <w:rPr>
          <w:rFonts w:ascii="Calibri" w:cs="Calibri" w:eastAsia="Calibri" w:hAnsi="Calibri"/>
          <w:sz w:val="20"/>
          <w:szCs w:val="20"/>
          <w:color w:val="auto"/>
        </w:rPr>
      </w:pPr>
    </w:p>
    <w:p>
      <w:pPr>
        <w:jc w:val="both"/>
        <w:ind w:left="660" w:hanging="652"/>
        <w:spacing w:after="0" w:line="200" w:lineRule="auto"/>
        <w:tabs>
          <w:tab w:leader="none" w:pos="660"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Department Determinatons</w:t>
      </w:r>
      <w:r>
        <w:rPr>
          <w:rFonts w:ascii="Calibri" w:cs="Calibri" w:eastAsia="Calibri" w:hAnsi="Calibri"/>
          <w:sz w:val="20"/>
          <w:szCs w:val="20"/>
          <w:color w:val="auto"/>
        </w:rPr>
        <w:t>. Any determinaton made by the Department pursuant to this Agreement or any other the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 shall be determined at the discreton of the Department, provided that the Department shall not unlawfully withhold or unreasonably delay a decision, nor act in an arbitrary or capricious manner, abuse of its discreton, or otherwise act not in accordance with the law (including, for the avoidance of doubt, determinatons related to any Direct Funding Disbursement Approval Notce or regarding conditons precedent applicable to Disbursements hereunder).</w:t>
      </w:r>
    </w:p>
    <w:p>
      <w:pPr>
        <w:spacing w:after="0" w:line="170" w:lineRule="exact"/>
        <w:rPr>
          <w:rFonts w:ascii="Calibri" w:cs="Calibri" w:eastAsia="Calibri" w:hAnsi="Calibri"/>
          <w:sz w:val="20"/>
          <w:szCs w:val="20"/>
          <w:color w:val="auto"/>
        </w:rPr>
      </w:pPr>
    </w:p>
    <w:p>
      <w:pPr>
        <w:jc w:val="both"/>
        <w:ind w:left="660" w:hanging="652"/>
        <w:spacing w:after="0" w:line="205" w:lineRule="auto"/>
        <w:tabs>
          <w:tab w:leader="none" w:pos="660" w:val="left"/>
        </w:tabs>
        <w:numPr>
          <w:ilvl w:val="0"/>
          <w:numId w:val="638"/>
        </w:numPr>
        <w:rPr>
          <w:rFonts w:ascii="Calibri" w:cs="Calibri" w:eastAsia="Calibri" w:hAnsi="Calibri"/>
          <w:sz w:val="20"/>
          <w:szCs w:val="20"/>
          <w:color w:val="auto"/>
        </w:rPr>
      </w:pPr>
      <w:r>
        <w:rPr>
          <w:rFonts w:ascii="Calibri" w:cs="Calibri" w:eastAsia="Calibri" w:hAnsi="Calibri"/>
          <w:sz w:val="20"/>
          <w:szCs w:val="20"/>
          <w:b w:val="1"/>
          <w:bCs w:val="1"/>
          <w:color w:val="auto"/>
        </w:rPr>
        <w:t>Ambiguites</w:t>
      </w:r>
      <w:r>
        <w:rPr>
          <w:rFonts w:ascii="Calibri" w:cs="Calibri" w:eastAsia="Calibri" w:hAnsi="Calibri"/>
          <w:sz w:val="20"/>
          <w:szCs w:val="20"/>
          <w:color w:val="auto"/>
        </w:rPr>
        <w:t>. The Financing Documents are the result of negotatons and have been reviewed by each party to the Financing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Documents and their respectve counsel. Accordingly, the Financing Documents shall be deemed to be the product of all partes thereto, and no ambiguity shall be construed in favor of or against any Person.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spacing w:after="0"/>
        <w:tabs>
          <w:tab w:leader="none" w:pos="55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18"/>
          <w:szCs w:val="18"/>
          <w:color w:val="auto"/>
        </w:rPr>
        <w:t>1</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16" w:name="page517"/>
    <w:bookmarkEnd w:id="516"/>
    <w:p>
      <w:pPr>
        <w:ind w:left="660" w:right="20" w:hanging="652"/>
        <w:spacing w:after="0" w:line="214"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Contnuing Defnitons</w:t>
      </w:r>
      <w:r>
        <w:rPr>
          <w:rFonts w:ascii="Calibri" w:cs="Calibri" w:eastAsia="Calibri" w:hAnsi="Calibri"/>
          <w:sz w:val="20"/>
          <w:szCs w:val="20"/>
          <w:color w:val="auto"/>
        </w:rPr>
        <w:t>. With respect to any term that is defned by reference to any document, for purposes hereof, such term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shall contnue to have the original defniton notwithstanding any terminaton, expiraton or modifcaton of such document.</w:t>
      </w:r>
    </w:p>
    <w:p>
      <w:pPr>
        <w:spacing w:after="0" w:line="158"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Headings</w:t>
      </w:r>
      <w:r>
        <w:rPr>
          <w:rFonts w:ascii="Calibri" w:cs="Calibri" w:eastAsia="Calibri" w:hAnsi="Calibri"/>
          <w:sz w:val="20"/>
          <w:szCs w:val="20"/>
          <w:color w:val="auto"/>
        </w:rPr>
        <w:t>. The table of contents and artcle and secton headings and other captons have been inserted as a mater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convenience for the purpose of reference only and do not limit or afect the meaning of the terms and provisions thereof.</w:t>
      </w:r>
    </w:p>
    <w:p>
      <w:pPr>
        <w:spacing w:after="0" w:line="148" w:lineRule="exact"/>
        <w:rPr>
          <w:rFonts w:ascii="Calibri" w:cs="Calibri" w:eastAsia="Calibri" w:hAnsi="Calibri"/>
          <w:sz w:val="20"/>
          <w:szCs w:val="20"/>
          <w:color w:val="auto"/>
        </w:rPr>
      </w:pPr>
    </w:p>
    <w:p>
      <w:pPr>
        <w:ind w:left="660" w:hanging="652"/>
        <w:spacing w:after="0"/>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Accountng Terms</w:t>
      </w:r>
      <w:r>
        <w:rPr>
          <w:rFonts w:ascii="Calibri" w:cs="Calibri" w:eastAsia="Calibri" w:hAnsi="Calibri"/>
          <w:sz w:val="20"/>
          <w:szCs w:val="20"/>
          <w:color w:val="auto"/>
        </w:rPr>
        <w:t>. All accountng terms not specifcally defned shall be construed in accordance with GAAP.</w:t>
      </w:r>
    </w:p>
    <w:p>
      <w:pPr>
        <w:spacing w:after="0" w:line="157" w:lineRule="exact"/>
        <w:rPr>
          <w:rFonts w:ascii="Calibri" w:cs="Calibri" w:eastAsia="Calibri" w:hAnsi="Calibri"/>
          <w:sz w:val="20"/>
          <w:szCs w:val="20"/>
          <w:color w:val="auto"/>
        </w:rPr>
      </w:pPr>
    </w:p>
    <w:p>
      <w:pPr>
        <w:jc w:val="both"/>
        <w:ind w:left="660" w:hanging="652"/>
        <w:spacing w:after="0" w:line="233"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Reasonable Eforts</w:t>
      </w:r>
      <w:r>
        <w:rPr>
          <w:rFonts w:ascii="Calibri" w:cs="Calibri" w:eastAsia="Calibri" w:hAnsi="Calibri"/>
          <w:sz w:val="20"/>
          <w:szCs w:val="20"/>
          <w:color w:val="auto"/>
        </w:rPr>
        <w:t>. The expression “reasonable eforts” and expressions of like import, when used in connecton with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obligaton of either party, means taking in good faith and with due diligence all commercially reasonable steps to achieve the objectve and to perform the obligaton, including doing all that can reasonably be done in the circumstances taking into account each party’s obligatons hereunder to mitgate delays and additonal costs to the other party, and in any event taking no less steps and eforts than those that would be taken by a commercially reasonable and prudent person in comparable circumstances, where the whole of the beneft of the obligaton and where all the results of taking such steps and eforts accrued solely to that person’s own beneft.</w:t>
      </w:r>
    </w:p>
    <w:p>
      <w:pPr>
        <w:spacing w:after="0" w:line="170" w:lineRule="exact"/>
        <w:rPr>
          <w:rFonts w:ascii="Calibri" w:cs="Calibri" w:eastAsia="Calibri" w:hAnsi="Calibri"/>
          <w:sz w:val="20"/>
          <w:szCs w:val="20"/>
          <w:color w:val="auto"/>
        </w:rPr>
      </w:pPr>
    </w:p>
    <w:p>
      <w:pPr>
        <w:jc w:val="both"/>
        <w:ind w:left="660" w:hanging="652"/>
        <w:spacing w:after="0" w:line="200"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Reasonableness</w:t>
      </w:r>
      <w:r>
        <w:rPr>
          <w:rFonts w:ascii="Calibri" w:cs="Calibri" w:eastAsia="Calibri" w:hAnsi="Calibri"/>
          <w:sz w:val="20"/>
          <w:szCs w:val="20"/>
          <w:color w:val="auto"/>
        </w:rPr>
        <w:t>. The words “reasonable”, “reasonably”, “unreasonably” and words of similar import, when applied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Department’s satsfacton, acceptance, determinaton, consent, discreton or approval, take into account any special consideraton afectng decisions of the Department in its capacity as a governmental entty or its responsibilites as such and are based on its policies, practces, and procedures, and law and regulatons applicable to it.</w:t>
      </w:r>
    </w:p>
    <w:p>
      <w:pPr>
        <w:spacing w:after="0" w:line="171" w:lineRule="exact"/>
        <w:rPr>
          <w:rFonts w:ascii="Calibri" w:cs="Calibri" w:eastAsia="Calibri" w:hAnsi="Calibri"/>
          <w:sz w:val="20"/>
          <w:szCs w:val="20"/>
          <w:color w:val="auto"/>
        </w:rPr>
      </w:pPr>
    </w:p>
    <w:p>
      <w:pPr>
        <w:jc w:val="both"/>
        <w:ind w:left="660" w:right="20" w:hanging="652"/>
        <w:spacing w:after="0" w:line="208"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Confict</w:t>
      </w:r>
      <w:r>
        <w:rPr>
          <w:rFonts w:ascii="Calibri" w:cs="Calibri" w:eastAsia="Calibri" w:hAnsi="Calibri"/>
          <w:sz w:val="20"/>
          <w:szCs w:val="20"/>
          <w:color w:val="auto"/>
        </w:rPr>
        <w:t>. Except as otherwise expressly provided for herein, in the case of any confict between the terms of this Agreement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terms of any Financing Document, the terms of this Agreement, as between the Recipient and the Department, shall prevail.</w:t>
      </w:r>
    </w:p>
    <w:p>
      <w:pPr>
        <w:spacing w:after="0" w:line="170" w:lineRule="exact"/>
        <w:rPr>
          <w:rFonts w:ascii="Calibri" w:cs="Calibri" w:eastAsia="Calibri" w:hAnsi="Calibri"/>
          <w:sz w:val="20"/>
          <w:szCs w:val="20"/>
          <w:color w:val="auto"/>
        </w:rPr>
      </w:pPr>
    </w:p>
    <w:p>
      <w:pPr>
        <w:jc w:val="both"/>
        <w:ind w:left="660" w:hanging="652"/>
        <w:spacing w:after="0" w:line="203" w:lineRule="auto"/>
        <w:tabs>
          <w:tab w:leader="none" w:pos="660" w:val="left"/>
        </w:tabs>
        <w:numPr>
          <w:ilvl w:val="0"/>
          <w:numId w:val="639"/>
        </w:numPr>
        <w:rPr>
          <w:rFonts w:ascii="Calibri" w:cs="Calibri" w:eastAsia="Calibri" w:hAnsi="Calibri"/>
          <w:sz w:val="20"/>
          <w:szCs w:val="20"/>
          <w:color w:val="auto"/>
        </w:rPr>
      </w:pPr>
      <w:r>
        <w:rPr>
          <w:rFonts w:ascii="Calibri" w:cs="Calibri" w:eastAsia="Calibri" w:hAnsi="Calibri"/>
          <w:sz w:val="20"/>
          <w:szCs w:val="20"/>
          <w:b w:val="1"/>
          <w:bCs w:val="1"/>
          <w:color w:val="auto"/>
        </w:rPr>
        <w:t>Independence of Covenants</w:t>
      </w:r>
      <w:r>
        <w:rPr>
          <w:rFonts w:ascii="Calibri" w:cs="Calibri" w:eastAsia="Calibri" w:hAnsi="Calibri"/>
          <w:sz w:val="20"/>
          <w:szCs w:val="20"/>
          <w:color w:val="auto"/>
        </w:rPr>
        <w:t>. All covenants hereunder and under the other Financing Documents shall be given independent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efect so that if a partcular acton or conditon is not permited by any of such covenants, the fact that it would be permited by an excepton to, or would otherwise be within the limitatons of, another covenant shall not avoid the occurrence of a Potental Event of Default or an Event of Default if such acton is taken or conditon exists.</w:t>
      </w:r>
    </w:p>
    <w:p>
      <w:pPr>
        <w:spacing w:after="0" w:line="187"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b w:val="1"/>
          <w:bCs w:val="1"/>
          <w:color w:val="auto"/>
        </w:rPr>
        <w:t>Order of Precedence</w:t>
      </w:r>
      <w:r>
        <w:rPr>
          <w:rFonts w:ascii="Calibri" w:cs="Calibri" w:eastAsia="Calibri" w:hAnsi="Calibri"/>
          <w:sz w:val="20"/>
          <w:szCs w:val="20"/>
          <w:color w:val="auto"/>
        </w:rPr>
        <w:t>. In the event of a confict between the terms and conditons included in the body of this Agreement, the Funding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Obligaton and the terms and conditons included in any of the atachments hereto, the order of precedence shall be: (a) Funding Obligaton; (b) Annex B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(c)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(including the Defnitons set forth therein); (d)</w:t>
      </w:r>
    </w:p>
    <w:p>
      <w:pPr>
        <w:spacing w:after="0" w:line="8" w:lineRule="exact"/>
        <w:rPr>
          <w:sz w:val="20"/>
          <w:szCs w:val="20"/>
          <w:color w:val="auto"/>
        </w:rPr>
      </w:pPr>
    </w:p>
    <w:p>
      <w:pPr>
        <w:ind w:right="620"/>
        <w:spacing w:after="0" w:line="254" w:lineRule="auto"/>
        <w:rPr>
          <w:sz w:val="20"/>
          <w:szCs w:val="20"/>
          <w:color w:val="auto"/>
        </w:rPr>
      </w:pPr>
      <w:r>
        <w:rPr>
          <w:rFonts w:ascii="Calibri" w:cs="Calibri" w:eastAsia="Calibri" w:hAnsi="Calibri"/>
          <w:sz w:val="20"/>
          <w:szCs w:val="20"/>
          <w:color w:val="auto"/>
        </w:rPr>
        <w:t>Annex E (</w:t>
      </w:r>
      <w:r>
        <w:rPr>
          <w:rFonts w:ascii="Times New Roman" w:cs="Times New Roman" w:eastAsia="Times New Roman" w:hAnsi="Times New Roman"/>
          <w:sz w:val="20"/>
          <w:szCs w:val="20"/>
          <w:b w:val="1"/>
          <w:bCs w:val="1"/>
          <w:color w:val="auto"/>
        </w:rPr>
        <w:t>Davis-Bacon Act Requirements</w:t>
      </w:r>
      <w:r>
        <w:rPr>
          <w:rFonts w:ascii="Calibri" w:cs="Calibri" w:eastAsia="Calibri" w:hAnsi="Calibri"/>
          <w:sz w:val="20"/>
          <w:szCs w:val="20"/>
          <w:color w:val="auto"/>
        </w:rPr>
        <w:t>) (including the Defnitons set forth therein);(e) the body of this Agreement; (f) Annex A (</w:t>
      </w:r>
      <w:r>
        <w:rPr>
          <w:rFonts w:ascii="Times New Roman" w:cs="Times New Roman" w:eastAsia="Times New Roman" w:hAnsi="Times New Roman"/>
          <w:sz w:val="20"/>
          <w:szCs w:val="20"/>
          <w:b w:val="1"/>
          <w:bCs w:val="1"/>
          <w:color w:val="auto"/>
        </w:rPr>
        <w:t>Definitions</w:t>
      </w:r>
      <w:r>
        <w:rPr>
          <w:rFonts w:ascii="Calibri" w:cs="Calibri" w:eastAsia="Calibri" w:hAnsi="Calibri"/>
          <w:sz w:val="20"/>
          <w:szCs w:val="20"/>
          <w:color w:val="auto"/>
        </w:rPr>
        <w:t>) (g) Schedule B (</w:t>
      </w:r>
      <w:r>
        <w:rPr>
          <w:rFonts w:ascii="Times New Roman" w:cs="Times New Roman" w:eastAsia="Times New Roman" w:hAnsi="Times New Roman"/>
          <w:sz w:val="20"/>
          <w:szCs w:val="20"/>
          <w:b w:val="1"/>
          <w:bCs w:val="1"/>
          <w:color w:val="auto"/>
        </w:rPr>
        <w:t>Project Milestone Schedule</w:t>
      </w:r>
      <w:r>
        <w:rPr>
          <w:rFonts w:ascii="Calibri" w:cs="Calibri" w:eastAsia="Calibri" w:hAnsi="Calibri"/>
          <w:sz w:val="20"/>
          <w:szCs w:val="20"/>
          <w:color w:val="auto"/>
        </w:rPr>
        <w:t>); (h) Schedule A (</w:t>
      </w:r>
      <w:r>
        <w:rPr>
          <w:rFonts w:ascii="Times New Roman" w:cs="Times New Roman" w:eastAsia="Times New Roman" w:hAnsi="Times New Roman"/>
          <w:sz w:val="20"/>
          <w:szCs w:val="20"/>
          <w:b w:val="1"/>
          <w:bCs w:val="1"/>
          <w:color w:val="auto"/>
        </w:rPr>
        <w:t>Fiscal Year Appropriations</w:t>
      </w:r>
      <w:r>
        <w:rPr>
          <w:rFonts w:ascii="Calibri" w:cs="Calibri" w:eastAsia="Calibri" w:hAnsi="Calibri"/>
          <w:sz w:val="20"/>
          <w:szCs w:val="20"/>
          <w:color w:val="auto"/>
        </w:rPr>
        <w:t>); (i) Annex D (</w:t>
      </w:r>
      <w:r>
        <w:rPr>
          <w:rFonts w:ascii="Times New Roman" w:cs="Times New Roman" w:eastAsia="Times New Roman" w:hAnsi="Times New Roman"/>
          <w:sz w:val="20"/>
          <w:szCs w:val="20"/>
          <w:b w:val="1"/>
          <w:bCs w:val="1"/>
          <w:color w:val="auto"/>
        </w:rPr>
        <w:t>Program</w:t>
      </w:r>
      <w:r>
        <w:rPr>
          <w:rFonts w:ascii="Calibri" w:cs="Calibri" w:eastAsia="Calibri" w:hAnsi="Calibri"/>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Calibri" w:cs="Calibri" w:eastAsia="Calibri" w:hAnsi="Calibri"/>
          <w:sz w:val="20"/>
          <w:szCs w:val="20"/>
          <w:color w:val="auto"/>
        </w:rPr>
        <w:t>); (j) Annex F (</w:t>
      </w:r>
      <w:r>
        <w:rPr>
          <w:rFonts w:ascii="Times New Roman" w:cs="Times New Roman" w:eastAsia="Times New Roman" w:hAnsi="Times New Roman"/>
          <w:sz w:val="20"/>
          <w:szCs w:val="20"/>
          <w:b w:val="1"/>
          <w:bCs w:val="1"/>
          <w:color w:val="auto"/>
        </w:rPr>
        <w:t>Reporting Covenants</w:t>
      </w:r>
      <w:r>
        <w:rPr>
          <w:rFonts w:ascii="Calibri" w:cs="Calibri" w:eastAsia="Calibri" w:hAnsi="Calibri"/>
          <w:sz w:val="20"/>
          <w:szCs w:val="20"/>
          <w:color w:val="auto"/>
        </w:rPr>
        <w:t>); and (k) Annex G (</w:t>
      </w:r>
      <w:r>
        <w:rPr>
          <w:rFonts w:ascii="Times New Roman" w:cs="Times New Roman" w:eastAsia="Times New Roman" w:hAnsi="Times New Roman"/>
          <w:sz w:val="20"/>
          <w:szCs w:val="20"/>
          <w:b w:val="1"/>
          <w:bCs w:val="1"/>
          <w:color w:val="auto"/>
        </w:rPr>
        <w:t>Direct Funding for Workforce Activities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tabs>
          <w:tab w:leader="none" w:pos="55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18"/>
          <w:szCs w:val="18"/>
          <w:color w:val="auto"/>
        </w:rPr>
        <w:t>2</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17" w:name="page518"/>
    <w:bookmarkEnd w:id="517"/>
    <w:p>
      <w:pPr>
        <w:ind w:left="4980"/>
        <w:spacing w:after="0"/>
        <w:rPr>
          <w:sz w:val="20"/>
          <w:szCs w:val="20"/>
          <w:color w:val="auto"/>
        </w:rPr>
      </w:pPr>
      <w:r>
        <w:rPr>
          <w:rFonts w:ascii="Calibri" w:cs="Calibri" w:eastAsia="Calibri" w:hAnsi="Calibri"/>
          <w:sz w:val="20"/>
          <w:szCs w:val="20"/>
          <w:b w:val="1"/>
          <w:bCs w:val="1"/>
          <w:color w:val="auto"/>
        </w:rPr>
        <w:t>Annex C</w:t>
      </w:r>
    </w:p>
    <w:p>
      <w:pPr>
        <w:ind w:left="4580"/>
        <w:spacing w:after="0" w:line="199" w:lineRule="auto"/>
        <w:rPr>
          <w:sz w:val="20"/>
          <w:szCs w:val="20"/>
          <w:color w:val="auto"/>
        </w:rPr>
      </w:pPr>
      <w:r>
        <w:rPr>
          <w:rFonts w:ascii="Calibri" w:cs="Calibri" w:eastAsia="Calibri" w:hAnsi="Calibri"/>
          <w:sz w:val="20"/>
          <w:szCs w:val="20"/>
          <w:b w:val="1"/>
          <w:bCs w:val="1"/>
          <w:color w:val="auto"/>
        </w:rPr>
        <w:t>GUARDRAIL PROVISIONS</w:t>
      </w:r>
    </w:p>
    <w:p>
      <w:pPr>
        <w:spacing w:after="0" w:line="147"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1.</w:t>
      </w:r>
      <w:r>
        <w:rPr>
          <w:sz w:val="20"/>
          <w:szCs w:val="20"/>
          <w:color w:val="auto"/>
        </w:rPr>
        <w:tab/>
      </w:r>
      <w:r>
        <w:rPr>
          <w:rFonts w:ascii="Calibri" w:cs="Calibri" w:eastAsia="Calibri" w:hAnsi="Calibri"/>
          <w:sz w:val="20"/>
          <w:szCs w:val="20"/>
          <w:b w:val="1"/>
          <w:bCs w:val="1"/>
          <w:color w:val="auto"/>
        </w:rPr>
        <w:t>PROHIBITION ON CERTAIN EXPANSION TRANSACTIONS</w:t>
      </w:r>
    </w:p>
    <w:p>
      <w:pPr>
        <w:spacing w:after="0" w:line="184"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During the Expansion Clawback Term, the Recipient and Members of the Afliated Group may not engage in any Signifcant Transacton involving the Material Expansion of Semiconductor Manufacturing Capacity in a Foreign Country of Concern; provided that, this prohibiton will not apply to:</w:t>
      </w:r>
    </w:p>
    <w:p>
      <w:pPr>
        <w:spacing w:after="0" w:line="186" w:lineRule="exact"/>
        <w:rPr>
          <w:sz w:val="20"/>
          <w:szCs w:val="20"/>
          <w:color w:val="auto"/>
        </w:rPr>
      </w:pPr>
    </w:p>
    <w:p>
      <w:pPr>
        <w:ind w:left="1300" w:right="20" w:hanging="644"/>
        <w:spacing w:after="0" w:line="208" w:lineRule="auto"/>
        <w:tabs>
          <w:tab w:leader="none" w:pos="1304" w:val="left"/>
        </w:tabs>
        <w:numPr>
          <w:ilvl w:val="0"/>
          <w:numId w:val="640"/>
        </w:numPr>
        <w:rPr>
          <w:rFonts w:ascii="Calibri" w:cs="Calibri" w:eastAsia="Calibri" w:hAnsi="Calibri"/>
          <w:sz w:val="20"/>
          <w:szCs w:val="20"/>
          <w:color w:val="auto"/>
        </w:rPr>
      </w:pPr>
      <w:r>
        <w:rPr>
          <w:rFonts w:ascii="Calibri" w:cs="Calibri" w:eastAsia="Calibri" w:hAnsi="Calibri"/>
          <w:sz w:val="20"/>
          <w:szCs w:val="20"/>
          <w:color w:val="auto"/>
        </w:rPr>
        <w:t>Existng Facilites or equipment of a Recipient or any Member of the Afliated Group for manufacturing Legacy Semiconductors; or</w:t>
      </w:r>
    </w:p>
    <w:p>
      <w:pPr>
        <w:spacing w:after="0" w:line="161" w:lineRule="exact"/>
        <w:rPr>
          <w:rFonts w:ascii="Calibri" w:cs="Calibri" w:eastAsia="Calibri" w:hAnsi="Calibri"/>
          <w:sz w:val="20"/>
          <w:szCs w:val="20"/>
          <w:color w:val="auto"/>
        </w:rPr>
      </w:pPr>
    </w:p>
    <w:p>
      <w:pPr>
        <w:ind w:left="1300" w:hanging="644"/>
        <w:spacing w:after="0"/>
        <w:tabs>
          <w:tab w:leader="none" w:pos="1300" w:val="left"/>
        </w:tabs>
        <w:numPr>
          <w:ilvl w:val="0"/>
          <w:numId w:val="640"/>
        </w:numPr>
        <w:rPr>
          <w:rFonts w:ascii="Calibri" w:cs="Calibri" w:eastAsia="Calibri" w:hAnsi="Calibri"/>
          <w:sz w:val="20"/>
          <w:szCs w:val="20"/>
          <w:color w:val="auto"/>
        </w:rPr>
      </w:pPr>
      <w:r>
        <w:rPr>
          <w:rFonts w:ascii="Calibri" w:cs="Calibri" w:eastAsia="Calibri" w:hAnsi="Calibri"/>
          <w:sz w:val="20"/>
          <w:szCs w:val="20"/>
          <w:color w:val="auto"/>
        </w:rPr>
        <w:t>Signifcant Transactons involving Material Expansion of Semiconductor Manufacturing Capacity that:</w:t>
      </w:r>
    </w:p>
    <w:p>
      <w:pPr>
        <w:spacing w:after="0" w:line="147" w:lineRule="exact"/>
        <w:rPr>
          <w:rFonts w:ascii="Calibri" w:cs="Calibri" w:eastAsia="Calibri" w:hAnsi="Calibri"/>
          <w:sz w:val="20"/>
          <w:szCs w:val="20"/>
          <w:color w:val="auto"/>
        </w:rPr>
      </w:pPr>
    </w:p>
    <w:p>
      <w:pPr>
        <w:ind w:left="1940" w:hanging="636"/>
        <w:spacing w:after="0"/>
        <w:tabs>
          <w:tab w:leader="none" w:pos="1940" w:val="left"/>
        </w:tabs>
        <w:numPr>
          <w:ilvl w:val="1"/>
          <w:numId w:val="640"/>
        </w:numPr>
        <w:rPr>
          <w:rFonts w:ascii="Calibri" w:cs="Calibri" w:eastAsia="Calibri" w:hAnsi="Calibri"/>
          <w:sz w:val="20"/>
          <w:szCs w:val="20"/>
          <w:color w:val="auto"/>
        </w:rPr>
      </w:pPr>
      <w:r>
        <w:rPr>
          <w:rFonts w:ascii="Calibri" w:cs="Calibri" w:eastAsia="Calibri" w:hAnsi="Calibri"/>
          <w:sz w:val="20"/>
          <w:szCs w:val="20"/>
          <w:color w:val="auto"/>
        </w:rPr>
        <w:t>produce Legacy Semiconductors; and</w:t>
      </w:r>
    </w:p>
    <w:p>
      <w:pPr>
        <w:spacing w:after="0" w:line="147" w:lineRule="exact"/>
        <w:rPr>
          <w:rFonts w:ascii="Calibri" w:cs="Calibri" w:eastAsia="Calibri" w:hAnsi="Calibri"/>
          <w:sz w:val="20"/>
          <w:szCs w:val="20"/>
          <w:color w:val="auto"/>
        </w:rPr>
      </w:pPr>
    </w:p>
    <w:p>
      <w:pPr>
        <w:ind w:left="1960" w:hanging="656"/>
        <w:spacing w:after="0"/>
        <w:tabs>
          <w:tab w:leader="none" w:pos="1960" w:val="left"/>
        </w:tabs>
        <w:numPr>
          <w:ilvl w:val="1"/>
          <w:numId w:val="640"/>
        </w:numPr>
        <w:rPr>
          <w:rFonts w:ascii="Calibri" w:cs="Calibri" w:eastAsia="Calibri" w:hAnsi="Calibri"/>
          <w:sz w:val="20"/>
          <w:szCs w:val="20"/>
          <w:color w:val="auto"/>
        </w:rPr>
      </w:pPr>
      <w:r>
        <w:rPr>
          <w:rFonts w:ascii="Calibri" w:cs="Calibri" w:eastAsia="Calibri" w:hAnsi="Calibri"/>
          <w:sz w:val="20"/>
          <w:szCs w:val="20"/>
          <w:color w:val="auto"/>
        </w:rPr>
        <w:t>Predominately Serve the Market of a Foreign Country of Concern.</w:t>
      </w:r>
    </w:p>
    <w:p>
      <w:pPr>
        <w:spacing w:after="0" w:line="161"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2.</w:t>
      </w:r>
      <w:r>
        <w:rPr>
          <w:sz w:val="20"/>
          <w:szCs w:val="20"/>
          <w:color w:val="auto"/>
        </w:rPr>
        <w:tab/>
      </w:r>
      <w:r>
        <w:rPr>
          <w:rFonts w:ascii="Calibri" w:cs="Calibri" w:eastAsia="Calibri" w:hAnsi="Calibri"/>
          <w:sz w:val="20"/>
          <w:szCs w:val="20"/>
          <w:b w:val="1"/>
          <w:bCs w:val="1"/>
          <w:color w:val="auto"/>
        </w:rPr>
        <w:t>PROHIBITION ON CERTAIN JOINT RESEARCH OR TECHNOLOGY LICENSING</w:t>
      </w:r>
    </w:p>
    <w:p>
      <w:pPr>
        <w:spacing w:after="0" w:line="157" w:lineRule="exact"/>
        <w:rPr>
          <w:sz w:val="20"/>
          <w:szCs w:val="20"/>
          <w:color w:val="auto"/>
        </w:rPr>
      </w:pPr>
    </w:p>
    <w:p>
      <w:pPr>
        <w:jc w:val="both"/>
        <w:ind w:left="1300" w:hanging="644"/>
        <w:spacing w:after="0" w:line="214" w:lineRule="auto"/>
        <w:tabs>
          <w:tab w:leader="none" w:pos="1304" w:val="left"/>
        </w:tabs>
        <w:numPr>
          <w:ilvl w:val="0"/>
          <w:numId w:val="641"/>
        </w:numPr>
        <w:rPr>
          <w:rFonts w:ascii="Calibri" w:cs="Calibri" w:eastAsia="Calibri" w:hAnsi="Calibri"/>
          <w:sz w:val="20"/>
          <w:szCs w:val="20"/>
          <w:color w:val="auto"/>
        </w:rPr>
      </w:pPr>
      <w:r>
        <w:rPr>
          <w:rFonts w:ascii="Calibri" w:cs="Calibri" w:eastAsia="Calibri" w:hAnsi="Calibri"/>
          <w:sz w:val="20"/>
          <w:szCs w:val="20"/>
          <w:color w:val="auto"/>
        </w:rPr>
        <w:t>During the Technology Clawback Term, the Recipient may not Knowingly engage in any Joint Research or Technology Licensing with a Foreign Entty of Concern that relates to a Technology or Product that Raises Natonal Security Concerns.</w:t>
      </w:r>
    </w:p>
    <w:p>
      <w:pPr>
        <w:spacing w:after="0" w:line="158" w:lineRule="exact"/>
        <w:rPr>
          <w:rFonts w:ascii="Calibri" w:cs="Calibri" w:eastAsia="Calibri" w:hAnsi="Calibri"/>
          <w:sz w:val="20"/>
          <w:szCs w:val="20"/>
          <w:color w:val="auto"/>
        </w:rPr>
      </w:pPr>
    </w:p>
    <w:p>
      <w:pPr>
        <w:jc w:val="both"/>
        <w:ind w:left="1300" w:hanging="644"/>
        <w:spacing w:after="0" w:line="197" w:lineRule="auto"/>
        <w:tabs>
          <w:tab w:leader="none" w:pos="1300" w:val="left"/>
        </w:tabs>
        <w:numPr>
          <w:ilvl w:val="0"/>
          <w:numId w:val="641"/>
        </w:numPr>
        <w:rPr>
          <w:rFonts w:ascii="Calibri" w:cs="Calibri" w:eastAsia="Calibri" w:hAnsi="Calibri"/>
          <w:sz w:val="20"/>
          <w:szCs w:val="20"/>
          <w:color w:val="auto"/>
        </w:rPr>
      </w:pPr>
      <w:r>
        <w:rPr>
          <w:rFonts w:ascii="Calibri" w:cs="Calibri" w:eastAsia="Calibri" w:hAnsi="Calibri"/>
          <w:sz w:val="20"/>
          <w:szCs w:val="20"/>
          <w:color w:val="auto"/>
        </w:rPr>
        <w:t>Notwithstanding paragraph (a) of this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this prohibiton will not apply to Joint Research or Technology Licensing with a Foreign Entty of Concern that relates to a Technology or Product that Raises Natonal Security Concerns that was ongoing prior to (i) being listed as a Technology or Product that Raises Natonal Security Concerns in 68 Fed. Reg. 65600 (September 25, 2023), or (ii) an announcement by the Secretary identfying such technology or product as a Technology or Product that Raises Natonal Security Concerns as set forth in part (c) of the defniton of such term. All ongoing Joint Research or Technology Licensing that the Recipient has with a Foreign Entty of Concern that relates to a Technology or Product that Raises Natonal Security Concerns that was ongoing as of September 25, 2023 is set forth in Part 2 (</w:t>
      </w:r>
      <w:r>
        <w:rPr>
          <w:rFonts w:ascii="Calibri" w:cs="Calibri" w:eastAsia="Calibri" w:hAnsi="Calibri"/>
          <w:sz w:val="20"/>
          <w:szCs w:val="20"/>
          <w:b w:val="1"/>
          <w:bCs w:val="1"/>
          <w:color w:val="auto"/>
        </w:rPr>
        <w:t>Joint Research or Technology Licensing of</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of Appendix 1 hereto, which Appendix will be amended by the Recipient in connecton with any public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determinatons by the Secretary of Technologies or Products that Raise Natonal Security Concerns to memorialize that such technology or product was ongoing as of the date of such announcement.</w:t>
      </w:r>
    </w:p>
    <w:p>
      <w:pPr>
        <w:spacing w:after="0" w:line="162"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3.</w:t>
      </w:r>
      <w:r>
        <w:rPr>
          <w:sz w:val="20"/>
          <w:szCs w:val="20"/>
          <w:color w:val="auto"/>
        </w:rPr>
        <w:tab/>
      </w:r>
      <w:r>
        <w:rPr>
          <w:rFonts w:ascii="Calibri" w:cs="Calibri" w:eastAsia="Calibri" w:hAnsi="Calibri"/>
          <w:sz w:val="20"/>
          <w:szCs w:val="20"/>
          <w:b w:val="1"/>
          <w:bCs w:val="1"/>
          <w:color w:val="auto"/>
        </w:rPr>
        <w:t>ADDITIONAL CONDITIONS ON CERTAIN JOINT RESEARCH OR TECHNOLOGY LICENSING</w:t>
      </w:r>
    </w:p>
    <w:p>
      <w:pPr>
        <w:spacing w:after="0" w:line="157" w:lineRule="exact"/>
        <w:rPr>
          <w:sz w:val="20"/>
          <w:szCs w:val="20"/>
          <w:color w:val="auto"/>
        </w:rPr>
      </w:pPr>
    </w:p>
    <w:p>
      <w:pPr>
        <w:jc w:val="both"/>
        <w:ind w:left="1300" w:hanging="644"/>
        <w:spacing w:after="0" w:line="222" w:lineRule="auto"/>
        <w:tabs>
          <w:tab w:leader="none" w:pos="1304" w:val="left"/>
        </w:tabs>
        <w:numPr>
          <w:ilvl w:val="0"/>
          <w:numId w:val="642"/>
        </w:numPr>
        <w:rPr>
          <w:rFonts w:ascii="Calibri" w:cs="Calibri" w:eastAsia="Calibri" w:hAnsi="Calibri"/>
          <w:sz w:val="20"/>
          <w:szCs w:val="20"/>
          <w:color w:val="auto"/>
        </w:rPr>
      </w:pPr>
      <w:r>
        <w:rPr>
          <w:rFonts w:ascii="Calibri" w:cs="Calibri" w:eastAsia="Calibri" w:hAnsi="Calibri"/>
          <w:sz w:val="20"/>
          <w:szCs w:val="20"/>
          <w:color w:val="auto"/>
        </w:rPr>
        <w:t>If, during the Technology Clawback Term, the Business Unit of any Related Entty that designs, manufactures or packages a Specifed Technology or Product (or any other technology or product substantally the same thereto) engages in Joint Research or Technology Licensing with a Foreign Entty of Concern with respect to the Specifed Technology or Product (or any other technology or product substantally the same thereto), then the Secretary may take any measures to mitgate the risk to natonal security, which measures may include, but are not limited to, recovering up to the full amount of any Award made to the Recipient that is within the Technology Clawback Term for such Award (which recovery may be pursuant to Secton 7(d)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negotatng an amendment to this Agreement, or exercising any other remedy available to the Secretary at equity or in law.</w:t>
      </w:r>
    </w:p>
    <w:p>
      <w:pPr>
        <w:spacing w:after="0" w:line="200" w:lineRule="exact"/>
        <w:rPr>
          <w:sz w:val="20"/>
          <w:szCs w:val="20"/>
          <w:color w:val="auto"/>
        </w:rPr>
      </w:pPr>
    </w:p>
    <w:p>
      <w:pPr>
        <w:spacing w:after="0" w:line="286"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18" w:name="page519"/>
    <w:bookmarkEnd w:id="518"/>
    <w:p>
      <w:pPr>
        <w:jc w:val="both"/>
        <w:ind w:left="1300" w:hanging="644"/>
        <w:spacing w:after="0" w:line="218" w:lineRule="auto"/>
        <w:tabs>
          <w:tab w:leader="none" w:pos="1300" w:val="left"/>
        </w:tabs>
        <w:numPr>
          <w:ilvl w:val="0"/>
          <w:numId w:val="643"/>
        </w:numPr>
        <w:rPr>
          <w:rFonts w:ascii="Calibri" w:cs="Calibri" w:eastAsia="Calibri" w:hAnsi="Calibri"/>
          <w:sz w:val="20"/>
          <w:szCs w:val="20"/>
          <w:color w:val="auto"/>
        </w:rPr>
      </w:pPr>
      <w:r>
        <w:rPr>
          <w:rFonts w:ascii="Calibri" w:cs="Calibri" w:eastAsia="Calibri" w:hAnsi="Calibri"/>
          <w:sz w:val="20"/>
          <w:szCs w:val="20"/>
          <w:color w:val="auto"/>
        </w:rPr>
        <w:t>Notwithstanding paragraph (a) of this Secton 3 (</w:t>
      </w:r>
      <w:r>
        <w:rPr>
          <w:rFonts w:ascii="Calibri" w:cs="Calibri" w:eastAsia="Calibri" w:hAnsi="Calibri"/>
          <w:sz w:val="20"/>
          <w:szCs w:val="20"/>
          <w:b w:val="1"/>
          <w:bCs w:val="1"/>
          <w:color w:val="auto"/>
        </w:rPr>
        <w:t>Additonal Conditons on Certain Joint Research or Technology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Licensing</w:t>
      </w:r>
      <w:r>
        <w:rPr>
          <w:rFonts w:ascii="Calibri" w:cs="Calibri" w:eastAsia="Calibri" w:hAnsi="Calibri"/>
          <w:sz w:val="20"/>
          <w:szCs w:val="20"/>
          <w:color w:val="auto"/>
        </w:rPr>
        <w:t>), this conditon will not apply to Joint Research or Technology Licensing with a Foreign Entty of Concern that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relates to a Technology or Product that Raises Natonal Security Concerns that was ongoing prior to (i) being listed as a Technology or Product that Raises Natonal Security Concerns in 68 Fed. Reg. 65600 (September 25, 2023), or (ii) an announcement by the Secretary identfying such technology or product as a Technology or Product that Raises Natonal Security Concerns as set forth in part (c) of the defniton of such term. All such ongoing Joint Research or Technology Licensing that would otherwise be prohibited by paragraph (a) that was ongoing as of September 25, 2023 is set forth in Part 3 (</w:t>
      </w:r>
      <w:r>
        <w:rPr>
          <w:rFonts w:ascii="Calibri" w:cs="Calibri" w:eastAsia="Calibri" w:hAnsi="Calibri"/>
          <w:sz w:val="20"/>
          <w:szCs w:val="20"/>
          <w:b w:val="1"/>
          <w:bCs w:val="1"/>
          <w:color w:val="auto"/>
        </w:rPr>
        <w:t>Joint Research or Technology Licensing of Related Enttes</w:t>
      </w:r>
      <w:r>
        <w:rPr>
          <w:rFonts w:ascii="Calibri" w:cs="Calibri" w:eastAsia="Calibri" w:hAnsi="Calibri"/>
          <w:sz w:val="20"/>
          <w:szCs w:val="20"/>
          <w:color w:val="auto"/>
        </w:rPr>
        <w:t>) of Appendix 1, which Schedule will be amended by the Recipient in connecton with any public determinatons by the Secretary of Technologies or Products that Raise Natonal Security Concerns to memorialize that such technology or product was ongoing as of the date of such announcement.</w:t>
      </w:r>
    </w:p>
    <w:p>
      <w:pPr>
        <w:spacing w:after="0" w:line="149"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4.</w:t>
      </w:r>
      <w:r>
        <w:rPr>
          <w:sz w:val="20"/>
          <w:szCs w:val="20"/>
          <w:color w:val="auto"/>
        </w:rPr>
        <w:tab/>
      </w:r>
      <w:r>
        <w:rPr>
          <w:rFonts w:ascii="Calibri" w:cs="Calibri" w:eastAsia="Calibri" w:hAnsi="Calibri"/>
          <w:sz w:val="20"/>
          <w:szCs w:val="20"/>
          <w:b w:val="1"/>
          <w:bCs w:val="1"/>
          <w:color w:val="auto"/>
        </w:rPr>
        <w:t>RETENTION OF RECORDS.</w:t>
      </w:r>
    </w:p>
    <w:p>
      <w:pPr>
        <w:spacing w:after="0" w:line="157" w:lineRule="exact"/>
        <w:rPr>
          <w:sz w:val="20"/>
          <w:szCs w:val="20"/>
          <w:color w:val="auto"/>
        </w:rPr>
      </w:pPr>
    </w:p>
    <w:p>
      <w:pPr>
        <w:jc w:val="both"/>
        <w:ind w:left="1300" w:hanging="644"/>
        <w:spacing w:after="0" w:line="199" w:lineRule="auto"/>
        <w:tabs>
          <w:tab w:leader="none" w:pos="1304" w:val="left"/>
        </w:tabs>
        <w:numPr>
          <w:ilvl w:val="0"/>
          <w:numId w:val="644"/>
        </w:numPr>
        <w:rPr>
          <w:rFonts w:ascii="Calibri" w:cs="Calibri" w:eastAsia="Calibri" w:hAnsi="Calibri"/>
          <w:sz w:val="20"/>
          <w:szCs w:val="20"/>
          <w:color w:val="auto"/>
        </w:rPr>
      </w:pPr>
      <w:r>
        <w:rPr>
          <w:rFonts w:ascii="Calibri" w:cs="Calibri" w:eastAsia="Calibri" w:hAnsi="Calibri"/>
          <w:sz w:val="20"/>
          <w:szCs w:val="20"/>
          <w:color w:val="auto"/>
        </w:rPr>
        <w:t>During the Expansion Clawback Term and for a period of seven (7) years following any Signifcant Transacton involving the Material Expansion of Semiconductor Manufacturing Capacity in a Foreign Country of Concern, a Recipient or Member of the Afliated Group planning or engaging in any such Signifcant Transacton involving the Material Expansion of Semiconductor Manufacturing Capacity in a Foreign Country of Concern will maintain records related to the Signifcant Transacton in a manner consistent with the recordkeeping practces used in their ordinary course of business for such transactons.</w:t>
      </w:r>
    </w:p>
    <w:p>
      <w:pPr>
        <w:spacing w:after="0" w:line="175" w:lineRule="exact"/>
        <w:rPr>
          <w:rFonts w:ascii="Calibri" w:cs="Calibri" w:eastAsia="Calibri" w:hAnsi="Calibri"/>
          <w:sz w:val="20"/>
          <w:szCs w:val="20"/>
          <w:color w:val="auto"/>
        </w:rPr>
      </w:pPr>
    </w:p>
    <w:p>
      <w:pPr>
        <w:jc w:val="both"/>
        <w:ind w:left="1300" w:hanging="644"/>
        <w:spacing w:after="0" w:line="203" w:lineRule="auto"/>
        <w:tabs>
          <w:tab w:leader="none" w:pos="1300" w:val="left"/>
        </w:tabs>
        <w:numPr>
          <w:ilvl w:val="0"/>
          <w:numId w:val="644"/>
        </w:numPr>
        <w:rPr>
          <w:rFonts w:ascii="Calibri" w:cs="Calibri" w:eastAsia="Calibri" w:hAnsi="Calibri"/>
          <w:sz w:val="20"/>
          <w:szCs w:val="20"/>
          <w:color w:val="auto"/>
        </w:rPr>
      </w:pPr>
      <w:r>
        <w:rPr>
          <w:rFonts w:ascii="Calibri" w:cs="Calibri" w:eastAsia="Calibri" w:hAnsi="Calibri"/>
          <w:sz w:val="20"/>
          <w:szCs w:val="20"/>
          <w:color w:val="auto"/>
        </w:rPr>
        <w:t>A Recipient that is notfed that a transacton is being reviewed by the Secretary in accordance with the Guardrail Regulatons will immediately take steps to retain all records relatng to such transacton, including if those records are maintained by a Member of the Afliated Group or by Related Enttes. Any failure to maintain such records will be an adverse inference regarding compliance with the provisions of this Annex.</w:t>
      </w:r>
    </w:p>
    <w:p>
      <w:pPr>
        <w:spacing w:after="0" w:line="150"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5.</w:t>
      </w:r>
      <w:r>
        <w:rPr>
          <w:sz w:val="20"/>
          <w:szCs w:val="20"/>
          <w:color w:val="auto"/>
        </w:rPr>
        <w:tab/>
      </w:r>
      <w:r>
        <w:rPr>
          <w:rFonts w:ascii="Calibri" w:cs="Calibri" w:eastAsia="Calibri" w:hAnsi="Calibri"/>
          <w:sz w:val="20"/>
          <w:szCs w:val="20"/>
          <w:b w:val="1"/>
          <w:bCs w:val="1"/>
          <w:color w:val="auto"/>
        </w:rPr>
        <w:t>PROCEDURES FOR NOTIFYING THE SECRETARY OF SIGNIFICANT TRANSACTIONS</w:t>
      </w:r>
    </w:p>
    <w:p>
      <w:pPr>
        <w:spacing w:after="0" w:line="18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During the Expansion Clawback Term, the Recipient will submit writen notfcaton to the Secretary regarding any planned Signifcant Transactons of the Recipient or Members of the Afliated Group that may involve the Material Expansion of Semiconductor Manufacturing Capacity in a Foreign Country of Concern, regardless of whether the Recipient believes the transacton falls within an</w:t>
      </w:r>
    </w:p>
    <w:p>
      <w:pPr>
        <w:jc w:val="both"/>
        <w:spacing w:after="0" w:line="232" w:lineRule="auto"/>
        <w:rPr>
          <w:sz w:val="20"/>
          <w:szCs w:val="20"/>
          <w:color w:val="auto"/>
        </w:rPr>
      </w:pPr>
      <w:r>
        <w:rPr>
          <w:rFonts w:ascii="Calibri" w:cs="Calibri" w:eastAsia="Calibri" w:hAnsi="Calibri"/>
          <w:sz w:val="20"/>
          <w:szCs w:val="20"/>
          <w:color w:val="auto"/>
        </w:rPr>
        <w:t>excepton stated in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Each notfcaton must include the informaton set forth in Secton 6 (</w:t>
      </w:r>
      <w:r>
        <w:rPr>
          <w:rFonts w:ascii="Calibri" w:cs="Calibri" w:eastAsia="Calibri" w:hAnsi="Calibri"/>
          <w:sz w:val="20"/>
          <w:szCs w:val="20"/>
          <w:b w:val="1"/>
          <w:bCs w:val="1"/>
          <w:color w:val="auto"/>
        </w:rPr>
        <w:t>Contents Of Notfcatons; Certfcatons; Additonal Informaton</w:t>
      </w:r>
      <w:r>
        <w:rPr>
          <w:rFonts w:ascii="Calibri" w:cs="Calibri" w:eastAsia="Calibri" w:hAnsi="Calibri"/>
          <w:sz w:val="20"/>
          <w:szCs w:val="20"/>
          <w:color w:val="auto"/>
        </w:rPr>
        <w:t>) and be submited</w:t>
      </w:r>
    </w:p>
    <w:p>
      <w:pPr>
        <w:spacing w:after="0" w:line="226" w:lineRule="auto"/>
        <w:rPr>
          <w:sz w:val="20"/>
          <w:szCs w:val="20"/>
          <w:color w:val="auto"/>
        </w:rPr>
      </w:pPr>
      <w:r>
        <w:rPr>
          <w:rFonts w:ascii="Calibri" w:cs="Calibri" w:eastAsia="Calibri" w:hAnsi="Calibri"/>
          <w:sz w:val="20"/>
          <w:szCs w:val="20"/>
          <w:color w:val="auto"/>
        </w:rPr>
        <w:t>to the Secretary in accordance with the notce provisions of this Agreement and to notfcatons@chips.gov.</w:t>
      </w:r>
    </w:p>
    <w:p>
      <w:pPr>
        <w:spacing w:after="0" w:line="174"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6.</w:t>
      </w:r>
      <w:r>
        <w:rPr>
          <w:sz w:val="20"/>
          <w:szCs w:val="20"/>
          <w:color w:val="auto"/>
        </w:rPr>
        <w:tab/>
      </w:r>
      <w:r>
        <w:rPr>
          <w:rFonts w:ascii="Calibri" w:cs="Calibri" w:eastAsia="Calibri" w:hAnsi="Calibri"/>
          <w:sz w:val="20"/>
          <w:szCs w:val="20"/>
          <w:b w:val="1"/>
          <w:bCs w:val="1"/>
          <w:color w:val="auto"/>
        </w:rPr>
        <w:t>CONTENTS OF NOTIFICATIONS; CERTIFICATIONS; ADDITIONAL INFORMATION</w:t>
      </w:r>
    </w:p>
    <w:p>
      <w:pPr>
        <w:spacing w:after="0" w:line="157" w:lineRule="exact"/>
        <w:rPr>
          <w:sz w:val="20"/>
          <w:szCs w:val="20"/>
          <w:color w:val="auto"/>
        </w:rPr>
      </w:pPr>
    </w:p>
    <w:p>
      <w:pPr>
        <w:jc w:val="both"/>
        <w:ind w:left="1300" w:hanging="644"/>
        <w:spacing w:after="0"/>
        <w:tabs>
          <w:tab w:leader="none" w:pos="1304" w:val="left"/>
        </w:tabs>
        <w:numPr>
          <w:ilvl w:val="0"/>
          <w:numId w:val="645"/>
        </w:numPr>
        <w:rPr>
          <w:rFonts w:ascii="Calibri" w:cs="Calibri" w:eastAsia="Calibri" w:hAnsi="Calibri"/>
          <w:sz w:val="20"/>
          <w:szCs w:val="20"/>
          <w:color w:val="auto"/>
        </w:rPr>
      </w:pPr>
      <w:r>
        <w:rPr>
          <w:rFonts w:ascii="Calibri" w:cs="Calibri" w:eastAsia="Calibri" w:hAnsi="Calibri"/>
          <w:sz w:val="20"/>
          <w:szCs w:val="20"/>
          <w:color w:val="auto"/>
        </w:rPr>
        <w:t>The notfcaton required by Secton 5 (</w:t>
      </w:r>
      <w:r>
        <w:rPr>
          <w:rFonts w:ascii="Calibri" w:cs="Calibri" w:eastAsia="Calibri" w:hAnsi="Calibri"/>
          <w:sz w:val="20"/>
          <w:szCs w:val="20"/>
          <w:b w:val="1"/>
          <w:bCs w:val="1"/>
          <w:color w:val="auto"/>
        </w:rPr>
        <w:t>Procedures For Notfying The Secretary Of Signifcant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will be certfed by the Recipient’s chief executve ofcer, president, or equivalent corporate ofcer, and will contain the following informaton about the partes and the transacton, which must be accurate and complete:</w:t>
      </w:r>
    </w:p>
    <w:p>
      <w:pPr>
        <w:spacing w:after="0" w:line="253" w:lineRule="exact"/>
        <w:rPr>
          <w:rFonts w:ascii="Calibri" w:cs="Calibri" w:eastAsia="Calibri" w:hAnsi="Calibri"/>
          <w:sz w:val="20"/>
          <w:szCs w:val="20"/>
          <w:color w:val="auto"/>
        </w:rPr>
      </w:pPr>
    </w:p>
    <w:p>
      <w:pPr>
        <w:ind w:left="1960" w:hanging="656"/>
        <w:spacing w:after="0" w:line="214" w:lineRule="auto"/>
        <w:tabs>
          <w:tab w:leader="none" w:pos="1954" w:val="left"/>
        </w:tabs>
        <w:numPr>
          <w:ilvl w:val="1"/>
          <w:numId w:val="645"/>
        </w:numPr>
        <w:rPr>
          <w:rFonts w:ascii="Calibri" w:cs="Calibri" w:eastAsia="Calibri" w:hAnsi="Calibri"/>
          <w:sz w:val="20"/>
          <w:szCs w:val="20"/>
          <w:color w:val="auto"/>
        </w:rPr>
      </w:pPr>
      <w:r>
        <w:rPr>
          <w:rFonts w:ascii="Calibri" w:cs="Calibri" w:eastAsia="Calibri" w:hAnsi="Calibri"/>
          <w:sz w:val="20"/>
          <w:szCs w:val="20"/>
          <w:color w:val="auto"/>
        </w:rPr>
        <w:t>the Recipient and any Member of the Afliated Group that is party to any Award Document, including for each a primary point of contact, telephone number, and email address;</w:t>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-2</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19" w:name="page520"/>
    <w:bookmarkEnd w:id="519"/>
    <w:p>
      <w:pPr>
        <w:ind w:left="1960" w:hanging="656"/>
        <w:spacing w:after="0"/>
        <w:tabs>
          <w:tab w:leader="none" w:pos="1960"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the identty and locaton(s) of all other partes to the transacton;</w:t>
      </w:r>
    </w:p>
    <w:p>
      <w:pPr>
        <w:spacing w:after="0" w:line="147" w:lineRule="exact"/>
        <w:rPr>
          <w:rFonts w:ascii="Calibri" w:cs="Calibri" w:eastAsia="Calibri" w:hAnsi="Calibri"/>
          <w:sz w:val="20"/>
          <w:szCs w:val="20"/>
          <w:color w:val="auto"/>
        </w:rPr>
      </w:pPr>
    </w:p>
    <w:p>
      <w:pPr>
        <w:ind w:left="1960" w:hanging="656"/>
        <w:spacing w:after="0"/>
        <w:tabs>
          <w:tab w:leader="none" w:pos="1960"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informaton, including organizatonal chart(s), on the ownership structure of partes to the transactons;</w:t>
      </w:r>
    </w:p>
    <w:p>
      <w:pPr>
        <w:spacing w:after="0" w:line="160" w:lineRule="exact"/>
        <w:rPr>
          <w:rFonts w:ascii="Calibri" w:cs="Calibri" w:eastAsia="Calibri" w:hAnsi="Calibri"/>
          <w:sz w:val="20"/>
          <w:szCs w:val="20"/>
          <w:color w:val="auto"/>
        </w:rPr>
      </w:pPr>
    </w:p>
    <w:p>
      <w:pPr>
        <w:ind w:left="1960" w:hanging="656"/>
        <w:spacing w:after="0"/>
        <w:tabs>
          <w:tab w:leader="none" w:pos="1960"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a descripton of any other signifcant foreign involvement, e.g., through fnancing, in the transacton;</w:t>
      </w:r>
    </w:p>
    <w:p>
      <w:pPr>
        <w:spacing w:after="0" w:line="157" w:lineRule="exact"/>
        <w:rPr>
          <w:rFonts w:ascii="Calibri" w:cs="Calibri" w:eastAsia="Calibri" w:hAnsi="Calibri"/>
          <w:sz w:val="20"/>
          <w:szCs w:val="20"/>
          <w:color w:val="auto"/>
        </w:rPr>
      </w:pPr>
    </w:p>
    <w:p>
      <w:pPr>
        <w:ind w:left="1960" w:right="20" w:hanging="656"/>
        <w:spacing w:after="0" w:line="214" w:lineRule="auto"/>
        <w:tabs>
          <w:tab w:leader="none" w:pos="1958"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the name(s) and locaton(s) of any entty in a Foreign Country of Concern where or at which Semiconductor Manufacturing Capacity may be Materially Expanded by the transacton;</w:t>
      </w:r>
    </w:p>
    <w:p>
      <w:pPr>
        <w:spacing w:after="0" w:line="158" w:lineRule="exact"/>
        <w:rPr>
          <w:rFonts w:ascii="Calibri" w:cs="Calibri" w:eastAsia="Calibri" w:hAnsi="Calibri"/>
          <w:sz w:val="20"/>
          <w:szCs w:val="20"/>
          <w:color w:val="auto"/>
        </w:rPr>
      </w:pPr>
    </w:p>
    <w:p>
      <w:pPr>
        <w:jc w:val="both"/>
        <w:ind w:left="1960" w:hanging="656"/>
        <w:spacing w:after="0" w:line="203" w:lineRule="auto"/>
        <w:tabs>
          <w:tab w:leader="none" w:pos="1964"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a descripton of the transacton, including the specifc types of Semiconductors currently produced at the facility planned for expansion, the current producton technology node (or equivalent informaton) and Semiconductor Manufacturing Capacity, as well as the specifc types of Semiconductors planned for manufacture, the planned producton technology node, and planned Semiconductor Manufacturing Capacity;</w:t>
      </w:r>
    </w:p>
    <w:p>
      <w:pPr>
        <w:spacing w:after="0" w:line="159" w:lineRule="exact"/>
        <w:rPr>
          <w:rFonts w:ascii="Calibri" w:cs="Calibri" w:eastAsia="Calibri" w:hAnsi="Calibri"/>
          <w:sz w:val="20"/>
          <w:szCs w:val="20"/>
          <w:color w:val="auto"/>
        </w:rPr>
      </w:pPr>
    </w:p>
    <w:p>
      <w:pPr>
        <w:jc w:val="both"/>
        <w:ind w:left="1960" w:hanging="656"/>
        <w:spacing w:after="0" w:line="202" w:lineRule="auto"/>
        <w:tabs>
          <w:tab w:leader="none" w:pos="1957"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if the Recipient asserts that the transacton involves the Material Expansion of Semiconductor Manufacturing Capacity that produces Legacy Semiconductors that will Predominately Serve the Market of a Foreign Country of Concern, documentaton as to where the fnal products incorporatng the Legacy Semiconductors are to be used or consumed, including the percent of Semiconductor Manufacturing Capacity or percent of sales revenue that will be accounted for by use or consumpton of the fnal goods in the Foreign Country of Concern; and</w:t>
      </w:r>
    </w:p>
    <w:p>
      <w:pPr>
        <w:spacing w:after="0" w:line="160" w:lineRule="exact"/>
        <w:rPr>
          <w:rFonts w:ascii="Calibri" w:cs="Calibri" w:eastAsia="Calibri" w:hAnsi="Calibri"/>
          <w:sz w:val="20"/>
          <w:szCs w:val="20"/>
          <w:color w:val="auto"/>
        </w:rPr>
      </w:pPr>
    </w:p>
    <w:p>
      <w:pPr>
        <w:jc w:val="both"/>
        <w:ind w:left="1960" w:hanging="656"/>
        <w:spacing w:after="0" w:line="203" w:lineRule="auto"/>
        <w:tabs>
          <w:tab w:leader="none" w:pos="1963" w:val="left"/>
        </w:tabs>
        <w:numPr>
          <w:ilvl w:val="1"/>
          <w:numId w:val="646"/>
        </w:numPr>
        <w:rPr>
          <w:rFonts w:ascii="Calibri" w:cs="Calibri" w:eastAsia="Calibri" w:hAnsi="Calibri"/>
          <w:sz w:val="20"/>
          <w:szCs w:val="20"/>
          <w:color w:val="auto"/>
        </w:rPr>
      </w:pPr>
      <w:r>
        <w:rPr>
          <w:rFonts w:ascii="Calibri" w:cs="Calibri" w:eastAsia="Calibri" w:hAnsi="Calibri"/>
          <w:sz w:val="20"/>
          <w:szCs w:val="20"/>
          <w:color w:val="auto"/>
        </w:rPr>
        <w:t>If applicable, an explanaton of how the transacton meets the exemptons set forth in Secton 1 (</w:t>
      </w:r>
      <w:r>
        <w:rPr>
          <w:rFonts w:ascii="Calibri" w:cs="Calibri" w:eastAsia="Calibri" w:hAnsi="Calibri"/>
          <w:sz w:val="20"/>
          <w:szCs w:val="20"/>
          <w:b w:val="1"/>
          <w:bCs w:val="1"/>
          <w:color w:val="auto"/>
        </w:rPr>
        <w:t>Prohibiton 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including details on the calculatons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Semiconductor Manufacturing Capacity and/or sales revenue by the market in which the fnal goods will be consumed.</w:t>
      </w:r>
    </w:p>
    <w:p>
      <w:pPr>
        <w:spacing w:after="0" w:line="159" w:lineRule="exact"/>
        <w:rPr>
          <w:rFonts w:ascii="Calibri" w:cs="Calibri" w:eastAsia="Calibri" w:hAnsi="Calibri"/>
          <w:sz w:val="20"/>
          <w:szCs w:val="20"/>
          <w:color w:val="auto"/>
        </w:rPr>
      </w:pPr>
    </w:p>
    <w:p>
      <w:pPr>
        <w:jc w:val="both"/>
        <w:ind w:left="1300" w:hanging="644"/>
        <w:spacing w:after="0" w:line="209" w:lineRule="auto"/>
        <w:tabs>
          <w:tab w:leader="none" w:pos="1300" w:val="left"/>
        </w:tabs>
        <w:numPr>
          <w:ilvl w:val="0"/>
          <w:numId w:val="647"/>
        </w:numPr>
        <w:rPr>
          <w:rFonts w:ascii="Calibri" w:cs="Calibri" w:eastAsia="Calibri" w:hAnsi="Calibri"/>
          <w:sz w:val="20"/>
          <w:szCs w:val="20"/>
          <w:color w:val="auto"/>
        </w:rPr>
      </w:pPr>
      <w:r>
        <w:rPr>
          <w:rFonts w:ascii="Calibri" w:cs="Calibri" w:eastAsia="Calibri" w:hAnsi="Calibri"/>
          <w:sz w:val="20"/>
          <w:szCs w:val="20"/>
          <w:color w:val="auto"/>
        </w:rPr>
        <w:t>If during the review of the notfcaton specifed in Secton 5 (</w:t>
      </w:r>
      <w:r>
        <w:rPr>
          <w:rFonts w:ascii="Calibri" w:cs="Calibri" w:eastAsia="Calibri" w:hAnsi="Calibri"/>
          <w:sz w:val="20"/>
          <w:szCs w:val="20"/>
          <w:b w:val="1"/>
          <w:bCs w:val="1"/>
          <w:color w:val="auto"/>
        </w:rPr>
        <w:t>Procedures For Notfying The Secretary Of Signifcant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requests additonal informaton from the Recipient,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Recipient will promptly provide any additonal informaton.</w:t>
      </w:r>
    </w:p>
    <w:p>
      <w:pPr>
        <w:spacing w:after="0" w:line="149" w:lineRule="exact"/>
        <w:rPr>
          <w:sz w:val="20"/>
          <w:szCs w:val="20"/>
          <w:color w:val="auto"/>
        </w:rPr>
      </w:pPr>
    </w:p>
    <w:p>
      <w:pPr>
        <w:spacing w:after="0"/>
        <w:tabs>
          <w:tab w:leader="none" w:pos="1300" w:val="left"/>
        </w:tabs>
        <w:rPr>
          <w:sz w:val="20"/>
          <w:szCs w:val="20"/>
          <w:color w:val="auto"/>
        </w:rPr>
      </w:pPr>
      <w:r>
        <w:rPr>
          <w:rFonts w:ascii="Calibri" w:cs="Calibri" w:eastAsia="Calibri" w:hAnsi="Calibri"/>
          <w:sz w:val="20"/>
          <w:szCs w:val="20"/>
          <w:b w:val="1"/>
          <w:bCs w:val="1"/>
          <w:color w:val="auto"/>
        </w:rPr>
        <w:t>Secton 7.</w:t>
      </w:r>
      <w:r>
        <w:rPr>
          <w:sz w:val="20"/>
          <w:szCs w:val="20"/>
          <w:color w:val="auto"/>
        </w:rPr>
        <w:tab/>
      </w:r>
      <w:r>
        <w:rPr>
          <w:rFonts w:ascii="Calibri" w:cs="Calibri" w:eastAsia="Calibri" w:hAnsi="Calibri"/>
          <w:sz w:val="20"/>
          <w:szCs w:val="20"/>
          <w:b w:val="1"/>
          <w:bCs w:val="1"/>
          <w:color w:val="auto"/>
        </w:rPr>
        <w:t>REMEDIES, MITIGATION AND CLAWBACKS</w:t>
      </w:r>
    </w:p>
    <w:p>
      <w:pPr>
        <w:spacing w:after="0" w:line="157" w:lineRule="exact"/>
        <w:rPr>
          <w:sz w:val="20"/>
          <w:szCs w:val="20"/>
          <w:color w:val="auto"/>
        </w:rPr>
      </w:pPr>
    </w:p>
    <w:p>
      <w:pPr>
        <w:jc w:val="both"/>
        <w:ind w:left="1300" w:hanging="644"/>
        <w:spacing w:after="0" w:line="220" w:lineRule="auto"/>
        <w:tabs>
          <w:tab w:leader="none" w:pos="1304" w:val="left"/>
        </w:tabs>
        <w:numPr>
          <w:ilvl w:val="0"/>
          <w:numId w:val="648"/>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a transacton would violate Secton 1 (</w:t>
      </w:r>
      <w:r>
        <w:rPr>
          <w:rFonts w:ascii="Calibri" w:cs="Calibri" w:eastAsia="Calibri" w:hAnsi="Calibri"/>
          <w:sz w:val="20"/>
          <w:szCs w:val="20"/>
          <w:b w:val="1"/>
          <w:bCs w:val="1"/>
          <w:color w:val="auto"/>
        </w:rPr>
        <w:t>Prohibiton on Certain Expansion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or that the Recipient or a Member of the Afliated Group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violated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by engaging in a prohibited Signifcant Transacton, the Recipient must cease or abandon the transacton (or, if applicable, ensure that the Member of the Afliated Group ceases or abandons the transacton), and the Recipient’s chief executve ofcer, president, or equivalent corporate ofcial, must submit electronically a signed leter in accordance with the notce provisions of this Agreement to notfcatons@chips.gov within forty-fve (45) days of the fnal determinaton certfying that the transacton has ceased or been abandoned. Such leter must certfy, under the penaltes provided in the False Statements Accountability Act of 1996, as amended (18 U.S.C. § 1001), that the informaton in the leter is accurate and complete.</w:t>
      </w:r>
    </w:p>
    <w:p>
      <w:pPr>
        <w:spacing w:after="0" w:line="172" w:lineRule="exact"/>
        <w:rPr>
          <w:rFonts w:ascii="Calibri" w:cs="Calibri" w:eastAsia="Calibri" w:hAnsi="Calibri"/>
          <w:sz w:val="20"/>
          <w:szCs w:val="20"/>
          <w:color w:val="auto"/>
        </w:rPr>
      </w:pPr>
    </w:p>
    <w:p>
      <w:pPr>
        <w:jc w:val="both"/>
        <w:ind w:left="1300" w:hanging="644"/>
        <w:spacing w:after="0" w:line="205" w:lineRule="auto"/>
        <w:tabs>
          <w:tab w:leader="none" w:pos="1300" w:val="left"/>
        </w:tabs>
        <w:numPr>
          <w:ilvl w:val="0"/>
          <w:numId w:val="648"/>
        </w:numPr>
        <w:rPr>
          <w:rFonts w:ascii="Calibri" w:cs="Calibri" w:eastAsia="Calibri" w:hAnsi="Calibri"/>
          <w:sz w:val="20"/>
          <w:szCs w:val="20"/>
          <w:color w:val="auto"/>
        </w:rPr>
      </w:pPr>
      <w:r>
        <w:rPr>
          <w:rFonts w:ascii="Calibri" w:cs="Calibri" w:eastAsia="Calibri" w:hAnsi="Calibri"/>
          <w:sz w:val="20"/>
          <w:szCs w:val="20"/>
          <w:color w:val="auto"/>
        </w:rPr>
        <w:t>Unless recovery is waived by the Secretary, a violaton of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for engaging in a prohibited Signifcant Transacton or failing to cease or abandon a planned Signifcant</w:t>
      </w: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-3</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20" w:name="page521"/>
    <w:bookmarkEnd w:id="520"/>
    <w:p>
      <w:pPr>
        <w:jc w:val="both"/>
        <w:ind w:left="1220"/>
        <w:spacing w:after="0" w:line="202" w:lineRule="auto"/>
        <w:rPr>
          <w:sz w:val="20"/>
          <w:szCs w:val="20"/>
          <w:color w:val="auto"/>
        </w:rPr>
      </w:pPr>
      <w:r>
        <w:rPr>
          <w:rFonts w:ascii="Calibri" w:cs="Calibri" w:eastAsia="Calibri" w:hAnsi="Calibri"/>
          <w:sz w:val="20"/>
          <w:szCs w:val="20"/>
          <w:color w:val="auto"/>
        </w:rPr>
        <w:t>Transacton that the Secretary has determined would be in violaton of Secton 1 (</w:t>
      </w:r>
      <w:r>
        <w:rPr>
          <w:rFonts w:ascii="Calibri" w:cs="Calibri" w:eastAsia="Calibri" w:hAnsi="Calibri"/>
          <w:sz w:val="20"/>
          <w:szCs w:val="20"/>
          <w:b w:val="1"/>
          <w:bCs w:val="1"/>
          <w:color w:val="auto"/>
        </w:rPr>
        <w:t>Prohibiton on Certain Expansion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will result in the recovery of the full amount of any Award made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Recipient that is within the Expansion Clawback Term for such Award. If the means of recovery is not otherwise specifed in this Agreement, the amount of any Award to be recovered will be treated as a debt owed to the U.S. Government which is immediately due and payable.</w:t>
      </w:r>
    </w:p>
    <w:p>
      <w:pPr>
        <w:spacing w:after="0" w:line="161" w:lineRule="exact"/>
        <w:rPr>
          <w:sz w:val="20"/>
          <w:szCs w:val="20"/>
          <w:color w:val="auto"/>
        </w:rPr>
      </w:pPr>
    </w:p>
    <w:p>
      <w:pPr>
        <w:jc w:val="both"/>
        <w:ind w:left="1220" w:hanging="644"/>
        <w:spacing w:after="0" w:line="198" w:lineRule="auto"/>
        <w:tabs>
          <w:tab w:leader="none" w:pos="1212"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If the Secretary determines that a Recipient or Member of the Afliated Group is planning to undertake or has undertaken a Signifcant Transacton that violates or would violate Secton 1 (</w:t>
      </w:r>
      <w:r>
        <w:rPr>
          <w:rFonts w:ascii="Calibri" w:cs="Calibri" w:eastAsia="Calibri" w:hAnsi="Calibri"/>
          <w:sz w:val="20"/>
          <w:szCs w:val="20"/>
          <w:b w:val="1"/>
          <w:bCs w:val="1"/>
          <w:color w:val="auto"/>
        </w:rPr>
        <w:t>Prohibiton on Certain Expansion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may seek to take measures in connecton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transacton to mitgate the risk to natonal security. Such measures may include negotaton with the Recipient of an amendment to this Agreement to mitgate the risk to natonal security in connecton with the transacton (a “</w:t>
      </w:r>
      <w:r>
        <w:rPr>
          <w:rFonts w:ascii="Calibri" w:cs="Calibri" w:eastAsia="Calibri" w:hAnsi="Calibri"/>
          <w:sz w:val="20"/>
          <w:szCs w:val="20"/>
          <w:b w:val="1"/>
          <w:bCs w:val="1"/>
          <w:color w:val="auto"/>
        </w:rPr>
        <w:t>Mitgaton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In such a Mitgaton Agreement, the Secretary may (but is not required to) waive the recovery of funds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violaton of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If a Recipient fails to comply with the Mitgaton Agreement or if other conditons in the Mitgaton Agreement are violated, the Secretary may recover the full amount of any Award made to the Recipient that is within the Expansion Clawback Term for such Award, in accordance with paragraph (b) of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w:t>
      </w:r>
    </w:p>
    <w:p>
      <w:pPr>
        <w:spacing w:after="0" w:line="159" w:lineRule="exact"/>
        <w:rPr>
          <w:rFonts w:ascii="Calibri" w:cs="Calibri" w:eastAsia="Calibri" w:hAnsi="Calibri"/>
          <w:sz w:val="20"/>
          <w:szCs w:val="20"/>
          <w:color w:val="auto"/>
        </w:rPr>
      </w:pPr>
    </w:p>
    <w:p>
      <w:pPr>
        <w:jc w:val="both"/>
        <w:ind w:left="1220" w:hanging="644"/>
        <w:spacing w:after="0" w:line="202" w:lineRule="auto"/>
        <w:tabs>
          <w:tab w:leader="none" w:pos="1220"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the Recipient is not in compliance with Secton 2 (</w:t>
      </w:r>
      <w:r>
        <w:rPr>
          <w:rFonts w:ascii="Calibri" w:cs="Calibri" w:eastAsia="Calibri" w:hAnsi="Calibri"/>
          <w:sz w:val="20"/>
          <w:szCs w:val="20"/>
          <w:b w:val="1"/>
          <w:bCs w:val="1"/>
          <w:color w:val="auto"/>
        </w:rPr>
        <w:t>Prohibiton 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will recover the full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amount of any Award made to the Recipient that is within the Technology Clawback Term for such Award. If the means of recovery is not otherwise specifed in this Agreement, the amount of any Award to be recovered will be treated as a debt owed to the U.S. Government which is immediately due and payable.</w:t>
      </w:r>
    </w:p>
    <w:p>
      <w:pPr>
        <w:spacing w:after="0" w:line="160" w:lineRule="exact"/>
        <w:rPr>
          <w:rFonts w:ascii="Calibri" w:cs="Calibri" w:eastAsia="Calibri" w:hAnsi="Calibri"/>
          <w:sz w:val="20"/>
          <w:szCs w:val="20"/>
          <w:color w:val="auto"/>
        </w:rPr>
      </w:pPr>
    </w:p>
    <w:p>
      <w:pPr>
        <w:jc w:val="both"/>
        <w:ind w:left="1220" w:hanging="644"/>
        <w:spacing w:after="0" w:line="199" w:lineRule="auto"/>
        <w:tabs>
          <w:tab w:leader="none" w:pos="1214"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If the Secretary makes a fnal determinaton that a Related Entty has engaged in actvity that would violate the conditons in Secton 3 (</w:t>
      </w:r>
      <w:r>
        <w:rPr>
          <w:rFonts w:ascii="Calibri" w:cs="Calibri" w:eastAsia="Calibri" w:hAnsi="Calibri"/>
          <w:sz w:val="20"/>
          <w:szCs w:val="20"/>
          <w:b w:val="1"/>
          <w:bCs w:val="1"/>
          <w:color w:val="auto"/>
        </w:rPr>
        <w:t>Additonal Conditons on 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the Secretary may take measures to mitgate the risk to natonal security, which measures may include, but are not limited to, recovering up to the full amount of any Award made to the Recipient that is within the Technology Clawback Term for such Award to the Recipient, negotatng an amendment to this Agreement, as necessary, or exercising any other remedy available to the Secretary at equity or in law. If the means of recovery is not otherwise specifed in this Agreement, the amount of any Award to be recovered will be treated as a debt owed to the U.S. Government which is immediately due and payable.</w:t>
      </w:r>
    </w:p>
    <w:p>
      <w:pPr>
        <w:spacing w:after="0" w:line="162" w:lineRule="exact"/>
        <w:rPr>
          <w:rFonts w:ascii="Calibri" w:cs="Calibri" w:eastAsia="Calibri" w:hAnsi="Calibri"/>
          <w:sz w:val="20"/>
          <w:szCs w:val="20"/>
          <w:color w:val="auto"/>
        </w:rPr>
      </w:pPr>
    </w:p>
    <w:p>
      <w:pPr>
        <w:jc w:val="both"/>
        <w:ind w:left="1220" w:hanging="644"/>
        <w:spacing w:after="0" w:line="202" w:lineRule="auto"/>
        <w:tabs>
          <w:tab w:leader="none" w:pos="1218"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Interest on a debt owed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Provisions</w:t>
      </w:r>
      <w:r>
        <w:rPr>
          <w:rFonts w:ascii="Calibri" w:cs="Calibri" w:eastAsia="Calibri" w:hAnsi="Calibri"/>
          <w:sz w:val="20"/>
          <w:szCs w:val="20"/>
          <w:color w:val="auto"/>
        </w:rPr>
        <w:t>) will be calculated from the date on which the Secretary provides a fnal notfcaton to the Recipient that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acton violated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Secton 2 (</w:t>
      </w:r>
      <w:r>
        <w:rPr>
          <w:rFonts w:ascii="Calibri" w:cs="Calibri" w:eastAsia="Calibri" w:hAnsi="Calibri"/>
          <w:sz w:val="20"/>
          <w:szCs w:val="20"/>
          <w:b w:val="1"/>
          <w:bCs w:val="1"/>
          <w:color w:val="auto"/>
        </w:rPr>
        <w:t>Prohibiton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or Secton 3 (</w:t>
      </w:r>
      <w:r>
        <w:rPr>
          <w:rFonts w:ascii="Calibri" w:cs="Calibri" w:eastAsia="Calibri" w:hAnsi="Calibri"/>
          <w:sz w:val="20"/>
          <w:szCs w:val="20"/>
          <w:b w:val="1"/>
          <w:bCs w:val="1"/>
          <w:color w:val="auto"/>
        </w:rPr>
        <w:t>Additonal Conditons on Certain Joint 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jc w:val="both"/>
        <w:ind w:left="1220" w:hanging="644"/>
        <w:spacing w:after="0" w:line="205" w:lineRule="auto"/>
        <w:tabs>
          <w:tab w:leader="none" w:pos="1223"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The Secretary may take acton to collect a debt due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if such debt is not paid within the tme prescribed in this Agreement or Mitgaton Agreement. In additon, the Secretary may refer the unpaid debt to the Department of Justce for appropriate acton.</w:t>
      </w:r>
    </w:p>
    <w:p>
      <w:pPr>
        <w:spacing w:after="0" w:line="170" w:lineRule="exact"/>
        <w:rPr>
          <w:rFonts w:ascii="Calibri" w:cs="Calibri" w:eastAsia="Calibri" w:hAnsi="Calibri"/>
          <w:sz w:val="20"/>
          <w:szCs w:val="20"/>
          <w:color w:val="auto"/>
        </w:rPr>
      </w:pPr>
    </w:p>
    <w:p>
      <w:pPr>
        <w:jc w:val="both"/>
        <w:ind w:left="1220" w:hanging="644"/>
        <w:spacing w:after="0" w:line="205" w:lineRule="auto"/>
        <w:tabs>
          <w:tab w:leader="none" w:pos="1220" w:val="left"/>
        </w:tabs>
        <w:numPr>
          <w:ilvl w:val="0"/>
          <w:numId w:val="649"/>
        </w:numPr>
        <w:rPr>
          <w:rFonts w:ascii="Calibri" w:cs="Calibri" w:eastAsia="Calibri" w:hAnsi="Calibri"/>
          <w:sz w:val="20"/>
          <w:szCs w:val="20"/>
          <w:color w:val="auto"/>
        </w:rPr>
      </w:pPr>
      <w:r>
        <w:rPr>
          <w:rFonts w:ascii="Calibri" w:cs="Calibri" w:eastAsia="Calibri" w:hAnsi="Calibri"/>
          <w:sz w:val="20"/>
          <w:szCs w:val="20"/>
          <w:color w:val="auto"/>
        </w:rPr>
        <w:t>If the Secretary makes an inital determinaton that Secton 1 (</w:t>
      </w:r>
      <w:r>
        <w:rPr>
          <w:rFonts w:ascii="Calibri" w:cs="Calibri" w:eastAsia="Calibri" w:hAnsi="Calibri"/>
          <w:sz w:val="20"/>
          <w:szCs w:val="20"/>
          <w:b w:val="1"/>
          <w:bCs w:val="1"/>
          <w:color w:val="auto"/>
        </w:rPr>
        <w:t>Prohibiton on Certain Expansion Transactons</w:t>
      </w:r>
      <w:r>
        <w:rPr>
          <w:rFonts w:ascii="Calibri" w:cs="Calibri" w:eastAsia="Calibri" w:hAnsi="Calibri"/>
          <w:sz w:val="20"/>
          <w:szCs w:val="20"/>
          <w:color w:val="auto"/>
        </w:rPr>
        <w:t>), Secton 2 (</w:t>
      </w:r>
      <w:r>
        <w:rPr>
          <w:rFonts w:ascii="Calibri" w:cs="Calibri" w:eastAsia="Calibri" w:hAnsi="Calibri"/>
          <w:sz w:val="20"/>
          <w:szCs w:val="20"/>
          <w:b w:val="1"/>
          <w:bCs w:val="1"/>
          <w:color w:val="auto"/>
        </w:rPr>
        <w:t>Prohibiton On Certain Joint Research Or Technology Licensing</w:t>
      </w:r>
      <w:r>
        <w:rPr>
          <w:rFonts w:ascii="Calibri" w:cs="Calibri" w:eastAsia="Calibri" w:hAnsi="Calibri"/>
          <w:sz w:val="20"/>
          <w:szCs w:val="20"/>
          <w:color w:val="auto"/>
        </w:rPr>
        <w:t>) or Secton 3 (</w:t>
      </w:r>
      <w:r>
        <w:rPr>
          <w:rFonts w:ascii="Calibri" w:cs="Calibri" w:eastAsia="Calibri" w:hAnsi="Calibri"/>
          <w:sz w:val="20"/>
          <w:szCs w:val="20"/>
          <w:b w:val="1"/>
          <w:bCs w:val="1"/>
          <w:color w:val="auto"/>
        </w:rPr>
        <w:t>Additonal Conditons On Certain Joint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Research Or Technology Licensing</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has been violated, the</w:t>
      </w:r>
    </w:p>
    <w:p>
      <w:pPr>
        <w:spacing w:after="0" w:line="200" w:lineRule="exact"/>
        <w:rPr>
          <w:sz w:val="20"/>
          <w:szCs w:val="20"/>
          <w:color w:val="auto"/>
        </w:rPr>
      </w:pPr>
    </w:p>
    <w:p>
      <w:pPr>
        <w:spacing w:after="0" w:line="279" w:lineRule="exact"/>
        <w:rPr>
          <w:sz w:val="20"/>
          <w:szCs w:val="20"/>
          <w:color w:val="auto"/>
        </w:rPr>
      </w:pPr>
    </w:p>
    <w:p>
      <w:pPr>
        <w:spacing w:after="0"/>
        <w:tabs>
          <w:tab w:leader="none" w:pos="5160" w:val="left"/>
          <w:tab w:leader="none" w:pos="1012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-4</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160"/>
          </w:cols>
          <w:pgMar w:left="400" w:top="1384" w:right="339" w:bottom="1440" w:gutter="0" w:footer="0" w:header="0"/>
        </w:sectPr>
      </w:pPr>
    </w:p>
    <w:bookmarkStart w:id="521" w:name="page522"/>
    <w:bookmarkEnd w:id="521"/>
    <w:p>
      <w:pPr>
        <w:ind w:left="1220"/>
        <w:spacing w:after="0" w:line="214" w:lineRule="auto"/>
        <w:rPr>
          <w:sz w:val="20"/>
          <w:szCs w:val="20"/>
          <w:color w:val="auto"/>
        </w:rPr>
      </w:pPr>
      <w:r>
        <w:rPr>
          <w:rFonts w:ascii="Calibri" w:cs="Calibri" w:eastAsia="Calibri" w:hAnsi="Calibri"/>
          <w:sz w:val="20"/>
          <w:szCs w:val="20"/>
          <w:color w:val="auto"/>
        </w:rPr>
        <w:t>Secretary may, in additon to the other remedies specifed herein, suspend further disbursement of Award amounts to the Recipient.</w:t>
      </w:r>
    </w:p>
    <w:p>
      <w:pPr>
        <w:spacing w:after="0" w:line="159" w:lineRule="exact"/>
        <w:rPr>
          <w:sz w:val="20"/>
          <w:szCs w:val="20"/>
          <w:color w:val="auto"/>
        </w:rPr>
      </w:pPr>
    </w:p>
    <w:p>
      <w:pPr>
        <w:ind w:left="1220" w:right="20" w:hanging="644"/>
        <w:spacing w:after="0" w:line="214" w:lineRule="auto"/>
        <w:tabs>
          <w:tab w:leader="none" w:pos="1214" w:val="left"/>
        </w:tabs>
        <w:numPr>
          <w:ilvl w:val="0"/>
          <w:numId w:val="650"/>
        </w:numPr>
        <w:rPr>
          <w:rFonts w:ascii="Calibri" w:cs="Calibri" w:eastAsia="Calibri" w:hAnsi="Calibri"/>
          <w:sz w:val="20"/>
          <w:szCs w:val="20"/>
          <w:color w:val="auto"/>
        </w:rPr>
      </w:pPr>
      <w:r>
        <w:rPr>
          <w:rFonts w:ascii="Calibri" w:cs="Calibri" w:eastAsia="Calibri" w:hAnsi="Calibri"/>
          <w:sz w:val="20"/>
          <w:szCs w:val="20"/>
          <w:color w:val="auto"/>
        </w:rPr>
        <w:t>The recoveries and remedies available under this Secton 7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are without prejudice to other available remedies, including other remedies provided in this Agreement and civil or criminal penaltes.</w:t>
      </w:r>
    </w:p>
    <w:p>
      <w:pPr>
        <w:spacing w:after="0" w:line="200" w:lineRule="exact"/>
        <w:rPr>
          <w:sz w:val="20"/>
          <w:szCs w:val="20"/>
          <w:color w:val="auto"/>
        </w:rPr>
      </w:pPr>
    </w:p>
    <w:p>
      <w:pPr>
        <w:spacing w:after="0" w:line="280" w:lineRule="exact"/>
        <w:rPr>
          <w:sz w:val="20"/>
          <w:szCs w:val="20"/>
          <w:color w:val="auto"/>
        </w:rPr>
      </w:pPr>
    </w:p>
    <w:p>
      <w:pPr>
        <w:spacing w:after="0"/>
        <w:tabs>
          <w:tab w:leader="none" w:pos="5160" w:val="left"/>
          <w:tab w:leader="none" w:pos="1012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-5</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160"/>
          </w:cols>
          <w:pgMar w:left="400" w:top="1384" w:right="339" w:bottom="1440" w:gutter="0" w:footer="0" w:header="0"/>
        </w:sectPr>
      </w:pPr>
    </w:p>
    <w:bookmarkStart w:id="522" w:name="page523"/>
    <w:bookmarkEnd w:id="522"/>
    <w:p>
      <w:pPr>
        <w:jc w:val="center"/>
        <w:spacing w:after="0"/>
        <w:rPr>
          <w:sz w:val="20"/>
          <w:szCs w:val="20"/>
          <w:color w:val="auto"/>
        </w:rPr>
      </w:pPr>
      <w:r>
        <w:rPr>
          <w:rFonts w:ascii="Calibri" w:cs="Calibri" w:eastAsia="Calibri" w:hAnsi="Calibri"/>
          <w:sz w:val="20"/>
          <w:szCs w:val="20"/>
          <w:b w:val="1"/>
          <w:bCs w:val="1"/>
          <w:color w:val="auto"/>
        </w:rPr>
        <w:t>Defnitons</w:t>
      </w:r>
    </w:p>
    <w:p>
      <w:pPr>
        <w:spacing w:after="0" w:line="19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Capitalized terms used in this Agreement and Appendix 1 will have the meanings set forth below, and the rules of interpretaton set forth in Annex B Rules of Interpretaton will apply, except, in each case, as otherwise expressly provided therein.</w:t>
      </w:r>
    </w:p>
    <w:p>
      <w:pPr>
        <w:spacing w:after="0" w:line="172"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Business Unit</w:t>
      </w:r>
      <w:r>
        <w:rPr>
          <w:rFonts w:ascii="Calibri" w:cs="Calibri" w:eastAsia="Calibri" w:hAnsi="Calibri"/>
          <w:sz w:val="20"/>
          <w:szCs w:val="20"/>
          <w:color w:val="auto"/>
        </w:rPr>
        <w:t>” means any division, department, functon, or a segment of an entty, the business purpose of which is (a) the design of Semiconductors (other than the design of custom parts or components for the Recipient’s or Related Entty’s own procurement) or (b) the manufacture or packaging of Semiconductors.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Existng Facility</w:t>
      </w:r>
      <w:r>
        <w:rPr>
          <w:rFonts w:ascii="Calibri" w:cs="Calibri" w:eastAsia="Calibri" w:hAnsi="Calibri"/>
          <w:sz w:val="20"/>
          <w:szCs w:val="20"/>
          <w:color w:val="auto"/>
        </w:rPr>
        <w:t>” means:</w:t>
      </w:r>
    </w:p>
    <w:p>
      <w:pPr>
        <w:spacing w:after="0" w:line="184" w:lineRule="exact"/>
        <w:rPr>
          <w:sz w:val="20"/>
          <w:szCs w:val="20"/>
          <w:color w:val="auto"/>
        </w:rPr>
      </w:pPr>
    </w:p>
    <w:p>
      <w:pPr>
        <w:jc w:val="both"/>
        <w:ind w:left="660" w:hanging="652"/>
        <w:spacing w:after="0" w:line="203" w:lineRule="auto"/>
        <w:tabs>
          <w:tab w:leader="none" w:pos="664" w:val="left"/>
        </w:tabs>
        <w:numPr>
          <w:ilvl w:val="0"/>
          <w:numId w:val="651"/>
        </w:numPr>
        <w:rPr>
          <w:rFonts w:ascii="Calibri" w:cs="Calibri" w:eastAsia="Calibri" w:hAnsi="Calibri"/>
          <w:sz w:val="20"/>
          <w:szCs w:val="20"/>
          <w:color w:val="auto"/>
        </w:rPr>
      </w:pPr>
      <w:r>
        <w:rPr>
          <w:rFonts w:ascii="Calibri" w:cs="Calibri" w:eastAsia="Calibri" w:hAnsi="Calibri"/>
          <w:sz w:val="20"/>
          <w:szCs w:val="20"/>
          <w:color w:val="auto"/>
        </w:rPr>
        <w:t>any facility, the current status of which, including its Semiconductor Manufacturing Capacity, is memorialized in Part 1 (</w:t>
      </w:r>
      <w:r>
        <w:rPr>
          <w:rFonts w:ascii="Calibri" w:cs="Calibri" w:eastAsia="Calibri" w:hAnsi="Calibri"/>
          <w:sz w:val="20"/>
          <w:szCs w:val="20"/>
          <w:b w:val="1"/>
          <w:bCs w:val="1"/>
          <w:color w:val="auto"/>
        </w:rPr>
        <w:t>Existng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Facilites</w:t>
      </w:r>
      <w:r>
        <w:rPr>
          <w:rFonts w:ascii="Calibri" w:cs="Calibri" w:eastAsia="Calibri" w:hAnsi="Calibri"/>
          <w:sz w:val="20"/>
          <w:szCs w:val="20"/>
          <w:color w:val="auto"/>
        </w:rPr>
        <w:t>) of Appendix 1 hereto, based on the Secretary’s assessments of historical capacity measurements. Only facilites built,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equipped, and operatng prior to entering into this Agreement are considered to be Existng Facilites. A facility that undergoes Signifcant Renovatons will no longer qualify as an Existng Facility;</w:t>
      </w:r>
    </w:p>
    <w:p>
      <w:pPr>
        <w:spacing w:after="0" w:line="173" w:lineRule="exact"/>
        <w:rPr>
          <w:rFonts w:ascii="Calibri" w:cs="Calibri" w:eastAsia="Calibri" w:hAnsi="Calibri"/>
          <w:sz w:val="20"/>
          <w:szCs w:val="20"/>
          <w:color w:val="auto"/>
        </w:rPr>
      </w:pPr>
    </w:p>
    <w:p>
      <w:pPr>
        <w:jc w:val="both"/>
        <w:ind w:left="660" w:right="20" w:hanging="652"/>
        <w:spacing w:after="0" w:line="209" w:lineRule="auto"/>
        <w:tabs>
          <w:tab w:leader="none" w:pos="660" w:val="left"/>
        </w:tabs>
        <w:numPr>
          <w:ilvl w:val="0"/>
          <w:numId w:val="651"/>
        </w:numPr>
        <w:rPr>
          <w:rFonts w:ascii="Calibri" w:cs="Calibri" w:eastAsia="Calibri" w:hAnsi="Calibri"/>
          <w:sz w:val="20"/>
          <w:szCs w:val="20"/>
          <w:color w:val="auto"/>
        </w:rPr>
      </w:pPr>
      <w:r>
        <w:rPr>
          <w:rFonts w:ascii="Calibri" w:cs="Calibri" w:eastAsia="Calibri" w:hAnsi="Calibri"/>
          <w:sz w:val="20"/>
          <w:szCs w:val="20"/>
          <w:color w:val="auto"/>
        </w:rPr>
        <w:t>notwithstanding paragraph (a), an Existng Facility is a facility that is in the process of being equipped, expanded or modernized as of the date of executon of this Agreement, and for which the Secretary has exercised his or her discreton to determine that such facility is an Existng Facility; and</w:t>
      </w:r>
    </w:p>
    <w:p>
      <w:pPr>
        <w:spacing w:after="0" w:line="162" w:lineRule="exact"/>
        <w:rPr>
          <w:rFonts w:ascii="Calibri" w:cs="Calibri" w:eastAsia="Calibri" w:hAnsi="Calibri"/>
          <w:sz w:val="20"/>
          <w:szCs w:val="20"/>
          <w:color w:val="auto"/>
        </w:rPr>
      </w:pPr>
    </w:p>
    <w:p>
      <w:pPr>
        <w:ind w:left="640" w:hanging="632"/>
        <w:spacing w:after="0"/>
        <w:tabs>
          <w:tab w:leader="none" w:pos="640" w:val="left"/>
        </w:tabs>
        <w:numPr>
          <w:ilvl w:val="0"/>
          <w:numId w:val="651"/>
        </w:numPr>
        <w:rPr>
          <w:rFonts w:ascii="Calibri" w:cs="Calibri" w:eastAsia="Calibri" w:hAnsi="Calibri"/>
          <w:sz w:val="20"/>
          <w:szCs w:val="20"/>
          <w:color w:val="auto"/>
        </w:rPr>
      </w:pPr>
      <w:r>
        <w:rPr>
          <w:rFonts w:ascii="Calibri" w:cs="Calibri" w:eastAsia="Calibri" w:hAnsi="Calibri"/>
          <w:sz w:val="20"/>
          <w:szCs w:val="20"/>
          <w:color w:val="auto"/>
        </w:rPr>
        <w:t>each Existng Facility for the purpose of this Agreement, is specifed in Part 1 (</w:t>
      </w:r>
      <w:r>
        <w:rPr>
          <w:rFonts w:ascii="Calibri" w:cs="Calibri" w:eastAsia="Calibri" w:hAnsi="Calibri"/>
          <w:sz w:val="20"/>
          <w:szCs w:val="20"/>
          <w:b w:val="1"/>
          <w:bCs w:val="1"/>
          <w:color w:val="auto"/>
        </w:rPr>
        <w:t>Existng Facilites</w:t>
      </w:r>
      <w:r>
        <w:rPr>
          <w:rFonts w:ascii="Calibri" w:cs="Calibri" w:eastAsia="Calibri" w:hAnsi="Calibri"/>
          <w:sz w:val="20"/>
          <w:szCs w:val="20"/>
          <w:color w:val="auto"/>
        </w:rPr>
        <w:t>) of Appendix 1.</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Country of Concern</w:t>
      </w:r>
      <w:r>
        <w:rPr>
          <w:rFonts w:ascii="Calibri" w:cs="Calibri" w:eastAsia="Calibri" w:hAnsi="Calibri"/>
          <w:sz w:val="20"/>
          <w:szCs w:val="20"/>
          <w:color w:val="auto"/>
        </w:rPr>
        <w:t>” means:</w:t>
      </w:r>
    </w:p>
    <w:p>
      <w:pPr>
        <w:spacing w:after="0" w:line="188" w:lineRule="exact"/>
        <w:rPr>
          <w:sz w:val="20"/>
          <w:szCs w:val="20"/>
          <w:color w:val="auto"/>
        </w:rPr>
      </w:pPr>
    </w:p>
    <w:p>
      <w:pPr>
        <w:ind w:left="660" w:hanging="652"/>
        <w:spacing w:after="0"/>
        <w:tabs>
          <w:tab w:leader="none" w:pos="660" w:val="left"/>
        </w:tabs>
        <w:numPr>
          <w:ilvl w:val="0"/>
          <w:numId w:val="652"/>
        </w:numPr>
        <w:rPr>
          <w:rFonts w:ascii="Calibri" w:cs="Calibri" w:eastAsia="Calibri" w:hAnsi="Calibri"/>
          <w:sz w:val="20"/>
          <w:szCs w:val="20"/>
          <w:color w:val="auto"/>
        </w:rPr>
      </w:pPr>
      <w:r>
        <w:rPr>
          <w:rFonts w:ascii="Calibri" w:cs="Calibri" w:eastAsia="Calibri" w:hAnsi="Calibri"/>
          <w:sz w:val="20"/>
          <w:szCs w:val="20"/>
          <w:color w:val="auto"/>
        </w:rPr>
        <w:t>a country that is a covered naton (as defned in 10 U.S.C. § 4872(d)); and</w:t>
      </w:r>
    </w:p>
    <w:p>
      <w:pPr>
        <w:spacing w:after="0" w:line="170" w:lineRule="exact"/>
        <w:rPr>
          <w:rFonts w:ascii="Calibri" w:cs="Calibri" w:eastAsia="Calibri" w:hAnsi="Calibri"/>
          <w:sz w:val="20"/>
          <w:szCs w:val="20"/>
          <w:color w:val="auto"/>
        </w:rPr>
      </w:pPr>
    </w:p>
    <w:p>
      <w:pPr>
        <w:jc w:val="both"/>
        <w:ind w:left="660" w:hanging="652"/>
        <w:spacing w:after="0" w:line="209" w:lineRule="auto"/>
        <w:tabs>
          <w:tab w:leader="none" w:pos="660" w:val="left"/>
        </w:tabs>
        <w:numPr>
          <w:ilvl w:val="0"/>
          <w:numId w:val="652"/>
        </w:numPr>
        <w:rPr>
          <w:rFonts w:ascii="Calibri" w:cs="Calibri" w:eastAsia="Calibri" w:hAnsi="Calibri"/>
          <w:sz w:val="20"/>
          <w:szCs w:val="20"/>
          <w:color w:val="auto"/>
        </w:rPr>
      </w:pPr>
      <w:r>
        <w:rPr>
          <w:rFonts w:ascii="Calibri" w:cs="Calibri" w:eastAsia="Calibri" w:hAnsi="Calibri"/>
          <w:sz w:val="20"/>
          <w:szCs w:val="20"/>
          <w:color w:val="auto"/>
        </w:rPr>
        <w:t>any country that the Secretary, in consultaton with the Secretary of Defense, the Secretary of State, and the Director of Natonal Intelligence, determines to be engaged in conduct that is detrimental to the natonal security or foreign policy of the United States and provides notce of the same in the Federal Register.</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w:t>
      </w:r>
      <w:r>
        <w:rPr>
          <w:rFonts w:ascii="Calibri" w:cs="Calibri" w:eastAsia="Calibri" w:hAnsi="Calibri"/>
          <w:sz w:val="20"/>
          <w:szCs w:val="20"/>
          <w:color w:val="auto"/>
        </w:rPr>
        <w:t>” means:</w:t>
      </w:r>
    </w:p>
    <w:p>
      <w:pPr>
        <w:spacing w:after="0" w:line="174" w:lineRule="exact"/>
        <w:rPr>
          <w:sz w:val="20"/>
          <w:szCs w:val="20"/>
          <w:color w:val="auto"/>
        </w:rPr>
      </w:pPr>
    </w:p>
    <w:p>
      <w:pPr>
        <w:ind w:left="640" w:hanging="632"/>
        <w:spacing w:after="0"/>
        <w:tabs>
          <w:tab w:leader="none" w:pos="640" w:val="left"/>
        </w:tabs>
        <w:numPr>
          <w:ilvl w:val="0"/>
          <w:numId w:val="653"/>
        </w:numPr>
        <w:rPr>
          <w:rFonts w:ascii="Calibri" w:cs="Calibri" w:eastAsia="Calibri" w:hAnsi="Calibri"/>
          <w:sz w:val="20"/>
          <w:szCs w:val="20"/>
          <w:color w:val="auto"/>
        </w:rPr>
      </w:pPr>
      <w:r>
        <w:rPr>
          <w:rFonts w:ascii="Calibri" w:cs="Calibri" w:eastAsia="Calibri" w:hAnsi="Calibri"/>
          <w:sz w:val="20"/>
          <w:szCs w:val="20"/>
          <w:color w:val="auto"/>
        </w:rPr>
        <w:t>a government of a foreign country or a foreign politcal party;</w:t>
      </w:r>
    </w:p>
    <w:p>
      <w:pPr>
        <w:spacing w:after="0" w:line="184" w:lineRule="exact"/>
        <w:rPr>
          <w:rFonts w:ascii="Calibri" w:cs="Calibri" w:eastAsia="Calibri" w:hAnsi="Calibri"/>
          <w:sz w:val="20"/>
          <w:szCs w:val="20"/>
          <w:color w:val="auto"/>
        </w:rPr>
      </w:pPr>
    </w:p>
    <w:p>
      <w:pPr>
        <w:ind w:left="660" w:right="20" w:hanging="652"/>
        <w:spacing w:after="0" w:line="208" w:lineRule="auto"/>
        <w:tabs>
          <w:tab w:leader="none" w:pos="660" w:val="left"/>
        </w:tabs>
        <w:numPr>
          <w:ilvl w:val="0"/>
          <w:numId w:val="653"/>
        </w:numPr>
        <w:rPr>
          <w:rFonts w:ascii="Calibri" w:cs="Calibri" w:eastAsia="Calibri" w:hAnsi="Calibri"/>
          <w:sz w:val="20"/>
          <w:szCs w:val="20"/>
          <w:color w:val="auto"/>
        </w:rPr>
      </w:pPr>
      <w:r>
        <w:rPr>
          <w:rFonts w:ascii="Calibri" w:cs="Calibri" w:eastAsia="Calibri" w:hAnsi="Calibri"/>
          <w:sz w:val="20"/>
          <w:szCs w:val="20"/>
          <w:color w:val="auto"/>
        </w:rPr>
        <w:t>a natural person who is not a lawful permanent resident of the United States, citzen of the United States, or any other protected individual (as such term is defned in secton 8 U.S.C. § 1324b(a)(3)); or</w:t>
      </w:r>
    </w:p>
    <w:p>
      <w:pPr>
        <w:spacing w:after="0" w:line="184" w:lineRule="exact"/>
        <w:rPr>
          <w:rFonts w:ascii="Calibri" w:cs="Calibri" w:eastAsia="Calibri" w:hAnsi="Calibri"/>
          <w:sz w:val="20"/>
          <w:szCs w:val="20"/>
          <w:color w:val="auto"/>
        </w:rPr>
      </w:pPr>
    </w:p>
    <w:p>
      <w:pPr>
        <w:ind w:left="660" w:hanging="652"/>
        <w:spacing w:after="0" w:line="208" w:lineRule="auto"/>
        <w:tabs>
          <w:tab w:leader="none" w:pos="654" w:val="left"/>
        </w:tabs>
        <w:numPr>
          <w:ilvl w:val="0"/>
          <w:numId w:val="653"/>
        </w:numPr>
        <w:rPr>
          <w:rFonts w:ascii="Calibri" w:cs="Calibri" w:eastAsia="Calibri" w:hAnsi="Calibri"/>
          <w:sz w:val="20"/>
          <w:szCs w:val="20"/>
          <w:color w:val="auto"/>
        </w:rPr>
      </w:pPr>
      <w:r>
        <w:rPr>
          <w:rFonts w:ascii="Calibri" w:cs="Calibri" w:eastAsia="Calibri" w:hAnsi="Calibri"/>
          <w:sz w:val="20"/>
          <w:szCs w:val="20"/>
          <w:color w:val="auto"/>
        </w:rPr>
        <w:t>a partnership, associaton, corporaton, organizaton, or other combinaton of persons organized under the laws of or having its principal place of business in a foreign country; and</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53"/>
        </w:numPr>
        <w:rPr>
          <w:rFonts w:ascii="Calibri" w:cs="Calibri" w:eastAsia="Calibri" w:hAnsi="Calibri"/>
          <w:sz w:val="20"/>
          <w:szCs w:val="20"/>
          <w:color w:val="auto"/>
        </w:rPr>
      </w:pPr>
      <w:r>
        <w:rPr>
          <w:rFonts w:ascii="Calibri" w:cs="Calibri" w:eastAsia="Calibri" w:hAnsi="Calibri"/>
          <w:sz w:val="20"/>
          <w:szCs w:val="20"/>
          <w:color w:val="auto"/>
        </w:rPr>
        <w:t>includes:</w:t>
      </w:r>
    </w:p>
    <w:p>
      <w:pPr>
        <w:spacing w:after="0" w:line="184" w:lineRule="exact"/>
        <w:rPr>
          <w:rFonts w:ascii="Calibri" w:cs="Calibri" w:eastAsia="Calibri" w:hAnsi="Calibri"/>
          <w:sz w:val="20"/>
          <w:szCs w:val="20"/>
          <w:color w:val="auto"/>
        </w:rPr>
      </w:pPr>
    </w:p>
    <w:p>
      <w:pPr>
        <w:ind w:left="1300" w:right="20" w:hanging="644"/>
        <w:spacing w:after="0" w:line="208" w:lineRule="auto"/>
        <w:tabs>
          <w:tab w:leader="none" w:pos="1294" w:val="left"/>
        </w:tabs>
        <w:numPr>
          <w:ilvl w:val="1"/>
          <w:numId w:val="653"/>
        </w:numPr>
        <w:rPr>
          <w:rFonts w:ascii="Calibri" w:cs="Calibri" w:eastAsia="Calibri" w:hAnsi="Calibri"/>
          <w:sz w:val="20"/>
          <w:szCs w:val="20"/>
          <w:color w:val="auto"/>
        </w:rPr>
      </w:pPr>
      <w:r>
        <w:rPr>
          <w:rFonts w:ascii="Calibri" w:cs="Calibri" w:eastAsia="Calibri" w:hAnsi="Calibri"/>
          <w:sz w:val="20"/>
          <w:szCs w:val="20"/>
          <w:color w:val="auto"/>
        </w:rPr>
        <w:t>any Person owned by, controlled by, or subject to the jurisdicton or directon of an entty listed in paragraph (a) of this defniton;</w:t>
      </w:r>
    </w:p>
    <w:p>
      <w:pPr>
        <w:spacing w:after="0" w:line="184" w:lineRule="exact"/>
        <w:rPr>
          <w:rFonts w:ascii="Calibri" w:cs="Calibri" w:eastAsia="Calibri" w:hAnsi="Calibri"/>
          <w:sz w:val="20"/>
          <w:szCs w:val="20"/>
          <w:color w:val="auto"/>
        </w:rPr>
      </w:pPr>
    </w:p>
    <w:p>
      <w:pPr>
        <w:ind w:left="1300" w:right="20" w:hanging="644"/>
        <w:spacing w:after="0" w:line="214" w:lineRule="auto"/>
        <w:tabs>
          <w:tab w:leader="none" w:pos="1300" w:val="left"/>
        </w:tabs>
        <w:numPr>
          <w:ilvl w:val="1"/>
          <w:numId w:val="653"/>
        </w:numPr>
        <w:rPr>
          <w:rFonts w:ascii="Calibri" w:cs="Calibri" w:eastAsia="Calibri" w:hAnsi="Calibri"/>
          <w:sz w:val="20"/>
          <w:szCs w:val="20"/>
          <w:color w:val="auto"/>
        </w:rPr>
      </w:pPr>
      <w:r>
        <w:rPr>
          <w:rFonts w:ascii="Calibri" w:cs="Calibri" w:eastAsia="Calibri" w:hAnsi="Calibri"/>
          <w:sz w:val="20"/>
          <w:szCs w:val="20"/>
          <w:color w:val="auto"/>
        </w:rPr>
        <w:t>any Person, wherever located, who acts as an agent, representatve, or employee of an entty listed in paragraph (a) of this defniton;</w:t>
      </w:r>
    </w:p>
    <w:p>
      <w:pPr>
        <w:spacing w:after="0" w:line="200" w:lineRule="exact"/>
        <w:rPr>
          <w:sz w:val="20"/>
          <w:szCs w:val="20"/>
          <w:color w:val="auto"/>
        </w:rPr>
      </w:pPr>
    </w:p>
    <w:p>
      <w:pPr>
        <w:spacing w:after="0" w:line="294"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-6</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401" w:right="339" w:bottom="1440" w:gutter="0" w:footer="0" w:header="0"/>
        </w:sectPr>
      </w:pPr>
    </w:p>
    <w:bookmarkStart w:id="523" w:name="page524"/>
    <w:bookmarkEnd w:id="523"/>
    <w:p>
      <w:pPr>
        <w:jc w:val="both"/>
        <w:ind w:left="1300" w:hanging="644"/>
        <w:spacing w:after="0" w:line="205" w:lineRule="auto"/>
        <w:tabs>
          <w:tab w:leader="none" w:pos="1306" w:val="left"/>
        </w:tabs>
        <w:numPr>
          <w:ilvl w:val="0"/>
          <w:numId w:val="654"/>
        </w:numPr>
        <w:rPr>
          <w:rFonts w:ascii="Calibri" w:cs="Calibri" w:eastAsia="Calibri" w:hAnsi="Calibri"/>
          <w:sz w:val="20"/>
          <w:szCs w:val="20"/>
          <w:color w:val="auto"/>
        </w:rPr>
      </w:pPr>
      <w:r>
        <w:rPr>
          <w:rFonts w:ascii="Calibri" w:cs="Calibri" w:eastAsia="Calibri" w:hAnsi="Calibri"/>
          <w:sz w:val="20"/>
          <w:szCs w:val="20"/>
          <w:color w:val="auto"/>
        </w:rPr>
        <w:t>any Person who acts in any other capacity at the order, request, or under the directon or control of an entty listed in paragraph (a) of this defniton, or of a Person whose actvites are directly or indirectly supervised, directed, controlled, fnanced, or subsidized in whole or in majority part by an entty listed in paragraph (a) of this defniton;</w:t>
      </w:r>
    </w:p>
    <w:p>
      <w:pPr>
        <w:spacing w:after="0" w:line="184" w:lineRule="exact"/>
        <w:rPr>
          <w:rFonts w:ascii="Calibri" w:cs="Calibri" w:eastAsia="Calibri" w:hAnsi="Calibri"/>
          <w:sz w:val="20"/>
          <w:szCs w:val="20"/>
          <w:color w:val="auto"/>
        </w:rPr>
      </w:pPr>
    </w:p>
    <w:p>
      <w:pPr>
        <w:ind w:left="1300" w:right="20" w:hanging="644"/>
        <w:spacing w:after="0" w:line="214" w:lineRule="auto"/>
        <w:tabs>
          <w:tab w:leader="none" w:pos="1304" w:val="left"/>
        </w:tabs>
        <w:numPr>
          <w:ilvl w:val="0"/>
          <w:numId w:val="654"/>
        </w:numPr>
        <w:rPr>
          <w:rFonts w:ascii="Calibri" w:cs="Calibri" w:eastAsia="Calibri" w:hAnsi="Calibri"/>
          <w:sz w:val="20"/>
          <w:szCs w:val="20"/>
          <w:color w:val="auto"/>
        </w:rPr>
      </w:pPr>
      <w:r>
        <w:rPr>
          <w:rFonts w:ascii="Calibri" w:cs="Calibri" w:eastAsia="Calibri" w:hAnsi="Calibri"/>
          <w:sz w:val="20"/>
          <w:szCs w:val="20"/>
          <w:color w:val="auto"/>
        </w:rPr>
        <w:t>any Person who directly or indirectly through any contract, arrangement, understanding, relatonship, or otherwise, owns twenty-fve percent (25%) or more of the equity interests of an entty listed in paragraph (a) of this defniton;</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0"/>
          <w:numId w:val="654"/>
        </w:numPr>
        <w:rPr>
          <w:rFonts w:ascii="Calibri" w:cs="Calibri" w:eastAsia="Calibri" w:hAnsi="Calibri"/>
          <w:sz w:val="20"/>
          <w:szCs w:val="20"/>
          <w:color w:val="auto"/>
        </w:rPr>
      </w:pPr>
      <w:r>
        <w:rPr>
          <w:rFonts w:ascii="Calibri" w:cs="Calibri" w:eastAsia="Calibri" w:hAnsi="Calibri"/>
          <w:sz w:val="20"/>
          <w:szCs w:val="20"/>
          <w:color w:val="auto"/>
        </w:rPr>
        <w:t>any Person with signifcant responsibility to control, manage, or direct an entty listed in paragraph (a) of this defniton;</w:t>
      </w:r>
    </w:p>
    <w:p>
      <w:pPr>
        <w:spacing w:after="0" w:line="184" w:lineRule="exact"/>
        <w:rPr>
          <w:rFonts w:ascii="Calibri" w:cs="Calibri" w:eastAsia="Calibri" w:hAnsi="Calibri"/>
          <w:sz w:val="20"/>
          <w:szCs w:val="20"/>
          <w:color w:val="auto"/>
        </w:rPr>
      </w:pPr>
    </w:p>
    <w:p>
      <w:pPr>
        <w:ind w:left="1300" w:hanging="644"/>
        <w:spacing w:after="0" w:line="214" w:lineRule="auto"/>
        <w:tabs>
          <w:tab w:leader="none" w:pos="1304" w:val="left"/>
        </w:tabs>
        <w:numPr>
          <w:ilvl w:val="0"/>
          <w:numId w:val="654"/>
        </w:numPr>
        <w:rPr>
          <w:rFonts w:ascii="Calibri" w:cs="Calibri" w:eastAsia="Calibri" w:hAnsi="Calibri"/>
          <w:sz w:val="20"/>
          <w:szCs w:val="20"/>
          <w:color w:val="auto"/>
        </w:rPr>
      </w:pPr>
      <w:r>
        <w:rPr>
          <w:rFonts w:ascii="Calibri" w:cs="Calibri" w:eastAsia="Calibri" w:hAnsi="Calibri"/>
          <w:sz w:val="20"/>
          <w:szCs w:val="20"/>
          <w:color w:val="auto"/>
        </w:rPr>
        <w:t>any Person, wherever located, who is a citzen or resident of a country controlled by an entty listed in paragraph (a) of this defniton; or</w:t>
      </w:r>
    </w:p>
    <w:p>
      <w:pPr>
        <w:spacing w:after="0" w:line="172" w:lineRule="exact"/>
        <w:rPr>
          <w:rFonts w:ascii="Calibri" w:cs="Calibri" w:eastAsia="Calibri" w:hAnsi="Calibri"/>
          <w:sz w:val="20"/>
          <w:szCs w:val="20"/>
          <w:color w:val="auto"/>
        </w:rPr>
      </w:pPr>
    </w:p>
    <w:p>
      <w:pPr>
        <w:ind w:left="1300" w:hanging="644"/>
        <w:spacing w:after="0" w:line="214" w:lineRule="auto"/>
        <w:tabs>
          <w:tab w:leader="none" w:pos="1297" w:val="left"/>
        </w:tabs>
        <w:numPr>
          <w:ilvl w:val="0"/>
          <w:numId w:val="654"/>
        </w:numPr>
        <w:rPr>
          <w:rFonts w:ascii="Calibri" w:cs="Calibri" w:eastAsia="Calibri" w:hAnsi="Calibri"/>
          <w:sz w:val="20"/>
          <w:szCs w:val="20"/>
          <w:color w:val="auto"/>
        </w:rPr>
      </w:pPr>
      <w:r>
        <w:rPr>
          <w:rFonts w:ascii="Calibri" w:cs="Calibri" w:eastAsia="Calibri" w:hAnsi="Calibri"/>
          <w:sz w:val="20"/>
          <w:szCs w:val="20"/>
          <w:color w:val="auto"/>
        </w:rPr>
        <w:t>any corporaton, partnership, associaton, or other organizaton organized under the laws of a country controlled by an entty listed in paragraph (a) of this defniton.</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Foreign Entty of Concern</w:t>
      </w:r>
      <w:r>
        <w:rPr>
          <w:rFonts w:ascii="Calibri" w:cs="Calibri" w:eastAsia="Calibri" w:hAnsi="Calibri"/>
          <w:sz w:val="20"/>
          <w:szCs w:val="20"/>
          <w:color w:val="auto"/>
        </w:rPr>
        <w:t>” means any Foreign Entty that is:</w:t>
      </w:r>
    </w:p>
    <w:p>
      <w:pPr>
        <w:spacing w:after="0" w:line="161" w:lineRule="exact"/>
        <w:rPr>
          <w:sz w:val="20"/>
          <w:szCs w:val="20"/>
          <w:color w:val="auto"/>
        </w:rPr>
      </w:pPr>
    </w:p>
    <w:p>
      <w:pPr>
        <w:ind w:left="660" w:hanging="652"/>
        <w:spacing w:after="0"/>
        <w:tabs>
          <w:tab w:leader="none" w:pos="660" w:val="left"/>
        </w:tabs>
        <w:numPr>
          <w:ilvl w:val="0"/>
          <w:numId w:val="655"/>
        </w:numPr>
        <w:rPr>
          <w:rFonts w:ascii="Calibri" w:cs="Calibri" w:eastAsia="Calibri" w:hAnsi="Calibri"/>
          <w:sz w:val="20"/>
          <w:szCs w:val="20"/>
          <w:color w:val="auto"/>
        </w:rPr>
      </w:pPr>
      <w:r>
        <w:rPr>
          <w:rFonts w:ascii="Calibri" w:cs="Calibri" w:eastAsia="Calibri" w:hAnsi="Calibri"/>
          <w:sz w:val="20"/>
          <w:szCs w:val="20"/>
          <w:color w:val="auto"/>
        </w:rPr>
        <w:t>designated as a foreign terrorist organizaton by the Secretary of State under 8 U.S.C. § 1189;</w:t>
      </w:r>
    </w:p>
    <w:p>
      <w:pPr>
        <w:spacing w:after="0" w:line="184" w:lineRule="exact"/>
        <w:rPr>
          <w:rFonts w:ascii="Calibri" w:cs="Calibri" w:eastAsia="Calibri" w:hAnsi="Calibri"/>
          <w:sz w:val="20"/>
          <w:szCs w:val="20"/>
          <w:color w:val="auto"/>
        </w:rPr>
      </w:pPr>
    </w:p>
    <w:p>
      <w:pPr>
        <w:jc w:val="both"/>
        <w:ind w:left="660" w:hanging="652"/>
        <w:spacing w:after="0" w:line="205" w:lineRule="auto"/>
        <w:tabs>
          <w:tab w:leader="none" w:pos="660" w:val="left"/>
        </w:tabs>
        <w:numPr>
          <w:ilvl w:val="0"/>
          <w:numId w:val="655"/>
        </w:numPr>
        <w:rPr>
          <w:rFonts w:ascii="Calibri" w:cs="Calibri" w:eastAsia="Calibri" w:hAnsi="Calibri"/>
          <w:sz w:val="20"/>
          <w:szCs w:val="20"/>
          <w:color w:val="auto"/>
        </w:rPr>
      </w:pPr>
      <w:r>
        <w:rPr>
          <w:rFonts w:ascii="Calibri" w:cs="Calibri" w:eastAsia="Calibri" w:hAnsi="Calibri"/>
          <w:sz w:val="20"/>
          <w:szCs w:val="20"/>
          <w:color w:val="auto"/>
        </w:rPr>
        <w:t>included on the Department of Treasury’s list of Specially Designated Natonals and Blocked Persons (SDN List), or for which one or more individuals or enttes included on the SDN list, individually or in the aggregate, directly or indirectly, hold at least ffy percent (50%) of the outstanding votng interest;</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52" w:val="left"/>
        </w:tabs>
        <w:numPr>
          <w:ilvl w:val="0"/>
          <w:numId w:val="655"/>
        </w:numPr>
        <w:rPr>
          <w:rFonts w:ascii="Calibri" w:cs="Calibri" w:eastAsia="Calibri" w:hAnsi="Calibri"/>
          <w:sz w:val="20"/>
          <w:szCs w:val="20"/>
          <w:color w:val="auto"/>
        </w:rPr>
      </w:pPr>
      <w:r>
        <w:rPr>
          <w:rFonts w:ascii="Calibri" w:cs="Calibri" w:eastAsia="Calibri" w:hAnsi="Calibri"/>
          <w:sz w:val="20"/>
          <w:szCs w:val="20"/>
          <w:color w:val="auto"/>
        </w:rPr>
        <w:t>owned by, controlled by, or subject to the jurisdicton or directon of a government of a foreign country that is a covered naton (as defned in 10 U.S.C. § 4872(d));</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655"/>
        </w:numPr>
        <w:rPr>
          <w:rFonts w:ascii="Calibri" w:cs="Calibri" w:eastAsia="Calibri" w:hAnsi="Calibri"/>
          <w:sz w:val="20"/>
          <w:szCs w:val="20"/>
          <w:color w:val="auto"/>
        </w:rPr>
      </w:pPr>
      <w:r>
        <w:rPr>
          <w:rFonts w:ascii="Calibri" w:cs="Calibri" w:eastAsia="Calibri" w:hAnsi="Calibri"/>
          <w:sz w:val="20"/>
          <w:szCs w:val="20"/>
          <w:color w:val="auto"/>
        </w:rPr>
        <w:t>a Person that is owned by, controlled by, or subject to the jurisdicton of a government of a foreign country listed in 10 U.S.C. § 4872(d) where:</w:t>
      </w:r>
    </w:p>
    <w:p>
      <w:pPr>
        <w:spacing w:after="0" w:line="162" w:lineRule="exact"/>
        <w:rPr>
          <w:rFonts w:ascii="Calibri" w:cs="Calibri" w:eastAsia="Calibri" w:hAnsi="Calibri"/>
          <w:sz w:val="20"/>
          <w:szCs w:val="20"/>
          <w:color w:val="auto"/>
        </w:rPr>
      </w:pPr>
    </w:p>
    <w:p>
      <w:pPr>
        <w:ind w:left="1300" w:hanging="644"/>
        <w:spacing w:after="0"/>
        <w:tabs>
          <w:tab w:leader="none" w:pos="1300" w:val="left"/>
        </w:tabs>
        <w:numPr>
          <w:ilvl w:val="1"/>
          <w:numId w:val="655"/>
        </w:numPr>
        <w:rPr>
          <w:rFonts w:ascii="Calibri" w:cs="Calibri" w:eastAsia="Calibri" w:hAnsi="Calibri"/>
          <w:sz w:val="20"/>
          <w:szCs w:val="20"/>
          <w:color w:val="auto"/>
        </w:rPr>
      </w:pPr>
      <w:r>
        <w:rPr>
          <w:rFonts w:ascii="Calibri" w:cs="Calibri" w:eastAsia="Calibri" w:hAnsi="Calibri"/>
          <w:sz w:val="20"/>
          <w:szCs w:val="20"/>
          <w:color w:val="auto"/>
        </w:rPr>
        <w:t>the Person is:</w:t>
      </w:r>
    </w:p>
    <w:p>
      <w:pPr>
        <w:spacing w:after="0" w:line="160" w:lineRule="exact"/>
        <w:rPr>
          <w:rFonts w:ascii="Calibri" w:cs="Calibri" w:eastAsia="Calibri" w:hAnsi="Calibri"/>
          <w:sz w:val="20"/>
          <w:szCs w:val="20"/>
          <w:color w:val="auto"/>
        </w:rPr>
      </w:pPr>
    </w:p>
    <w:p>
      <w:pPr>
        <w:ind w:left="2020" w:hanging="716"/>
        <w:spacing w:after="0"/>
        <w:tabs>
          <w:tab w:leader="none" w:pos="2020" w:val="left"/>
        </w:tabs>
        <w:numPr>
          <w:ilvl w:val="2"/>
          <w:numId w:val="655"/>
        </w:numPr>
        <w:rPr>
          <w:rFonts w:ascii="Calibri" w:cs="Calibri" w:eastAsia="Calibri" w:hAnsi="Calibri"/>
          <w:sz w:val="20"/>
          <w:szCs w:val="20"/>
          <w:color w:val="auto"/>
        </w:rPr>
      </w:pPr>
      <w:r>
        <w:rPr>
          <w:rFonts w:ascii="Calibri" w:cs="Calibri" w:eastAsia="Calibri" w:hAnsi="Calibri"/>
          <w:sz w:val="20"/>
          <w:szCs w:val="20"/>
          <w:color w:val="auto"/>
        </w:rPr>
        <w:t>a citzen, natonal, or resident of a foreign country listed in 10 U.S.C. § 4872(d); and</w:t>
      </w:r>
    </w:p>
    <w:p>
      <w:pPr>
        <w:spacing w:after="0" w:line="147" w:lineRule="exact"/>
        <w:rPr>
          <w:rFonts w:ascii="Calibri" w:cs="Calibri" w:eastAsia="Calibri" w:hAnsi="Calibri"/>
          <w:sz w:val="20"/>
          <w:szCs w:val="20"/>
          <w:color w:val="auto"/>
        </w:rPr>
      </w:pPr>
    </w:p>
    <w:p>
      <w:pPr>
        <w:ind w:left="2040" w:hanging="736"/>
        <w:spacing w:after="0"/>
        <w:tabs>
          <w:tab w:leader="none" w:pos="2040" w:val="left"/>
        </w:tabs>
        <w:numPr>
          <w:ilvl w:val="2"/>
          <w:numId w:val="655"/>
        </w:numPr>
        <w:rPr>
          <w:rFonts w:ascii="Calibri" w:cs="Calibri" w:eastAsia="Calibri" w:hAnsi="Calibri"/>
          <w:sz w:val="20"/>
          <w:szCs w:val="20"/>
          <w:color w:val="auto"/>
        </w:rPr>
      </w:pPr>
      <w:r>
        <w:rPr>
          <w:rFonts w:ascii="Calibri" w:cs="Calibri" w:eastAsia="Calibri" w:hAnsi="Calibri"/>
          <w:sz w:val="20"/>
          <w:szCs w:val="20"/>
          <w:color w:val="auto"/>
        </w:rPr>
        <w:t>located in a foreign country listed in 10 U.S.C. § 4872(d);</w:t>
      </w:r>
    </w:p>
    <w:p>
      <w:pPr>
        <w:spacing w:after="0" w:line="157" w:lineRule="exact"/>
        <w:rPr>
          <w:rFonts w:ascii="Calibri" w:cs="Calibri" w:eastAsia="Calibri" w:hAnsi="Calibri"/>
          <w:sz w:val="20"/>
          <w:szCs w:val="20"/>
          <w:color w:val="auto"/>
        </w:rPr>
      </w:pPr>
    </w:p>
    <w:p>
      <w:pPr>
        <w:ind w:left="1300" w:right="20" w:hanging="644"/>
        <w:spacing w:after="0" w:line="214" w:lineRule="auto"/>
        <w:tabs>
          <w:tab w:leader="none" w:pos="1300" w:val="left"/>
        </w:tabs>
        <w:numPr>
          <w:ilvl w:val="1"/>
          <w:numId w:val="655"/>
        </w:numPr>
        <w:rPr>
          <w:rFonts w:ascii="Calibri" w:cs="Calibri" w:eastAsia="Calibri" w:hAnsi="Calibri"/>
          <w:sz w:val="20"/>
          <w:szCs w:val="20"/>
          <w:color w:val="auto"/>
        </w:rPr>
      </w:pPr>
      <w:r>
        <w:rPr>
          <w:rFonts w:ascii="Calibri" w:cs="Calibri" w:eastAsia="Calibri" w:hAnsi="Calibri"/>
          <w:sz w:val="20"/>
          <w:szCs w:val="20"/>
          <w:color w:val="auto"/>
        </w:rPr>
        <w:t>the Person is organized under the laws of or has its principal place of business in a foreign country listed in 10 U.S.C. § 4872(d);</w:t>
      </w:r>
    </w:p>
    <w:p>
      <w:pPr>
        <w:spacing w:after="0" w:line="158" w:lineRule="exact"/>
        <w:rPr>
          <w:rFonts w:ascii="Calibri" w:cs="Calibri" w:eastAsia="Calibri" w:hAnsi="Calibri"/>
          <w:sz w:val="20"/>
          <w:szCs w:val="20"/>
          <w:color w:val="auto"/>
        </w:rPr>
      </w:pPr>
    </w:p>
    <w:p>
      <w:pPr>
        <w:ind w:left="1300" w:hanging="644"/>
        <w:spacing w:after="0" w:line="214" w:lineRule="auto"/>
        <w:tabs>
          <w:tab w:leader="none" w:pos="1306" w:val="left"/>
        </w:tabs>
        <w:numPr>
          <w:ilvl w:val="1"/>
          <w:numId w:val="655"/>
        </w:numPr>
        <w:rPr>
          <w:rFonts w:ascii="Calibri" w:cs="Calibri" w:eastAsia="Calibri" w:hAnsi="Calibri"/>
          <w:sz w:val="20"/>
          <w:szCs w:val="20"/>
          <w:color w:val="auto"/>
        </w:rPr>
      </w:pPr>
      <w:r>
        <w:rPr>
          <w:rFonts w:ascii="Calibri" w:cs="Calibri" w:eastAsia="Calibri" w:hAnsi="Calibri"/>
          <w:sz w:val="20"/>
          <w:szCs w:val="20"/>
          <w:color w:val="auto"/>
        </w:rPr>
        <w:t>twenty-fve percent (25%) or more of the Person’s outstanding votng interest, board seats, or equity interest is held directly or indirectly by the government of a foreign country listed in 10 U.S.C. § 4872(d); or</w:t>
      </w:r>
    </w:p>
    <w:p>
      <w:pPr>
        <w:spacing w:after="0" w:line="158" w:lineRule="exact"/>
        <w:rPr>
          <w:rFonts w:ascii="Calibri" w:cs="Calibri" w:eastAsia="Calibri" w:hAnsi="Calibri"/>
          <w:sz w:val="20"/>
          <w:szCs w:val="20"/>
          <w:color w:val="auto"/>
        </w:rPr>
      </w:pPr>
    </w:p>
    <w:p>
      <w:pPr>
        <w:ind w:left="1300" w:right="20" w:hanging="644"/>
        <w:spacing w:after="0" w:line="214" w:lineRule="auto"/>
        <w:tabs>
          <w:tab w:leader="none" w:pos="1304" w:val="left"/>
        </w:tabs>
        <w:numPr>
          <w:ilvl w:val="1"/>
          <w:numId w:val="655"/>
        </w:numPr>
        <w:rPr>
          <w:rFonts w:ascii="Calibri" w:cs="Calibri" w:eastAsia="Calibri" w:hAnsi="Calibri"/>
          <w:sz w:val="20"/>
          <w:szCs w:val="20"/>
          <w:color w:val="auto"/>
        </w:rPr>
      </w:pPr>
      <w:r>
        <w:rPr>
          <w:rFonts w:ascii="Calibri" w:cs="Calibri" w:eastAsia="Calibri" w:hAnsi="Calibri"/>
          <w:sz w:val="20"/>
          <w:szCs w:val="20"/>
          <w:color w:val="auto"/>
        </w:rPr>
        <w:t>twenty-fve percent (25%) or more of the Person’s outstanding votng interest is held directly or indirectly by any combinaton of the persons who fall within clauses (i)-(iii), above;</w:t>
      </w:r>
    </w:p>
    <w:p>
      <w:pPr>
        <w:spacing w:after="0" w:line="148" w:lineRule="exact"/>
        <w:rPr>
          <w:rFonts w:ascii="Calibri" w:cs="Calibri" w:eastAsia="Calibri" w:hAnsi="Calibri"/>
          <w:sz w:val="20"/>
          <w:szCs w:val="20"/>
          <w:color w:val="auto"/>
        </w:rPr>
      </w:pPr>
    </w:p>
    <w:p>
      <w:pPr>
        <w:ind w:left="640" w:hanging="632"/>
        <w:spacing w:after="0"/>
        <w:tabs>
          <w:tab w:leader="none" w:pos="640" w:val="left"/>
        </w:tabs>
        <w:numPr>
          <w:ilvl w:val="0"/>
          <w:numId w:val="655"/>
        </w:numPr>
        <w:rPr>
          <w:rFonts w:ascii="Calibri" w:cs="Calibri" w:eastAsia="Calibri" w:hAnsi="Calibri"/>
          <w:sz w:val="20"/>
          <w:szCs w:val="20"/>
          <w:color w:val="auto"/>
        </w:rPr>
      </w:pPr>
      <w:r>
        <w:rPr>
          <w:rFonts w:ascii="Calibri" w:cs="Calibri" w:eastAsia="Calibri" w:hAnsi="Calibri"/>
          <w:sz w:val="20"/>
          <w:szCs w:val="20"/>
          <w:color w:val="auto"/>
        </w:rPr>
        <w:t>alleged by the Atorney General to have been involved in actvites for which a convicton was obtained under: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5"/>
        </w:numPr>
        <w:rPr>
          <w:rFonts w:ascii="Calibri" w:cs="Calibri" w:eastAsia="Calibri" w:hAnsi="Calibri"/>
          <w:sz w:val="20"/>
          <w:szCs w:val="20"/>
          <w:color w:val="auto"/>
        </w:rPr>
      </w:pPr>
      <w:r>
        <w:rPr>
          <w:rFonts w:ascii="Calibri" w:cs="Calibri" w:eastAsia="Calibri" w:hAnsi="Calibri"/>
          <w:sz w:val="20"/>
          <w:szCs w:val="20"/>
          <w:color w:val="auto"/>
        </w:rPr>
        <w:t xml:space="preserve">The Espionage Act, 18 U.S.C. § 792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200" w:lineRule="exact"/>
        <w:rPr>
          <w:sz w:val="20"/>
          <w:szCs w:val="20"/>
          <w:color w:val="auto"/>
        </w:rPr>
      </w:pPr>
    </w:p>
    <w:p>
      <w:pPr>
        <w:spacing w:after="0" w:line="292"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-7</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24" w:name="page525"/>
    <w:bookmarkEnd w:id="524"/>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18 U.S.C. § 951;</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 xml:space="preserve">The Economic Espionage Act of 1996, 18 U.S.C. § 1831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 xml:space="preserve">The Arms Export Control Act, 22 U.S.C. § 2751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The Atomic Energy Act, 42 U.S.C. § 2274, 2275, 2276, 2277, or 2284;</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 xml:space="preserve">The Export Control Reform Act of 2018, 50 U.S.C. § 4801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 xml:space="preserve">The Internatonal Economic Emergency Powers Act, 50 U.S.C. § 1701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6"/>
        </w:numPr>
        <w:rPr>
          <w:rFonts w:ascii="Calibri" w:cs="Calibri" w:eastAsia="Calibri" w:hAnsi="Calibri"/>
          <w:sz w:val="20"/>
          <w:szCs w:val="20"/>
          <w:color w:val="auto"/>
        </w:rPr>
      </w:pPr>
      <w:r>
        <w:rPr>
          <w:rFonts w:ascii="Calibri" w:cs="Calibri" w:eastAsia="Calibri" w:hAnsi="Calibri"/>
          <w:sz w:val="20"/>
          <w:szCs w:val="20"/>
          <w:color w:val="auto"/>
        </w:rPr>
        <w:t>Title 18 U.S.C. § 1030;</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57"/>
        </w:numPr>
        <w:rPr>
          <w:rFonts w:ascii="Calibri" w:cs="Calibri" w:eastAsia="Calibri" w:hAnsi="Calibri"/>
          <w:sz w:val="20"/>
          <w:szCs w:val="20"/>
          <w:color w:val="auto"/>
        </w:rPr>
      </w:pPr>
      <w:r>
        <w:rPr>
          <w:rFonts w:ascii="Calibri" w:cs="Calibri" w:eastAsia="Calibri" w:hAnsi="Calibri"/>
          <w:sz w:val="20"/>
          <w:szCs w:val="20"/>
          <w:color w:val="auto"/>
        </w:rPr>
        <w:t>included on the BIS Entty List (15 CFR Part 744, supplement no. 4);</w:t>
      </w:r>
    </w:p>
    <w:p>
      <w:pPr>
        <w:spacing w:after="0" w:line="170" w:lineRule="exact"/>
        <w:rPr>
          <w:rFonts w:ascii="Calibri" w:cs="Calibri" w:eastAsia="Calibri" w:hAnsi="Calibri"/>
          <w:sz w:val="20"/>
          <w:szCs w:val="20"/>
          <w:color w:val="auto"/>
        </w:rPr>
      </w:pPr>
    </w:p>
    <w:p>
      <w:pPr>
        <w:jc w:val="both"/>
        <w:ind w:left="660" w:hanging="652"/>
        <w:spacing w:after="0" w:line="209" w:lineRule="auto"/>
        <w:tabs>
          <w:tab w:leader="none" w:pos="663" w:val="left"/>
        </w:tabs>
        <w:numPr>
          <w:ilvl w:val="0"/>
          <w:numId w:val="657"/>
        </w:numPr>
        <w:rPr>
          <w:rFonts w:ascii="Calibri" w:cs="Calibri" w:eastAsia="Calibri" w:hAnsi="Calibri"/>
          <w:sz w:val="20"/>
          <w:szCs w:val="20"/>
          <w:color w:val="auto"/>
        </w:rPr>
      </w:pPr>
      <w:r>
        <w:rPr>
          <w:rFonts w:ascii="Calibri" w:cs="Calibri" w:eastAsia="Calibri" w:hAnsi="Calibri"/>
          <w:sz w:val="20"/>
          <w:szCs w:val="20"/>
          <w:color w:val="auto"/>
        </w:rPr>
        <w:t>included on the Department of the Treasury’s list of Non-SDN Chinese Military-Industrial Complex Companies (NS-CMIC List), or for which one or more individuals or enttes included on the NS-CMIC list, individually or in the aggregate, directly or indirectly, hold at least ffy percent (50%) of the outstanding votng interest; or</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60" w:val="left"/>
        </w:tabs>
        <w:numPr>
          <w:ilvl w:val="0"/>
          <w:numId w:val="657"/>
        </w:numPr>
        <w:rPr>
          <w:rFonts w:ascii="Calibri" w:cs="Calibri" w:eastAsia="Calibri" w:hAnsi="Calibri"/>
          <w:sz w:val="20"/>
          <w:szCs w:val="20"/>
          <w:color w:val="auto"/>
        </w:rPr>
      </w:pPr>
      <w:r>
        <w:rPr>
          <w:rFonts w:ascii="Calibri" w:cs="Calibri" w:eastAsia="Calibri" w:hAnsi="Calibri"/>
          <w:sz w:val="20"/>
          <w:szCs w:val="20"/>
          <w:color w:val="auto"/>
        </w:rPr>
        <w:t>determined by the Secretary, in consultaton with the Secretary of Defense and the Director of Natonal Intelligence, to be engaged in unauthorized conduct that is detrimental to the natonal security or foreign policy of the United States.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“Guardrail Regulatons” </w:t>
      </w:r>
      <w:r>
        <w:rPr>
          <w:rFonts w:ascii="Calibri" w:cs="Calibri" w:eastAsia="Calibri" w:hAnsi="Calibri"/>
          <w:sz w:val="20"/>
          <w:szCs w:val="20"/>
          <w:color w:val="auto"/>
        </w:rPr>
        <w:t>means those regulatons set forth at 15 CFR Part 231.</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Joint Research</w:t>
      </w:r>
      <w:r>
        <w:rPr>
          <w:rFonts w:ascii="Calibri" w:cs="Calibri" w:eastAsia="Calibri" w:hAnsi="Calibri"/>
          <w:sz w:val="20"/>
          <w:szCs w:val="20"/>
          <w:color w:val="auto"/>
        </w:rPr>
        <w:t>” means any Research and Development actvity that is jointly undertaken by two or more partes, including any Research and Development actvites undertaken as part of a joint venture as defned at 15 U.S.C. § 4301(a)(6), provided, that, the following will not be considered Joint Research:</w:t>
      </w:r>
    </w:p>
    <w:p>
      <w:pPr>
        <w:spacing w:after="0" w:line="162" w:lineRule="exact"/>
        <w:rPr>
          <w:sz w:val="20"/>
          <w:szCs w:val="20"/>
          <w:color w:val="auto"/>
        </w:rPr>
      </w:pPr>
    </w:p>
    <w:p>
      <w:pPr>
        <w:ind w:left="640" w:hanging="632"/>
        <w:spacing w:after="0"/>
        <w:tabs>
          <w:tab w:leader="none" w:pos="640" w:val="left"/>
        </w:tabs>
        <w:numPr>
          <w:ilvl w:val="0"/>
          <w:numId w:val="658"/>
        </w:numPr>
        <w:rPr>
          <w:rFonts w:ascii="Calibri" w:cs="Calibri" w:eastAsia="Calibri" w:hAnsi="Calibri"/>
          <w:sz w:val="20"/>
          <w:szCs w:val="20"/>
          <w:color w:val="auto"/>
        </w:rPr>
      </w:pPr>
      <w:r>
        <w:rPr>
          <w:rFonts w:ascii="Calibri" w:cs="Calibri" w:eastAsia="Calibri" w:hAnsi="Calibri"/>
          <w:sz w:val="20"/>
          <w:szCs w:val="20"/>
          <w:color w:val="auto"/>
        </w:rPr>
        <w:t>a standards-related actvity (as such term is defned in 15 CFR Part 772);</w:t>
      </w:r>
    </w:p>
    <w:p>
      <w:pPr>
        <w:spacing w:after="0" w:line="184" w:lineRule="exact"/>
        <w:rPr>
          <w:rFonts w:ascii="Calibri" w:cs="Calibri" w:eastAsia="Calibri" w:hAnsi="Calibri"/>
          <w:sz w:val="20"/>
          <w:szCs w:val="20"/>
          <w:color w:val="auto"/>
        </w:rPr>
      </w:pPr>
    </w:p>
    <w:p>
      <w:pPr>
        <w:ind w:left="660" w:right="20" w:hanging="652"/>
        <w:spacing w:after="0" w:line="208" w:lineRule="auto"/>
        <w:tabs>
          <w:tab w:leader="none" w:pos="662" w:val="left"/>
        </w:tabs>
        <w:numPr>
          <w:ilvl w:val="0"/>
          <w:numId w:val="658"/>
        </w:numPr>
        <w:rPr>
          <w:rFonts w:ascii="Calibri" w:cs="Calibri" w:eastAsia="Calibri" w:hAnsi="Calibri"/>
          <w:sz w:val="20"/>
          <w:szCs w:val="20"/>
          <w:color w:val="auto"/>
        </w:rPr>
      </w:pPr>
      <w:r>
        <w:rPr>
          <w:rFonts w:ascii="Calibri" w:cs="Calibri" w:eastAsia="Calibri" w:hAnsi="Calibri"/>
          <w:sz w:val="20"/>
          <w:szCs w:val="20"/>
          <w:color w:val="auto"/>
        </w:rPr>
        <w:t>Research and development conducted exclusively between and among employees of a Recipient or between and among enttes that are Related Enttes to the Recipient;</w:t>
      </w:r>
    </w:p>
    <w:p>
      <w:pPr>
        <w:spacing w:after="0" w:line="184" w:lineRule="exact"/>
        <w:rPr>
          <w:rFonts w:ascii="Calibri" w:cs="Calibri" w:eastAsia="Calibri" w:hAnsi="Calibri"/>
          <w:sz w:val="20"/>
          <w:szCs w:val="20"/>
          <w:color w:val="auto"/>
        </w:rPr>
      </w:pPr>
    </w:p>
    <w:p>
      <w:pPr>
        <w:ind w:left="660" w:hanging="652"/>
        <w:spacing w:after="0" w:line="214" w:lineRule="auto"/>
        <w:tabs>
          <w:tab w:leader="none" w:pos="659" w:val="left"/>
        </w:tabs>
        <w:numPr>
          <w:ilvl w:val="0"/>
          <w:numId w:val="658"/>
        </w:numPr>
        <w:rPr>
          <w:rFonts w:ascii="Calibri" w:cs="Calibri" w:eastAsia="Calibri" w:hAnsi="Calibri"/>
          <w:sz w:val="20"/>
          <w:szCs w:val="20"/>
          <w:color w:val="auto"/>
        </w:rPr>
      </w:pPr>
      <w:r>
        <w:rPr>
          <w:rFonts w:ascii="Calibri" w:cs="Calibri" w:eastAsia="Calibri" w:hAnsi="Calibri"/>
          <w:sz w:val="20"/>
          <w:szCs w:val="20"/>
          <w:color w:val="auto"/>
        </w:rPr>
        <w:t>research, development, or engineering related to a manufacturing process for an existng product solely to enable use of foundry, assembly, test, or packaging services for integrated circuits;</w:t>
      </w:r>
    </w:p>
    <w:p>
      <w:pPr>
        <w:spacing w:after="0" w:line="172" w:lineRule="exact"/>
        <w:rPr>
          <w:rFonts w:ascii="Calibri" w:cs="Calibri" w:eastAsia="Calibri" w:hAnsi="Calibri"/>
          <w:sz w:val="20"/>
          <w:szCs w:val="20"/>
          <w:color w:val="auto"/>
        </w:rPr>
      </w:pPr>
    </w:p>
    <w:p>
      <w:pPr>
        <w:ind w:left="660" w:right="20" w:hanging="652"/>
        <w:spacing w:after="0" w:line="214" w:lineRule="auto"/>
        <w:tabs>
          <w:tab w:leader="none" w:pos="654" w:val="left"/>
        </w:tabs>
        <w:numPr>
          <w:ilvl w:val="0"/>
          <w:numId w:val="658"/>
        </w:numPr>
        <w:rPr>
          <w:rFonts w:ascii="Calibri" w:cs="Calibri" w:eastAsia="Calibri" w:hAnsi="Calibri"/>
          <w:sz w:val="20"/>
          <w:szCs w:val="20"/>
          <w:color w:val="auto"/>
        </w:rPr>
      </w:pPr>
      <w:r>
        <w:rPr>
          <w:rFonts w:ascii="Calibri" w:cs="Calibri" w:eastAsia="Calibri" w:hAnsi="Calibri"/>
          <w:sz w:val="20"/>
          <w:szCs w:val="20"/>
          <w:color w:val="auto"/>
        </w:rPr>
        <w:t>research, development, or engineering involving two or more enttes to establish or apply a drawing, design, or related specifcaton for a product to be purchased and sold between or among such enttes; and</w:t>
      </w:r>
    </w:p>
    <w:p>
      <w:pPr>
        <w:spacing w:after="0" w:line="175" w:lineRule="exact"/>
        <w:rPr>
          <w:rFonts w:ascii="Calibri" w:cs="Calibri" w:eastAsia="Calibri" w:hAnsi="Calibri"/>
          <w:sz w:val="20"/>
          <w:szCs w:val="20"/>
          <w:color w:val="auto"/>
        </w:rPr>
      </w:pPr>
    </w:p>
    <w:p>
      <w:pPr>
        <w:ind w:left="660" w:hanging="652"/>
        <w:spacing w:after="0"/>
        <w:tabs>
          <w:tab w:leader="none" w:pos="660" w:val="left"/>
        </w:tabs>
        <w:numPr>
          <w:ilvl w:val="0"/>
          <w:numId w:val="658"/>
        </w:numPr>
        <w:rPr>
          <w:rFonts w:ascii="Calibri" w:cs="Calibri" w:eastAsia="Calibri" w:hAnsi="Calibri"/>
          <w:sz w:val="20"/>
          <w:szCs w:val="20"/>
          <w:color w:val="auto"/>
        </w:rPr>
      </w:pPr>
      <w:r>
        <w:rPr>
          <w:rFonts w:ascii="Calibri" w:cs="Calibri" w:eastAsia="Calibri" w:hAnsi="Calibri"/>
          <w:sz w:val="20"/>
          <w:szCs w:val="20"/>
          <w:color w:val="auto"/>
        </w:rPr>
        <w:t>warranty, service, and customer support performed by a Recipient or an entty that is a Related Entty of a Recipient.</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Knowingly</w:t>
      </w:r>
      <w:r>
        <w:rPr>
          <w:rFonts w:ascii="Calibri" w:cs="Calibri" w:eastAsia="Calibri" w:hAnsi="Calibri"/>
          <w:sz w:val="20"/>
          <w:szCs w:val="20"/>
          <w:color w:val="auto"/>
        </w:rPr>
        <w:t>” means actng with knowledge that a circumstance exists or is substantally certain to occur, or with an awareness of a high probability of its existence or future occurrence. Such awareness can be inferred from evidence of the conscious disregard of facts known to a Person or of a Person’s wilful avoidance of facts.</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Legacy Semiconductor</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659"/>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wafer facility:</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59"/>
        </w:numPr>
        <w:rPr>
          <w:rFonts w:ascii="Calibri" w:cs="Calibri" w:eastAsia="Calibri" w:hAnsi="Calibri"/>
          <w:sz w:val="20"/>
          <w:szCs w:val="20"/>
          <w:color w:val="auto"/>
        </w:rPr>
      </w:pPr>
      <w:r>
        <w:rPr>
          <w:rFonts w:ascii="Calibri" w:cs="Calibri" w:eastAsia="Calibri" w:hAnsi="Calibri"/>
          <w:sz w:val="20"/>
          <w:szCs w:val="20"/>
          <w:color w:val="auto"/>
        </w:rPr>
        <w:t>a silicon wafer measuring 8 inches (or 200 millimeters) or smaller in diameter; or</w:t>
      </w:r>
    </w:p>
    <w:p>
      <w:pPr>
        <w:spacing w:after="0" w:line="200" w:lineRule="exact"/>
        <w:rPr>
          <w:sz w:val="20"/>
          <w:szCs w:val="20"/>
          <w:color w:val="auto"/>
        </w:rPr>
      </w:pPr>
    </w:p>
    <w:p>
      <w:pPr>
        <w:spacing w:after="0" w:line="292"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-8</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25" w:name="page526"/>
    <w:bookmarkEnd w:id="525"/>
    <w:p>
      <w:pPr>
        <w:ind w:left="1300" w:hanging="644"/>
        <w:spacing w:after="0"/>
        <w:tabs>
          <w:tab w:leader="none" w:pos="1300" w:val="left"/>
        </w:tabs>
        <w:numPr>
          <w:ilvl w:val="1"/>
          <w:numId w:val="660"/>
        </w:numPr>
        <w:rPr>
          <w:rFonts w:ascii="Calibri" w:cs="Calibri" w:eastAsia="Calibri" w:hAnsi="Calibri"/>
          <w:sz w:val="20"/>
          <w:szCs w:val="20"/>
          <w:color w:val="auto"/>
        </w:rPr>
      </w:pPr>
      <w:r>
        <w:rPr>
          <w:rFonts w:ascii="Calibri" w:cs="Calibri" w:eastAsia="Calibri" w:hAnsi="Calibri"/>
          <w:sz w:val="20"/>
          <w:szCs w:val="20"/>
          <w:color w:val="auto"/>
        </w:rPr>
        <w:t>a compound wafer measuring 6 inches (or 150 millimeters) or smaller in diameter;</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61"/>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fabricaton facility:</w:t>
      </w:r>
    </w:p>
    <w:p>
      <w:pPr>
        <w:spacing w:after="0" w:line="170" w:lineRule="exact"/>
        <w:rPr>
          <w:rFonts w:ascii="Calibri" w:cs="Calibri" w:eastAsia="Calibri" w:hAnsi="Calibri"/>
          <w:sz w:val="20"/>
          <w:szCs w:val="20"/>
          <w:color w:val="auto"/>
        </w:rPr>
      </w:pPr>
    </w:p>
    <w:p>
      <w:pPr>
        <w:ind w:left="1300" w:hanging="644"/>
        <w:spacing w:after="0" w:line="214" w:lineRule="auto"/>
        <w:tabs>
          <w:tab w:leader="none" w:pos="1294" w:val="left"/>
        </w:tabs>
        <w:numPr>
          <w:ilvl w:val="1"/>
          <w:numId w:val="661"/>
        </w:numPr>
        <w:rPr>
          <w:rFonts w:ascii="Calibri" w:cs="Calibri" w:eastAsia="Calibri" w:hAnsi="Calibri"/>
          <w:sz w:val="20"/>
          <w:szCs w:val="20"/>
          <w:color w:val="auto"/>
        </w:rPr>
      </w:pPr>
      <w:r>
        <w:rPr>
          <w:rFonts w:ascii="Calibri" w:cs="Calibri" w:eastAsia="Calibri" w:hAnsi="Calibri"/>
          <w:sz w:val="20"/>
          <w:szCs w:val="20"/>
          <w:color w:val="auto"/>
        </w:rPr>
        <w:t>a digital or analog logic semiconductor that is of the 28-nanometer generaton or older (i.e., has a gate length of 28 nanometers or more for a planar transistor);</w:t>
      </w:r>
    </w:p>
    <w:p>
      <w:pPr>
        <w:spacing w:after="0" w:line="186" w:lineRule="exact"/>
        <w:rPr>
          <w:sz w:val="20"/>
          <w:szCs w:val="20"/>
          <w:color w:val="auto"/>
        </w:rPr>
      </w:pPr>
    </w:p>
    <w:p>
      <w:pPr>
        <w:jc w:val="both"/>
        <w:ind w:left="1300" w:right="20" w:hanging="644"/>
        <w:spacing w:after="0" w:line="205" w:lineRule="auto"/>
        <w:tabs>
          <w:tab w:leader="none" w:pos="1300" w:val="left"/>
        </w:tabs>
        <w:numPr>
          <w:ilvl w:val="1"/>
          <w:numId w:val="662"/>
        </w:numPr>
        <w:rPr>
          <w:rFonts w:ascii="Calibri" w:cs="Calibri" w:eastAsia="Calibri" w:hAnsi="Calibri"/>
          <w:sz w:val="20"/>
          <w:szCs w:val="20"/>
          <w:color w:val="auto"/>
        </w:rPr>
      </w:pPr>
      <w:r>
        <w:rPr>
          <w:rFonts w:ascii="Calibri" w:cs="Calibri" w:eastAsia="Calibri" w:hAnsi="Calibri"/>
          <w:sz w:val="20"/>
          <w:szCs w:val="20"/>
          <w:color w:val="auto"/>
        </w:rPr>
        <w:t>a memory Semiconductor with a half-pitch greater than 18 nanometers for DRAM or less than 128 layers for Not AND (NAND) fash that does not utlize emerging memory technologies, such as transiton metal oxides, phase-change memory, perovskites, or ferromagnetcs relevant to advanced memory fabricaton; or</w:t>
      </w:r>
    </w:p>
    <w:p>
      <w:pPr>
        <w:spacing w:after="0" w:line="174" w:lineRule="exact"/>
        <w:rPr>
          <w:rFonts w:ascii="Calibri" w:cs="Calibri" w:eastAsia="Calibri" w:hAnsi="Calibri"/>
          <w:sz w:val="20"/>
          <w:szCs w:val="20"/>
          <w:color w:val="auto"/>
        </w:rPr>
      </w:pPr>
    </w:p>
    <w:p>
      <w:pPr>
        <w:ind w:left="1300" w:hanging="644"/>
        <w:spacing w:after="0"/>
        <w:tabs>
          <w:tab w:leader="none" w:pos="1300" w:val="left"/>
        </w:tabs>
        <w:numPr>
          <w:ilvl w:val="1"/>
          <w:numId w:val="662"/>
        </w:numPr>
        <w:rPr>
          <w:rFonts w:ascii="Calibri" w:cs="Calibri" w:eastAsia="Calibri" w:hAnsi="Calibri"/>
          <w:sz w:val="20"/>
          <w:szCs w:val="20"/>
          <w:color w:val="auto"/>
        </w:rPr>
      </w:pPr>
      <w:r>
        <w:rPr>
          <w:rFonts w:ascii="Calibri" w:cs="Calibri" w:eastAsia="Calibri" w:hAnsi="Calibri"/>
          <w:sz w:val="20"/>
          <w:szCs w:val="20"/>
          <w:color w:val="auto"/>
        </w:rPr>
        <w:t>a Semiconductor identfed by the Secretary in a public notce issued under 15 U.S.C. § 4652(a)(6)(A)(ii); and</w:t>
      </w:r>
    </w:p>
    <w:p>
      <w:pPr>
        <w:spacing w:after="0" w:line="170" w:lineRule="exact"/>
        <w:rPr>
          <w:rFonts w:ascii="Calibri" w:cs="Calibri" w:eastAsia="Calibri" w:hAnsi="Calibri"/>
          <w:sz w:val="20"/>
          <w:szCs w:val="20"/>
          <w:color w:val="auto"/>
        </w:rPr>
      </w:pPr>
    </w:p>
    <w:p>
      <w:pPr>
        <w:ind w:left="660" w:right="20" w:hanging="652"/>
        <w:spacing w:after="0" w:line="214" w:lineRule="auto"/>
        <w:tabs>
          <w:tab w:leader="none" w:pos="660" w:val="left"/>
        </w:tabs>
        <w:numPr>
          <w:ilvl w:val="0"/>
          <w:numId w:val="663"/>
        </w:numPr>
        <w:rPr>
          <w:rFonts w:ascii="Calibri" w:cs="Calibri" w:eastAsia="Calibri" w:hAnsi="Calibri"/>
          <w:sz w:val="20"/>
          <w:szCs w:val="20"/>
          <w:color w:val="auto"/>
        </w:rPr>
      </w:pPr>
      <w:r>
        <w:rPr>
          <w:rFonts w:ascii="Calibri" w:cs="Calibri" w:eastAsia="Calibri" w:hAnsi="Calibri"/>
          <w:sz w:val="20"/>
          <w:szCs w:val="20"/>
          <w:color w:val="auto"/>
        </w:rPr>
        <w:t>for the purposes of a Semiconductor packaging facility, a Semiconductor that does not utlize advanced three-dimensional (3D) integraton packaging, under clause (z) below,</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provided that, notwithstanding the above, the following will not be considered Legacy Semiconductors:</w:t>
      </w:r>
    </w:p>
    <w:p>
      <w:pPr>
        <w:spacing w:after="0" w:line="161" w:lineRule="exact"/>
        <w:rPr>
          <w:sz w:val="20"/>
          <w:szCs w:val="20"/>
          <w:color w:val="auto"/>
        </w:rPr>
      </w:pPr>
    </w:p>
    <w:p>
      <w:pPr>
        <w:ind w:left="660" w:hanging="652"/>
        <w:spacing w:after="0"/>
        <w:tabs>
          <w:tab w:leader="none" w:pos="660" w:val="left"/>
        </w:tabs>
        <w:numPr>
          <w:ilvl w:val="0"/>
          <w:numId w:val="664"/>
        </w:numPr>
        <w:rPr>
          <w:rFonts w:ascii="Calibri" w:cs="Calibri" w:eastAsia="Calibri" w:hAnsi="Calibri"/>
          <w:sz w:val="20"/>
          <w:szCs w:val="20"/>
          <w:color w:val="auto"/>
        </w:rPr>
      </w:pPr>
      <w:r>
        <w:rPr>
          <w:rFonts w:ascii="Calibri" w:cs="Calibri" w:eastAsia="Calibri" w:hAnsi="Calibri"/>
          <w:sz w:val="20"/>
          <w:szCs w:val="20"/>
          <w:color w:val="auto"/>
        </w:rPr>
        <w:t>Semiconductors Critcal to Natonal Security;</w:t>
      </w:r>
    </w:p>
    <w:p>
      <w:pPr>
        <w:spacing w:after="0" w:line="157" w:lineRule="exact"/>
        <w:rPr>
          <w:rFonts w:ascii="Calibri" w:cs="Calibri" w:eastAsia="Calibri" w:hAnsi="Calibri"/>
          <w:sz w:val="20"/>
          <w:szCs w:val="20"/>
          <w:color w:val="auto"/>
        </w:rPr>
      </w:pPr>
    </w:p>
    <w:p>
      <w:pPr>
        <w:ind w:left="660" w:hanging="652"/>
        <w:spacing w:after="0" w:line="214" w:lineRule="auto"/>
        <w:tabs>
          <w:tab w:leader="none" w:pos="664" w:val="left"/>
        </w:tabs>
        <w:numPr>
          <w:ilvl w:val="0"/>
          <w:numId w:val="664"/>
        </w:numPr>
        <w:rPr>
          <w:rFonts w:ascii="Calibri" w:cs="Calibri" w:eastAsia="Calibri" w:hAnsi="Calibri"/>
          <w:sz w:val="20"/>
          <w:szCs w:val="20"/>
          <w:color w:val="auto"/>
        </w:rPr>
      </w:pPr>
      <w:r>
        <w:rPr>
          <w:rFonts w:ascii="Calibri" w:cs="Calibri" w:eastAsia="Calibri" w:hAnsi="Calibri"/>
          <w:sz w:val="20"/>
          <w:szCs w:val="20"/>
          <w:color w:val="auto"/>
        </w:rPr>
        <w:t>Semiconductors with a post-planar transistor architecture (such as three-dimensional fn feld-efect (FinFET) transistors or gate-all-around (GAA) transistors); and</w:t>
      </w:r>
    </w:p>
    <w:p>
      <w:pPr>
        <w:spacing w:after="0" w:line="158" w:lineRule="exact"/>
        <w:rPr>
          <w:rFonts w:ascii="Calibri" w:cs="Calibri" w:eastAsia="Calibri" w:hAnsi="Calibri"/>
          <w:sz w:val="20"/>
          <w:szCs w:val="20"/>
          <w:color w:val="auto"/>
        </w:rPr>
      </w:pPr>
    </w:p>
    <w:p>
      <w:pPr>
        <w:ind w:left="660" w:hanging="652"/>
        <w:spacing w:after="0" w:line="214" w:lineRule="auto"/>
        <w:tabs>
          <w:tab w:leader="none" w:pos="659" w:val="left"/>
        </w:tabs>
        <w:numPr>
          <w:ilvl w:val="0"/>
          <w:numId w:val="664"/>
        </w:numPr>
        <w:rPr>
          <w:rFonts w:ascii="Calibri" w:cs="Calibri" w:eastAsia="Calibri" w:hAnsi="Calibri"/>
          <w:sz w:val="20"/>
          <w:szCs w:val="20"/>
          <w:color w:val="auto"/>
        </w:rPr>
      </w:pPr>
      <w:r>
        <w:rPr>
          <w:rFonts w:ascii="Calibri" w:cs="Calibri" w:eastAsia="Calibri" w:hAnsi="Calibri"/>
          <w:sz w:val="20"/>
          <w:szCs w:val="20"/>
          <w:color w:val="auto"/>
        </w:rPr>
        <w:t>Semiconductors utlizing advanced three-dimensional (3D) integraton packaging, such as by directly ataching one or more dies or wafers, through silicon vias, through mold vias, or other advanced methods.</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Material Expansion</w:t>
      </w:r>
      <w:r>
        <w:rPr>
          <w:rFonts w:ascii="Calibri" w:cs="Calibri" w:eastAsia="Calibri" w:hAnsi="Calibri"/>
          <w:sz w:val="20"/>
          <w:szCs w:val="20"/>
          <w:color w:val="auto"/>
        </w:rPr>
        <w:t>” means:</w:t>
      </w:r>
    </w:p>
    <w:p>
      <w:pPr>
        <w:spacing w:after="0" w:line="184" w:lineRule="exact"/>
        <w:rPr>
          <w:sz w:val="20"/>
          <w:szCs w:val="20"/>
          <w:color w:val="auto"/>
        </w:rPr>
      </w:pPr>
    </w:p>
    <w:p>
      <w:pPr>
        <w:jc w:val="both"/>
        <w:ind w:left="660" w:hanging="652"/>
        <w:spacing w:after="0" w:line="205" w:lineRule="auto"/>
        <w:tabs>
          <w:tab w:leader="none" w:pos="661" w:val="left"/>
        </w:tabs>
        <w:numPr>
          <w:ilvl w:val="0"/>
          <w:numId w:val="665"/>
        </w:numPr>
        <w:rPr>
          <w:rFonts w:ascii="Calibri" w:cs="Calibri" w:eastAsia="Calibri" w:hAnsi="Calibri"/>
          <w:sz w:val="20"/>
          <w:szCs w:val="20"/>
          <w:color w:val="auto"/>
        </w:rPr>
      </w:pPr>
      <w:r>
        <w:rPr>
          <w:rFonts w:ascii="Calibri" w:cs="Calibri" w:eastAsia="Calibri" w:hAnsi="Calibri"/>
          <w:sz w:val="20"/>
          <w:szCs w:val="20"/>
          <w:color w:val="auto"/>
        </w:rPr>
        <w:t>with respect to an Existng Facility, the increase of the Semiconductor Manufacturing Capacity of an Existng Facility by more than fve percent (5%) of the capacity memorialized in Part 1 (</w:t>
      </w:r>
      <w:r>
        <w:rPr>
          <w:rFonts w:ascii="Calibri" w:cs="Calibri" w:eastAsia="Calibri" w:hAnsi="Calibri"/>
          <w:sz w:val="20"/>
          <w:szCs w:val="20"/>
          <w:b w:val="1"/>
          <w:bCs w:val="1"/>
          <w:color w:val="auto"/>
        </w:rPr>
        <w:t>Existng Facilites</w:t>
      </w:r>
      <w:r>
        <w:rPr>
          <w:rFonts w:ascii="Calibri" w:cs="Calibri" w:eastAsia="Calibri" w:hAnsi="Calibri"/>
          <w:sz w:val="20"/>
          <w:szCs w:val="20"/>
          <w:color w:val="auto"/>
        </w:rPr>
        <w:t>) of Appendix 1, due to the additon of a cleanroom, producton line or other physical space, or a series of such additons; or</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65"/>
        </w:numPr>
        <w:rPr>
          <w:rFonts w:ascii="Calibri" w:cs="Calibri" w:eastAsia="Calibri" w:hAnsi="Calibri"/>
          <w:sz w:val="20"/>
          <w:szCs w:val="20"/>
          <w:color w:val="auto"/>
        </w:rPr>
      </w:pPr>
      <w:r>
        <w:rPr>
          <w:rFonts w:ascii="Calibri" w:cs="Calibri" w:eastAsia="Calibri" w:hAnsi="Calibri"/>
          <w:sz w:val="20"/>
          <w:szCs w:val="20"/>
          <w:color w:val="auto"/>
        </w:rPr>
        <w:t>any new constructon of a facility for Semiconductor Manufacturing.</w:t>
      </w:r>
    </w:p>
    <w:p>
      <w:pPr>
        <w:spacing w:after="0" w:line="171" w:lineRule="exact"/>
        <w:rPr>
          <w:sz w:val="20"/>
          <w:szCs w:val="20"/>
          <w:color w:val="auto"/>
        </w:rPr>
      </w:pPr>
    </w:p>
    <w:p>
      <w:pPr>
        <w:jc w:val="both"/>
        <w:spacing w:after="0" w:line="20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means any entty that is or becomes a member of the Recipient’s “Afliated Group,” as such term is defned under 26 U.S.C. § 1504(a), without regard to 26 U.S.C. § 1504(b)(3), including the Members of the Afliated Group identfed in Part 4 (</w:t>
      </w:r>
      <w:r>
        <w:rPr>
          <w:rFonts w:ascii="Calibri" w:cs="Calibri" w:eastAsia="Calibri" w:hAnsi="Calibri"/>
          <w:sz w:val="20"/>
          <w:szCs w:val="20"/>
          <w:b w:val="1"/>
          <w:bCs w:val="1"/>
          <w:color w:val="auto"/>
        </w:rPr>
        <w:t>Members of the Afliated Group</w:t>
      </w:r>
      <w:r>
        <w:rPr>
          <w:rFonts w:ascii="Calibri" w:cs="Calibri" w:eastAsia="Calibri" w:hAnsi="Calibri"/>
          <w:sz w:val="20"/>
          <w:szCs w:val="20"/>
          <w:color w:val="auto"/>
        </w:rPr>
        <w:t>) of Appendix 1.</w:t>
      </w:r>
    </w:p>
    <w:p>
      <w:pPr>
        <w:spacing w:after="0" w:line="19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Mitgaton Agreement</w:t>
      </w:r>
      <w:r>
        <w:rPr>
          <w:rFonts w:ascii="Calibri" w:cs="Calibri" w:eastAsia="Calibri" w:hAnsi="Calibri"/>
          <w:sz w:val="20"/>
          <w:szCs w:val="20"/>
          <w:color w:val="auto"/>
        </w:rPr>
        <w:t>” has the meaning set forth in Secton 7(c) (</w:t>
      </w:r>
      <w:r>
        <w:rPr>
          <w:rFonts w:ascii="Calibri" w:cs="Calibri" w:eastAsia="Calibri" w:hAnsi="Calibri"/>
          <w:sz w:val="20"/>
          <w:szCs w:val="20"/>
          <w:b w:val="1"/>
          <w:bCs w:val="1"/>
          <w:color w:val="auto"/>
        </w:rPr>
        <w:t>Remedies, Mitgaton and Clawbacks</w:t>
      </w:r>
      <w:r>
        <w:rPr>
          <w:rFonts w:ascii="Calibri" w:cs="Calibri" w:eastAsia="Calibri" w:hAnsi="Calibri"/>
          <w:sz w:val="20"/>
          <w:szCs w:val="20"/>
          <w:color w:val="auto"/>
        </w:rPr>
        <w:t>) of this Annex C (</w:t>
      </w:r>
      <w:r>
        <w:rPr>
          <w:rFonts w:ascii="Calibri" w:cs="Calibri" w:eastAsia="Calibri" w:hAnsi="Calibri"/>
          <w:sz w:val="20"/>
          <w:szCs w:val="20"/>
          <w:b w:val="1"/>
          <w:bCs w:val="1"/>
          <w:color w:val="auto"/>
        </w:rPr>
        <w:t>Guardrail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Provisions</w:t>
      </w:r>
      <w:r>
        <w:rPr>
          <w:rFonts w:ascii="Calibri" w:cs="Calibri" w:eastAsia="Calibri" w:hAnsi="Calibri"/>
          <w:sz w:val="20"/>
          <w:szCs w:val="20"/>
          <w:color w:val="auto"/>
        </w:rPr>
        <w:t>).</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Person</w:t>
      </w:r>
      <w:r>
        <w:rPr>
          <w:rFonts w:ascii="Calibri" w:cs="Calibri" w:eastAsia="Calibri" w:hAnsi="Calibri"/>
          <w:sz w:val="20"/>
          <w:szCs w:val="20"/>
          <w:color w:val="auto"/>
        </w:rPr>
        <w:t>” means an individual, partnership, associaton, corporaton, organizaton, or any other combinaton of individuals.</w:t>
      </w:r>
    </w:p>
    <w:p>
      <w:pPr>
        <w:spacing w:after="0" w:line="184" w:lineRule="exact"/>
        <w:rPr>
          <w:sz w:val="20"/>
          <w:szCs w:val="20"/>
          <w:color w:val="auto"/>
        </w:rPr>
      </w:pPr>
    </w:p>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Predominately Serves the Market</w:t>
      </w:r>
      <w:r>
        <w:rPr>
          <w:rFonts w:ascii="Calibri" w:cs="Calibri" w:eastAsia="Calibri" w:hAnsi="Calibri"/>
          <w:sz w:val="20"/>
          <w:szCs w:val="20"/>
          <w:color w:val="auto"/>
        </w:rPr>
        <w:t>” means that at least eighty-fve percent (85%) of the output of the Semiconductor Manufacturing facility (e.g., wafers, Semiconductor devices, or packages) by value is incorporated into fnal products (i.e., not an intermediate product that is used as factor inputs for producing other goods) that are used or consumed in that market.</w:t>
      </w:r>
    </w:p>
    <w:p>
      <w:pPr>
        <w:spacing w:after="0" w:line="184" w:lineRule="exact"/>
        <w:rPr>
          <w:sz w:val="20"/>
          <w:szCs w:val="20"/>
          <w:color w:val="auto"/>
        </w:rPr>
      </w:pPr>
    </w:p>
    <w:p>
      <w:pPr>
        <w:jc w:val="both"/>
        <w:ind w:right="20"/>
        <w:spacing w:after="0" w:line="20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Related Entty</w:t>
      </w:r>
      <w:r>
        <w:rPr>
          <w:rFonts w:ascii="Calibri" w:cs="Calibri" w:eastAsia="Calibri" w:hAnsi="Calibri"/>
          <w:sz w:val="20"/>
          <w:szCs w:val="20"/>
          <w:color w:val="auto"/>
        </w:rPr>
        <w:t>” means any entty that directly, or indirectly through one or more intermediaries, controls or is controlled by, or is under common control with, the Recipient.</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524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-9</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26" w:name="page527"/>
    <w:bookmarkEnd w:id="526"/>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Research and Development</w:t>
      </w:r>
      <w:r>
        <w:rPr>
          <w:rFonts w:ascii="Calibri" w:cs="Calibri" w:eastAsia="Calibri" w:hAnsi="Calibri"/>
          <w:sz w:val="20"/>
          <w:szCs w:val="20"/>
          <w:color w:val="auto"/>
        </w:rPr>
        <w:t>” means theoretcal analysis, exploraton, or experimentaton; or the extension of investgatve fndings and theories of a scientfc or technical nature into practcal applicaton, including the experimental producton and testng of models, devices, equipment, materials, and processes.</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Secretary</w:t>
      </w:r>
      <w:r>
        <w:rPr>
          <w:rFonts w:ascii="Calibri" w:cs="Calibri" w:eastAsia="Calibri" w:hAnsi="Calibri"/>
          <w:sz w:val="20"/>
          <w:szCs w:val="20"/>
          <w:color w:val="auto"/>
        </w:rPr>
        <w:t>” means the Secretary of Commerce or the Secretary’s designee.</w:t>
      </w:r>
    </w:p>
    <w:p>
      <w:pPr>
        <w:spacing w:after="0" w:line="184" w:lineRule="exact"/>
        <w:rPr>
          <w:sz w:val="20"/>
          <w:szCs w:val="20"/>
          <w:color w:val="auto"/>
        </w:rPr>
      </w:pPr>
    </w:p>
    <w:p>
      <w:pPr>
        <w:jc w:val="both"/>
        <w:spacing w:after="0" w:line="20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w:t>
      </w:r>
      <w:r>
        <w:rPr>
          <w:rFonts w:ascii="Calibri" w:cs="Calibri" w:eastAsia="Calibri" w:hAnsi="Calibri"/>
          <w:sz w:val="20"/>
          <w:szCs w:val="20"/>
          <w:color w:val="auto"/>
        </w:rPr>
        <w:t>” means an integrated electronic device or system most commonly manufactured using materials such as, but not limited to, silicon, silicon carbide, or III-V compounds, and processes such as, but not limited to, lithography, depositon, and etching. Such devices and systems include but are not limited to analog and digital electronics, power electronics, and photonics, for memory, processing, sensing, actuaton, and communicatons applicatons.</w:t>
      </w:r>
    </w:p>
    <w:p>
      <w:pPr>
        <w:spacing w:after="0" w:line="173" w:lineRule="exact"/>
        <w:rPr>
          <w:sz w:val="20"/>
          <w:szCs w:val="20"/>
          <w:color w:val="auto"/>
        </w:rPr>
      </w:pPr>
    </w:p>
    <w:p>
      <w:pPr>
        <w:jc w:val="both"/>
        <w:spacing w:after="0" w:line="20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w:t>
      </w:r>
      <w:r>
        <w:rPr>
          <w:rFonts w:ascii="Calibri" w:cs="Calibri" w:eastAsia="Calibri" w:hAnsi="Calibri"/>
          <w:sz w:val="20"/>
          <w:szCs w:val="20"/>
          <w:color w:val="auto"/>
        </w:rPr>
        <w:t>” means Semiconductor wafer producton, Semiconductor fabricaton or Semiconductor packaging. Semiconductor wafer producton includes the processes of wafer slicing, polishing, cleaning, epitaxial depositon, and metrology. Semiconductor fabricaton includes the process of forming devices such as transistors, poly capacitors, non-metal resistors, and diodes on a wafer of semiconductor material. Semiconductor packaging means the process of enclosing a Semiconductor in a protectve container (package) and providing external power and signal connectvity for the assembled integrated circuit.</w:t>
      </w:r>
    </w:p>
    <w:p>
      <w:pPr>
        <w:spacing w:after="0" w:line="188" w:lineRule="exact"/>
        <w:rPr>
          <w:sz w:val="20"/>
          <w:szCs w:val="20"/>
          <w:color w:val="auto"/>
        </w:rPr>
      </w:pPr>
    </w:p>
    <w:p>
      <w:pPr>
        <w:jc w:val="both"/>
        <w:spacing w:after="0" w:line="20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 Manufacturing Capacity</w:t>
      </w:r>
      <w:r>
        <w:rPr>
          <w:rFonts w:ascii="Calibri" w:cs="Calibri" w:eastAsia="Calibri" w:hAnsi="Calibri"/>
          <w:sz w:val="20"/>
          <w:szCs w:val="20"/>
          <w:color w:val="auto"/>
        </w:rPr>
        <w:t>” means the productve capacity of a facility for Semiconductor Manufacturing. In the case of a wafer producton facility, Semiconductor Manufacturing Capacity is measured in wafers per year. In the case of a Semiconductor fabricaton facility, Semiconductor Manufacturing Capacity is measured in wafer starts per year. In the case of a Semiconductor fabricaton facility for wafers designed for wafer-to-wafer bonding structure, Semiconductor Manufacturing Capacity is measured in stacked wafers per year. In the case of a packaging facility, Semiconductor Manufacturing Capacity is measured in packages per year.</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Semiconductors Critcal to Natonal Security</w:t>
      </w:r>
      <w:r>
        <w:rPr>
          <w:rFonts w:ascii="Calibri" w:cs="Calibri" w:eastAsia="Calibri" w:hAnsi="Calibri"/>
          <w:sz w:val="20"/>
          <w:szCs w:val="20"/>
          <w:color w:val="auto"/>
        </w:rPr>
        <w:t>” means:</w:t>
      </w:r>
    </w:p>
    <w:p>
      <w:pPr>
        <w:spacing w:after="0" w:line="161" w:lineRule="exact"/>
        <w:rPr>
          <w:sz w:val="20"/>
          <w:szCs w:val="20"/>
          <w:color w:val="auto"/>
        </w:rPr>
      </w:pPr>
    </w:p>
    <w:p>
      <w:pPr>
        <w:ind w:left="660" w:hanging="652"/>
        <w:spacing w:after="0"/>
        <w:tabs>
          <w:tab w:leader="none" w:pos="660" w:val="left"/>
        </w:tabs>
        <w:numPr>
          <w:ilvl w:val="0"/>
          <w:numId w:val="666"/>
        </w:numPr>
        <w:rPr>
          <w:rFonts w:ascii="Calibri" w:cs="Calibri" w:eastAsia="Calibri" w:hAnsi="Calibri"/>
          <w:sz w:val="20"/>
          <w:szCs w:val="20"/>
          <w:color w:val="auto"/>
        </w:rPr>
      </w:pPr>
      <w:r>
        <w:rPr>
          <w:rFonts w:ascii="Calibri" w:cs="Calibri" w:eastAsia="Calibri" w:hAnsi="Calibri"/>
          <w:sz w:val="20"/>
          <w:szCs w:val="20"/>
          <w:color w:val="auto"/>
        </w:rPr>
        <w:t>Semiconductors utlizing nanomaterials, including 1D and 2D carbon allotropes such as graphene and carbon nanotubes;</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66"/>
        </w:numPr>
        <w:rPr>
          <w:rFonts w:ascii="Calibri" w:cs="Calibri" w:eastAsia="Calibri" w:hAnsi="Calibri"/>
          <w:sz w:val="20"/>
          <w:szCs w:val="20"/>
          <w:color w:val="auto"/>
        </w:rPr>
      </w:pPr>
      <w:r>
        <w:rPr>
          <w:rFonts w:ascii="Calibri" w:cs="Calibri" w:eastAsia="Calibri" w:hAnsi="Calibri"/>
          <w:sz w:val="20"/>
          <w:szCs w:val="20"/>
          <w:color w:val="auto"/>
        </w:rPr>
        <w:t>compound and wide- and ultra-wide bandgap Semiconductors;</w:t>
      </w:r>
    </w:p>
    <w:p>
      <w:pPr>
        <w:spacing w:after="0" w:line="174" w:lineRule="exact"/>
        <w:rPr>
          <w:rFonts w:ascii="Calibri" w:cs="Calibri" w:eastAsia="Calibri" w:hAnsi="Calibri"/>
          <w:sz w:val="20"/>
          <w:szCs w:val="20"/>
          <w:color w:val="auto"/>
        </w:rPr>
      </w:pPr>
    </w:p>
    <w:p>
      <w:pPr>
        <w:ind w:left="660" w:hanging="652"/>
        <w:spacing w:after="0"/>
        <w:tabs>
          <w:tab w:leader="none" w:pos="660" w:val="left"/>
        </w:tabs>
        <w:numPr>
          <w:ilvl w:val="0"/>
          <w:numId w:val="666"/>
        </w:numPr>
        <w:rPr>
          <w:rFonts w:ascii="Calibri" w:cs="Calibri" w:eastAsia="Calibri" w:hAnsi="Calibri"/>
          <w:sz w:val="20"/>
          <w:szCs w:val="20"/>
          <w:color w:val="auto"/>
        </w:rPr>
      </w:pPr>
      <w:r>
        <w:rPr>
          <w:rFonts w:ascii="Calibri" w:cs="Calibri" w:eastAsia="Calibri" w:hAnsi="Calibri"/>
          <w:sz w:val="20"/>
          <w:szCs w:val="20"/>
          <w:color w:val="auto"/>
        </w:rPr>
        <w:t>radiaton-hardened by process (“</w:t>
      </w:r>
      <w:r>
        <w:rPr>
          <w:rFonts w:ascii="Calibri" w:cs="Calibri" w:eastAsia="Calibri" w:hAnsi="Calibri"/>
          <w:sz w:val="20"/>
          <w:szCs w:val="20"/>
          <w:b w:val="1"/>
          <w:bCs w:val="1"/>
          <w:color w:val="auto"/>
        </w:rPr>
        <w:t>RHBP</w:t>
      </w:r>
      <w:r>
        <w:rPr>
          <w:rFonts w:ascii="Calibri" w:cs="Calibri" w:eastAsia="Calibri" w:hAnsi="Calibri"/>
          <w:sz w:val="20"/>
          <w:szCs w:val="20"/>
          <w:color w:val="auto"/>
        </w:rPr>
        <w:t>”) Semiconductors;</w:t>
      </w:r>
    </w:p>
    <w:p>
      <w:pPr>
        <w:spacing w:after="0" w:line="170" w:lineRule="exact"/>
        <w:rPr>
          <w:rFonts w:ascii="Calibri" w:cs="Calibri" w:eastAsia="Calibri" w:hAnsi="Calibri"/>
          <w:sz w:val="20"/>
          <w:szCs w:val="20"/>
          <w:color w:val="auto"/>
        </w:rPr>
      </w:pPr>
    </w:p>
    <w:p>
      <w:pPr>
        <w:ind w:left="660" w:hanging="652"/>
        <w:spacing w:after="0" w:line="214" w:lineRule="auto"/>
        <w:tabs>
          <w:tab w:leader="none" w:pos="658" w:val="left"/>
        </w:tabs>
        <w:numPr>
          <w:ilvl w:val="0"/>
          <w:numId w:val="666"/>
        </w:numPr>
        <w:rPr>
          <w:rFonts w:ascii="Calibri" w:cs="Calibri" w:eastAsia="Calibri" w:hAnsi="Calibri"/>
          <w:sz w:val="20"/>
          <w:szCs w:val="20"/>
          <w:color w:val="auto"/>
        </w:rPr>
      </w:pPr>
      <w:r>
        <w:rPr>
          <w:rFonts w:ascii="Calibri" w:cs="Calibri" w:eastAsia="Calibri" w:hAnsi="Calibri"/>
          <w:sz w:val="20"/>
          <w:szCs w:val="20"/>
          <w:color w:val="auto"/>
        </w:rPr>
        <w:t>fully depleted silicon on insulator (“</w:t>
      </w:r>
      <w:r>
        <w:rPr>
          <w:rFonts w:ascii="Calibri" w:cs="Calibri" w:eastAsia="Calibri" w:hAnsi="Calibri"/>
          <w:sz w:val="20"/>
          <w:szCs w:val="20"/>
          <w:b w:val="1"/>
          <w:bCs w:val="1"/>
          <w:color w:val="auto"/>
        </w:rPr>
        <w:t>FD-SOI</w:t>
      </w:r>
      <w:r>
        <w:rPr>
          <w:rFonts w:ascii="Calibri" w:cs="Calibri" w:eastAsia="Calibri" w:hAnsi="Calibri"/>
          <w:sz w:val="20"/>
          <w:szCs w:val="20"/>
          <w:color w:val="auto"/>
        </w:rPr>
        <w:t>”) Semiconductors, other than with regard to Semiconductor packaging operatons with respect to such Semiconductors of a 28-nanometerer generaton or older;</w:t>
      </w:r>
    </w:p>
    <w:p>
      <w:pPr>
        <w:spacing w:after="0" w:line="175" w:lineRule="exact"/>
        <w:rPr>
          <w:rFonts w:ascii="Calibri" w:cs="Calibri" w:eastAsia="Calibri" w:hAnsi="Calibri"/>
          <w:sz w:val="20"/>
          <w:szCs w:val="20"/>
          <w:color w:val="auto"/>
        </w:rPr>
      </w:pPr>
    </w:p>
    <w:p>
      <w:pPr>
        <w:ind w:left="660" w:hanging="652"/>
        <w:spacing w:after="0"/>
        <w:tabs>
          <w:tab w:leader="none" w:pos="660" w:val="left"/>
        </w:tabs>
        <w:numPr>
          <w:ilvl w:val="0"/>
          <w:numId w:val="666"/>
        </w:numPr>
        <w:rPr>
          <w:rFonts w:ascii="Calibri" w:cs="Calibri" w:eastAsia="Calibri" w:hAnsi="Calibri"/>
          <w:sz w:val="20"/>
          <w:szCs w:val="20"/>
          <w:color w:val="auto"/>
        </w:rPr>
      </w:pPr>
      <w:r>
        <w:rPr>
          <w:rFonts w:ascii="Calibri" w:cs="Calibri" w:eastAsia="Calibri" w:hAnsi="Calibri"/>
          <w:sz w:val="20"/>
          <w:szCs w:val="20"/>
          <w:color w:val="auto"/>
        </w:rPr>
        <w:t>silicon photonic Semiconductors;</w:t>
      </w:r>
    </w:p>
    <w:p>
      <w:pPr>
        <w:spacing w:after="0" w:line="161" w:lineRule="exact"/>
        <w:rPr>
          <w:sz w:val="20"/>
          <w:szCs w:val="20"/>
          <w:color w:val="auto"/>
        </w:rPr>
      </w:pPr>
    </w:p>
    <w:p>
      <w:pPr>
        <w:ind w:left="660" w:hanging="652"/>
        <w:spacing w:after="0"/>
        <w:tabs>
          <w:tab w:leader="none" w:pos="660" w:val="left"/>
        </w:tabs>
        <w:numPr>
          <w:ilvl w:val="0"/>
          <w:numId w:val="667"/>
        </w:numPr>
        <w:rPr>
          <w:rFonts w:ascii="Calibri" w:cs="Calibri" w:eastAsia="Calibri" w:hAnsi="Calibri"/>
          <w:sz w:val="20"/>
          <w:szCs w:val="20"/>
          <w:color w:val="auto"/>
        </w:rPr>
      </w:pPr>
      <w:r>
        <w:rPr>
          <w:rFonts w:ascii="Calibri" w:cs="Calibri" w:eastAsia="Calibri" w:hAnsi="Calibri"/>
          <w:sz w:val="20"/>
          <w:szCs w:val="20"/>
          <w:color w:val="auto"/>
        </w:rPr>
        <w:t>Semiconductors designed for quantum informaton systems;</w:t>
      </w:r>
    </w:p>
    <w:p>
      <w:pPr>
        <w:sectPr>
          <w:pgSz w:w="11900" w:h="16838" w:orient="portrait"/>
          <w:cols w:equalWidth="0" w:num="1">
            <w:col w:w="11240"/>
          </w:cols>
          <w:pgMar w:left="320" w:top="1384" w:right="339" w:bottom="1440" w:gutter="0" w:footer="0" w:header="0"/>
        </w:sectPr>
      </w:pP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(ab)</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alibri" w:cs="Calibri" w:eastAsia="Calibri" w:hAnsi="Calibri"/>
          <w:sz w:val="20"/>
          <w:szCs w:val="20"/>
          <w:color w:val="auto"/>
        </w:rPr>
        <w:t>Semiconductors designed for operaton in cryogenic environments (at or below 77° Kelvin); and</w:t>
      </w:r>
    </w:p>
    <w:p>
      <w:pPr>
        <w:spacing w:after="0" w:line="174" w:lineRule="exact"/>
        <w:rPr>
          <w:sz w:val="20"/>
          <w:szCs w:val="20"/>
          <w:color w:val="auto"/>
        </w:rPr>
      </w:pPr>
    </w:p>
    <w:p>
      <w:pPr>
        <w:sectPr>
          <w:pgSz w:w="11900" w:h="16838" w:orient="portrait"/>
          <w:cols w:equalWidth="0" w:num="2">
            <w:col w:w="340" w:space="320"/>
            <w:col w:w="10580"/>
          </w:cols>
          <w:pgMar w:left="320" w:top="1384" w:right="339" w:bottom="1440" w:gutter="0" w:footer="0" w:header="0"/>
          <w:type w:val="continuous"/>
        </w:sectPr>
      </w:pPr>
    </w:p>
    <w:p>
      <w:pPr>
        <w:spacing w:after="0"/>
        <w:rPr>
          <w:sz w:val="20"/>
          <w:szCs w:val="20"/>
          <w:color w:val="auto"/>
        </w:rPr>
      </w:pPr>
      <w:r>
        <w:rPr>
          <w:rFonts w:ascii="Calibri" w:cs="Calibri" w:eastAsia="Calibri" w:hAnsi="Calibri"/>
          <w:sz w:val="20"/>
          <w:szCs w:val="20"/>
          <w:color w:val="auto"/>
        </w:rPr>
        <w:t>(ac)</w:t>
      </w:r>
    </w:p>
    <w:p>
      <w:pPr>
        <w:spacing w:after="0" w:line="20" w:lineRule="exact"/>
        <w:rPr>
          <w:sz w:val="20"/>
          <w:szCs w:val="20"/>
          <w:color w:val="auto"/>
        </w:rPr>
      </w:pPr>
      <w:r>
        <w:rPr>
          <w:sz w:val="20"/>
          <w:szCs w:val="20"/>
          <w:color w:val="auto"/>
        </w:rPr>
        <w:br w:type="column"/>
      </w:r>
    </w:p>
    <w:p>
      <w:pPr>
        <w:ind w:right="20" w:hanging="4"/>
        <w:spacing w:after="0" w:line="208" w:lineRule="auto"/>
        <w:rPr>
          <w:sz w:val="20"/>
          <w:szCs w:val="20"/>
          <w:color w:val="auto"/>
        </w:rPr>
      </w:pPr>
      <w:r>
        <w:rPr>
          <w:rFonts w:ascii="Calibri" w:cs="Calibri" w:eastAsia="Calibri" w:hAnsi="Calibri"/>
          <w:sz w:val="20"/>
          <w:szCs w:val="20"/>
          <w:color w:val="auto"/>
        </w:rPr>
        <w:t>any other Semiconductors that the Secretary, in consultaton with the Secretary of Defense and the Director of Natonal Intelligence, determines is a Semiconductor Critcal to Natonal Security and issues a public notce of that determinaton.</w:t>
      </w:r>
    </w:p>
    <w:p>
      <w:pPr>
        <w:spacing w:after="0" w:line="184" w:lineRule="exact"/>
        <w:rPr>
          <w:sz w:val="20"/>
          <w:szCs w:val="20"/>
          <w:color w:val="auto"/>
        </w:rPr>
      </w:pPr>
    </w:p>
    <w:p>
      <w:pPr>
        <w:sectPr>
          <w:pgSz w:w="11900" w:h="16838" w:orient="portrait"/>
          <w:cols w:equalWidth="0" w:num="2">
            <w:col w:w="320" w:space="340"/>
            <w:col w:w="10580"/>
          </w:cols>
          <w:pgMar w:left="320" w:top="1384" w:right="339" w:bottom="1440" w:gutter="0" w:footer="0" w:header="0"/>
          <w:type w:val="continuous"/>
        </w:sectPr>
      </w:pPr>
    </w:p>
    <w:p>
      <w:pPr>
        <w:jc w:val="both"/>
        <w:spacing w:after="0" w:line="205"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Renovatons</w:t>
      </w:r>
      <w:r>
        <w:rPr>
          <w:rFonts w:ascii="Calibri" w:cs="Calibri" w:eastAsia="Calibri" w:hAnsi="Calibri"/>
          <w:sz w:val="20"/>
          <w:szCs w:val="20"/>
          <w:color w:val="auto"/>
        </w:rPr>
        <w:t>” means building new cleanroom space or adding a producton line or other physical space to an Existng Facility that, in the aggregate during the applicable term of the required agreement, increases semiconductor manufacturing capacity by ten percent (10%) or more of the capacity memorialized in the Agreement.</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-10</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type w:val="continuous"/>
        </w:sectPr>
      </w:pPr>
    </w:p>
    <w:bookmarkStart w:id="527" w:name="page528"/>
    <w:bookmarkEnd w:id="527"/>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Signifcant Transacton</w:t>
      </w:r>
      <w:r>
        <w:rPr>
          <w:rFonts w:ascii="Calibri" w:cs="Calibri" w:eastAsia="Calibri" w:hAnsi="Calibri"/>
          <w:sz w:val="20"/>
          <w:szCs w:val="20"/>
          <w:color w:val="auto"/>
        </w:rPr>
        <w:t>” means: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 w:type="dxa"/>
            <w:vAlign w:val="bottom"/>
          </w:tcPr>
          <w:p>
            <w:pPr>
              <w:spacing w:after="0"/>
              <w:rPr>
                <w:sz w:val="20"/>
                <w:szCs w:val="20"/>
                <w:color w:val="auto"/>
              </w:rPr>
            </w:pPr>
            <w:r>
              <w:rPr>
                <w:rFonts w:ascii="Calibri" w:cs="Calibri" w:eastAsia="Calibri" w:hAnsi="Calibri"/>
                <w:sz w:val="20"/>
                <w:szCs w:val="20"/>
                <w:color w:val="auto"/>
              </w:rPr>
              <w:t>(ad)</w:t>
            </w:r>
          </w:p>
        </w:tc>
        <w:tc>
          <w:tcPr>
            <w:tcW w:w="10740" w:type="dxa"/>
            <w:vAlign w:val="bottom"/>
            <w:gridSpan w:val="2"/>
          </w:tcPr>
          <w:p>
            <w:pPr>
              <w:ind w:left="160"/>
              <w:spacing w:after="0"/>
              <w:rPr>
                <w:sz w:val="20"/>
                <w:szCs w:val="20"/>
                <w:color w:val="auto"/>
              </w:rPr>
            </w:pPr>
            <w:r>
              <w:rPr>
                <w:rFonts w:ascii="Calibri" w:cs="Calibri" w:eastAsia="Calibri" w:hAnsi="Calibri"/>
                <w:sz w:val="20"/>
                <w:szCs w:val="20"/>
                <w:color w:val="auto"/>
              </w:rPr>
              <w:t>an investment, whether proposed, pending or completed, including any capital expenditure, loan, or gif;</w:t>
            </w:r>
          </w:p>
        </w:tc>
      </w:tr>
      <w:tr>
        <w:trPr>
          <w:trHeight w:val="405"/>
        </w:trPr>
        <w:tc>
          <w:tcPr>
            <w:tcW w:w="500" w:type="dxa"/>
            <w:vAlign w:val="bottom"/>
          </w:tcPr>
          <w:p>
            <w:pPr>
              <w:spacing w:after="0"/>
              <w:rPr>
                <w:sz w:val="20"/>
                <w:szCs w:val="20"/>
                <w:color w:val="auto"/>
              </w:rPr>
            </w:pPr>
            <w:r>
              <w:rPr>
                <w:rFonts w:ascii="Calibri" w:cs="Calibri" w:eastAsia="Calibri" w:hAnsi="Calibri"/>
                <w:sz w:val="20"/>
                <w:szCs w:val="20"/>
                <w:color w:val="auto"/>
              </w:rPr>
              <w:t>(ae)</w:t>
            </w:r>
          </w:p>
        </w:tc>
        <w:tc>
          <w:tcPr>
            <w:tcW w:w="10740" w:type="dxa"/>
            <w:vAlign w:val="bottom"/>
            <w:gridSpan w:val="2"/>
          </w:tcPr>
          <w:p>
            <w:pPr>
              <w:ind w:left="160"/>
              <w:spacing w:after="0"/>
              <w:rPr>
                <w:sz w:val="20"/>
                <w:szCs w:val="20"/>
                <w:color w:val="auto"/>
              </w:rPr>
            </w:pPr>
            <w:r>
              <w:rPr>
                <w:rFonts w:ascii="Calibri" w:cs="Calibri" w:eastAsia="Calibri" w:hAnsi="Calibri"/>
                <w:sz w:val="20"/>
                <w:szCs w:val="20"/>
                <w:color w:val="auto"/>
              </w:rPr>
              <w:t>the formaton of a subsidiary;</w:t>
            </w:r>
          </w:p>
        </w:tc>
      </w:tr>
      <w:tr>
        <w:trPr>
          <w:trHeight w:val="418"/>
        </w:trPr>
        <w:tc>
          <w:tcPr>
            <w:tcW w:w="500" w:type="dxa"/>
            <w:vAlign w:val="bottom"/>
          </w:tcPr>
          <w:p>
            <w:pPr>
              <w:spacing w:after="0"/>
              <w:rPr>
                <w:sz w:val="20"/>
                <w:szCs w:val="20"/>
                <w:color w:val="auto"/>
              </w:rPr>
            </w:pPr>
            <w:r>
              <w:rPr>
                <w:rFonts w:ascii="Calibri" w:cs="Calibri" w:eastAsia="Calibri" w:hAnsi="Calibri"/>
                <w:sz w:val="20"/>
                <w:szCs w:val="20"/>
                <w:color w:val="auto"/>
              </w:rPr>
              <w:t>(af)</w:t>
            </w:r>
          </w:p>
        </w:tc>
        <w:tc>
          <w:tcPr>
            <w:tcW w:w="10740" w:type="dxa"/>
            <w:vAlign w:val="bottom"/>
            <w:gridSpan w:val="2"/>
          </w:tcPr>
          <w:p>
            <w:pPr>
              <w:ind w:left="160"/>
              <w:spacing w:after="0"/>
              <w:rPr>
                <w:sz w:val="20"/>
                <w:szCs w:val="20"/>
                <w:color w:val="auto"/>
              </w:rPr>
            </w:pPr>
            <w:r>
              <w:rPr>
                <w:rFonts w:ascii="Calibri" w:cs="Calibri" w:eastAsia="Calibri" w:hAnsi="Calibri"/>
                <w:sz w:val="20"/>
                <w:szCs w:val="20"/>
                <w:color w:val="auto"/>
              </w:rPr>
              <w:t>a merger, acquisiton, or takeover, including:</w:t>
            </w:r>
          </w:p>
        </w:tc>
      </w:tr>
      <w:tr>
        <w:trPr>
          <w:trHeight w:val="418"/>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alibri" w:cs="Calibri" w:eastAsia="Calibri" w:hAnsi="Calibri"/>
                <w:sz w:val="20"/>
                <w:szCs w:val="20"/>
                <w:color w:val="auto"/>
              </w:rPr>
              <w:t>(i)</w:t>
            </w:r>
          </w:p>
        </w:tc>
        <w:tc>
          <w:tcPr>
            <w:tcW w:w="10140" w:type="dxa"/>
            <w:vAlign w:val="bottom"/>
          </w:tcPr>
          <w:p>
            <w:pPr>
              <w:ind w:left="200"/>
              <w:spacing w:after="0"/>
              <w:rPr>
                <w:sz w:val="20"/>
                <w:szCs w:val="20"/>
                <w:color w:val="auto"/>
              </w:rPr>
            </w:pPr>
            <w:r>
              <w:rPr>
                <w:rFonts w:ascii="Calibri" w:cs="Calibri" w:eastAsia="Calibri" w:hAnsi="Calibri"/>
                <w:sz w:val="20"/>
                <w:szCs w:val="20"/>
                <w:color w:val="auto"/>
              </w:rPr>
              <w:t>the acquisiton of a new or additonal ownership interest in an entty;</w:t>
            </w:r>
          </w:p>
        </w:tc>
      </w:tr>
      <w:tr>
        <w:trPr>
          <w:trHeight w:val="405"/>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alibri" w:cs="Calibri" w:eastAsia="Calibri" w:hAnsi="Calibri"/>
                <w:sz w:val="20"/>
                <w:szCs w:val="20"/>
                <w:color w:val="auto"/>
              </w:rPr>
              <w:t>(ii)</w:t>
            </w:r>
          </w:p>
        </w:tc>
        <w:tc>
          <w:tcPr>
            <w:tcW w:w="10140" w:type="dxa"/>
            <w:vAlign w:val="bottom"/>
          </w:tcPr>
          <w:p>
            <w:pPr>
              <w:ind w:left="200"/>
              <w:spacing w:after="0"/>
              <w:rPr>
                <w:sz w:val="20"/>
                <w:szCs w:val="20"/>
                <w:color w:val="auto"/>
              </w:rPr>
            </w:pPr>
            <w:r>
              <w:rPr>
                <w:rFonts w:ascii="Calibri" w:cs="Calibri" w:eastAsia="Calibri" w:hAnsi="Calibri"/>
                <w:sz w:val="20"/>
                <w:szCs w:val="20"/>
                <w:color w:val="auto"/>
              </w:rPr>
              <w:t>the acquisiton of a material porton of the assets of an entty; or</w:t>
            </w:r>
          </w:p>
        </w:tc>
      </w:tr>
      <w:tr>
        <w:trPr>
          <w:trHeight w:val="418"/>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alibri" w:cs="Calibri" w:eastAsia="Calibri" w:hAnsi="Calibri"/>
                <w:sz w:val="20"/>
                <w:szCs w:val="20"/>
                <w:color w:val="auto"/>
              </w:rPr>
              <w:t>(iii)</w:t>
            </w:r>
          </w:p>
        </w:tc>
        <w:tc>
          <w:tcPr>
            <w:tcW w:w="10140" w:type="dxa"/>
            <w:vAlign w:val="bottom"/>
          </w:tcPr>
          <w:p>
            <w:pPr>
              <w:ind w:left="200"/>
              <w:spacing w:after="0"/>
              <w:rPr>
                <w:sz w:val="20"/>
                <w:szCs w:val="20"/>
                <w:color w:val="auto"/>
              </w:rPr>
            </w:pPr>
            <w:r>
              <w:rPr>
                <w:rFonts w:ascii="Calibri" w:cs="Calibri" w:eastAsia="Calibri" w:hAnsi="Calibri"/>
                <w:sz w:val="20"/>
                <w:szCs w:val="20"/>
                <w:color w:val="auto"/>
              </w:rPr>
              <w:t>a consolidaton; or</w:t>
            </w:r>
          </w:p>
        </w:tc>
      </w:tr>
      <w:tr>
        <w:trPr>
          <w:trHeight w:val="373"/>
        </w:trPr>
        <w:tc>
          <w:tcPr>
            <w:tcW w:w="500" w:type="dxa"/>
            <w:vAlign w:val="bottom"/>
          </w:tcPr>
          <w:p>
            <w:pPr>
              <w:spacing w:after="0"/>
              <w:rPr>
                <w:sz w:val="20"/>
                <w:szCs w:val="20"/>
                <w:color w:val="auto"/>
              </w:rPr>
            </w:pPr>
            <w:r>
              <w:rPr>
                <w:rFonts w:ascii="Calibri" w:cs="Calibri" w:eastAsia="Calibri" w:hAnsi="Calibri"/>
                <w:sz w:val="20"/>
                <w:szCs w:val="20"/>
                <w:color w:val="auto"/>
              </w:rPr>
              <w:t>(ag)</w:t>
            </w:r>
          </w:p>
        </w:tc>
        <w:tc>
          <w:tcPr>
            <w:tcW w:w="10740" w:type="dxa"/>
            <w:vAlign w:val="bottom"/>
            <w:gridSpan w:val="2"/>
          </w:tcPr>
          <w:p>
            <w:pPr>
              <w:ind w:left="160"/>
              <w:spacing w:after="0"/>
              <w:rPr>
                <w:sz w:val="20"/>
                <w:szCs w:val="20"/>
                <w:color w:val="auto"/>
              </w:rPr>
            </w:pPr>
            <w:r>
              <w:rPr>
                <w:rFonts w:ascii="Calibri" w:cs="Calibri" w:eastAsia="Calibri" w:hAnsi="Calibri"/>
                <w:sz w:val="20"/>
                <w:szCs w:val="20"/>
                <w:color w:val="auto"/>
              </w:rPr>
              <w:t>the formaton of a joint venture; including a long-term lease or concession arrangement under which a lessee (or equivalent)</w:t>
            </w:r>
          </w:p>
        </w:tc>
      </w:tr>
      <w:tr>
        <w:trPr>
          <w:trHeight w:val="234"/>
        </w:trPr>
        <w:tc>
          <w:tcPr>
            <w:tcW w:w="500" w:type="dxa"/>
            <w:vAlign w:val="bottom"/>
          </w:tcPr>
          <w:p>
            <w:pPr>
              <w:spacing w:after="0"/>
              <w:rPr>
                <w:sz w:val="20"/>
                <w:szCs w:val="20"/>
                <w:color w:val="auto"/>
              </w:rPr>
            </w:pPr>
          </w:p>
        </w:tc>
        <w:tc>
          <w:tcPr>
            <w:tcW w:w="10740" w:type="dxa"/>
            <w:vAlign w:val="bottom"/>
            <w:gridSpan w:val="2"/>
          </w:tcPr>
          <w:p>
            <w:pPr>
              <w:ind w:left="160"/>
              <w:spacing w:after="0" w:line="234" w:lineRule="exact"/>
              <w:rPr>
                <w:sz w:val="20"/>
                <w:szCs w:val="20"/>
                <w:color w:val="auto"/>
              </w:rPr>
            </w:pPr>
            <w:r>
              <w:rPr>
                <w:rFonts w:ascii="Calibri" w:cs="Calibri" w:eastAsia="Calibri" w:hAnsi="Calibri"/>
                <w:sz w:val="20"/>
                <w:szCs w:val="20"/>
                <w:color w:val="auto"/>
              </w:rPr>
              <w:t>makes substantally all business decisions concerning the operaton of a leased entty (or equivalent), as if it were the owner;</w:t>
            </w:r>
          </w:p>
        </w:tc>
      </w:tr>
      <w:tr>
        <w:trPr>
          <w:trHeight w:val="387"/>
        </w:trPr>
        <w:tc>
          <w:tcPr>
            <w:tcW w:w="500" w:type="dxa"/>
            <w:vAlign w:val="bottom"/>
          </w:tcPr>
          <w:p>
            <w:pPr>
              <w:spacing w:after="0"/>
              <w:rPr>
                <w:sz w:val="20"/>
                <w:szCs w:val="20"/>
                <w:color w:val="auto"/>
              </w:rPr>
            </w:pPr>
            <w:r>
              <w:rPr>
                <w:rFonts w:ascii="Calibri" w:cs="Calibri" w:eastAsia="Calibri" w:hAnsi="Calibri"/>
                <w:sz w:val="20"/>
                <w:szCs w:val="20"/>
                <w:color w:val="auto"/>
              </w:rPr>
              <w:t>(ah)</w:t>
            </w:r>
          </w:p>
        </w:tc>
        <w:tc>
          <w:tcPr>
            <w:tcW w:w="10740" w:type="dxa"/>
            <w:vAlign w:val="bottom"/>
            <w:gridSpan w:val="2"/>
          </w:tcPr>
          <w:p>
            <w:pPr>
              <w:ind w:left="160"/>
              <w:spacing w:after="0"/>
              <w:rPr>
                <w:sz w:val="20"/>
                <w:szCs w:val="20"/>
                <w:color w:val="auto"/>
              </w:rPr>
            </w:pPr>
            <w:r>
              <w:rPr>
                <w:rFonts w:ascii="Calibri" w:cs="Calibri" w:eastAsia="Calibri" w:hAnsi="Calibri"/>
                <w:sz w:val="20"/>
                <w:szCs w:val="20"/>
                <w:color w:val="auto"/>
              </w:rPr>
              <w:t>provided, however, that for any facility listed in Part 1 of Appendix 1 that has been designated pursuant to 15 C.F.R. § 231.101(b)</w:t>
            </w:r>
          </w:p>
        </w:tc>
      </w:tr>
      <w:tr>
        <w:trPr>
          <w:trHeight w:val="189"/>
        </w:trPr>
        <w:tc>
          <w:tcPr>
            <w:tcW w:w="500" w:type="dxa"/>
            <w:vAlign w:val="bottom"/>
          </w:tcPr>
          <w:p>
            <w:pPr>
              <w:spacing w:after="0"/>
              <w:rPr>
                <w:sz w:val="16"/>
                <w:szCs w:val="16"/>
                <w:color w:val="auto"/>
              </w:rPr>
            </w:pPr>
          </w:p>
        </w:tc>
        <w:tc>
          <w:tcPr>
            <w:tcW w:w="10740" w:type="dxa"/>
            <w:vAlign w:val="bottom"/>
            <w:gridSpan w:val="2"/>
          </w:tcPr>
          <w:p>
            <w:pPr>
              <w:ind w:left="160"/>
              <w:spacing w:after="0" w:line="189" w:lineRule="exact"/>
              <w:rPr>
                <w:sz w:val="20"/>
                <w:szCs w:val="20"/>
                <w:color w:val="auto"/>
              </w:rPr>
            </w:pPr>
            <w:r>
              <w:rPr>
                <w:rFonts w:ascii="Calibri" w:cs="Calibri" w:eastAsia="Calibri" w:hAnsi="Calibri"/>
                <w:sz w:val="20"/>
                <w:szCs w:val="20"/>
                <w:color w:val="auto"/>
              </w:rPr>
              <w:t>as an “Existng Facility”, “signifcant transacton” shall mean only those actvites or investments set forth in paragraphs (a)-(d)</w:t>
            </w:r>
          </w:p>
        </w:tc>
      </w:tr>
      <w:tr>
        <w:trPr>
          <w:trHeight w:val="234"/>
        </w:trPr>
        <w:tc>
          <w:tcPr>
            <w:tcW w:w="500" w:type="dxa"/>
            <w:vAlign w:val="bottom"/>
          </w:tcPr>
          <w:p>
            <w:pPr>
              <w:spacing w:after="0"/>
              <w:rPr>
                <w:sz w:val="20"/>
                <w:szCs w:val="20"/>
                <w:color w:val="auto"/>
              </w:rPr>
            </w:pPr>
          </w:p>
        </w:tc>
        <w:tc>
          <w:tcPr>
            <w:tcW w:w="10740" w:type="dxa"/>
            <w:vAlign w:val="bottom"/>
            <w:gridSpan w:val="2"/>
          </w:tcPr>
          <w:p>
            <w:pPr>
              <w:ind w:left="160"/>
              <w:spacing w:after="0" w:line="234" w:lineRule="exact"/>
              <w:rPr>
                <w:sz w:val="20"/>
                <w:szCs w:val="20"/>
                <w:color w:val="auto"/>
              </w:rPr>
            </w:pPr>
            <w:r>
              <w:rPr>
                <w:rFonts w:ascii="Calibri" w:cs="Calibri" w:eastAsia="Calibri" w:hAnsi="Calibri"/>
                <w:sz w:val="20"/>
                <w:szCs w:val="20"/>
                <w:color w:val="auto"/>
              </w:rPr>
              <w:t>above that occur afer such facility has been built, equipped, and is operatng.</w:t>
            </w:r>
          </w:p>
        </w:tc>
      </w:tr>
    </w:tbl>
    <w:p>
      <w:pPr>
        <w:spacing w:after="0" w:line="184" w:lineRule="exact"/>
        <w:rPr>
          <w:sz w:val="20"/>
          <w:szCs w:val="20"/>
          <w:color w:val="auto"/>
        </w:rPr>
      </w:pPr>
    </w:p>
    <w:p>
      <w:pPr>
        <w:jc w:val="both"/>
        <w:ind w:right="20"/>
        <w:spacing w:after="0" w:line="214" w:lineRule="auto"/>
        <w:rPr>
          <w:sz w:val="20"/>
          <w:szCs w:val="20"/>
          <w:color w:val="auto"/>
        </w:rPr>
      </w:pPr>
      <w:r>
        <w:rPr>
          <w:rFonts w:ascii="Calibri" w:cs="Calibri" w:eastAsia="Calibri" w:hAnsi="Calibri"/>
          <w:sz w:val="20"/>
          <w:szCs w:val="20"/>
          <w:b w:val="1"/>
          <w:bCs w:val="1"/>
          <w:color w:val="auto"/>
        </w:rPr>
        <w:t xml:space="preserve">"Specifed Technology or Product” </w:t>
      </w:r>
      <w:r>
        <w:rPr>
          <w:rFonts w:ascii="Calibri" w:cs="Calibri" w:eastAsia="Calibri" w:hAnsi="Calibri"/>
          <w:sz w:val="20"/>
          <w:szCs w:val="20"/>
          <w:color w:val="auto"/>
        </w:rPr>
        <w:t>means any Technology or Product that Raises Natonal Security Concerns that is designed,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manufactured or assembled at the/a Project.</w:t>
      </w:r>
    </w:p>
    <w:p>
      <w:pPr>
        <w:spacing w:after="0" w:line="16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Licensing</w:t>
      </w:r>
      <w:r>
        <w:rPr>
          <w:rFonts w:ascii="Calibri" w:cs="Calibri" w:eastAsia="Calibri" w:hAnsi="Calibri"/>
          <w:sz w:val="20"/>
          <w:szCs w:val="20"/>
          <w:color w:val="auto"/>
        </w:rPr>
        <w:t>” means: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0" w:type="dxa"/>
            <w:vAlign w:val="bottom"/>
          </w:tcPr>
          <w:p>
            <w:pPr>
              <w:spacing w:after="0"/>
              <w:rPr>
                <w:sz w:val="20"/>
                <w:szCs w:val="20"/>
                <w:color w:val="auto"/>
              </w:rPr>
            </w:pPr>
            <w:r>
              <w:rPr>
                <w:rFonts w:ascii="Calibri" w:cs="Calibri" w:eastAsia="Calibri" w:hAnsi="Calibri"/>
                <w:sz w:val="20"/>
                <w:szCs w:val="20"/>
                <w:color w:val="auto"/>
              </w:rPr>
              <w:t>(ai)</w:t>
            </w:r>
          </w:p>
        </w:tc>
        <w:tc>
          <w:tcPr>
            <w:tcW w:w="10780" w:type="dxa"/>
            <w:vAlign w:val="bottom"/>
            <w:gridSpan w:val="2"/>
          </w:tcPr>
          <w:p>
            <w:pPr>
              <w:ind w:left="200"/>
              <w:spacing w:after="0"/>
              <w:rPr>
                <w:sz w:val="20"/>
                <w:szCs w:val="20"/>
                <w:color w:val="auto"/>
              </w:rPr>
            </w:pPr>
            <w:r>
              <w:rPr>
                <w:rFonts w:ascii="Calibri" w:cs="Calibri" w:eastAsia="Calibri" w:hAnsi="Calibri"/>
                <w:sz w:val="20"/>
                <w:szCs w:val="20"/>
                <w:color w:val="auto"/>
              </w:rPr>
              <w:t>An express or implied contractual agreement in which the rights owned by, licensed to or otherwise lawfully available to one</w:t>
            </w:r>
          </w:p>
        </w:tc>
      </w:tr>
      <w:tr>
        <w:trPr>
          <w:trHeight w:val="234"/>
        </w:trPr>
        <w:tc>
          <w:tcPr>
            <w:tcW w:w="460" w:type="dxa"/>
            <w:vAlign w:val="bottom"/>
          </w:tcPr>
          <w:p>
            <w:pPr>
              <w:spacing w:after="0"/>
              <w:rPr>
                <w:sz w:val="20"/>
                <w:szCs w:val="20"/>
                <w:color w:val="auto"/>
              </w:rPr>
            </w:pPr>
          </w:p>
        </w:tc>
        <w:tc>
          <w:tcPr>
            <w:tcW w:w="10780" w:type="dxa"/>
            <w:vAlign w:val="bottom"/>
            <w:gridSpan w:val="2"/>
          </w:tcPr>
          <w:p>
            <w:pPr>
              <w:ind w:left="200"/>
              <w:spacing w:after="0" w:line="234" w:lineRule="exact"/>
              <w:rPr>
                <w:sz w:val="20"/>
                <w:szCs w:val="20"/>
                <w:color w:val="auto"/>
              </w:rPr>
            </w:pPr>
            <w:r>
              <w:rPr>
                <w:rFonts w:ascii="Calibri" w:cs="Calibri" w:eastAsia="Calibri" w:hAnsi="Calibri"/>
                <w:sz w:val="20"/>
                <w:szCs w:val="20"/>
                <w:color w:val="auto"/>
              </w:rPr>
              <w:t>party in any, trade secrets or knowhow are sold, licensed or otherwise made available to another party.</w:t>
            </w:r>
          </w:p>
        </w:tc>
      </w:tr>
      <w:tr>
        <w:trPr>
          <w:trHeight w:val="405"/>
        </w:trPr>
        <w:tc>
          <w:tcPr>
            <w:tcW w:w="460" w:type="dxa"/>
            <w:vAlign w:val="bottom"/>
          </w:tcPr>
          <w:p>
            <w:pPr>
              <w:spacing w:after="0"/>
              <w:rPr>
                <w:sz w:val="20"/>
                <w:szCs w:val="20"/>
                <w:color w:val="auto"/>
              </w:rPr>
            </w:pPr>
            <w:r>
              <w:rPr>
                <w:rFonts w:ascii="Calibri" w:cs="Calibri" w:eastAsia="Calibri" w:hAnsi="Calibri"/>
                <w:sz w:val="20"/>
                <w:szCs w:val="20"/>
                <w:color w:val="auto"/>
              </w:rPr>
              <w:t>(aj)</w:t>
            </w:r>
          </w:p>
        </w:tc>
        <w:tc>
          <w:tcPr>
            <w:tcW w:w="10780" w:type="dxa"/>
            <w:vAlign w:val="bottom"/>
            <w:gridSpan w:val="2"/>
          </w:tcPr>
          <w:p>
            <w:pPr>
              <w:ind w:left="200"/>
              <w:spacing w:after="0"/>
              <w:rPr>
                <w:sz w:val="20"/>
                <w:szCs w:val="20"/>
                <w:color w:val="auto"/>
              </w:rPr>
            </w:pPr>
            <w:r>
              <w:rPr>
                <w:rFonts w:ascii="Calibri" w:cs="Calibri" w:eastAsia="Calibri" w:hAnsi="Calibri"/>
                <w:sz w:val="20"/>
                <w:szCs w:val="20"/>
                <w:color w:val="auto"/>
              </w:rPr>
              <w:t>Notwithstanding paragraph (a), the following is not Technology Licensing:</w:t>
            </w:r>
          </w:p>
        </w:tc>
      </w:tr>
      <w:tr>
        <w:trPr>
          <w:trHeight w:val="418"/>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(i)</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licensing of patents, including licenses related to standard essental patents or cross licensing actvites;</w:t>
            </w:r>
          </w:p>
        </w:tc>
      </w:tr>
      <w:tr>
        <w:trPr>
          <w:trHeight w:val="373"/>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(ii)</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licensing or transfer agreements conducted exclusively between a Recipient and Related Enttes, or between or among</w:t>
            </w: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20" w:type="dxa"/>
            <w:vAlign w:val="bottom"/>
          </w:tcPr>
          <w:p>
            <w:pPr>
              <w:ind w:left="180"/>
              <w:spacing w:after="0" w:line="234" w:lineRule="exact"/>
              <w:rPr>
                <w:sz w:val="20"/>
                <w:szCs w:val="20"/>
                <w:color w:val="auto"/>
              </w:rPr>
            </w:pPr>
            <w:r>
              <w:rPr>
                <w:rFonts w:ascii="Calibri" w:cs="Calibri" w:eastAsia="Calibri" w:hAnsi="Calibri"/>
                <w:sz w:val="20"/>
                <w:szCs w:val="20"/>
                <w:color w:val="auto"/>
              </w:rPr>
              <w:t>Related Enttes of the Recipient;</w:t>
            </w:r>
          </w:p>
        </w:tc>
      </w:tr>
      <w:tr>
        <w:trPr>
          <w:trHeight w:val="419"/>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(iii)</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a standards-related actvity (as such term is defned in 15 CFR Part 772);</w:t>
            </w:r>
          </w:p>
        </w:tc>
      </w:tr>
      <w:tr>
        <w:trPr>
          <w:trHeight w:val="373"/>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(iv)</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agreements that grant patent rights only with respect to “published informaton” and no proprietary informaton is</w:t>
            </w: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20" w:type="dxa"/>
            <w:vAlign w:val="bottom"/>
          </w:tcPr>
          <w:p>
            <w:pPr>
              <w:ind w:left="180"/>
              <w:spacing w:after="0" w:line="234" w:lineRule="exact"/>
              <w:rPr>
                <w:sz w:val="20"/>
                <w:szCs w:val="20"/>
                <w:color w:val="auto"/>
              </w:rPr>
            </w:pPr>
            <w:r>
              <w:rPr>
                <w:rFonts w:ascii="Calibri" w:cs="Calibri" w:eastAsia="Calibri" w:hAnsi="Calibri"/>
                <w:sz w:val="20"/>
                <w:szCs w:val="20"/>
                <w:color w:val="auto"/>
              </w:rPr>
              <w:t>shared;</w:t>
            </w:r>
          </w:p>
        </w:tc>
      </w:tr>
      <w:tr>
        <w:trPr>
          <w:trHeight w:val="373"/>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(v)</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an implied or general intellectual property license relatng to the use of a product that is sold by a Recipient or Related</w:t>
            </w: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20" w:type="dxa"/>
            <w:vAlign w:val="bottom"/>
          </w:tcPr>
          <w:p>
            <w:pPr>
              <w:ind w:left="180"/>
              <w:spacing w:after="0" w:line="234" w:lineRule="exact"/>
              <w:rPr>
                <w:sz w:val="20"/>
                <w:szCs w:val="20"/>
                <w:color w:val="auto"/>
              </w:rPr>
            </w:pPr>
            <w:r>
              <w:rPr>
                <w:rFonts w:ascii="Calibri" w:cs="Calibri" w:eastAsia="Calibri" w:hAnsi="Calibri"/>
                <w:sz w:val="20"/>
                <w:szCs w:val="20"/>
                <w:color w:val="auto"/>
              </w:rPr>
              <w:t>Enttes;</w:t>
            </w:r>
          </w:p>
        </w:tc>
      </w:tr>
      <w:tr>
        <w:trPr>
          <w:trHeight w:val="387"/>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(vi)</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Technology Licensing related to a manufacturing process for an existng product solely to enable use of assembly, test, or</w:t>
            </w: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20" w:type="dxa"/>
            <w:vAlign w:val="bottom"/>
          </w:tcPr>
          <w:p>
            <w:pPr>
              <w:ind w:left="180"/>
              <w:spacing w:after="0" w:line="234" w:lineRule="exact"/>
              <w:rPr>
                <w:sz w:val="20"/>
                <w:szCs w:val="20"/>
                <w:color w:val="auto"/>
              </w:rPr>
            </w:pPr>
            <w:r>
              <w:rPr>
                <w:rFonts w:ascii="Calibri" w:cs="Calibri" w:eastAsia="Calibri" w:hAnsi="Calibri"/>
                <w:sz w:val="20"/>
                <w:szCs w:val="20"/>
                <w:color w:val="auto"/>
              </w:rPr>
              <w:t>packaging services for integrated circuits;</w:t>
            </w:r>
          </w:p>
        </w:tc>
      </w:tr>
      <w:tr>
        <w:trPr>
          <w:trHeight w:val="373"/>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Calibri" w:cs="Calibri" w:eastAsia="Calibri" w:hAnsi="Calibri"/>
                <w:sz w:val="20"/>
                <w:szCs w:val="20"/>
                <w:color w:val="auto"/>
              </w:rPr>
              <w:t>(vii)</w:t>
            </w:r>
          </w:p>
        </w:tc>
        <w:tc>
          <w:tcPr>
            <w:tcW w:w="10120" w:type="dxa"/>
            <w:vAlign w:val="bottom"/>
          </w:tcPr>
          <w:p>
            <w:pPr>
              <w:ind w:left="180"/>
              <w:spacing w:after="0"/>
              <w:rPr>
                <w:sz w:val="20"/>
                <w:szCs w:val="20"/>
                <w:color w:val="auto"/>
              </w:rPr>
            </w:pPr>
            <w:r>
              <w:rPr>
                <w:rFonts w:ascii="Calibri" w:cs="Calibri" w:eastAsia="Calibri" w:hAnsi="Calibri"/>
                <w:sz w:val="20"/>
                <w:szCs w:val="20"/>
                <w:color w:val="auto"/>
              </w:rPr>
              <w:t>Technology Licensing involving two or more enttes to establish or apply a drawing, design, or related specifcaton for a</w:t>
            </w: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20" w:type="dxa"/>
            <w:vAlign w:val="bottom"/>
          </w:tcPr>
          <w:p>
            <w:pPr>
              <w:ind w:left="180"/>
              <w:spacing w:after="0" w:line="234" w:lineRule="exact"/>
              <w:rPr>
                <w:sz w:val="20"/>
                <w:szCs w:val="20"/>
                <w:color w:val="auto"/>
              </w:rPr>
            </w:pPr>
            <w:r>
              <w:rPr>
                <w:rFonts w:ascii="Calibri" w:cs="Calibri" w:eastAsia="Calibri" w:hAnsi="Calibri"/>
                <w:sz w:val="20"/>
                <w:szCs w:val="20"/>
                <w:color w:val="auto"/>
              </w:rPr>
              <w:t>product to be purchased and sold between or among such enttes;</w:t>
            </w:r>
          </w:p>
        </w:tc>
      </w:tr>
    </w:tbl>
    <w:p>
      <w:pPr>
        <w:spacing w:after="0" w:line="200" w:lineRule="exact"/>
        <w:rPr>
          <w:sz w:val="20"/>
          <w:szCs w:val="20"/>
          <w:color w:val="auto"/>
        </w:rPr>
      </w:pPr>
    </w:p>
    <w:p>
      <w:pPr>
        <w:spacing w:after="0" w:line="292"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-11</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28" w:name="page529"/>
    <w:bookmarkEnd w:id="528"/>
    <w:p>
      <w:pPr>
        <w:ind w:left="1300" w:hanging="644"/>
        <w:spacing w:after="0"/>
        <w:tabs>
          <w:tab w:leader="none" w:pos="1300" w:val="left"/>
        </w:tabs>
        <w:numPr>
          <w:ilvl w:val="0"/>
          <w:numId w:val="668"/>
        </w:numPr>
        <w:rPr>
          <w:rFonts w:ascii="Calibri" w:cs="Calibri" w:eastAsia="Calibri" w:hAnsi="Calibri"/>
          <w:sz w:val="20"/>
          <w:szCs w:val="20"/>
          <w:color w:val="auto"/>
        </w:rPr>
      </w:pPr>
      <w:r>
        <w:rPr>
          <w:rFonts w:ascii="Calibri" w:cs="Calibri" w:eastAsia="Calibri" w:hAnsi="Calibri"/>
          <w:sz w:val="20"/>
          <w:szCs w:val="20"/>
          <w:color w:val="auto"/>
        </w:rPr>
        <w:t>warranty, service, and customer support performed by a Recipient or an entty that is a Related Entty of a Recipient; and</w:t>
      </w:r>
    </w:p>
    <w:p>
      <w:pPr>
        <w:spacing w:after="0" w:line="184" w:lineRule="exact"/>
        <w:rPr>
          <w:rFonts w:ascii="Calibri" w:cs="Calibri" w:eastAsia="Calibri" w:hAnsi="Calibri"/>
          <w:sz w:val="20"/>
          <w:szCs w:val="20"/>
          <w:color w:val="auto"/>
        </w:rPr>
      </w:pPr>
    </w:p>
    <w:p>
      <w:pPr>
        <w:ind w:left="1300" w:hanging="644"/>
        <w:spacing w:after="0" w:line="208" w:lineRule="auto"/>
        <w:tabs>
          <w:tab w:leader="none" w:pos="1300" w:val="left"/>
        </w:tabs>
        <w:numPr>
          <w:ilvl w:val="0"/>
          <w:numId w:val="668"/>
        </w:numPr>
        <w:rPr>
          <w:rFonts w:ascii="Calibri" w:cs="Calibri" w:eastAsia="Calibri" w:hAnsi="Calibri"/>
          <w:sz w:val="20"/>
          <w:szCs w:val="20"/>
          <w:color w:val="auto"/>
        </w:rPr>
      </w:pPr>
      <w:r>
        <w:rPr>
          <w:rFonts w:ascii="Calibri" w:cs="Calibri" w:eastAsia="Calibri" w:hAnsi="Calibri"/>
          <w:sz w:val="20"/>
          <w:szCs w:val="20"/>
          <w:color w:val="auto"/>
        </w:rPr>
        <w:t>disclosures of technical informaton to a customer solely for the design of integrated circuits to be manufactured by the funding recipient for that customer.</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Technology or Product that Raises Natonal Security Concerns</w:t>
      </w:r>
      <w:r>
        <w:rPr>
          <w:rFonts w:ascii="Calibri" w:cs="Calibri" w:eastAsia="Calibri" w:hAnsi="Calibri"/>
          <w:sz w:val="20"/>
          <w:szCs w:val="20"/>
          <w:color w:val="auto"/>
        </w:rPr>
        <w:t>” means:</w:t>
      </w:r>
    </w:p>
    <w:p>
      <w:pPr>
        <w:spacing w:after="0" w:line="174" w:lineRule="exact"/>
        <w:rPr>
          <w:sz w:val="20"/>
          <w:szCs w:val="20"/>
          <w:color w:val="auto"/>
        </w:rPr>
      </w:pPr>
    </w:p>
    <w:p>
      <w:pPr>
        <w:ind w:left="660" w:hanging="652"/>
        <w:spacing w:after="0"/>
        <w:tabs>
          <w:tab w:leader="none" w:pos="660" w:val="left"/>
        </w:tabs>
        <w:numPr>
          <w:ilvl w:val="0"/>
          <w:numId w:val="669"/>
        </w:numPr>
        <w:rPr>
          <w:rFonts w:ascii="Calibri" w:cs="Calibri" w:eastAsia="Calibri" w:hAnsi="Calibri"/>
          <w:sz w:val="20"/>
          <w:szCs w:val="20"/>
          <w:color w:val="auto"/>
        </w:rPr>
      </w:pPr>
      <w:r>
        <w:rPr>
          <w:rFonts w:ascii="Calibri" w:cs="Calibri" w:eastAsia="Calibri" w:hAnsi="Calibri"/>
          <w:sz w:val="20"/>
          <w:szCs w:val="20"/>
          <w:color w:val="auto"/>
        </w:rPr>
        <w:t>any Semiconductor Critcal to Natonal Security;</w:t>
      </w:r>
    </w:p>
    <w:p>
      <w:pPr>
        <w:spacing w:after="0" w:line="170" w:lineRule="exact"/>
        <w:rPr>
          <w:rFonts w:ascii="Calibri" w:cs="Calibri" w:eastAsia="Calibri" w:hAnsi="Calibri"/>
          <w:sz w:val="20"/>
          <w:szCs w:val="20"/>
          <w:color w:val="auto"/>
        </w:rPr>
      </w:pPr>
    </w:p>
    <w:p>
      <w:pPr>
        <w:jc w:val="both"/>
        <w:ind w:left="660" w:hanging="652"/>
        <w:spacing w:after="0" w:line="209" w:lineRule="auto"/>
        <w:tabs>
          <w:tab w:leader="none" w:pos="660" w:val="left"/>
        </w:tabs>
        <w:numPr>
          <w:ilvl w:val="0"/>
          <w:numId w:val="669"/>
        </w:numPr>
        <w:rPr>
          <w:rFonts w:ascii="Calibri" w:cs="Calibri" w:eastAsia="Calibri" w:hAnsi="Calibri"/>
          <w:sz w:val="20"/>
          <w:szCs w:val="20"/>
          <w:color w:val="auto"/>
        </w:rPr>
      </w:pPr>
      <w:r>
        <w:rPr>
          <w:rFonts w:ascii="Calibri" w:cs="Calibri" w:eastAsia="Calibri" w:hAnsi="Calibri"/>
          <w:sz w:val="20"/>
          <w:szCs w:val="20"/>
          <w:color w:val="auto"/>
        </w:rPr>
        <w:t>any item listed in Category 3 of the Commerce Control List (supplement no. 1 to Part 774 of the Export Administraton Regulatons, 15 CFR § 774) that is controlled for Natonal Security (“</w:t>
      </w:r>
      <w:r>
        <w:rPr>
          <w:rFonts w:ascii="Calibri" w:cs="Calibri" w:eastAsia="Calibri" w:hAnsi="Calibri"/>
          <w:sz w:val="20"/>
          <w:szCs w:val="20"/>
          <w:b w:val="1"/>
          <w:bCs w:val="1"/>
          <w:color w:val="auto"/>
        </w:rPr>
        <w:t>NS</w:t>
      </w:r>
      <w:r>
        <w:rPr>
          <w:rFonts w:ascii="Calibri" w:cs="Calibri" w:eastAsia="Calibri" w:hAnsi="Calibri"/>
          <w:sz w:val="20"/>
          <w:szCs w:val="20"/>
          <w:color w:val="auto"/>
        </w:rPr>
        <w:t>”) reasons, as described in 15 CFR § 742.4, or Regional Stability (“</w:t>
      </w:r>
      <w:r>
        <w:rPr>
          <w:rFonts w:ascii="Calibri" w:cs="Calibri" w:eastAsia="Calibri" w:hAnsi="Calibri"/>
          <w:sz w:val="20"/>
          <w:szCs w:val="20"/>
          <w:b w:val="1"/>
          <w:bCs w:val="1"/>
          <w:color w:val="auto"/>
        </w:rPr>
        <w:t>RS</w:t>
      </w:r>
      <w:r>
        <w:rPr>
          <w:rFonts w:ascii="Calibri" w:cs="Calibri" w:eastAsia="Calibri" w:hAnsi="Calibri"/>
          <w:sz w:val="20"/>
          <w:szCs w:val="20"/>
          <w:color w:val="auto"/>
        </w:rPr>
        <w:t>”) reasons, as described in 15 CFR § 742.6; and</w:t>
      </w:r>
    </w:p>
    <w:p>
      <w:pPr>
        <w:spacing w:after="0" w:line="172" w:lineRule="exact"/>
        <w:rPr>
          <w:rFonts w:ascii="Calibri" w:cs="Calibri" w:eastAsia="Calibri" w:hAnsi="Calibri"/>
          <w:sz w:val="20"/>
          <w:szCs w:val="20"/>
          <w:color w:val="auto"/>
        </w:rPr>
      </w:pPr>
    </w:p>
    <w:p>
      <w:pPr>
        <w:ind w:left="660" w:hanging="652"/>
        <w:spacing w:after="0" w:line="214" w:lineRule="auto"/>
        <w:tabs>
          <w:tab w:leader="none" w:pos="652" w:val="left"/>
        </w:tabs>
        <w:numPr>
          <w:ilvl w:val="0"/>
          <w:numId w:val="669"/>
        </w:numPr>
        <w:rPr>
          <w:rFonts w:ascii="Calibri" w:cs="Calibri" w:eastAsia="Calibri" w:hAnsi="Calibri"/>
          <w:sz w:val="20"/>
          <w:szCs w:val="20"/>
          <w:color w:val="auto"/>
        </w:rPr>
      </w:pPr>
      <w:r>
        <w:rPr>
          <w:rFonts w:ascii="Calibri" w:cs="Calibri" w:eastAsia="Calibri" w:hAnsi="Calibri"/>
          <w:sz w:val="20"/>
          <w:szCs w:val="20"/>
          <w:color w:val="auto"/>
        </w:rPr>
        <w:t>any other technology or product that the Secretary determines raises natonal security concerns and provides notce of the same in the Federal Register.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-12</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29" w:name="page530"/>
    <w:bookmarkEnd w:id="529"/>
    <w:p>
      <w:pPr>
        <w:jc w:val="center"/>
        <w:spacing w:after="0"/>
        <w:rPr>
          <w:sz w:val="20"/>
          <w:szCs w:val="20"/>
          <w:color w:val="auto"/>
        </w:rPr>
      </w:pPr>
      <w:r>
        <w:rPr>
          <w:rFonts w:ascii="Calibri" w:cs="Calibri" w:eastAsia="Calibri" w:hAnsi="Calibri"/>
          <w:sz w:val="20"/>
          <w:szCs w:val="20"/>
          <w:b w:val="1"/>
          <w:bCs w:val="1"/>
          <w:color w:val="auto"/>
        </w:rPr>
        <w:t>Appendix 1</w:t>
      </w:r>
    </w:p>
    <w:p>
      <w:pPr>
        <w:spacing w:after="0" w:line="18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Recipient hereby represents and warrants that the informaton provided to the Department in connecton with this Appendix 1 is true, accurate and complete as of the date hereof.</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 1 - Existng Facilites</w:t>
      </w: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The Department has identfed the following Existng Facilites based on informaton disclosed by the Recipient and relied upon by the</w:t>
      </w:r>
    </w:p>
    <w:p>
      <w:pPr>
        <w:spacing w:after="0" w:line="238" w:lineRule="auto"/>
        <w:rPr>
          <w:sz w:val="20"/>
          <w:szCs w:val="20"/>
          <w:color w:val="auto"/>
        </w:rPr>
      </w:pPr>
      <w:r>
        <w:rPr>
          <w:rFonts w:ascii="Calibri" w:cs="Calibri" w:eastAsia="Calibri" w:hAnsi="Calibri"/>
          <w:sz w:val="20"/>
          <w:szCs w:val="20"/>
          <w:color w:val="auto"/>
        </w:rPr>
        <w:t>Department:</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 2 - Joint Research or Technology Licensing of Recipient.</w:t>
      </w:r>
    </w:p>
    <w:p>
      <w:pPr>
        <w:spacing w:after="0" w:line="211"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Department has identfed the following Joint Research or Technology Licensing of the Recipient based on informaton disclosed by the Recipient and relied upon by the Department as of the date hereof:</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 3 - Joint Research or Technology Licensing of Related Enttes.</w:t>
      </w:r>
    </w:p>
    <w:p>
      <w:pPr>
        <w:spacing w:after="0" w:line="211"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Department has identfed the following Joint Research or Technology Licensing of the Related Enttes based on informaton disclosed by the Recipient and relied upon by the Department as of the date hereof:</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 4 - Members of the Afliated Group.</w:t>
      </w:r>
    </w:p>
    <w:p>
      <w:pPr>
        <w:spacing w:after="0" w:line="211"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Department has identfed the following Members of the Afliated Group, based on informaton disclosed by the Recipient and relied upon by the Department as of the date hereof: [***]</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Part 5 - Related Enttes Subject to Secton 3 of Annex C (Guardrail Provisions)</w:t>
      </w:r>
      <w:r>
        <w:rPr>
          <w:rFonts w:ascii="Calibri" w:cs="Calibri" w:eastAsia="Calibri" w:hAnsi="Calibri"/>
          <w:sz w:val="20"/>
          <w:szCs w:val="20"/>
          <w:color w:val="auto"/>
        </w:rPr>
        <w:t>.</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The Department has determined that the following Related Enttes are subject to Secton 3 of Annex C (</w:t>
      </w: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 based on informaton disclosed by the Recipient and relied upon by the Department as of the date hereof:</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92"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-13</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30" w:name="page531"/>
    <w:bookmarkEnd w:id="530"/>
    <w:p>
      <w:pPr>
        <w:ind w:left="4980"/>
        <w:spacing w:after="0"/>
        <w:rPr>
          <w:sz w:val="20"/>
          <w:szCs w:val="20"/>
          <w:color w:val="auto"/>
        </w:rPr>
      </w:pPr>
      <w:r>
        <w:rPr>
          <w:rFonts w:ascii="Calibri" w:cs="Calibri" w:eastAsia="Calibri" w:hAnsi="Calibri"/>
          <w:sz w:val="20"/>
          <w:szCs w:val="20"/>
          <w:b w:val="1"/>
          <w:bCs w:val="1"/>
          <w:color w:val="auto"/>
        </w:rPr>
        <w:t>Annex D</w:t>
      </w:r>
    </w:p>
    <w:p>
      <w:pPr>
        <w:ind w:left="4480"/>
        <w:spacing w:after="0" w:line="199" w:lineRule="auto"/>
        <w:rPr>
          <w:sz w:val="20"/>
          <w:szCs w:val="20"/>
          <w:color w:val="auto"/>
        </w:rPr>
      </w:pPr>
      <w:r>
        <w:rPr>
          <w:rFonts w:ascii="Calibri" w:cs="Calibri" w:eastAsia="Calibri" w:hAnsi="Calibri"/>
          <w:sz w:val="20"/>
          <w:szCs w:val="20"/>
          <w:b w:val="1"/>
          <w:bCs w:val="1"/>
          <w:color w:val="auto"/>
        </w:rPr>
        <w:t>PROGRAM REQUIREMENTS</w:t>
      </w:r>
    </w:p>
    <w:p>
      <w:pPr>
        <w:spacing w:after="0" w:line="184"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The Program Requirements shall apply through the applicable Period of Performance, unless otherwise specifed. The Program Requirements set forth in Secton 2 (</w:t>
      </w:r>
      <w:r>
        <w:rPr>
          <w:rFonts w:ascii="Calibri" w:cs="Calibri" w:eastAsia="Calibri" w:hAnsi="Calibri"/>
          <w:sz w:val="20"/>
          <w:szCs w:val="20"/>
          <w:b w:val="1"/>
          <w:bCs w:val="1"/>
          <w:color w:val="auto"/>
        </w:rPr>
        <w:t>Program Requirements Not Subject to Cure Period</w:t>
      </w:r>
      <w:r>
        <w:rPr>
          <w:rFonts w:ascii="Calibri" w:cs="Calibri" w:eastAsia="Calibri" w:hAnsi="Calibri"/>
          <w:sz w:val="20"/>
          <w:szCs w:val="20"/>
          <w:color w:val="auto"/>
        </w:rPr>
        <w:t>) shall not be subject to a cure period. The Program Requirements set forth in Secton 3 (</w:t>
      </w:r>
      <w:r>
        <w:rPr>
          <w:rFonts w:ascii="Calibri" w:cs="Calibri" w:eastAsia="Calibri" w:hAnsi="Calibri"/>
          <w:sz w:val="20"/>
          <w:szCs w:val="20"/>
          <w:b w:val="1"/>
          <w:bCs w:val="1"/>
          <w:color w:val="auto"/>
        </w:rPr>
        <w:t>Program Requirements Subject to Cure Period</w:t>
      </w:r>
      <w:r>
        <w:rPr>
          <w:rFonts w:ascii="Calibri" w:cs="Calibri" w:eastAsia="Calibri" w:hAnsi="Calibri"/>
          <w:sz w:val="20"/>
          <w:szCs w:val="20"/>
          <w:color w:val="auto"/>
        </w:rPr>
        <w:t>) shall be subject to a forty-fve (45) day cure period. Any waiver of a breach of any such Program Requirement shall be subject to the prior writen consent of the Department. The applicable Recipient may request such a waiver upon submission of a proposed correctve acton plan to the Department.</w:t>
      </w:r>
    </w:p>
    <w:p>
      <w:pPr>
        <w:spacing w:after="0" w:line="9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DEFINED TERMS</w:t>
      </w:r>
    </w:p>
    <w:p>
      <w:pPr>
        <w:spacing w:after="0" w:line="198"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DRAM Wafer Expansion Capital Expenditures</w:t>
      </w:r>
      <w:r>
        <w:rPr>
          <w:rFonts w:ascii="Calibri" w:cs="Calibri" w:eastAsia="Calibri" w:hAnsi="Calibri"/>
          <w:sz w:val="20"/>
          <w:szCs w:val="20"/>
          <w:color w:val="auto"/>
        </w:rPr>
        <w:t>” means the Sponsor Guarantor and its Consolidated Subsidiaries’ capital expenditures to build and equip new cleanroom space that is built or acquired afer the Award Date (untl such cleanroom space is fully ramped) to increase DRAM Semiconductor Manufacturing Capacity in terms of wafer starts per year; provided, that DRAM Wafer Expansion Capital Expenditures shall exclude capital expenditures related to capacity expansion due to technology node transitons.</w:t>
      </w:r>
    </w:p>
    <w:p>
      <w:pPr>
        <w:spacing w:after="0" w:line="9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EBITDA</w:t>
      </w:r>
      <w:r>
        <w:rPr>
          <w:rFonts w:ascii="Calibri" w:cs="Calibri" w:eastAsia="Calibri" w:hAnsi="Calibri"/>
          <w:sz w:val="20"/>
          <w:szCs w:val="20"/>
          <w:color w:val="auto"/>
        </w:rPr>
        <w:t>” means, for any Measurement Period, (a) Consolidated EBITDA minus (b) any direct government incentves provided by the U.S. federal government under the CHIPS Incentves Program and similar U.S. government programs commenced afer the Award Date to the extent added to consolidated net income in Consolidated EBITDA.</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“Facility Stafng Targets</w:t>
      </w:r>
      <w:r>
        <w:rPr>
          <w:rFonts w:ascii="Calibri" w:cs="Calibri" w:eastAsia="Calibri" w:hAnsi="Calibri"/>
          <w:sz w:val="20"/>
          <w:szCs w:val="20"/>
          <w:color w:val="auto"/>
        </w:rPr>
        <w:t>” has the meaning set forth in Secton 2.2 (</w:t>
      </w:r>
      <w:r>
        <w:rPr>
          <w:rFonts w:ascii="Calibri" w:cs="Calibri" w:eastAsia="Calibri" w:hAnsi="Calibri"/>
          <w:sz w:val="20"/>
          <w:szCs w:val="20"/>
          <w:b w:val="1"/>
          <w:bCs w:val="1"/>
          <w:color w:val="auto"/>
        </w:rPr>
        <w:t>Workforce</w:t>
      </w:r>
      <w:r>
        <w:rPr>
          <w:rFonts w:ascii="Calibri" w:cs="Calibri" w:eastAsia="Calibri" w:hAnsi="Calibri"/>
          <w:sz w:val="20"/>
          <w:szCs w:val="20"/>
          <w:color w:val="auto"/>
        </w:rPr>
        <w:t>) of this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w:t>
      </w:r>
    </w:p>
    <w:p>
      <w:pPr>
        <w:spacing w:after="0" w:line="90"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b w:val="1"/>
          <w:bCs w:val="1"/>
          <w:color w:val="auto"/>
        </w:rPr>
        <w:t>“Facility Workforce</w:t>
      </w:r>
      <w:r>
        <w:rPr>
          <w:rFonts w:ascii="Calibri" w:cs="Calibri" w:eastAsia="Calibri" w:hAnsi="Calibri"/>
          <w:sz w:val="20"/>
          <w:szCs w:val="20"/>
          <w:color w:val="auto"/>
        </w:rPr>
        <w:t>” means all full-tme and part-tme staf employees that are directly employed by the applicable Recipient to perform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work at an Eligible Facility, including (a) producton workers and technicians who operate machines and other equipment to assemble goods or distribute energy (e.g., including operators and machinists), and (b) non-technicians who perform other roles at the Eligible Facility, including engineering, administratve, support (e.g., fnance, procurement) and managerial staf.</w:t>
      </w:r>
    </w:p>
    <w:p>
      <w:pPr>
        <w:spacing w:after="0" w:line="91"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Free Cash Flow</w:t>
      </w:r>
      <w:r>
        <w:rPr>
          <w:rFonts w:ascii="Calibri" w:cs="Calibri" w:eastAsia="Calibri" w:hAnsi="Calibri"/>
          <w:sz w:val="20"/>
          <w:szCs w:val="20"/>
          <w:color w:val="auto"/>
        </w:rPr>
        <w:t>” means, for any Measurement Period, the sum of (a) net cash provided by operatng actvites, minus (b) expenditures for property, plant and equipment and payments on equipment purchase contracts net of (i) without duplicaton of any amount otherwise deducted from expenditures in this clause (b) , proceeds from government incentves (except as provided below) and, net of</w:t>
      </w:r>
    </w:p>
    <w:p>
      <w:pPr>
        <w:spacing w:after="0" w:line="11" w:lineRule="exact"/>
        <w:rPr>
          <w:sz w:val="20"/>
          <w:szCs w:val="20"/>
          <w:color w:val="auto"/>
        </w:rPr>
      </w:pPr>
    </w:p>
    <w:p>
      <w:pPr>
        <w:jc w:val="both"/>
        <w:ind w:firstLine="8"/>
        <w:spacing w:after="0" w:line="231" w:lineRule="auto"/>
        <w:tabs>
          <w:tab w:leader="none" w:pos="275" w:val="left"/>
        </w:tabs>
        <w:numPr>
          <w:ilvl w:val="0"/>
          <w:numId w:val="670"/>
        </w:numPr>
        <w:rPr>
          <w:rFonts w:ascii="Calibri" w:cs="Calibri" w:eastAsia="Calibri" w:hAnsi="Calibri"/>
          <w:sz w:val="20"/>
          <w:szCs w:val="20"/>
          <w:color w:val="auto"/>
        </w:rPr>
      </w:pPr>
      <w:r>
        <w:rPr>
          <w:rFonts w:ascii="Calibri" w:cs="Calibri" w:eastAsia="Calibri" w:hAnsi="Calibri"/>
          <w:sz w:val="20"/>
          <w:szCs w:val="20"/>
          <w:color w:val="auto"/>
        </w:rPr>
        <w:t xml:space="preserve">proceeds from sales of property, plant, and equipment; </w:t>
      </w:r>
      <w:r>
        <w:rPr>
          <w:rFonts w:ascii="Calibri" w:cs="Calibri" w:eastAsia="Calibri" w:hAnsi="Calibri"/>
          <w:sz w:val="20"/>
          <w:szCs w:val="20"/>
          <w:u w:val="single" w:color="auto"/>
          <w:color w:val="auto"/>
        </w:rPr>
        <w:t>provided</w:t>
      </w:r>
      <w:r>
        <w:rPr>
          <w:rFonts w:ascii="Calibri" w:cs="Calibri" w:eastAsia="Calibri" w:hAnsi="Calibri"/>
          <w:sz w:val="20"/>
          <w:szCs w:val="20"/>
          <w:color w:val="auto"/>
        </w:rPr>
        <w:t>, that for the purpose of such calculaton each of the amounts set forth in clause (a) and (b) above shall exclude any direct government incentves provided by the U.S. federal government under the CHIPS Incentves Program and similar programs commenced afer the Award Date.</w:t>
      </w:r>
    </w:p>
    <w:p>
      <w:pPr>
        <w:spacing w:after="0" w:line="92"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Good Jobs Principles</w:t>
      </w:r>
      <w:r>
        <w:rPr>
          <w:rFonts w:ascii="Calibri" w:cs="Calibri" w:eastAsia="Calibri" w:hAnsi="Calibri"/>
          <w:sz w:val="20"/>
          <w:szCs w:val="20"/>
          <w:color w:val="auto"/>
        </w:rPr>
        <w:t xml:space="preserve">” means the framework principles adopted by the Department and DOL of what comprises a good job described at </w:t>
      </w:r>
      <w:r>
        <w:rPr>
          <w:rFonts w:ascii="Calibri" w:cs="Calibri" w:eastAsia="Calibri" w:hAnsi="Calibri"/>
          <w:sz w:val="20"/>
          <w:szCs w:val="20"/>
          <w:u w:val="single" w:color="auto"/>
          <w:color w:val="0000FF"/>
        </w:rPr>
        <w:t>htps://www.dol.gov/sites/dolgov/fles/goodjobs/Good-Jobs-Summit-Principles-Factsheet.pdf</w:t>
      </w:r>
      <w:r>
        <w:rPr>
          <w:rFonts w:ascii="Calibri" w:cs="Calibri" w:eastAsia="Calibri" w:hAnsi="Calibri"/>
          <w:sz w:val="20"/>
          <w:szCs w:val="20"/>
          <w:color w:val="000000"/>
        </w:rPr>
        <w:t>.</w:t>
      </w:r>
    </w:p>
    <w:p>
      <w:pPr>
        <w:spacing w:after="0" w:line="91"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ID Project</w:t>
      </w:r>
      <w:r>
        <w:rPr>
          <w:rFonts w:ascii="Calibri" w:cs="Calibri" w:eastAsia="Calibri" w:hAnsi="Calibri"/>
          <w:sz w:val="20"/>
          <w:szCs w:val="20"/>
          <w:color w:val="auto"/>
        </w:rPr>
        <w:t>” means the “Project” as such term is defned in that certain Direct Funding Agreement, dated as of the Award Date, entered into by and between the ID Recipient and the Department.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ID Recipient</w:t>
      </w:r>
      <w:r>
        <w:rPr>
          <w:rFonts w:ascii="Calibri" w:cs="Calibri" w:eastAsia="Calibri" w:hAnsi="Calibri"/>
          <w:sz w:val="20"/>
          <w:szCs w:val="20"/>
          <w:color w:val="auto"/>
        </w:rPr>
        <w:t>” means MICRON IDAHO SEMICONDUCTOR MANUFACTURING (TRITON) LLC.</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-14</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31" w:name="page532"/>
    <w:bookmarkEnd w:id="531"/>
    <w:p>
      <w:pPr>
        <w:spacing w:after="0" w:line="66"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Mega Constructon Project Program</w:t>
      </w:r>
      <w:r>
        <w:rPr>
          <w:rFonts w:ascii="Calibri" w:cs="Calibri" w:eastAsia="Calibri" w:hAnsi="Calibri"/>
          <w:sz w:val="20"/>
          <w:szCs w:val="20"/>
          <w:color w:val="auto"/>
        </w:rPr>
        <w:t>” means DOL’s Ofce of Federal Contract Compliance Programs for large federal constructon programs.</w:t>
      </w:r>
    </w:p>
    <w:p>
      <w:pPr>
        <w:spacing w:after="0" w:line="103"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Net Debt Rato</w:t>
      </w:r>
      <w:r>
        <w:rPr>
          <w:rFonts w:ascii="Calibri" w:cs="Calibri" w:eastAsia="Calibri" w:hAnsi="Calibri"/>
          <w:sz w:val="20"/>
          <w:szCs w:val="20"/>
          <w:color w:val="auto"/>
        </w:rPr>
        <w:t>” means the rato of (a) the sum of (i) Indebtedness for Borrowed Money (and similar obligatons under debt like securites) minus (ii) the Unrestricted Cash, Cash Equivalent and Marketable Securites Amount and minus (iii) restricted cash, to (b)</w:t>
      </w:r>
    </w:p>
    <w:p>
      <w:pPr>
        <w:spacing w:after="0" w:line="238" w:lineRule="auto"/>
        <w:rPr>
          <w:sz w:val="20"/>
          <w:szCs w:val="20"/>
          <w:color w:val="auto"/>
        </w:rPr>
      </w:pPr>
      <w:r>
        <w:rPr>
          <w:rFonts w:ascii="Calibri" w:cs="Calibri" w:eastAsia="Calibri" w:hAnsi="Calibri"/>
          <w:sz w:val="20"/>
          <w:szCs w:val="20"/>
          <w:color w:val="auto"/>
        </w:rPr>
        <w:t>EBITDA.</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NSTC</w:t>
      </w:r>
      <w:r>
        <w:rPr>
          <w:rFonts w:ascii="Calibri" w:cs="Calibri" w:eastAsia="Calibri" w:hAnsi="Calibri"/>
          <w:sz w:val="20"/>
          <w:szCs w:val="20"/>
          <w:color w:val="auto"/>
        </w:rPr>
        <w:t>” means the Natonal Semiconductor Technology Center.</w:t>
      </w:r>
    </w:p>
    <w:p>
      <w:pPr>
        <w:spacing w:after="0" w:line="90"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Dividends</w:t>
      </w:r>
      <w:r>
        <w:rPr>
          <w:rFonts w:ascii="Calibri" w:cs="Calibri" w:eastAsia="Calibri" w:hAnsi="Calibri"/>
          <w:sz w:val="20"/>
          <w:szCs w:val="20"/>
          <w:color w:val="auto"/>
        </w:rPr>
        <w:t>” means customary and ordinary course recurring dividends (and reasonably ordinary course increases thereof) consistent with the Sponsor Guarantor’s past practce, but excluding any special or one-tme dividends.</w:t>
      </w:r>
    </w:p>
    <w:p>
      <w:pPr>
        <w:spacing w:after="0" w:line="8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Permited Stock Buybacks</w:t>
      </w:r>
      <w:r>
        <w:rPr>
          <w:rFonts w:ascii="Calibri" w:cs="Calibri" w:eastAsia="Calibri" w:hAnsi="Calibri"/>
          <w:sz w:val="20"/>
          <w:szCs w:val="20"/>
          <w:color w:val="auto"/>
        </w:rPr>
        <w:t>” means:</w:t>
      </w:r>
    </w:p>
    <w:p>
      <w:pPr>
        <w:spacing w:after="0" w:line="225" w:lineRule="exact"/>
        <w:rPr>
          <w:sz w:val="20"/>
          <w:szCs w:val="20"/>
          <w:color w:val="auto"/>
        </w:rPr>
      </w:pPr>
    </w:p>
    <w:p>
      <w:pPr>
        <w:jc w:val="both"/>
        <w:ind w:left="660" w:hanging="328"/>
        <w:spacing w:after="0" w:line="231" w:lineRule="auto"/>
        <w:tabs>
          <w:tab w:leader="none" w:pos="664" w:val="left"/>
        </w:tabs>
        <w:numPr>
          <w:ilvl w:val="0"/>
          <w:numId w:val="671"/>
        </w:numPr>
        <w:rPr>
          <w:rFonts w:ascii="Calibri" w:cs="Calibri" w:eastAsia="Calibri" w:hAnsi="Calibri"/>
          <w:sz w:val="20"/>
          <w:szCs w:val="20"/>
          <w:color w:val="auto"/>
        </w:rPr>
      </w:pPr>
      <w:r>
        <w:rPr>
          <w:rFonts w:ascii="Calibri" w:cs="Calibri" w:eastAsia="Calibri" w:hAnsi="Calibri"/>
          <w:sz w:val="20"/>
          <w:szCs w:val="20"/>
          <w:color w:val="auto"/>
        </w:rPr>
        <w:t>shares of common stock of Sponsor Guarantor withheld as payment of withholding taxes and exercise prices in connecton with the vestng or exercise of equity awards under Sponsor Guarantor’s existng equity plans in efect on the Award Date and any subsequent similar equity plans that are treated as repurchases of Sponsor Guarantor’s common stock under GAAP.</w:t>
      </w:r>
    </w:p>
    <w:p>
      <w:pPr>
        <w:spacing w:after="0" w:line="211" w:lineRule="exact"/>
        <w:rPr>
          <w:rFonts w:ascii="Calibri" w:cs="Calibri" w:eastAsia="Calibri" w:hAnsi="Calibri"/>
          <w:sz w:val="20"/>
          <w:szCs w:val="20"/>
          <w:color w:val="auto"/>
        </w:rPr>
      </w:pPr>
    </w:p>
    <w:p>
      <w:pPr>
        <w:jc w:val="both"/>
        <w:ind w:left="660" w:hanging="328"/>
        <w:spacing w:after="0" w:line="218" w:lineRule="auto"/>
        <w:tabs>
          <w:tab w:leader="none" w:pos="660" w:val="left"/>
        </w:tabs>
        <w:numPr>
          <w:ilvl w:val="0"/>
          <w:numId w:val="671"/>
        </w:numPr>
        <w:rPr>
          <w:rFonts w:ascii="Calibri" w:cs="Calibri" w:eastAsia="Calibri" w:hAnsi="Calibri"/>
          <w:sz w:val="20"/>
          <w:szCs w:val="20"/>
          <w:color w:val="auto"/>
        </w:rPr>
      </w:pPr>
      <w:r>
        <w:rPr>
          <w:rFonts w:ascii="Calibri" w:cs="Calibri" w:eastAsia="Calibri" w:hAnsi="Calibri"/>
          <w:sz w:val="20"/>
          <w:szCs w:val="20"/>
          <w:color w:val="auto"/>
        </w:rPr>
        <w:t>for the period beginning on the Award Date and ending on the frst (1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xml:space="preserve">) anniversary of the Award Date, stock buybacks to ofset the dilutve efect of Sponsor Guarantor’s existng equity plans in efect on the Award Date and any subsequent similar equity plans during the applicable Measurement Period, not to exceed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per year during such Measurement Period;</w:t>
      </w:r>
    </w:p>
    <w:p>
      <w:pPr>
        <w:spacing w:after="0" w:line="210" w:lineRule="exact"/>
        <w:rPr>
          <w:rFonts w:ascii="Calibri" w:cs="Calibri" w:eastAsia="Calibri" w:hAnsi="Calibri"/>
          <w:sz w:val="20"/>
          <w:szCs w:val="20"/>
          <w:color w:val="auto"/>
        </w:rPr>
      </w:pPr>
    </w:p>
    <w:p>
      <w:pPr>
        <w:jc w:val="both"/>
        <w:ind w:left="660" w:hanging="328"/>
        <w:spacing w:after="0" w:line="220" w:lineRule="auto"/>
        <w:tabs>
          <w:tab w:leader="none" w:pos="652" w:val="left"/>
        </w:tabs>
        <w:numPr>
          <w:ilvl w:val="0"/>
          <w:numId w:val="671"/>
        </w:numPr>
        <w:rPr>
          <w:rFonts w:ascii="Calibri" w:cs="Calibri" w:eastAsia="Calibri" w:hAnsi="Calibri"/>
          <w:sz w:val="20"/>
          <w:szCs w:val="20"/>
          <w:color w:val="auto"/>
        </w:rPr>
      </w:pPr>
      <w:r>
        <w:rPr>
          <w:rFonts w:ascii="Calibri" w:cs="Calibri" w:eastAsia="Calibri" w:hAnsi="Calibri"/>
          <w:sz w:val="20"/>
          <w:szCs w:val="20"/>
          <w:color w:val="auto"/>
        </w:rPr>
        <w:t>for the period beginning on the frst (1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anniversary of the Award Date and ending on the second (2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xml:space="preserve">) anniversary of the Award Date, stock buybacks to ofset the dilutve efect of Sponsor Guarantor’s existng equity plans in efect on the Award Date and any subsequent similar equity plans during the applicable Measurement Period, not to exceed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per year during such Measurement Period;</w:t>
      </w:r>
    </w:p>
    <w:p>
      <w:pPr>
        <w:spacing w:after="0" w:line="209" w:lineRule="exact"/>
        <w:rPr>
          <w:rFonts w:ascii="Calibri" w:cs="Calibri" w:eastAsia="Calibri" w:hAnsi="Calibri"/>
          <w:sz w:val="20"/>
          <w:szCs w:val="20"/>
          <w:color w:val="auto"/>
        </w:rPr>
      </w:pPr>
    </w:p>
    <w:p>
      <w:pPr>
        <w:jc w:val="both"/>
        <w:ind w:left="660" w:hanging="328"/>
        <w:spacing w:after="0"/>
        <w:tabs>
          <w:tab w:leader="none" w:pos="660" w:val="left"/>
        </w:tabs>
        <w:numPr>
          <w:ilvl w:val="0"/>
          <w:numId w:val="671"/>
        </w:numPr>
        <w:rPr>
          <w:rFonts w:ascii="Calibri" w:cs="Calibri" w:eastAsia="Calibri" w:hAnsi="Calibri"/>
          <w:sz w:val="20"/>
          <w:szCs w:val="20"/>
          <w:color w:val="auto"/>
        </w:rPr>
      </w:pPr>
      <w:r>
        <w:rPr>
          <w:rFonts w:ascii="Calibri" w:cs="Calibri" w:eastAsia="Calibri" w:hAnsi="Calibri"/>
          <w:sz w:val="20"/>
          <w:szCs w:val="20"/>
          <w:color w:val="auto"/>
        </w:rPr>
        <w:t>for each fscal quarter of the Sponsor Guarantor during the period beginning on the second (2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anniversary of the Award Date and ending on the ffh (5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anniversary of the Award Date, additonal stock buybacks which, when taken together with all other Permited Stock Buybacks and Permited Dividends during the applicable Measurement Period, are not in excess of the Free Cash Flow of the Sponsor Guarantor and its Consolidated Subsidiaries during the most recent Measurement Period ended prior to such fscal quarter so long as the following conditons are met: (i) afer giving pro forma efect for such stock buyback as if made as of the end of the applicable Measurement Period, the Sponsor Guarantor and its Consolidated Subsidiaries would have have a Net Debt Rato not in excess of 1.75: 1.00 as of the end of such Measurement Period, (ii) as of the date of such stock buyback, the Sponsor Guarantor is Investment Grade, (iii) the Sponsor Guarantor and its Consolidated Subsidiaries research and development expenditures during the applicable Measurement Period are in excess of $3 billion, (iv) the amount of the Sponsor Guarantor and its Consolidated Subsidiaries' total capital expenditures determined in accordance with GAAP during such Measurement Period are greater than four tmes the amount of Direct Funding received by the Recipients during such Measurement Period.</w:t>
      </w:r>
    </w:p>
    <w:p>
      <w:pPr>
        <w:spacing w:after="0" w:line="271" w:lineRule="exact"/>
        <w:rPr>
          <w:rFonts w:ascii="Calibri" w:cs="Calibri" w:eastAsia="Calibri" w:hAnsi="Calibri"/>
          <w:sz w:val="20"/>
          <w:szCs w:val="20"/>
          <w:color w:val="auto"/>
        </w:rPr>
      </w:pPr>
    </w:p>
    <w:p>
      <w:pPr>
        <w:jc w:val="both"/>
        <w:ind w:left="660"/>
        <w:spacing w:after="0" w:line="228" w:lineRule="auto"/>
        <w:rPr>
          <w:rFonts w:ascii="Calibri" w:cs="Calibri" w:eastAsia="Calibri" w:hAnsi="Calibri"/>
          <w:sz w:val="20"/>
          <w:szCs w:val="20"/>
          <w:color w:val="auto"/>
        </w:rPr>
      </w:pPr>
      <w:r>
        <w:rPr>
          <w:rFonts w:ascii="Calibri" w:cs="Calibri" w:eastAsia="Calibri" w:hAnsi="Calibri"/>
          <w:sz w:val="20"/>
          <w:szCs w:val="20"/>
          <w:color w:val="auto"/>
        </w:rPr>
        <w:t>It is understood that the Recipient shall be enttled to request an amendment or waiver under the Agreement’s Secton 10.12 [Dispute Resoluton] to allow the Sponsor Guarantor to engage in stock buybacks at higher amounts than as specifed by clauses</w:t>
      </w:r>
    </w:p>
    <w:p>
      <w:pPr>
        <w:ind w:left="660"/>
        <w:spacing w:after="0" w:line="238" w:lineRule="auto"/>
        <w:rPr>
          <w:rFonts w:ascii="Calibri" w:cs="Calibri" w:eastAsia="Calibri" w:hAnsi="Calibri"/>
          <w:sz w:val="20"/>
          <w:szCs w:val="20"/>
          <w:color w:val="auto"/>
        </w:rPr>
      </w:pPr>
      <w:r>
        <w:rPr>
          <w:rFonts w:ascii="Calibri" w:cs="Calibri" w:eastAsia="Calibri" w:hAnsi="Calibri"/>
          <w:sz w:val="20"/>
          <w:szCs w:val="20"/>
          <w:color w:val="auto"/>
        </w:rPr>
        <w:t>(b) and (c) above.</w:t>
      </w:r>
    </w:p>
    <w:p>
      <w:pPr>
        <w:spacing w:after="0" w:line="385"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-15</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66"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Prohibited Equipment</w:t>
      </w:r>
      <w:r>
        <w:rPr>
          <w:rFonts w:ascii="Calibri" w:cs="Calibri" w:eastAsia="Calibri" w:hAnsi="Calibri"/>
          <w:sz w:val="20"/>
          <w:szCs w:val="20"/>
          <w:color w:val="auto"/>
        </w:rPr>
        <w:t>” means any of the following types of equipment manufactured or assembled by any Foreign Entty of Concern that is used or installed by the Recipient for the fabricaton, assembly, testng, advanced packaging, producton, or research and development of semiconductors: (i) depositon equipment; (ii) etching equipment; (iii) lithography equipment; (iv) inspecton and measuring equipment; (v) wafer slicing equipment; (vi) wafer dicing equipment; (vii) wire bonders; (viii) ion implantaton equipment; and</w:t>
      </w:r>
    </w:p>
    <w:p>
      <w:pPr>
        <w:spacing w:after="0" w:line="9" w:lineRule="exact"/>
        <w:rPr>
          <w:sz w:val="20"/>
          <w:szCs w:val="20"/>
          <w:color w:val="auto"/>
        </w:rPr>
      </w:pPr>
    </w:p>
    <w:p>
      <w:pPr>
        <w:jc w:val="both"/>
        <w:ind w:firstLine="8"/>
        <w:spacing w:after="0" w:line="231" w:lineRule="auto"/>
        <w:tabs>
          <w:tab w:leader="none" w:pos="320" w:val="left"/>
        </w:tabs>
        <w:numPr>
          <w:ilvl w:val="0"/>
          <w:numId w:val="672"/>
        </w:numPr>
        <w:rPr>
          <w:rFonts w:ascii="Calibri" w:cs="Calibri" w:eastAsia="Calibri" w:hAnsi="Calibri"/>
          <w:sz w:val="20"/>
          <w:szCs w:val="20"/>
          <w:color w:val="auto"/>
        </w:rPr>
      </w:pPr>
      <w:r>
        <w:rPr>
          <w:rFonts w:ascii="Calibri" w:cs="Calibri" w:eastAsia="Calibri" w:hAnsi="Calibri"/>
          <w:sz w:val="20"/>
          <w:szCs w:val="20"/>
          <w:color w:val="auto"/>
        </w:rPr>
        <w:t>difusion/oxidaton furnaces; but does not, in each case, include any subsystem or subcomponent that enables, or is incorporated into, any such equipment, except that “Prohibited Equipment” does not include any of the following: (x) certain equipment specifed to the Department in writng that is used or installed exclusively for internal tool evaluaton and (y) with respect to which a waiver is provided by the Department afer consideraton of whether there are no available market alternatves in reasonably available quanttes or of a satsfactory quality to support a Project that present a reasonable substtute for such equipment.</w:t>
      </w:r>
    </w:p>
    <w:p>
      <w:pPr>
        <w:spacing w:after="0" w:line="108"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Registered Apprentceship Program</w:t>
      </w:r>
      <w:r>
        <w:rPr>
          <w:rFonts w:ascii="Calibri" w:cs="Calibri" w:eastAsia="Calibri" w:hAnsi="Calibri"/>
          <w:sz w:val="20"/>
          <w:szCs w:val="20"/>
          <w:color w:val="auto"/>
        </w:rPr>
        <w:t>” means an apprentceship program that is registered with DOL under the Act of August 16, 1937 (commonly known as the “Natonal Apprentceship Act”; 50 Stat. 664, chapter 663; 29 U.S.C. § 50 et seq.).</w:t>
      </w:r>
    </w:p>
    <w:p>
      <w:pPr>
        <w:spacing w:after="0" w:line="103"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Revolving Credit Agreement</w:t>
      </w:r>
      <w:r>
        <w:rPr>
          <w:rFonts w:ascii="Calibri" w:cs="Calibri" w:eastAsia="Calibri" w:hAnsi="Calibri"/>
          <w:sz w:val="20"/>
          <w:szCs w:val="20"/>
          <w:color w:val="auto"/>
        </w:rPr>
        <w:t>” means that certain Credit Agreement, dated as of May 14, 2021, among the Sponsor Guarantor, HSBC Bank USA, Natonal Associaton, as administratve agent, and certain fnancial insttutons from tme to tme party thereto, as amended and in efect as of the Award Date.</w:t>
      </w:r>
    </w:p>
    <w:p>
      <w:pPr>
        <w:spacing w:after="0" w:line="21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following capitalized terms shall have the meaning set forth in the Revolving Credit Agreement (as in efect on the Award Date): (a) Consolidated Subsidiaries; (b) Measurement Period; (c) the Unrestricted Cash, Cash Equivalent and Marketable Securites Amount and</w:t>
      </w:r>
    </w:p>
    <w:p>
      <w:pPr>
        <w:spacing w:after="0" w:line="226" w:lineRule="auto"/>
        <w:rPr>
          <w:sz w:val="20"/>
          <w:szCs w:val="20"/>
          <w:color w:val="auto"/>
        </w:rPr>
      </w:pPr>
      <w:r>
        <w:rPr>
          <w:rFonts w:ascii="Calibri" w:cs="Calibri" w:eastAsia="Calibri" w:hAnsi="Calibri"/>
          <w:sz w:val="20"/>
          <w:szCs w:val="20"/>
          <w:color w:val="auto"/>
        </w:rPr>
        <w:t>(d) Consolidated EBITDA.</w:t>
      </w:r>
    </w:p>
    <w:p>
      <w:pPr>
        <w:spacing w:after="0" w:line="253"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For the purposes of this Annex D (</w:t>
      </w: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(i) Recipient shall refer to any of the Recipient (also referred herein as the “</w:t>
      </w:r>
      <w:r>
        <w:rPr>
          <w:rFonts w:ascii="Calibri" w:cs="Calibri" w:eastAsia="Calibri" w:hAnsi="Calibri"/>
          <w:sz w:val="20"/>
          <w:szCs w:val="20"/>
          <w:b w:val="1"/>
          <w:bCs w:val="1"/>
          <w:color w:val="auto"/>
        </w:rPr>
        <w:t>NY Recipient</w:t>
      </w:r>
      <w:r>
        <w:rPr>
          <w:rFonts w:ascii="Calibri" w:cs="Calibri" w:eastAsia="Calibri" w:hAnsi="Calibri"/>
          <w:sz w:val="20"/>
          <w:szCs w:val="20"/>
          <w:color w:val="auto"/>
        </w:rPr>
        <w:t>”), and the ID Recipient, as the context requires, and (ii) Project shall refer to any of the Projects (also referred herein as the “</w:t>
      </w:r>
      <w:r>
        <w:rPr>
          <w:rFonts w:ascii="Calibri" w:cs="Calibri" w:eastAsia="Calibri" w:hAnsi="Calibri"/>
          <w:sz w:val="20"/>
          <w:szCs w:val="20"/>
          <w:b w:val="1"/>
          <w:bCs w:val="1"/>
          <w:color w:val="auto"/>
        </w:rPr>
        <w:t>NY Projects</w:t>
      </w:r>
      <w:r>
        <w:rPr>
          <w:rFonts w:ascii="Calibri" w:cs="Calibri" w:eastAsia="Calibri" w:hAnsi="Calibri"/>
          <w:sz w:val="20"/>
          <w:szCs w:val="20"/>
          <w:color w:val="auto"/>
        </w:rPr>
        <w:t>”), and the ID Project, as the context requires.</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47" w:lineRule="exact"/>
        <w:rPr>
          <w:sz w:val="20"/>
          <w:szCs w:val="20"/>
          <w:color w:val="auto"/>
        </w:rPr>
      </w:pPr>
    </w:p>
    <w:p>
      <w:pPr>
        <w:ind w:left="3160"/>
        <w:spacing w:after="0"/>
        <w:rPr>
          <w:sz w:val="20"/>
          <w:szCs w:val="20"/>
          <w:color w:val="auto"/>
        </w:rPr>
      </w:pPr>
      <w:r>
        <w:rPr>
          <w:rFonts w:ascii="Calibri" w:cs="Calibri" w:eastAsia="Calibri" w:hAnsi="Calibri"/>
          <w:sz w:val="20"/>
          <w:szCs w:val="20"/>
          <w:b w:val="1"/>
          <w:bCs w:val="1"/>
          <w:color w:val="auto"/>
        </w:rPr>
        <w:t>PROGRAM REQUIREMENTS NOT SUBJECT TO CURE PERIOD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2.1.</w:t>
      </w:r>
      <w:r>
        <w:rPr>
          <w:sz w:val="20"/>
          <w:szCs w:val="20"/>
          <w:color w:val="auto"/>
        </w:rPr>
        <w:tab/>
      </w:r>
      <w:r>
        <w:rPr>
          <w:rFonts w:ascii="Calibri" w:cs="Calibri" w:eastAsia="Calibri" w:hAnsi="Calibri"/>
          <w:sz w:val="20"/>
          <w:szCs w:val="20"/>
          <w:b w:val="1"/>
          <w:bCs w:val="1"/>
          <w:color w:val="auto"/>
        </w:rPr>
        <w:t>Economic and Natonal Security Objectves.</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2.1.1</w:t>
      </w:r>
      <w:r>
        <w:rPr>
          <w:sz w:val="20"/>
          <w:szCs w:val="20"/>
          <w:color w:val="auto"/>
        </w:rPr>
        <w:tab/>
      </w:r>
      <w:r>
        <w:rPr>
          <w:rFonts w:ascii="Calibri" w:cs="Calibri" w:eastAsia="Calibri" w:hAnsi="Calibri"/>
          <w:sz w:val="20"/>
          <w:szCs w:val="20"/>
          <w:b w:val="1"/>
          <w:bCs w:val="1"/>
          <w:color w:val="auto"/>
        </w:rPr>
        <w:t>Resilience.</w:t>
      </w:r>
    </w:p>
    <w:p>
      <w:pPr>
        <w:spacing w:after="0" w:line="171" w:lineRule="exact"/>
        <w:rPr>
          <w:sz w:val="20"/>
          <w:szCs w:val="20"/>
          <w:color w:val="auto"/>
        </w:rPr>
      </w:pPr>
    </w:p>
    <w:p>
      <w:pPr>
        <w:jc w:val="both"/>
        <w:ind w:firstLine="1952"/>
        <w:spacing w:after="0" w:line="205" w:lineRule="auto"/>
        <w:tabs>
          <w:tab w:leader="none" w:pos="2596" w:val="left"/>
        </w:tabs>
        <w:numPr>
          <w:ilvl w:val="0"/>
          <w:numId w:val="673"/>
        </w:numPr>
        <w:rPr>
          <w:rFonts w:ascii="Calibri" w:cs="Calibri" w:eastAsia="Calibri" w:hAnsi="Calibri"/>
          <w:sz w:val="20"/>
          <w:szCs w:val="20"/>
          <w:color w:val="auto"/>
        </w:rPr>
      </w:pPr>
      <w:r>
        <w:rPr>
          <w:rFonts w:ascii="Calibri" w:cs="Calibri" w:eastAsia="Calibri" w:hAnsi="Calibri"/>
          <w:sz w:val="20"/>
          <w:szCs w:val="20"/>
          <w:color w:val="auto"/>
        </w:rPr>
        <w:t>Each Recipient will use commercially reasonable eforts to work with the Department, subject to compliance with U.S. and other relevant regulatons, to accelerate supply chain resilience with domestc materials suppliers where practcable.</w:t>
      </w:r>
    </w:p>
    <w:p>
      <w:pPr>
        <w:spacing w:after="0" w:line="157"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673"/>
        </w:numPr>
        <w:rPr>
          <w:rFonts w:ascii="Calibri" w:cs="Calibri" w:eastAsia="Calibri" w:hAnsi="Calibri"/>
          <w:sz w:val="20"/>
          <w:szCs w:val="20"/>
          <w:color w:val="auto"/>
        </w:rPr>
      </w:pPr>
      <w:r>
        <w:rPr>
          <w:rFonts w:ascii="Calibri" w:cs="Calibri" w:eastAsia="Calibri" w:hAnsi="Calibri"/>
          <w:sz w:val="20"/>
          <w:szCs w:val="20"/>
          <w:color w:val="auto"/>
        </w:rPr>
        <w:t>The NY Recipient shall use commercially reasonable eforts to ensure that the agreements with the general contractor for the NY Projects contain terms relatng to physical and non-physical security substantally similar to, or greater in scope than, those contained in the agreements with the general contractor for the ID Project, or are otherwise reasonably satsfactory to the Department.</w:t>
      </w:r>
    </w:p>
    <w:p>
      <w:pPr>
        <w:spacing w:after="0" w:line="173" w:lineRule="exact"/>
        <w:rPr>
          <w:sz w:val="20"/>
          <w:szCs w:val="20"/>
          <w:color w:val="auto"/>
        </w:rPr>
      </w:pPr>
    </w:p>
    <w:p>
      <w:pPr>
        <w:ind w:firstLine="1296"/>
        <w:spacing w:after="0" w:line="208" w:lineRule="auto"/>
        <w:rPr>
          <w:sz w:val="20"/>
          <w:szCs w:val="20"/>
          <w:color w:val="auto"/>
        </w:rPr>
      </w:pPr>
      <w:r>
        <w:rPr>
          <w:rFonts w:ascii="Calibri" w:cs="Calibri" w:eastAsia="Calibri" w:hAnsi="Calibri"/>
          <w:sz w:val="20"/>
          <w:szCs w:val="20"/>
          <w:color w:val="auto"/>
        </w:rPr>
        <w:t xml:space="preserve">2.1.2 </w:t>
      </w:r>
      <w:r>
        <w:rPr>
          <w:rFonts w:ascii="Calibri" w:cs="Calibri" w:eastAsia="Calibri" w:hAnsi="Calibri"/>
          <w:sz w:val="20"/>
          <w:szCs w:val="20"/>
          <w:b w:val="1"/>
          <w:bCs w:val="1"/>
          <w:color w:val="auto"/>
        </w:rPr>
        <w:t>Prohibited Equipment.</w:t>
      </w:r>
      <w:r>
        <w:rPr>
          <w:rFonts w:ascii="Calibri" w:cs="Calibri" w:eastAsia="Calibri" w:hAnsi="Calibri"/>
          <w:sz w:val="20"/>
          <w:szCs w:val="20"/>
          <w:color w:val="auto"/>
        </w:rPr>
        <w:t xml:space="preserve"> Each Recipient shall not knowingly use or install in any Project completed, fully assembled Prohibited Equipment.</w:t>
      </w:r>
    </w:p>
    <w:p>
      <w:pPr>
        <w:spacing w:after="0" w:line="171" w:lineRule="exact"/>
        <w:rPr>
          <w:sz w:val="20"/>
          <w:szCs w:val="20"/>
          <w:color w:val="auto"/>
        </w:rPr>
      </w:pPr>
    </w:p>
    <w:p>
      <w:pPr>
        <w:ind w:right="20" w:firstLine="1296"/>
        <w:spacing w:after="0" w:line="208" w:lineRule="auto"/>
        <w:rPr>
          <w:sz w:val="20"/>
          <w:szCs w:val="20"/>
          <w:color w:val="auto"/>
        </w:rPr>
      </w:pPr>
      <w:r>
        <w:rPr>
          <w:rFonts w:ascii="Calibri" w:cs="Calibri" w:eastAsia="Calibri" w:hAnsi="Calibri"/>
          <w:sz w:val="20"/>
          <w:szCs w:val="20"/>
          <w:color w:val="auto"/>
        </w:rPr>
        <w:t xml:space="preserve">2.1.3 </w:t>
      </w:r>
      <w:r>
        <w:rPr>
          <w:rFonts w:ascii="Calibri" w:cs="Calibri" w:eastAsia="Calibri" w:hAnsi="Calibri"/>
          <w:sz w:val="20"/>
          <w:szCs w:val="20"/>
          <w:b w:val="1"/>
          <w:bCs w:val="1"/>
          <w:color w:val="auto"/>
        </w:rPr>
        <w:t>Due Diligence Mitgaton.</w:t>
      </w:r>
      <w:r>
        <w:rPr>
          <w:rFonts w:ascii="Calibri" w:cs="Calibri" w:eastAsia="Calibri" w:hAnsi="Calibri"/>
          <w:sz w:val="20"/>
          <w:szCs w:val="20"/>
          <w:color w:val="auto"/>
        </w:rPr>
        <w:t xml:space="preserve"> Each Recipient shall use commercially reasonable eforts to ensure that its suppliers will notfy such Recipient with respect to any change of control and/or</w:t>
      </w: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-16</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440" w:right="339" w:bottom="1440" w:gutter="0" w:footer="0" w:header="0"/>
        </w:sectPr>
      </w:pPr>
    </w:p>
    <w:bookmarkStart w:id="533" w:name="page534"/>
    <w:bookmarkEnd w:id="533"/>
    <w:p>
      <w:pPr>
        <w:jc w:val="both"/>
        <w:spacing w:after="0" w:line="202" w:lineRule="auto"/>
        <w:rPr>
          <w:sz w:val="20"/>
          <w:szCs w:val="20"/>
          <w:color w:val="auto"/>
        </w:rPr>
      </w:pPr>
      <w:r>
        <w:rPr>
          <w:rFonts w:ascii="Calibri" w:cs="Calibri" w:eastAsia="Calibri" w:hAnsi="Calibri"/>
          <w:sz w:val="20"/>
          <w:szCs w:val="20"/>
          <w:color w:val="auto"/>
        </w:rPr>
        <w:t>ownership, and that its supplier agreements entered into, renegotated or subject to a material amendment or amendment and restatement afer the date of Award contain notfcaton provisions with respect to any change of control and/or ownership. It is acknowledged and agreed that commercially reasonable eforts with respect to the foregoing (i) shall require that each Recipient request that its suppliers notfy it in writng with respect to any change of control and/or ownership in a manner consistent with its form supplier agreement, and (ii) shall not require amendments or amendment and restatements of all of the Recipients supplier agreements.</w:t>
      </w:r>
    </w:p>
    <w:p>
      <w:pPr>
        <w:spacing w:after="0" w:line="15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2.2.</w:t>
      </w:r>
      <w:r>
        <w:rPr>
          <w:sz w:val="20"/>
          <w:szCs w:val="20"/>
          <w:color w:val="auto"/>
        </w:rPr>
        <w:tab/>
      </w:r>
      <w:r>
        <w:rPr>
          <w:rFonts w:ascii="Calibri" w:cs="Calibri" w:eastAsia="Calibri" w:hAnsi="Calibri"/>
          <w:sz w:val="20"/>
          <w:szCs w:val="20"/>
          <w:b w:val="1"/>
          <w:bCs w:val="1"/>
          <w:color w:val="auto"/>
        </w:rPr>
        <w:t>Workforce.</w:t>
      </w:r>
    </w:p>
    <w:p>
      <w:pPr>
        <w:spacing w:after="0" w:line="147" w:lineRule="exact"/>
        <w:rPr>
          <w:sz w:val="20"/>
          <w:szCs w:val="20"/>
          <w:color w:val="auto"/>
        </w:rPr>
      </w:pPr>
    </w:p>
    <w:p>
      <w:pPr>
        <w:ind w:left="2660" w:hanging="708"/>
        <w:spacing w:after="0"/>
        <w:tabs>
          <w:tab w:leader="none" w:pos="2660" w:val="left"/>
        </w:tabs>
        <w:numPr>
          <w:ilvl w:val="0"/>
          <w:numId w:val="674"/>
        </w:numPr>
        <w:rPr>
          <w:rFonts w:ascii="Calibri" w:cs="Calibri" w:eastAsia="Calibri" w:hAnsi="Calibri"/>
          <w:sz w:val="20"/>
          <w:szCs w:val="20"/>
          <w:color w:val="auto"/>
        </w:rPr>
      </w:pPr>
      <w:r>
        <w:rPr>
          <w:rFonts w:ascii="Calibri" w:cs="Calibri" w:eastAsia="Calibri" w:hAnsi="Calibri"/>
          <w:sz w:val="20"/>
          <w:szCs w:val="20"/>
          <w:color w:val="auto"/>
        </w:rPr>
        <w:t>The Recipients shall achieve the following facility stafng targets (“</w:t>
      </w:r>
      <w:r>
        <w:rPr>
          <w:rFonts w:ascii="Calibri" w:cs="Calibri" w:eastAsia="Calibri" w:hAnsi="Calibri"/>
          <w:sz w:val="20"/>
          <w:szCs w:val="20"/>
          <w:b w:val="1"/>
          <w:bCs w:val="1"/>
          <w:color w:val="auto"/>
        </w:rPr>
        <w:t>Facility Stafng Targets</w:t>
      </w:r>
      <w:r>
        <w:rPr>
          <w:rFonts w:ascii="Calibri" w:cs="Calibri" w:eastAsia="Calibri" w:hAnsi="Calibri"/>
          <w:sz w:val="20"/>
          <w:szCs w:val="20"/>
          <w:color w:val="auto"/>
        </w:rPr>
        <w:t>”) by the date</w:t>
      </w:r>
    </w:p>
    <w:p>
      <w:pPr>
        <w:spacing w:after="0" w:line="199" w:lineRule="auto"/>
        <w:rPr>
          <w:sz w:val="20"/>
          <w:szCs w:val="20"/>
          <w:color w:val="auto"/>
        </w:rPr>
      </w:pPr>
      <w:r>
        <w:rPr>
          <w:rFonts w:ascii="Calibri" w:cs="Calibri" w:eastAsia="Calibri" w:hAnsi="Calibri"/>
          <w:sz w:val="20"/>
          <w:szCs w:val="20"/>
          <w:color w:val="auto"/>
        </w:rPr>
        <w:t>specifed below:</w:t>
      </w:r>
    </w:p>
    <w:p>
      <w:pPr>
        <w:spacing w:after="0" w:line="157" w:lineRule="exact"/>
        <w:rPr>
          <w:sz w:val="20"/>
          <w:szCs w:val="20"/>
          <w:color w:val="auto"/>
        </w:rPr>
      </w:pPr>
    </w:p>
    <w:p>
      <w:pPr>
        <w:jc w:val="both"/>
        <w:ind w:firstLine="2600"/>
        <w:spacing w:after="0" w:line="199" w:lineRule="auto"/>
        <w:tabs>
          <w:tab w:leader="none" w:pos="3234" w:val="left"/>
        </w:tabs>
        <w:numPr>
          <w:ilvl w:val="0"/>
          <w:numId w:val="675"/>
        </w:numPr>
        <w:rPr>
          <w:rFonts w:ascii="Calibri" w:cs="Calibri" w:eastAsia="Calibri" w:hAnsi="Calibri"/>
          <w:sz w:val="20"/>
          <w:szCs w:val="20"/>
          <w:color w:val="auto"/>
        </w:rPr>
      </w:pPr>
      <w:r>
        <w:rPr>
          <w:rFonts w:ascii="Calibri" w:cs="Calibri" w:eastAsia="Calibri" w:hAnsi="Calibri"/>
          <w:sz w:val="20"/>
          <w:szCs w:val="20"/>
          <w:color w:val="auto"/>
        </w:rPr>
        <w:t xml:space="preserve">for the NY Projects, (A) by the Project Completon Longstop Date for NY Fab 1 Project (as such date may be extended in accordance with a waiver granted pursuant to the Award Document), a Facility Workforce of (1)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(2) subject to the Department’s review and approval, a lesser amount based on the projected stafng needs of the NY Projects which projected stafng needs are expected to be shared annually with the Department, and (B) by the Project Completon Longstop Date for NY Fab 2 Project (as such date may be extended in accordance with a waiver granted pursuant to the Award Documents), a Facility Workforce of (1)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(2) subject to the Department’s review and approval, a lesser amount based on the projected stafng needs of the NY Projects which projected stafng needs are expected to be shared annually with the Department; and</w:t>
      </w:r>
    </w:p>
    <w:p>
      <w:pPr>
        <w:spacing w:after="0" w:line="162"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0"/>
          <w:numId w:val="675"/>
        </w:numPr>
        <w:rPr>
          <w:rFonts w:ascii="Calibri" w:cs="Calibri" w:eastAsia="Calibri" w:hAnsi="Calibri"/>
          <w:sz w:val="20"/>
          <w:szCs w:val="20"/>
          <w:color w:val="auto"/>
        </w:rPr>
      </w:pPr>
      <w:r>
        <w:rPr>
          <w:rFonts w:ascii="Calibri" w:cs="Calibri" w:eastAsia="Calibri" w:hAnsi="Calibri"/>
          <w:sz w:val="20"/>
          <w:szCs w:val="20"/>
          <w:color w:val="auto"/>
        </w:rPr>
        <w:t xml:space="preserve">for the ID Project, by the Project Completon Longstop Date for the ID Project (as such date may be extended in accordance with a waiver granted pursuant to the Award Documents), a Facility Workforce of (i)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people; or (ii) subject to the Department’s review and approval, a lesser amount based on the projected stafng needs of the ID Project which projected stafng needs are expected to be shared annually with the Department.</w:t>
      </w:r>
    </w:p>
    <w:p>
      <w:pPr>
        <w:spacing w:after="0" w:line="173" w:lineRule="exact"/>
        <w:rPr>
          <w:sz w:val="20"/>
          <w:szCs w:val="20"/>
          <w:color w:val="auto"/>
        </w:rPr>
      </w:pPr>
    </w:p>
    <w:p>
      <w:pPr>
        <w:jc w:val="both"/>
        <w:ind w:firstLine="1952"/>
        <w:spacing w:after="0" w:line="205" w:lineRule="auto"/>
        <w:tabs>
          <w:tab w:leader="none" w:pos="2592" w:val="left"/>
        </w:tabs>
        <w:numPr>
          <w:ilvl w:val="0"/>
          <w:numId w:val="676"/>
        </w:numPr>
        <w:rPr>
          <w:rFonts w:ascii="Calibri" w:cs="Calibri" w:eastAsia="Calibri" w:hAnsi="Calibri"/>
          <w:sz w:val="20"/>
          <w:szCs w:val="20"/>
          <w:color w:val="auto"/>
        </w:rPr>
      </w:pPr>
      <w:r>
        <w:rPr>
          <w:rFonts w:ascii="Calibri" w:cs="Calibri" w:eastAsia="Calibri" w:hAnsi="Calibri"/>
          <w:sz w:val="20"/>
          <w:szCs w:val="20"/>
          <w:color w:val="auto"/>
        </w:rPr>
        <w:t>The Department recognizes that each Recipient will operate under project labor agreements for the constructon of each Project, and that such project labor agreements may be amended, modifed or superseded by a successor project labor agreement from tme to tme by mutually agreement of the respectve partes thereto.</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2.2.1</w:t>
      </w:r>
      <w:r>
        <w:rPr>
          <w:sz w:val="20"/>
          <w:szCs w:val="20"/>
          <w:color w:val="auto"/>
        </w:rPr>
        <w:tab/>
      </w:r>
      <w:r>
        <w:rPr>
          <w:rFonts w:ascii="Calibri" w:cs="Calibri" w:eastAsia="Calibri" w:hAnsi="Calibri"/>
          <w:sz w:val="20"/>
          <w:szCs w:val="20"/>
          <w:b w:val="1"/>
          <w:bCs w:val="1"/>
          <w:color w:val="auto"/>
        </w:rPr>
        <w:t>Broader Impacts.</w:t>
      </w:r>
    </w:p>
    <w:p>
      <w:pPr>
        <w:spacing w:after="0" w:line="169" w:lineRule="exact"/>
        <w:rPr>
          <w:sz w:val="20"/>
          <w:szCs w:val="20"/>
          <w:color w:val="auto"/>
        </w:rPr>
      </w:pPr>
    </w:p>
    <w:p>
      <w:pPr>
        <w:jc w:val="both"/>
        <w:ind w:firstLine="1952"/>
        <w:spacing w:after="0" w:line="189" w:lineRule="auto"/>
        <w:tabs>
          <w:tab w:leader="none" w:pos="2596" w:val="left"/>
        </w:tabs>
        <w:numPr>
          <w:ilvl w:val="0"/>
          <w:numId w:val="67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Stock Buybacks and Dividends. </w:t>
      </w:r>
      <w:r>
        <w:rPr>
          <w:rFonts w:ascii="Calibri" w:cs="Calibri" w:eastAsia="Calibri" w:hAnsi="Calibri"/>
          <w:sz w:val="20"/>
          <w:szCs w:val="20"/>
          <w:color w:val="auto"/>
        </w:rPr>
        <w:t>For the period beginning on the Award Date and ending on the ffh (5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anniversary of the Award Date, each Recipient and each Recipient Entty shall not (i) engage in any stock buybacks, except for Permited Stock Buybacks and (ii) make any dividends to Sponsor Guarantor’s shareholders, except for Permited Dividends.</w:t>
      </w:r>
    </w:p>
    <w:p>
      <w:pPr>
        <w:spacing w:after="0" w:line="150"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61" w:lineRule="exact"/>
        <w:rPr>
          <w:sz w:val="20"/>
          <w:szCs w:val="20"/>
          <w:color w:val="auto"/>
        </w:rPr>
      </w:pPr>
    </w:p>
    <w:p>
      <w:pPr>
        <w:ind w:left="3360"/>
        <w:spacing w:after="0"/>
        <w:rPr>
          <w:sz w:val="20"/>
          <w:szCs w:val="20"/>
          <w:color w:val="auto"/>
        </w:rPr>
      </w:pPr>
      <w:r>
        <w:rPr>
          <w:rFonts w:ascii="Calibri" w:cs="Calibri" w:eastAsia="Calibri" w:hAnsi="Calibri"/>
          <w:sz w:val="20"/>
          <w:szCs w:val="20"/>
          <w:b w:val="1"/>
          <w:bCs w:val="1"/>
          <w:color w:val="auto"/>
        </w:rPr>
        <w:t>PROGRAM REQUIREMENTS SUBJECT TO CURE PERIOD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3.1.</w:t>
      </w:r>
      <w:r>
        <w:rPr>
          <w:sz w:val="20"/>
          <w:szCs w:val="20"/>
          <w:color w:val="auto"/>
        </w:rPr>
        <w:tab/>
      </w:r>
      <w:r>
        <w:rPr>
          <w:rFonts w:ascii="Calibri" w:cs="Calibri" w:eastAsia="Calibri" w:hAnsi="Calibri"/>
          <w:sz w:val="20"/>
          <w:szCs w:val="20"/>
          <w:b w:val="1"/>
          <w:bCs w:val="1"/>
          <w:color w:val="auto"/>
        </w:rPr>
        <w:t>Economic and Natonal Security Objectves.</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3.1.1</w:t>
      </w:r>
      <w:r>
        <w:rPr>
          <w:sz w:val="20"/>
          <w:szCs w:val="20"/>
          <w:color w:val="auto"/>
        </w:rPr>
        <w:tab/>
      </w:r>
      <w:r>
        <w:rPr>
          <w:rFonts w:ascii="Calibri" w:cs="Calibri" w:eastAsia="Calibri" w:hAnsi="Calibri"/>
          <w:sz w:val="19"/>
          <w:szCs w:val="19"/>
          <w:b w:val="1"/>
          <w:bCs w:val="1"/>
          <w:color w:val="auto"/>
        </w:rPr>
        <w:t>[***].</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3.1.2</w:t>
      </w:r>
      <w:r>
        <w:rPr>
          <w:sz w:val="20"/>
          <w:szCs w:val="20"/>
          <w:color w:val="auto"/>
        </w:rPr>
        <w:tab/>
      </w:r>
      <w:r>
        <w:rPr>
          <w:rFonts w:ascii="Calibri" w:cs="Calibri" w:eastAsia="Calibri" w:hAnsi="Calibri"/>
          <w:sz w:val="19"/>
          <w:szCs w:val="19"/>
          <w:b w:val="1"/>
          <w:bCs w:val="1"/>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3.1.3</w:t>
      </w:r>
      <w:r>
        <w:rPr>
          <w:sz w:val="20"/>
          <w:szCs w:val="20"/>
          <w:color w:val="auto"/>
        </w:rPr>
        <w:tab/>
      </w:r>
      <w:r>
        <w:rPr>
          <w:rFonts w:ascii="Calibri" w:cs="Calibri" w:eastAsia="Calibri" w:hAnsi="Calibri"/>
          <w:sz w:val="19"/>
          <w:szCs w:val="19"/>
          <w:b w:val="1"/>
          <w:bCs w:val="1"/>
          <w:color w:val="auto"/>
        </w:rPr>
        <w:t>Supply Chain Security.</w:t>
      </w:r>
    </w:p>
    <w:p>
      <w:pPr>
        <w:spacing w:after="0" w:line="157" w:lineRule="exact"/>
        <w:rPr>
          <w:sz w:val="20"/>
          <w:szCs w:val="20"/>
          <w:color w:val="auto"/>
        </w:rPr>
      </w:pPr>
    </w:p>
    <w:p>
      <w:pPr>
        <w:jc w:val="both"/>
        <w:ind w:firstLine="1952"/>
        <w:spacing w:after="0" w:line="209" w:lineRule="auto"/>
        <w:tabs>
          <w:tab w:leader="none" w:pos="2596" w:val="left"/>
        </w:tabs>
        <w:numPr>
          <w:ilvl w:val="0"/>
          <w:numId w:val="678"/>
        </w:numPr>
        <w:rPr>
          <w:rFonts w:ascii="Calibri" w:cs="Calibri" w:eastAsia="Calibri" w:hAnsi="Calibri"/>
          <w:sz w:val="20"/>
          <w:szCs w:val="20"/>
          <w:color w:val="auto"/>
        </w:rPr>
      </w:pPr>
      <w:r>
        <w:rPr>
          <w:rFonts w:ascii="Calibri" w:cs="Calibri" w:eastAsia="Calibri" w:hAnsi="Calibri"/>
          <w:sz w:val="20"/>
          <w:szCs w:val="20"/>
          <w:color w:val="auto"/>
        </w:rPr>
        <w:t>Each Recipient shall implement and comply with (including through the provision of adequate resources and stafng) supply chain risk management plans, policies and procedures for each Project, which shall include, at a minimum, the following elements:</w:t>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-17</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34" w:name="page535"/>
    <w:bookmarkEnd w:id="534"/>
    <w:p>
      <w:pPr>
        <w:ind w:left="3240" w:hanging="640"/>
        <w:spacing w:after="0"/>
        <w:tabs>
          <w:tab w:leader="none" w:pos="3240" w:val="left"/>
        </w:tabs>
        <w:numPr>
          <w:ilvl w:val="1"/>
          <w:numId w:val="679"/>
        </w:numPr>
        <w:rPr>
          <w:rFonts w:ascii="Calibri" w:cs="Calibri" w:eastAsia="Calibri" w:hAnsi="Calibri"/>
          <w:sz w:val="20"/>
          <w:szCs w:val="20"/>
          <w:color w:val="auto"/>
        </w:rPr>
      </w:pPr>
      <w:r>
        <w:rPr>
          <w:rFonts w:ascii="Calibri" w:cs="Calibri" w:eastAsia="Calibri" w:hAnsi="Calibri"/>
          <w:sz w:val="20"/>
          <w:szCs w:val="20"/>
          <w:color w:val="auto"/>
        </w:rPr>
        <w:t>requirements to identfy geographic concentraton risks;</w:t>
      </w:r>
    </w:p>
    <w:p>
      <w:pPr>
        <w:spacing w:after="0" w:line="157" w:lineRule="exact"/>
        <w:rPr>
          <w:rFonts w:ascii="Calibri" w:cs="Calibri" w:eastAsia="Calibri" w:hAnsi="Calibri"/>
          <w:sz w:val="20"/>
          <w:szCs w:val="20"/>
          <w:color w:val="auto"/>
        </w:rPr>
      </w:pPr>
    </w:p>
    <w:p>
      <w:pPr>
        <w:jc w:val="both"/>
        <w:ind w:firstLine="2600"/>
        <w:spacing w:after="0" w:line="209" w:lineRule="auto"/>
        <w:tabs>
          <w:tab w:leader="none" w:pos="3240" w:val="left"/>
        </w:tabs>
        <w:numPr>
          <w:ilvl w:val="1"/>
          <w:numId w:val="679"/>
        </w:numPr>
        <w:rPr>
          <w:rFonts w:ascii="Calibri" w:cs="Calibri" w:eastAsia="Calibri" w:hAnsi="Calibri"/>
          <w:sz w:val="20"/>
          <w:szCs w:val="20"/>
          <w:color w:val="auto"/>
        </w:rPr>
      </w:pPr>
      <w:r>
        <w:rPr>
          <w:rFonts w:ascii="Calibri" w:cs="Calibri" w:eastAsia="Calibri" w:hAnsi="Calibri"/>
          <w:sz w:val="20"/>
          <w:szCs w:val="20"/>
          <w:color w:val="auto"/>
        </w:rPr>
        <w:t>requirements to identfy the name, locaton, and ownership, to the extent reasonably available, for (A) all frst-ter suppliers and service providers, and (B) original sources of critcal suppliers of front end raw materials and equipment supportng the identfcaton of supply chain risks; and</w:t>
      </w:r>
    </w:p>
    <w:p>
      <w:pPr>
        <w:spacing w:after="0" w:line="158"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679"/>
        </w:numPr>
        <w:rPr>
          <w:rFonts w:ascii="Calibri" w:cs="Calibri" w:eastAsia="Calibri" w:hAnsi="Calibri"/>
          <w:sz w:val="20"/>
          <w:szCs w:val="20"/>
          <w:color w:val="auto"/>
        </w:rPr>
      </w:pPr>
      <w:r>
        <w:rPr>
          <w:rFonts w:ascii="Calibri" w:cs="Calibri" w:eastAsia="Calibri" w:hAnsi="Calibri"/>
          <w:sz w:val="20"/>
          <w:szCs w:val="20"/>
          <w:color w:val="auto"/>
        </w:rPr>
        <w:t>requirements for supplier and distributor qualifcaton and monitoring for quality, integrity, ownership/control, access, and availability risks.</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680"/>
        </w:numPr>
        <w:rPr>
          <w:rFonts w:ascii="Calibri" w:cs="Calibri" w:eastAsia="Calibri" w:hAnsi="Calibri"/>
          <w:sz w:val="20"/>
          <w:szCs w:val="20"/>
          <w:color w:val="auto"/>
        </w:rPr>
      </w:pPr>
      <w:r>
        <w:rPr>
          <w:rFonts w:ascii="Calibri" w:cs="Calibri" w:eastAsia="Calibri" w:hAnsi="Calibri"/>
          <w:sz w:val="20"/>
          <w:szCs w:val="20"/>
          <w:color w:val="auto"/>
        </w:rPr>
        <w:t>Each Recipient shall use commercially reasonable eforts to:</w:t>
      </w:r>
    </w:p>
    <w:p>
      <w:pPr>
        <w:spacing w:after="0" w:line="157" w:lineRule="exact"/>
        <w:rPr>
          <w:rFonts w:ascii="Calibri" w:cs="Calibri" w:eastAsia="Calibri" w:hAnsi="Calibri"/>
          <w:sz w:val="20"/>
          <w:szCs w:val="20"/>
          <w:color w:val="auto"/>
        </w:rPr>
      </w:pPr>
    </w:p>
    <w:p>
      <w:pPr>
        <w:ind w:firstLine="2600"/>
        <w:spacing w:after="0" w:line="214" w:lineRule="auto"/>
        <w:tabs>
          <w:tab w:leader="none" w:pos="3234"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implement bill-of-material requirements in any new or renegotated agreements with suppliers of equipment for the fabricaton and producton of semiconductors;</w:t>
      </w:r>
    </w:p>
    <w:p>
      <w:pPr>
        <w:spacing w:after="0" w:line="158" w:lineRule="exact"/>
        <w:rPr>
          <w:rFonts w:ascii="Calibri" w:cs="Calibri" w:eastAsia="Calibri" w:hAnsi="Calibri"/>
          <w:sz w:val="20"/>
          <w:szCs w:val="20"/>
          <w:color w:val="auto"/>
        </w:rPr>
      </w:pPr>
    </w:p>
    <w:p>
      <w:pPr>
        <w:ind w:firstLine="2600"/>
        <w:spacing w:after="0" w:line="214" w:lineRule="auto"/>
        <w:tabs>
          <w:tab w:leader="none" w:pos="3240"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conduct security audits or receive security atestatons of 20% of frst-ter suppliers of front end raw materials and equipment (in each case for Semiconductor Manufacturing) per year; and</w:t>
      </w:r>
    </w:p>
    <w:p>
      <w:pPr>
        <w:spacing w:after="0" w:line="158" w:lineRule="exact"/>
        <w:rPr>
          <w:rFonts w:ascii="Calibri" w:cs="Calibri" w:eastAsia="Calibri" w:hAnsi="Calibri"/>
          <w:sz w:val="20"/>
          <w:szCs w:val="20"/>
          <w:color w:val="auto"/>
        </w:rPr>
      </w:pPr>
    </w:p>
    <w:p>
      <w:pPr>
        <w:ind w:right="20" w:firstLine="2600"/>
        <w:spacing w:after="0" w:line="214" w:lineRule="auto"/>
        <w:tabs>
          <w:tab w:leader="none" w:pos="3246"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partcipate in industry and government eforts towards achieving viable PFAS (per- and polyfuoroalkyl substances) substtutons and emissions controls.</w:t>
      </w:r>
    </w:p>
    <w:p>
      <w:pPr>
        <w:spacing w:after="0" w:line="158"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680"/>
        </w:numPr>
        <w:rPr>
          <w:rFonts w:ascii="Calibri" w:cs="Calibri" w:eastAsia="Calibri" w:hAnsi="Calibri"/>
          <w:sz w:val="20"/>
          <w:szCs w:val="20"/>
          <w:color w:val="auto"/>
        </w:rPr>
      </w:pPr>
      <w:r>
        <w:rPr>
          <w:rFonts w:ascii="Calibri" w:cs="Calibri" w:eastAsia="Calibri" w:hAnsi="Calibri"/>
          <w:sz w:val="20"/>
          <w:szCs w:val="20"/>
          <w:color w:val="auto"/>
        </w:rPr>
        <w:t>Each Recipient shall use commercially reasonable eforts to mitgate supply chain resilience risks related to importng into the United States qualifed specialty chemicals, including photoresist materials and materials containing PFAS, which eforts may include:</w:t>
      </w:r>
    </w:p>
    <w:p>
      <w:pPr>
        <w:spacing w:after="0" w:line="153" w:lineRule="exact"/>
        <w:rPr>
          <w:rFonts w:ascii="Calibri" w:cs="Calibri" w:eastAsia="Calibri" w:hAnsi="Calibri"/>
          <w:sz w:val="20"/>
          <w:szCs w:val="20"/>
          <w:color w:val="auto"/>
        </w:rPr>
      </w:pPr>
    </w:p>
    <w:p>
      <w:pPr>
        <w:ind w:left="3240" w:hanging="640"/>
        <w:spacing w:after="0"/>
        <w:tabs>
          <w:tab w:leader="none" w:pos="3240"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decreasing use of PFAS in such Recipient’s facilites, material handling, and producton, as well as</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in consorta programs;</w:t>
      </w:r>
    </w:p>
    <w:p>
      <w:pPr>
        <w:spacing w:after="0" w:line="160" w:lineRule="exact"/>
        <w:rPr>
          <w:rFonts w:ascii="Calibri" w:cs="Calibri" w:eastAsia="Calibri" w:hAnsi="Calibri"/>
          <w:sz w:val="20"/>
          <w:szCs w:val="20"/>
          <w:color w:val="auto"/>
        </w:rPr>
      </w:pPr>
    </w:p>
    <w:p>
      <w:pPr>
        <w:ind w:left="3240" w:hanging="640"/>
        <w:spacing w:after="0"/>
        <w:tabs>
          <w:tab w:leader="none" w:pos="3240"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qualifying redundant suppliers and distributors;</w:t>
      </w:r>
    </w:p>
    <w:p>
      <w:pPr>
        <w:spacing w:after="0" w:line="157"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680"/>
        </w:numPr>
        <w:rPr>
          <w:rFonts w:ascii="Calibri" w:cs="Calibri" w:eastAsia="Calibri" w:hAnsi="Calibri"/>
          <w:sz w:val="20"/>
          <w:szCs w:val="20"/>
          <w:color w:val="auto"/>
        </w:rPr>
      </w:pPr>
      <w:r>
        <w:rPr>
          <w:rFonts w:ascii="Calibri" w:cs="Calibri" w:eastAsia="Calibri" w:hAnsi="Calibri"/>
          <w:sz w:val="20"/>
          <w:szCs w:val="20"/>
          <w:color w:val="auto"/>
        </w:rPr>
        <w:t>encouraging suppliers to partcipate in government programs to address supply chain resilience risks, including programs identfed by the Department; and</w:t>
      </w:r>
    </w:p>
    <w:p>
      <w:pPr>
        <w:spacing w:after="0" w:line="148" w:lineRule="exact"/>
        <w:rPr>
          <w:rFonts w:ascii="Calibri" w:cs="Calibri" w:eastAsia="Calibri" w:hAnsi="Calibri"/>
          <w:sz w:val="20"/>
          <w:szCs w:val="20"/>
          <w:color w:val="auto"/>
        </w:rPr>
      </w:pPr>
    </w:p>
    <w:p>
      <w:pPr>
        <w:ind w:left="3260" w:hanging="660"/>
        <w:spacing w:after="0"/>
        <w:tabs>
          <w:tab w:leader="none" w:pos="3260" w:val="left"/>
        </w:tabs>
        <w:numPr>
          <w:ilvl w:val="1"/>
          <w:numId w:val="680"/>
        </w:numPr>
        <w:rPr>
          <w:rFonts w:ascii="Calibri" w:cs="Calibri" w:eastAsia="Calibri" w:hAnsi="Calibri"/>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3.2.</w:t>
      </w:r>
      <w:r>
        <w:rPr>
          <w:sz w:val="20"/>
          <w:szCs w:val="20"/>
          <w:color w:val="auto"/>
        </w:rPr>
        <w:tab/>
      </w:r>
      <w:r>
        <w:rPr>
          <w:rFonts w:ascii="Calibri" w:cs="Calibri" w:eastAsia="Calibri" w:hAnsi="Calibri"/>
          <w:sz w:val="20"/>
          <w:szCs w:val="20"/>
          <w:b w:val="1"/>
          <w:bCs w:val="1"/>
          <w:color w:val="auto"/>
        </w:rPr>
        <w:t>Natonal Security Objectves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3.2.1</w:t>
      </w:r>
      <w:r>
        <w:rPr>
          <w:sz w:val="20"/>
          <w:szCs w:val="20"/>
          <w:color w:val="auto"/>
        </w:rPr>
        <w:tab/>
      </w:r>
      <w:r>
        <w:rPr>
          <w:rFonts w:ascii="Calibri" w:cs="Calibri" w:eastAsia="Calibri" w:hAnsi="Calibri"/>
          <w:sz w:val="19"/>
          <w:szCs w:val="19"/>
          <w:b w:val="1"/>
          <w:bCs w:val="1"/>
          <w:color w:val="auto"/>
        </w:rPr>
        <w:t>Cybersecurity.</w:t>
      </w:r>
    </w:p>
    <w:p>
      <w:pPr>
        <w:spacing w:after="0" w:line="157" w:lineRule="exact"/>
        <w:rPr>
          <w:sz w:val="20"/>
          <w:szCs w:val="20"/>
          <w:color w:val="auto"/>
        </w:rPr>
      </w:pPr>
    </w:p>
    <w:p>
      <w:pPr>
        <w:ind w:firstLine="1952"/>
        <w:spacing w:after="0" w:line="214" w:lineRule="auto"/>
        <w:tabs>
          <w:tab w:leader="none" w:pos="2596" w:val="left"/>
        </w:tabs>
        <w:numPr>
          <w:ilvl w:val="0"/>
          <w:numId w:val="681"/>
        </w:numPr>
        <w:rPr>
          <w:rFonts w:ascii="Calibri" w:cs="Calibri" w:eastAsia="Calibri" w:hAnsi="Calibri"/>
          <w:sz w:val="20"/>
          <w:szCs w:val="20"/>
          <w:color w:val="auto"/>
        </w:rPr>
      </w:pPr>
      <w:r>
        <w:rPr>
          <w:rFonts w:ascii="Calibri" w:cs="Calibri" w:eastAsia="Calibri" w:hAnsi="Calibri"/>
          <w:sz w:val="20"/>
          <w:szCs w:val="20"/>
          <w:color w:val="auto"/>
        </w:rPr>
        <w:t>Each Recipient shall implement and comply with (including through the provision of adequate resources and stafng) cybersecurity plans, policies and procedures for each Project which shall include, at a minimum, the following elements:</w:t>
      </w:r>
    </w:p>
    <w:p>
      <w:pPr>
        <w:spacing w:after="0" w:line="148" w:lineRule="exact"/>
        <w:rPr>
          <w:rFonts w:ascii="Calibri" w:cs="Calibri" w:eastAsia="Calibri" w:hAnsi="Calibri"/>
          <w:sz w:val="20"/>
          <w:szCs w:val="20"/>
          <w:color w:val="auto"/>
        </w:rPr>
      </w:pPr>
    </w:p>
    <w:p>
      <w:pPr>
        <w:ind w:left="3240" w:hanging="640"/>
        <w:spacing w:after="0"/>
        <w:tabs>
          <w:tab w:leader="none" w:pos="3240" w:val="left"/>
        </w:tabs>
        <w:numPr>
          <w:ilvl w:val="1"/>
          <w:numId w:val="681"/>
        </w:numPr>
        <w:rPr>
          <w:rFonts w:ascii="Calibri" w:cs="Calibri" w:eastAsia="Calibri" w:hAnsi="Calibri"/>
          <w:sz w:val="20"/>
          <w:szCs w:val="20"/>
          <w:color w:val="auto"/>
        </w:rPr>
      </w:pPr>
      <w:r>
        <w:rPr>
          <w:rFonts w:ascii="Calibri" w:cs="Calibri" w:eastAsia="Calibri" w:hAnsi="Calibri"/>
          <w:sz w:val="20"/>
          <w:szCs w:val="20"/>
          <w:color w:val="auto"/>
        </w:rPr>
        <w:t>controls to identfy informaton and technology assets, threats, and risks;</w:t>
      </w:r>
    </w:p>
    <w:p>
      <w:pPr>
        <w:spacing w:after="0" w:line="147" w:lineRule="exact"/>
        <w:rPr>
          <w:rFonts w:ascii="Calibri" w:cs="Calibri" w:eastAsia="Calibri" w:hAnsi="Calibri"/>
          <w:sz w:val="20"/>
          <w:szCs w:val="20"/>
          <w:color w:val="auto"/>
        </w:rPr>
      </w:pPr>
    </w:p>
    <w:p>
      <w:pPr>
        <w:ind w:left="3240" w:hanging="640"/>
        <w:spacing w:after="0"/>
        <w:tabs>
          <w:tab w:leader="none" w:pos="3240" w:val="left"/>
        </w:tabs>
        <w:numPr>
          <w:ilvl w:val="1"/>
          <w:numId w:val="681"/>
        </w:numPr>
        <w:rPr>
          <w:rFonts w:ascii="Calibri" w:cs="Calibri" w:eastAsia="Calibri" w:hAnsi="Calibri"/>
          <w:sz w:val="20"/>
          <w:szCs w:val="20"/>
          <w:color w:val="auto"/>
        </w:rPr>
      </w:pPr>
      <w:r>
        <w:rPr>
          <w:rFonts w:ascii="Calibri" w:cs="Calibri" w:eastAsia="Calibri" w:hAnsi="Calibri"/>
          <w:sz w:val="20"/>
          <w:szCs w:val="20"/>
          <w:color w:val="auto"/>
        </w:rPr>
        <w:t>controls to protect data, informaton technology and operatonal technology systems consistent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with industry best practces; and</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681"/>
        </w:numPr>
        <w:rPr>
          <w:rFonts w:ascii="Calibri" w:cs="Calibri" w:eastAsia="Calibri" w:hAnsi="Calibri"/>
          <w:sz w:val="20"/>
          <w:szCs w:val="20"/>
          <w:color w:val="auto"/>
        </w:rPr>
      </w:pPr>
      <w:r>
        <w:rPr>
          <w:rFonts w:ascii="Calibri" w:cs="Calibri" w:eastAsia="Calibri" w:hAnsi="Calibri"/>
          <w:sz w:val="20"/>
          <w:szCs w:val="20"/>
          <w:color w:val="auto"/>
        </w:rPr>
        <w:t>controls to detect, investgate, respond to, recover from, report, and mitgate security incidents.</w:t>
      </w:r>
    </w:p>
    <w:p>
      <w:pPr>
        <w:spacing w:after="0" w:line="170"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681"/>
        </w:numPr>
        <w:rPr>
          <w:rFonts w:ascii="Calibri" w:cs="Calibri" w:eastAsia="Calibri" w:hAnsi="Calibri"/>
          <w:sz w:val="20"/>
          <w:szCs w:val="20"/>
          <w:color w:val="auto"/>
        </w:rPr>
      </w:pPr>
      <w:r>
        <w:rPr>
          <w:rFonts w:ascii="Calibri" w:cs="Calibri" w:eastAsia="Calibri" w:hAnsi="Calibri"/>
          <w:sz w:val="20"/>
          <w:szCs w:val="20"/>
          <w:color w:val="auto"/>
        </w:rPr>
        <w:t>Each Recipient shall make commercially reasonable eforts to update such plans, policies, and procedures to ensure the capabilites of vendor systems are validated to avoid unauthorized access and exfltraton, through internal or external connectons, prior to authorizaton for</w:t>
      </w: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-18</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35" w:name="page536"/>
    <w:bookmarkEnd w:id="535"/>
    <w:p>
      <w:pPr>
        <w:spacing w:after="0" w:line="214" w:lineRule="auto"/>
        <w:rPr>
          <w:sz w:val="20"/>
          <w:szCs w:val="20"/>
          <w:color w:val="auto"/>
        </w:rPr>
      </w:pPr>
      <w:r>
        <w:rPr>
          <w:rFonts w:ascii="Calibri" w:cs="Calibri" w:eastAsia="Calibri" w:hAnsi="Calibri"/>
          <w:sz w:val="20"/>
          <w:szCs w:val="20"/>
          <w:color w:val="auto"/>
        </w:rPr>
        <w:t>access to any of such Recipients’ facilites or systems, and scanned for unauthorized transfer or exfltraton, physical and non-physical, prior to removal from such facilites or systems.</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3.2.2</w:t>
      </w:r>
      <w:r>
        <w:rPr>
          <w:sz w:val="20"/>
          <w:szCs w:val="20"/>
          <w:color w:val="auto"/>
        </w:rPr>
        <w:tab/>
      </w:r>
      <w:r>
        <w:rPr>
          <w:rFonts w:ascii="Calibri" w:cs="Calibri" w:eastAsia="Calibri" w:hAnsi="Calibri"/>
          <w:sz w:val="20"/>
          <w:szCs w:val="20"/>
          <w:b w:val="1"/>
          <w:bCs w:val="1"/>
          <w:color w:val="auto"/>
        </w:rPr>
        <w:t>Operatonal Security.</w:t>
      </w:r>
    </w:p>
    <w:p>
      <w:pPr>
        <w:spacing w:after="0" w:line="157" w:lineRule="exact"/>
        <w:rPr>
          <w:sz w:val="20"/>
          <w:szCs w:val="20"/>
          <w:color w:val="auto"/>
        </w:rPr>
      </w:pPr>
    </w:p>
    <w:p>
      <w:pPr>
        <w:jc w:val="both"/>
        <w:ind w:firstLine="1952"/>
        <w:spacing w:after="0" w:line="209" w:lineRule="auto"/>
        <w:tabs>
          <w:tab w:leader="none" w:pos="2596" w:val="left"/>
        </w:tabs>
        <w:numPr>
          <w:ilvl w:val="0"/>
          <w:numId w:val="682"/>
        </w:numPr>
        <w:rPr>
          <w:rFonts w:ascii="Calibri" w:cs="Calibri" w:eastAsia="Calibri" w:hAnsi="Calibri"/>
          <w:sz w:val="20"/>
          <w:szCs w:val="20"/>
          <w:color w:val="auto"/>
        </w:rPr>
      </w:pPr>
      <w:r>
        <w:rPr>
          <w:rFonts w:ascii="Calibri" w:cs="Calibri" w:eastAsia="Calibri" w:hAnsi="Calibri"/>
          <w:sz w:val="20"/>
          <w:szCs w:val="20"/>
          <w:color w:val="auto"/>
        </w:rPr>
        <w:t>Each Recipient shall have implemented as of the Award Date and thereafer comply with (including through the provision of adequate resources and stafng) operatonal security plans, policies and procedures for each Project which shall include, at a minimum, the following elements:</w:t>
      </w:r>
    </w:p>
    <w:p>
      <w:pPr>
        <w:spacing w:after="0" w:line="158" w:lineRule="exact"/>
        <w:rPr>
          <w:rFonts w:ascii="Calibri" w:cs="Calibri" w:eastAsia="Calibri" w:hAnsi="Calibri"/>
          <w:sz w:val="20"/>
          <w:szCs w:val="20"/>
          <w:color w:val="auto"/>
        </w:rPr>
      </w:pPr>
    </w:p>
    <w:p>
      <w:pPr>
        <w:jc w:val="both"/>
        <w:ind w:firstLine="2600"/>
        <w:spacing w:after="0" w:line="205" w:lineRule="auto"/>
        <w:tabs>
          <w:tab w:leader="none" w:pos="3234" w:val="left"/>
        </w:tabs>
        <w:numPr>
          <w:ilvl w:val="1"/>
          <w:numId w:val="682"/>
        </w:numPr>
        <w:rPr>
          <w:rFonts w:ascii="Calibri" w:cs="Calibri" w:eastAsia="Calibri" w:hAnsi="Calibri"/>
          <w:sz w:val="20"/>
          <w:szCs w:val="20"/>
          <w:color w:val="auto"/>
        </w:rPr>
      </w:pPr>
      <w:r>
        <w:rPr>
          <w:rFonts w:ascii="Calibri" w:cs="Calibri" w:eastAsia="Calibri" w:hAnsi="Calibri"/>
          <w:sz w:val="20"/>
          <w:szCs w:val="20"/>
          <w:color w:val="auto"/>
        </w:rPr>
        <w:t>controls to protect physical security through defned perimeters and restricted areas; visitor control processes including visit requests, identfcaton, vetng, and escort procedures; and processes to identfy individuals and control accesses; and</w:t>
      </w:r>
    </w:p>
    <w:p>
      <w:pPr>
        <w:spacing w:after="0" w:line="170"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682"/>
        </w:numPr>
        <w:rPr>
          <w:rFonts w:ascii="Calibri" w:cs="Calibri" w:eastAsia="Calibri" w:hAnsi="Calibri"/>
          <w:sz w:val="20"/>
          <w:szCs w:val="20"/>
          <w:color w:val="auto"/>
        </w:rPr>
      </w:pPr>
      <w:r>
        <w:rPr>
          <w:rFonts w:ascii="Calibri" w:cs="Calibri" w:eastAsia="Calibri" w:hAnsi="Calibri"/>
          <w:sz w:val="20"/>
          <w:szCs w:val="20"/>
          <w:color w:val="auto"/>
        </w:rPr>
        <w:t>controls to mitgate insider threats by vetng employees and contractors in the US, identfying and monitoring for threat indicators, establishing reportng thresholds, and training employees and contractors on insider threat indicators and reportng procedures.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682"/>
        </w:numPr>
        <w:rPr>
          <w:rFonts w:ascii="Calibri" w:cs="Calibri" w:eastAsia="Calibri" w:hAnsi="Calibri"/>
          <w:sz w:val="20"/>
          <w:szCs w:val="20"/>
          <w:color w:val="auto"/>
        </w:rPr>
      </w:pPr>
      <w:r>
        <w:rPr>
          <w:rFonts w:ascii="Calibri" w:cs="Calibri" w:eastAsia="Calibri" w:hAnsi="Calibri"/>
          <w:sz w:val="20"/>
          <w:szCs w:val="20"/>
          <w:color w:val="auto"/>
        </w:rPr>
        <w:t>[***].</w:t>
      </w:r>
    </w:p>
    <w:p>
      <w:pPr>
        <w:spacing w:after="0" w:line="157" w:lineRule="exact"/>
        <w:rPr>
          <w:sz w:val="20"/>
          <w:szCs w:val="20"/>
          <w:color w:val="auto"/>
        </w:rPr>
      </w:pPr>
    </w:p>
    <w:p>
      <w:pPr>
        <w:jc w:val="both"/>
        <w:ind w:firstLine="1296"/>
        <w:spacing w:after="0" w:line="209" w:lineRule="auto"/>
        <w:rPr>
          <w:sz w:val="20"/>
          <w:szCs w:val="20"/>
          <w:color w:val="auto"/>
        </w:rPr>
      </w:pPr>
      <w:r>
        <w:rPr>
          <w:rFonts w:ascii="Calibri" w:cs="Calibri" w:eastAsia="Calibri" w:hAnsi="Calibri"/>
          <w:sz w:val="20"/>
          <w:szCs w:val="20"/>
          <w:color w:val="auto"/>
        </w:rPr>
        <w:t xml:space="preserve">3.2.3 </w:t>
      </w:r>
      <w:r>
        <w:rPr>
          <w:rFonts w:ascii="Calibri" w:cs="Calibri" w:eastAsia="Calibri" w:hAnsi="Calibri"/>
          <w:sz w:val="20"/>
          <w:szCs w:val="20"/>
          <w:b w:val="1"/>
          <w:bCs w:val="1"/>
          <w:color w:val="auto"/>
        </w:rPr>
        <w:t>Counterfeit Preventon.</w:t>
      </w:r>
      <w:r>
        <w:rPr>
          <w:rFonts w:ascii="Calibri" w:cs="Calibri" w:eastAsia="Calibri" w:hAnsi="Calibri"/>
          <w:sz w:val="20"/>
          <w:szCs w:val="20"/>
          <w:color w:val="auto"/>
        </w:rPr>
        <w:t xml:space="preserve"> Each Recipient shall have implemented as of the Award Date and thereafer comply with (including through the provision of adequate resources and stafng) counterfeit preventon plans, policies and procedures for each Project which shall include, at a minimum, the following elements:</w:t>
      </w:r>
    </w:p>
    <w:p>
      <w:pPr>
        <w:spacing w:after="0" w:line="149" w:lineRule="exact"/>
        <w:rPr>
          <w:sz w:val="20"/>
          <w:szCs w:val="20"/>
          <w:color w:val="auto"/>
        </w:rPr>
      </w:pPr>
    </w:p>
    <w:p>
      <w:pPr>
        <w:ind w:left="2600" w:hanging="648"/>
        <w:spacing w:after="0"/>
        <w:tabs>
          <w:tab w:leader="none" w:pos="2600" w:val="left"/>
        </w:tabs>
        <w:numPr>
          <w:ilvl w:val="0"/>
          <w:numId w:val="683"/>
        </w:numPr>
        <w:rPr>
          <w:rFonts w:ascii="Calibri" w:cs="Calibri" w:eastAsia="Calibri" w:hAnsi="Calibri"/>
          <w:sz w:val="20"/>
          <w:szCs w:val="20"/>
          <w:color w:val="auto"/>
        </w:rPr>
      </w:pPr>
      <w:r>
        <w:rPr>
          <w:rFonts w:ascii="Calibri" w:cs="Calibri" w:eastAsia="Calibri" w:hAnsi="Calibri"/>
          <w:sz w:val="20"/>
          <w:szCs w:val="20"/>
          <w:color w:val="auto"/>
        </w:rPr>
        <w:t>measures to mitgate against the upstream procurement of counterfeit parts, equipment and materials;</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683"/>
        </w:numPr>
        <w:rPr>
          <w:rFonts w:ascii="Calibri" w:cs="Calibri" w:eastAsia="Calibri" w:hAnsi="Calibri"/>
          <w:sz w:val="20"/>
          <w:szCs w:val="20"/>
          <w:color w:val="auto"/>
        </w:rPr>
      </w:pPr>
      <w:r>
        <w:rPr>
          <w:rFonts w:ascii="Calibri" w:cs="Calibri" w:eastAsia="Calibri" w:hAnsi="Calibri"/>
          <w:sz w:val="20"/>
          <w:szCs w:val="20"/>
          <w:color w:val="auto"/>
        </w:rPr>
        <w:t>measures to integrate security features into products during design and producton processes;</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683"/>
        </w:numPr>
        <w:rPr>
          <w:rFonts w:ascii="Calibri" w:cs="Calibri" w:eastAsia="Calibri" w:hAnsi="Calibri"/>
          <w:sz w:val="20"/>
          <w:szCs w:val="20"/>
          <w:color w:val="auto"/>
        </w:rPr>
      </w:pPr>
      <w:r>
        <w:rPr>
          <w:rFonts w:ascii="Calibri" w:cs="Calibri" w:eastAsia="Calibri" w:hAnsi="Calibri"/>
          <w:sz w:val="20"/>
          <w:szCs w:val="20"/>
          <w:color w:val="auto"/>
        </w:rPr>
        <w:t>measures to limit opportunites for downstream cloning, counterfeitng, or relabeling of products; and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683"/>
        </w:numPr>
        <w:rPr>
          <w:rFonts w:ascii="Calibri" w:cs="Calibri" w:eastAsia="Calibri" w:hAnsi="Calibri"/>
          <w:sz w:val="20"/>
          <w:szCs w:val="20"/>
          <w:color w:val="auto"/>
        </w:rPr>
      </w:pPr>
      <w:r>
        <w:rPr>
          <w:rFonts w:ascii="Calibri" w:cs="Calibri" w:eastAsia="Calibri" w:hAnsi="Calibri"/>
          <w:sz w:val="20"/>
          <w:szCs w:val="20"/>
          <w:color w:val="auto"/>
        </w:rPr>
        <w:t>measures for identfying counterfeit products and responding to reports of counterfeit products.</w:t>
      </w:r>
    </w:p>
    <w:p>
      <w:pPr>
        <w:spacing w:after="0" w:line="157" w:lineRule="exact"/>
        <w:rPr>
          <w:sz w:val="20"/>
          <w:szCs w:val="20"/>
          <w:color w:val="auto"/>
        </w:rPr>
      </w:pPr>
    </w:p>
    <w:p>
      <w:pPr>
        <w:ind w:firstLine="1296"/>
        <w:spacing w:after="0" w:line="214" w:lineRule="auto"/>
        <w:rPr>
          <w:sz w:val="20"/>
          <w:szCs w:val="20"/>
          <w:color w:val="auto"/>
        </w:rPr>
      </w:pPr>
      <w:r>
        <w:rPr>
          <w:rFonts w:ascii="Calibri" w:cs="Calibri" w:eastAsia="Calibri" w:hAnsi="Calibri"/>
          <w:sz w:val="20"/>
          <w:szCs w:val="20"/>
          <w:color w:val="auto"/>
        </w:rPr>
        <w:t xml:space="preserve">3.2.4 </w:t>
      </w:r>
      <w:r>
        <w:rPr>
          <w:rFonts w:ascii="Calibri" w:cs="Calibri" w:eastAsia="Calibri" w:hAnsi="Calibri"/>
          <w:sz w:val="20"/>
          <w:szCs w:val="20"/>
          <w:b w:val="1"/>
          <w:bCs w:val="1"/>
          <w:color w:val="auto"/>
        </w:rPr>
        <w:t>Informaton Sharing.</w:t>
      </w:r>
      <w:r>
        <w:rPr>
          <w:rFonts w:ascii="Calibri" w:cs="Calibri" w:eastAsia="Calibri" w:hAnsi="Calibri"/>
          <w:sz w:val="20"/>
          <w:szCs w:val="20"/>
          <w:color w:val="auto"/>
        </w:rPr>
        <w:t xml:space="preserve"> Each Recipient is encouraged to apply to one or more of the following U.S. Government-led programs, as appropriate, and to engage with their local FBI feld ofce to establish a relatonship:</w:t>
      </w:r>
    </w:p>
    <w:p>
      <w:pPr>
        <w:spacing w:after="0" w:line="149" w:lineRule="exact"/>
        <w:rPr>
          <w:sz w:val="20"/>
          <w:szCs w:val="20"/>
          <w:color w:val="auto"/>
        </w:rPr>
      </w:pPr>
    </w:p>
    <w:p>
      <w:pPr>
        <w:ind w:left="2600" w:hanging="648"/>
        <w:spacing w:after="0"/>
        <w:tabs>
          <w:tab w:leader="none" w:pos="2600" w:val="left"/>
        </w:tabs>
        <w:numPr>
          <w:ilvl w:val="0"/>
          <w:numId w:val="684"/>
        </w:numPr>
        <w:rPr>
          <w:rFonts w:ascii="Calibri" w:cs="Calibri" w:eastAsia="Calibri" w:hAnsi="Calibri"/>
          <w:sz w:val="20"/>
          <w:szCs w:val="20"/>
          <w:color w:val="auto"/>
        </w:rPr>
      </w:pPr>
      <w:r>
        <w:rPr>
          <w:rFonts w:ascii="Calibri" w:cs="Calibri" w:eastAsia="Calibri" w:hAnsi="Calibri"/>
          <w:sz w:val="20"/>
          <w:szCs w:val="20"/>
          <w:color w:val="auto"/>
        </w:rPr>
        <w:t>the Domestc Security Alliance Council; and</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684"/>
        </w:numPr>
        <w:rPr>
          <w:rFonts w:ascii="Calibri" w:cs="Calibri" w:eastAsia="Calibri" w:hAnsi="Calibri"/>
          <w:sz w:val="20"/>
          <w:szCs w:val="20"/>
          <w:color w:val="auto"/>
        </w:rPr>
      </w:pPr>
      <w:r>
        <w:rPr>
          <w:rFonts w:ascii="Calibri" w:cs="Calibri" w:eastAsia="Calibri" w:hAnsi="Calibri"/>
          <w:sz w:val="20"/>
          <w:szCs w:val="20"/>
          <w:color w:val="auto"/>
        </w:rPr>
        <w:t>InfraGard.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3.3.</w:t>
      </w:r>
      <w:r>
        <w:rPr>
          <w:sz w:val="20"/>
          <w:szCs w:val="20"/>
          <w:color w:val="auto"/>
        </w:rPr>
        <w:tab/>
      </w:r>
      <w:r>
        <w:rPr>
          <w:rFonts w:ascii="Calibri" w:cs="Calibri" w:eastAsia="Calibri" w:hAnsi="Calibri"/>
          <w:sz w:val="20"/>
          <w:szCs w:val="20"/>
          <w:b w:val="1"/>
          <w:bCs w:val="1"/>
          <w:color w:val="auto"/>
        </w:rPr>
        <w:t>Workforce.</w:t>
      </w:r>
    </w:p>
    <w:p>
      <w:pPr>
        <w:spacing w:after="0" w:line="157"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3.3.1 </w:t>
      </w:r>
      <w:r>
        <w:rPr>
          <w:rFonts w:ascii="Calibri" w:cs="Calibri" w:eastAsia="Calibri" w:hAnsi="Calibri"/>
          <w:sz w:val="20"/>
          <w:szCs w:val="20"/>
          <w:b w:val="1"/>
          <w:bCs w:val="1"/>
          <w:color w:val="auto"/>
        </w:rPr>
        <w:t>Workforce Strategy.</w:t>
      </w:r>
      <w:r>
        <w:rPr>
          <w:rFonts w:ascii="Calibri" w:cs="Calibri" w:eastAsia="Calibri" w:hAnsi="Calibri"/>
          <w:sz w:val="20"/>
          <w:szCs w:val="20"/>
          <w:color w:val="auto"/>
        </w:rPr>
        <w:t xml:space="preserve"> Each Recipient shall have implemented as of the Award Date a workforce strategy with respect to each of its Projects, informed by the Good Jobs Principles, to recruit, train and retain the workforce required to meet the Facility Stafng Targets and Disbursement Milestones, which shall include, at a minimum, the following elements (it being understood that these elements may also count toward the applicable community investment commitments in Secton 3.6 of this Annex when satsfying such community investment commitments to the extent not fnanced with the proceeds of the Workforce Award):</w:t>
      </w:r>
    </w:p>
    <w:p>
      <w:pPr>
        <w:spacing w:after="0" w:line="161" w:lineRule="exact"/>
        <w:rPr>
          <w:sz w:val="20"/>
          <w:szCs w:val="20"/>
          <w:color w:val="auto"/>
        </w:rPr>
      </w:pPr>
    </w:p>
    <w:p>
      <w:pPr>
        <w:ind w:firstLine="1952"/>
        <w:spacing w:after="0" w:line="214" w:lineRule="auto"/>
        <w:tabs>
          <w:tab w:leader="none" w:pos="2596" w:val="left"/>
        </w:tabs>
        <w:numPr>
          <w:ilvl w:val="0"/>
          <w:numId w:val="685"/>
        </w:numPr>
        <w:rPr>
          <w:rFonts w:ascii="Calibri" w:cs="Calibri" w:eastAsia="Calibri" w:hAnsi="Calibri"/>
          <w:sz w:val="20"/>
          <w:szCs w:val="20"/>
          <w:color w:val="auto"/>
        </w:rPr>
      </w:pPr>
      <w:r>
        <w:rPr>
          <w:rFonts w:ascii="Calibri" w:cs="Calibri" w:eastAsia="Calibri" w:hAnsi="Calibri"/>
          <w:sz w:val="20"/>
          <w:szCs w:val="20"/>
          <w:color w:val="auto"/>
        </w:rPr>
        <w:t>sponsoring training and educaton programs to expand the pathways to semiconductor career opportunites for economically disadvantaged individuals, and other worker investments, including the following:</w:t>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-19</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36" w:name="page537"/>
    <w:bookmarkEnd w:id="536"/>
    <w:p>
      <w:pPr>
        <w:jc w:val="both"/>
        <w:ind w:firstLine="2600"/>
        <w:spacing w:after="0" w:line="202" w:lineRule="auto"/>
        <w:tabs>
          <w:tab w:leader="none" w:pos="3234" w:val="left"/>
        </w:tabs>
        <w:numPr>
          <w:ilvl w:val="0"/>
          <w:numId w:val="686"/>
        </w:numPr>
        <w:rPr>
          <w:rFonts w:ascii="Calibri" w:cs="Calibri" w:eastAsia="Calibri" w:hAnsi="Calibri"/>
          <w:sz w:val="20"/>
          <w:szCs w:val="20"/>
          <w:color w:val="auto"/>
        </w:rPr>
      </w:pPr>
      <w:r>
        <w:rPr>
          <w:rFonts w:ascii="Calibri" w:cs="Calibri" w:eastAsia="Calibri" w:hAnsi="Calibri"/>
          <w:sz w:val="20"/>
          <w:szCs w:val="20"/>
          <w:color w:val="auto"/>
        </w:rPr>
        <w:t xml:space="preserve">for the NY Projects, consistent with the NY Recipient’s commitments in its Applicaton (A) through one or more Registered Apprentceship Program hire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apprentces per year afer reaching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who are hired as full-tme employees receiving all of the benefts of any other employee, including tuiton assistance up to $10,000 per year to cover tuiton, books, and fees; and (B) partner with the Syracuse University’s D’Aniello Insttute for Veterans and Military Families in the creaton of the Semiconductor Hub and Onward to Opportunity program in a total amount over a three year period of not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0"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0"/>
          <w:numId w:val="686"/>
        </w:numPr>
        <w:rPr>
          <w:rFonts w:ascii="Calibri" w:cs="Calibri" w:eastAsia="Calibri" w:hAnsi="Calibri"/>
          <w:sz w:val="20"/>
          <w:szCs w:val="20"/>
          <w:color w:val="auto"/>
        </w:rPr>
      </w:pPr>
      <w:r>
        <w:rPr>
          <w:rFonts w:ascii="Calibri" w:cs="Calibri" w:eastAsia="Calibri" w:hAnsi="Calibri"/>
          <w:sz w:val="20"/>
          <w:szCs w:val="20"/>
          <w:color w:val="auto"/>
        </w:rPr>
        <w:t xml:space="preserve">for the ID Project, consistent with the ID Recipient’s commitments in its Applicaton, through one or more Registered Apprentceship Program hire up to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apprentces per year afer reaching the First Wafer Out Milestone for the ID Project who are hired as full-tme employees receiving all of the benefts of any other employee, including tuiton assistance up to $10,000 per year to cover tuiton, books, and fees;</w:t>
      </w:r>
    </w:p>
    <w:p>
      <w:pPr>
        <w:spacing w:after="0" w:line="159" w:lineRule="exact"/>
        <w:rPr>
          <w:rFonts w:ascii="Calibri" w:cs="Calibri" w:eastAsia="Calibri" w:hAnsi="Calibri"/>
          <w:sz w:val="20"/>
          <w:szCs w:val="20"/>
          <w:color w:val="auto"/>
        </w:rPr>
      </w:pPr>
    </w:p>
    <w:p>
      <w:pPr>
        <w:ind w:right="20" w:firstLine="2600"/>
        <w:spacing w:after="0" w:line="214" w:lineRule="auto"/>
        <w:tabs>
          <w:tab w:leader="none" w:pos="3246" w:val="left"/>
        </w:tabs>
        <w:numPr>
          <w:ilvl w:val="0"/>
          <w:numId w:val="686"/>
        </w:numPr>
        <w:rPr>
          <w:rFonts w:ascii="Calibri" w:cs="Calibri" w:eastAsia="Calibri" w:hAnsi="Calibri"/>
          <w:sz w:val="20"/>
          <w:szCs w:val="20"/>
          <w:color w:val="auto"/>
        </w:rPr>
      </w:pPr>
      <w:r>
        <w:rPr>
          <w:rFonts w:ascii="Calibri" w:cs="Calibri" w:eastAsia="Calibri" w:hAnsi="Calibri"/>
          <w:sz w:val="20"/>
          <w:szCs w:val="20"/>
          <w:color w:val="auto"/>
        </w:rPr>
        <w:t>contnuing their funding commitments, as identfed in the applicatons, for: (A) the constructon of the Onondaga Community College cleanroom ($5,000,000 commitment); and (B) the Micron internship program;</w:t>
      </w:r>
    </w:p>
    <w:p>
      <w:pPr>
        <w:spacing w:after="0" w:line="158" w:lineRule="exact"/>
        <w:rPr>
          <w:rFonts w:ascii="Calibri" w:cs="Calibri" w:eastAsia="Calibri" w:hAnsi="Calibri"/>
          <w:sz w:val="20"/>
          <w:szCs w:val="20"/>
          <w:color w:val="auto"/>
        </w:rPr>
      </w:pPr>
    </w:p>
    <w:p>
      <w:pPr>
        <w:jc w:val="both"/>
        <w:ind w:firstLine="2600"/>
        <w:spacing w:after="0"/>
        <w:tabs>
          <w:tab w:leader="none" w:pos="3244" w:val="left"/>
        </w:tabs>
        <w:numPr>
          <w:ilvl w:val="0"/>
          <w:numId w:val="686"/>
        </w:numPr>
        <w:rPr>
          <w:rFonts w:ascii="Calibri" w:cs="Calibri" w:eastAsia="Calibri" w:hAnsi="Calibri"/>
          <w:sz w:val="20"/>
          <w:szCs w:val="20"/>
          <w:color w:val="auto"/>
        </w:rPr>
      </w:pPr>
      <w:r>
        <w:rPr>
          <w:rFonts w:ascii="Calibri" w:cs="Calibri" w:eastAsia="Calibri" w:hAnsi="Calibri"/>
          <w:sz w:val="20"/>
          <w:szCs w:val="20"/>
          <w:color w:val="auto"/>
        </w:rPr>
        <w:t>the NY Recipient investng ten million Dollars ($10,000,000) over the ten (10) year period commencing in 2023, in the frst collaboratve STEAM school in Onondaga County and other STEM-related K-12 programs in the region; and</w:t>
      </w:r>
    </w:p>
    <w:p>
      <w:pPr>
        <w:spacing w:after="0" w:line="308" w:lineRule="exact"/>
        <w:rPr>
          <w:rFonts w:ascii="Calibri" w:cs="Calibri" w:eastAsia="Calibri" w:hAnsi="Calibri"/>
          <w:sz w:val="20"/>
          <w:szCs w:val="20"/>
          <w:color w:val="auto"/>
        </w:rPr>
      </w:pPr>
    </w:p>
    <w:p>
      <w:pPr>
        <w:jc w:val="both"/>
        <w:ind w:firstLine="2600"/>
        <w:spacing w:after="0" w:line="205" w:lineRule="auto"/>
        <w:tabs>
          <w:tab w:leader="none" w:pos="3238" w:val="left"/>
        </w:tabs>
        <w:numPr>
          <w:ilvl w:val="0"/>
          <w:numId w:val="686"/>
        </w:numPr>
        <w:rPr>
          <w:rFonts w:ascii="Calibri" w:cs="Calibri" w:eastAsia="Calibri" w:hAnsi="Calibri"/>
          <w:sz w:val="20"/>
          <w:szCs w:val="20"/>
          <w:color w:val="auto"/>
        </w:rPr>
      </w:pPr>
      <w:r>
        <w:rPr>
          <w:rFonts w:ascii="Calibri" w:cs="Calibri" w:eastAsia="Calibri" w:hAnsi="Calibri"/>
          <w:sz w:val="20"/>
          <w:szCs w:val="20"/>
          <w:color w:val="auto"/>
        </w:rPr>
        <w:t>contnue ofering and expanding Recipient’s sponsorship and partcipaton in Micron’s signature K-12 programs in Central New York and Boise, Idaho regions, including the Micron Foundaton Chip Camp and Chip Camp Jr. programs, Girls Going Tech, and Careers in a High Tech World;</w:t>
      </w:r>
    </w:p>
    <w:p>
      <w:pPr>
        <w:spacing w:after="0" w:line="184"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color w:val="auto"/>
        </w:rPr>
        <w:t>provided that, in each case, the applicable Recipient may replace or modify the foregoing with other similar programs that are at least comparable in quality and utlity and are made available to at least the same categories of employees or programs to expand employment opportunity for economically disadvantaged individuals that are at least comparable in efectveness;</w:t>
      </w:r>
    </w:p>
    <w:p>
      <w:pPr>
        <w:spacing w:after="0" w:line="63" w:lineRule="exact"/>
        <w:rPr>
          <w:sz w:val="20"/>
          <w:szCs w:val="20"/>
          <w:color w:val="auto"/>
        </w:rPr>
      </w:pPr>
    </w:p>
    <w:p>
      <w:pPr>
        <w:jc w:val="both"/>
        <w:ind w:firstLine="1952"/>
        <w:spacing w:after="0" w:line="203" w:lineRule="auto"/>
        <w:tabs>
          <w:tab w:leader="none" w:pos="2592" w:val="left"/>
        </w:tabs>
        <w:numPr>
          <w:ilvl w:val="0"/>
          <w:numId w:val="687"/>
        </w:numPr>
        <w:rPr>
          <w:rFonts w:ascii="Calibri" w:cs="Calibri" w:eastAsia="Calibri" w:hAnsi="Calibri"/>
          <w:sz w:val="20"/>
          <w:szCs w:val="20"/>
          <w:color w:val="auto"/>
        </w:rPr>
      </w:pPr>
      <w:r>
        <w:rPr>
          <w:rFonts w:ascii="Calibri" w:cs="Calibri" w:eastAsia="Calibri" w:hAnsi="Calibri"/>
          <w:sz w:val="20"/>
          <w:szCs w:val="20"/>
          <w:color w:val="auto"/>
        </w:rPr>
        <w:t>developing a plan to operatonalize the Good Jobs Principles published by the Departments of Commerce and Labor, including recruitment and hiring practces, pay and benefts, job security and working conditons, worker empowerment, skills and career advancement, and organizatonal culture, which plan shall be delivered to the Department no later than 4 months afer the Award Date;</w:t>
      </w:r>
    </w:p>
    <w:p>
      <w:pPr>
        <w:spacing w:after="0" w:line="159" w:lineRule="exact"/>
        <w:rPr>
          <w:rFonts w:ascii="Calibri" w:cs="Calibri" w:eastAsia="Calibri" w:hAnsi="Calibri"/>
          <w:sz w:val="20"/>
          <w:szCs w:val="20"/>
          <w:color w:val="auto"/>
        </w:rPr>
      </w:pPr>
    </w:p>
    <w:p>
      <w:pPr>
        <w:jc w:val="both"/>
        <w:ind w:firstLine="1952"/>
        <w:spacing w:after="0" w:line="199" w:lineRule="auto"/>
        <w:tabs>
          <w:tab w:leader="none" w:pos="2584" w:val="left"/>
        </w:tabs>
        <w:numPr>
          <w:ilvl w:val="0"/>
          <w:numId w:val="687"/>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(i) maintain or enter into bids from contractors that (A) make fnancial contributons to Registered Apprentceship Programs, and (B) encourage partnerships with pre-apprentceship programs that support individuals without access to or familiarity with such Registered Apprentceship Programs; (ii) work with contractors to identfy and recruit candidates from economically disadvantaged populatons; and (iii) work with contractors to provide wraparound services and benefts to employees such as personal protectve equipment, health and safety services, safety events, on-site amenites, and housing services;</w:t>
      </w:r>
    </w:p>
    <w:p>
      <w:pPr>
        <w:spacing w:after="0" w:line="175" w:lineRule="exact"/>
        <w:rPr>
          <w:rFonts w:ascii="Calibri" w:cs="Calibri" w:eastAsia="Calibri" w:hAnsi="Calibri"/>
          <w:sz w:val="20"/>
          <w:szCs w:val="20"/>
          <w:color w:val="auto"/>
        </w:rPr>
      </w:pPr>
    </w:p>
    <w:p>
      <w:pPr>
        <w:ind w:right="20" w:firstLine="1952"/>
        <w:spacing w:after="0" w:line="208" w:lineRule="auto"/>
        <w:tabs>
          <w:tab w:leader="none" w:pos="2592" w:val="left"/>
        </w:tabs>
        <w:numPr>
          <w:ilvl w:val="0"/>
          <w:numId w:val="687"/>
        </w:numPr>
        <w:rPr>
          <w:rFonts w:ascii="Calibri" w:cs="Calibri" w:eastAsia="Calibri" w:hAnsi="Calibri"/>
          <w:sz w:val="20"/>
          <w:szCs w:val="20"/>
          <w:color w:val="auto"/>
        </w:rPr>
      </w:pPr>
      <w:r>
        <w:rPr>
          <w:rFonts w:ascii="Calibri" w:cs="Calibri" w:eastAsia="Calibri" w:hAnsi="Calibri"/>
          <w:sz w:val="20"/>
          <w:szCs w:val="20"/>
          <w:color w:val="auto"/>
        </w:rPr>
        <w:t>for the NY Projects, encourage constructon contractors and subcontractors take commercially reasonable eforts to consider candidates for hire from Central New York (CNY) Build;</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86" w:val="left"/>
        </w:tabs>
        <w:numPr>
          <w:ilvl w:val="0"/>
          <w:numId w:val="687"/>
        </w:numPr>
        <w:rPr>
          <w:rFonts w:ascii="Calibri" w:cs="Calibri" w:eastAsia="Calibri" w:hAnsi="Calibri"/>
          <w:sz w:val="20"/>
          <w:szCs w:val="20"/>
          <w:color w:val="auto"/>
        </w:rPr>
      </w:pPr>
      <w:r>
        <w:rPr>
          <w:rFonts w:ascii="Calibri" w:cs="Calibri" w:eastAsia="Calibri" w:hAnsi="Calibri"/>
          <w:sz w:val="20"/>
          <w:szCs w:val="20"/>
          <w:color w:val="auto"/>
        </w:rPr>
        <w:t>establish or maintain a workforce safety commitee comprised of workers and management that meets on a regular basis and is authorized to raise any health or safety concerns;</w:t>
      </w:r>
    </w:p>
    <w:p>
      <w:pPr>
        <w:spacing w:after="0" w:line="170" w:lineRule="exact"/>
        <w:rPr>
          <w:rFonts w:ascii="Calibri" w:cs="Calibri" w:eastAsia="Calibri" w:hAnsi="Calibri"/>
          <w:sz w:val="20"/>
          <w:szCs w:val="20"/>
          <w:color w:val="auto"/>
        </w:rPr>
      </w:pPr>
    </w:p>
    <w:p>
      <w:pPr>
        <w:ind w:right="20" w:firstLine="1952"/>
        <w:spacing w:after="0" w:line="208" w:lineRule="auto"/>
        <w:tabs>
          <w:tab w:leader="none" w:pos="2590" w:val="left"/>
        </w:tabs>
        <w:numPr>
          <w:ilvl w:val="0"/>
          <w:numId w:val="687"/>
        </w:numPr>
        <w:rPr>
          <w:rFonts w:ascii="Calibri" w:cs="Calibri" w:eastAsia="Calibri" w:hAnsi="Calibri"/>
          <w:sz w:val="20"/>
          <w:szCs w:val="20"/>
          <w:color w:val="auto"/>
        </w:rPr>
      </w:pPr>
      <w:r>
        <w:rPr>
          <w:rFonts w:ascii="Calibri" w:cs="Calibri" w:eastAsia="Calibri" w:hAnsi="Calibri"/>
          <w:sz w:val="20"/>
          <w:szCs w:val="20"/>
          <w:color w:val="auto"/>
        </w:rPr>
        <w:t>for all categories of jobs that comprise the Facility Workforce comply with any pay transparency disclosure requirements under federal and applicable state law for the Recipients’ website and in job postngs;</w:t>
      </w: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-20</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37" w:name="page538"/>
    <w:bookmarkEnd w:id="537"/>
    <w:p>
      <w:pPr>
        <w:ind w:firstLine="1952"/>
        <w:spacing w:after="0" w:line="214" w:lineRule="auto"/>
        <w:tabs>
          <w:tab w:leader="none" w:pos="2595"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implement a skills-based hiring approach by expanding the minimum qualifcatons that provide entry into semiconductor careers with no degree required;</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implement the CHIPS Women in Constructon Framework at the</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Projects;</w:t>
      </w:r>
    </w:p>
    <w:p>
      <w:pPr>
        <w:spacing w:after="0" w:line="157" w:lineRule="exact"/>
        <w:rPr>
          <w:rFonts w:ascii="Calibri" w:cs="Calibri" w:eastAsia="Calibri" w:hAnsi="Calibri"/>
          <w:sz w:val="20"/>
          <w:szCs w:val="20"/>
          <w:color w:val="auto"/>
        </w:rPr>
      </w:pPr>
    </w:p>
    <w:p>
      <w:pPr>
        <w:jc w:val="both"/>
        <w:ind w:firstLine="1952"/>
        <w:spacing w:after="0"/>
        <w:tabs>
          <w:tab w:leader="none" w:pos="2586"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partner with community agencies in their respectve states to open new near-site child-care facilites comprising over 100 seats in each locaton, ofering afordable tuiton rates, under or on-par within the existng oferings in the community, to partcipatng facility workers. Such facilites will provide non-standard operatng hours, up to 24/7 care based on demand, and accept all forms of tuiton payment and other assistance, including reduced tuiton to lower wage earners based on total household income;</w:t>
      </w:r>
    </w:p>
    <w:p>
      <w:pPr>
        <w:spacing w:after="0" w:line="211" w:lineRule="exact"/>
        <w:rPr>
          <w:rFonts w:ascii="Calibri" w:cs="Calibri" w:eastAsia="Calibri" w:hAnsi="Calibri"/>
          <w:sz w:val="20"/>
          <w:szCs w:val="20"/>
          <w:color w:val="auto"/>
        </w:rPr>
      </w:pPr>
    </w:p>
    <w:p>
      <w:pPr>
        <w:jc w:val="both"/>
        <w:ind w:firstLine="1952"/>
        <w:spacing w:after="0" w:line="205" w:lineRule="auto"/>
        <w:tabs>
          <w:tab w:leader="none" w:pos="2594"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partner with child-care organizatons in their respectve states to expand local provider supply and capacity, including: (A) incorporatng an early childhood educaton certfcate in Idaho’s Launch program for high school students; and (B) sponsoring the Early Childhood Pathways program to build capacity of the family homecare pipeline in New York;</w:t>
      </w:r>
    </w:p>
    <w:p>
      <w:pPr>
        <w:spacing w:after="0" w:line="170" w:lineRule="exact"/>
        <w:rPr>
          <w:rFonts w:ascii="Calibri" w:cs="Calibri" w:eastAsia="Calibri" w:hAnsi="Calibri"/>
          <w:sz w:val="20"/>
          <w:szCs w:val="20"/>
          <w:color w:val="auto"/>
        </w:rPr>
      </w:pPr>
    </w:p>
    <w:p>
      <w:pPr>
        <w:ind w:firstLine="1952"/>
        <w:spacing w:after="0" w:line="208" w:lineRule="auto"/>
        <w:tabs>
          <w:tab w:leader="none" w:pos="2591"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sponsor development of an Early Child Development registered apprentceship program through the Treasure Valley YMCA in Idaho with a plan to expand it to Central New York afer the childcare facility is operatonal; and</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86" w:val="left"/>
        </w:tabs>
        <w:numPr>
          <w:ilvl w:val="0"/>
          <w:numId w:val="688"/>
        </w:numPr>
        <w:rPr>
          <w:rFonts w:ascii="Calibri" w:cs="Calibri" w:eastAsia="Calibri" w:hAnsi="Calibri"/>
          <w:sz w:val="20"/>
          <w:szCs w:val="20"/>
          <w:color w:val="auto"/>
        </w:rPr>
      </w:pPr>
      <w:r>
        <w:rPr>
          <w:rFonts w:ascii="Calibri" w:cs="Calibri" w:eastAsia="Calibri" w:hAnsi="Calibri"/>
          <w:sz w:val="20"/>
          <w:szCs w:val="20"/>
          <w:color w:val="auto"/>
        </w:rPr>
        <w:t>ofering its employees additonal supports such as, navigaton tools and resources that help employees identfy child care providers that meet their needs and a Dependent Care FSA and backup care subsidy to defray costs.</w:t>
      </w:r>
    </w:p>
    <w:p>
      <w:pPr>
        <w:spacing w:after="0" w:line="159" w:lineRule="exact"/>
        <w:rPr>
          <w:sz w:val="20"/>
          <w:szCs w:val="20"/>
          <w:color w:val="auto"/>
        </w:rPr>
      </w:pPr>
    </w:p>
    <w:p>
      <w:pPr>
        <w:jc w:val="both"/>
        <w:ind w:firstLine="1296"/>
        <w:spacing w:after="0" w:line="202" w:lineRule="auto"/>
        <w:rPr>
          <w:sz w:val="20"/>
          <w:szCs w:val="20"/>
          <w:color w:val="auto"/>
        </w:rPr>
      </w:pPr>
      <w:r>
        <w:rPr>
          <w:rFonts w:ascii="Calibri" w:cs="Calibri" w:eastAsia="Calibri" w:hAnsi="Calibri"/>
          <w:sz w:val="20"/>
          <w:szCs w:val="20"/>
          <w:color w:val="auto"/>
        </w:rPr>
        <w:t xml:space="preserve">3.3.2 </w:t>
      </w:r>
      <w:r>
        <w:rPr>
          <w:rFonts w:ascii="Calibri" w:cs="Calibri" w:eastAsia="Calibri" w:hAnsi="Calibri"/>
          <w:sz w:val="20"/>
          <w:szCs w:val="20"/>
          <w:b w:val="1"/>
          <w:bCs w:val="1"/>
          <w:color w:val="auto"/>
        </w:rPr>
        <w:t>Training Entty Commitments.</w:t>
      </w:r>
      <w:r>
        <w:rPr>
          <w:rFonts w:ascii="Calibri" w:cs="Calibri" w:eastAsia="Calibri" w:hAnsi="Calibri"/>
          <w:sz w:val="20"/>
          <w:szCs w:val="20"/>
          <w:color w:val="auto"/>
        </w:rPr>
        <w:t xml:space="preserve"> Each Recipient shall obtain commitments (which, for the avoidance of doubt, may be evidenced pursuant to memoranda of understanding, writen agreements or other writngs acknowledging a commitment) from regional educatonal and training enttes, insttutons of higher educaton and/or other workforce or training organizatons identfed in the Applicaton, or similar organizatons, to provide, partcipate in, or support the workforce strategy, including the actvites list in Secton 3.3.1 (Workforce Strategy), where applicable.</w:t>
      </w:r>
    </w:p>
    <w:p>
      <w:pPr>
        <w:spacing w:after="0" w:line="161" w:lineRule="exact"/>
        <w:rPr>
          <w:sz w:val="20"/>
          <w:szCs w:val="20"/>
          <w:color w:val="auto"/>
        </w:rPr>
      </w:pPr>
    </w:p>
    <w:p>
      <w:pPr>
        <w:jc w:val="both"/>
        <w:ind w:right="20" w:firstLine="1296"/>
        <w:spacing w:after="0" w:line="214" w:lineRule="auto"/>
        <w:rPr>
          <w:sz w:val="20"/>
          <w:szCs w:val="20"/>
          <w:color w:val="auto"/>
        </w:rPr>
      </w:pPr>
      <w:r>
        <w:rPr>
          <w:rFonts w:ascii="Calibri" w:cs="Calibri" w:eastAsia="Calibri" w:hAnsi="Calibri"/>
          <w:sz w:val="20"/>
          <w:szCs w:val="20"/>
          <w:color w:val="auto"/>
        </w:rPr>
        <w:t xml:space="preserve">3.3.3 </w:t>
      </w:r>
      <w:r>
        <w:rPr>
          <w:rFonts w:ascii="Calibri" w:cs="Calibri" w:eastAsia="Calibri" w:hAnsi="Calibri"/>
          <w:sz w:val="20"/>
          <w:szCs w:val="20"/>
          <w:b w:val="1"/>
          <w:bCs w:val="1"/>
          <w:color w:val="auto"/>
        </w:rPr>
        <w:t>Mega Constructon Project Program.</w:t>
      </w:r>
      <w:r>
        <w:rPr>
          <w:rFonts w:ascii="Calibri" w:cs="Calibri" w:eastAsia="Calibri" w:hAnsi="Calibri"/>
          <w:sz w:val="20"/>
          <w:szCs w:val="20"/>
          <w:color w:val="auto"/>
        </w:rPr>
        <w:t xml:space="preserve"> If selected by DOL’s Ofce of Federal Contract Compliance Programs, the applicable Recipients shall partcipate in the Mega Constructon Project Program.</w:t>
      </w:r>
    </w:p>
    <w:p>
      <w:pPr>
        <w:spacing w:after="0" w:line="149"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3.4.</w:t>
      </w:r>
      <w:r>
        <w:rPr>
          <w:sz w:val="20"/>
          <w:szCs w:val="20"/>
          <w:color w:val="auto"/>
        </w:rPr>
        <w:tab/>
      </w:r>
      <w:r>
        <w:rPr>
          <w:rFonts w:ascii="Calibri" w:cs="Calibri" w:eastAsia="Calibri" w:hAnsi="Calibri"/>
          <w:sz w:val="20"/>
          <w:szCs w:val="20"/>
          <w:b w:val="1"/>
          <w:bCs w:val="1"/>
          <w:color w:val="auto"/>
        </w:rPr>
        <w:t>Broader Impacts</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3.4.1</w:t>
      </w:r>
      <w:r>
        <w:rPr>
          <w:sz w:val="20"/>
          <w:szCs w:val="20"/>
          <w:color w:val="auto"/>
        </w:rPr>
        <w:tab/>
      </w:r>
      <w:r>
        <w:rPr>
          <w:rFonts w:ascii="Calibri" w:cs="Calibri" w:eastAsia="Calibri" w:hAnsi="Calibri"/>
          <w:sz w:val="20"/>
          <w:szCs w:val="20"/>
          <w:b w:val="1"/>
          <w:bCs w:val="1"/>
          <w:color w:val="auto"/>
        </w:rPr>
        <w:t>Support for CHIPS Research and Development Programs.</w:t>
      </w:r>
    </w:p>
    <w:p>
      <w:pPr>
        <w:spacing w:after="0" w:line="157" w:lineRule="exact"/>
        <w:rPr>
          <w:sz w:val="20"/>
          <w:szCs w:val="20"/>
          <w:color w:val="auto"/>
        </w:rPr>
      </w:pPr>
    </w:p>
    <w:p>
      <w:pPr>
        <w:jc w:val="both"/>
        <w:ind w:firstLine="1952"/>
        <w:spacing w:after="0" w:line="202" w:lineRule="auto"/>
        <w:tabs>
          <w:tab w:leader="none" w:pos="2596" w:val="left"/>
        </w:tabs>
        <w:numPr>
          <w:ilvl w:val="0"/>
          <w:numId w:val="689"/>
        </w:numPr>
        <w:rPr>
          <w:rFonts w:ascii="Calibri" w:cs="Calibri" w:eastAsia="Calibri" w:hAnsi="Calibri"/>
          <w:sz w:val="20"/>
          <w:szCs w:val="20"/>
          <w:color w:val="auto"/>
        </w:rPr>
      </w:pPr>
      <w:r>
        <w:rPr>
          <w:rFonts w:ascii="Calibri" w:cs="Calibri" w:eastAsia="Calibri" w:hAnsi="Calibri"/>
          <w:sz w:val="20"/>
          <w:szCs w:val="20"/>
          <w:color w:val="auto"/>
        </w:rPr>
        <w:t>Each Recipient (or the Sponsor Guarantor on their behalf) shall be a member of the NSTC for a minimum of fve (5) years, startng from, subject to negotaton and executon of a membership agreement between the Recipients (or the Sponsor Guarantor on their behalf) and the Natonal Center for the Advancement of Semiconductor Technology (Natcast) with mutually agreeable terms, the date that is three (3) months afer the date on which NSTC is capable of acceptng new members, the efectve date of such membership agreement or three (3) months from the date of this Agreement, whichever is later.</w:t>
      </w:r>
    </w:p>
    <w:p>
      <w:pPr>
        <w:spacing w:after="0" w:line="150" w:lineRule="exact"/>
        <w:rPr>
          <w:rFonts w:ascii="Calibri" w:cs="Calibri" w:eastAsia="Calibri" w:hAnsi="Calibri"/>
          <w:sz w:val="20"/>
          <w:szCs w:val="20"/>
          <w:color w:val="auto"/>
        </w:rPr>
      </w:pPr>
    </w:p>
    <w:p>
      <w:pPr>
        <w:ind w:left="2600" w:hanging="648"/>
        <w:spacing w:after="0"/>
        <w:tabs>
          <w:tab w:leader="none" w:pos="2600" w:val="left"/>
        </w:tabs>
        <w:numPr>
          <w:ilvl w:val="0"/>
          <w:numId w:val="689"/>
        </w:numPr>
        <w:rPr>
          <w:rFonts w:ascii="Calibri" w:cs="Calibri" w:eastAsia="Calibri" w:hAnsi="Calibri"/>
          <w:sz w:val="20"/>
          <w:szCs w:val="20"/>
          <w:color w:val="auto"/>
        </w:rPr>
      </w:pPr>
      <w:r>
        <w:rPr>
          <w:rFonts w:ascii="Calibri" w:cs="Calibri" w:eastAsia="Calibri" w:hAnsi="Calibri"/>
          <w:sz w:val="20"/>
          <w:szCs w:val="20"/>
          <w:color w:val="auto"/>
        </w:rPr>
        <w:t>Each Recipient (or the Sponsor Guarantor on their behalf) shall do the following:</w:t>
      </w:r>
    </w:p>
    <w:p>
      <w:pPr>
        <w:spacing w:after="0" w:line="157" w:lineRule="exact"/>
        <w:rPr>
          <w:rFonts w:ascii="Calibri" w:cs="Calibri" w:eastAsia="Calibri" w:hAnsi="Calibri"/>
          <w:sz w:val="20"/>
          <w:szCs w:val="20"/>
          <w:color w:val="auto"/>
        </w:rPr>
      </w:pPr>
    </w:p>
    <w:p>
      <w:pPr>
        <w:jc w:val="both"/>
        <w:ind w:firstLine="2600"/>
        <w:spacing w:after="0" w:line="209" w:lineRule="auto"/>
        <w:tabs>
          <w:tab w:leader="none" w:pos="3234" w:val="left"/>
        </w:tabs>
        <w:numPr>
          <w:ilvl w:val="1"/>
          <w:numId w:val="689"/>
        </w:numPr>
        <w:rPr>
          <w:rFonts w:ascii="Calibri" w:cs="Calibri" w:eastAsia="Calibri" w:hAnsi="Calibri"/>
          <w:sz w:val="20"/>
          <w:szCs w:val="20"/>
          <w:color w:val="auto"/>
        </w:rPr>
      </w:pPr>
      <w:r>
        <w:rPr>
          <w:rFonts w:ascii="Calibri" w:cs="Calibri" w:eastAsia="Calibri" w:hAnsi="Calibri"/>
          <w:sz w:val="20"/>
          <w:szCs w:val="20"/>
          <w:color w:val="auto"/>
        </w:rPr>
        <w:t>designate a senior ofcial of the Recipients (or the Sponsor Guarantor on their behalf) who will serve as the lead point of contact for actvites related to the NSTC and, if requested by the NSTC, serve as a member of the NSTC’s Technical Advisory Commitee and relevant working groups;</w:t>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-21</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38" w:name="page539"/>
    <w:bookmarkEnd w:id="538"/>
    <w:p>
      <w:pPr>
        <w:ind w:left="3240" w:hanging="640"/>
        <w:spacing w:after="0"/>
        <w:tabs>
          <w:tab w:leader="none" w:pos="3240" w:val="left"/>
        </w:tabs>
        <w:numPr>
          <w:ilvl w:val="0"/>
          <w:numId w:val="690"/>
        </w:numPr>
        <w:rPr>
          <w:rFonts w:ascii="Calibri" w:cs="Calibri" w:eastAsia="Calibri" w:hAnsi="Calibri"/>
          <w:sz w:val="20"/>
          <w:szCs w:val="20"/>
          <w:color w:val="auto"/>
        </w:rPr>
      </w:pPr>
      <w:r>
        <w:rPr>
          <w:rFonts w:ascii="Calibri" w:cs="Calibri" w:eastAsia="Calibri" w:hAnsi="Calibri"/>
          <w:sz w:val="20"/>
          <w:szCs w:val="20"/>
          <w:color w:val="auto"/>
        </w:rPr>
        <w:t>partcipate in the NSTC Workforce Center of Excellence, including sharing the Recipient’s best</w:t>
      </w:r>
    </w:p>
    <w:p>
      <w:pPr>
        <w:spacing w:after="0" w:line="199" w:lineRule="auto"/>
        <w:rPr>
          <w:sz w:val="20"/>
          <w:szCs w:val="20"/>
          <w:color w:val="auto"/>
        </w:rPr>
      </w:pPr>
      <w:r>
        <w:rPr>
          <w:rFonts w:ascii="Calibri" w:cs="Calibri" w:eastAsia="Calibri" w:hAnsi="Calibri"/>
          <w:sz w:val="20"/>
          <w:szCs w:val="20"/>
          <w:color w:val="auto"/>
        </w:rPr>
        <w:t>practces; and</w:t>
      </w:r>
    </w:p>
    <w:p>
      <w:pPr>
        <w:spacing w:after="0" w:line="157" w:lineRule="exact"/>
        <w:rPr>
          <w:sz w:val="20"/>
          <w:szCs w:val="20"/>
          <w:color w:val="auto"/>
        </w:rPr>
      </w:pPr>
    </w:p>
    <w:p>
      <w:pPr>
        <w:jc w:val="both"/>
        <w:ind w:firstLine="2600"/>
        <w:spacing w:after="0" w:line="203" w:lineRule="auto"/>
        <w:tabs>
          <w:tab w:leader="none" w:pos="3246" w:val="left"/>
        </w:tabs>
        <w:numPr>
          <w:ilvl w:val="0"/>
          <w:numId w:val="691"/>
        </w:numPr>
        <w:rPr>
          <w:rFonts w:ascii="Calibri" w:cs="Calibri" w:eastAsia="Calibri" w:hAnsi="Calibri"/>
          <w:sz w:val="20"/>
          <w:szCs w:val="20"/>
          <w:color w:val="auto"/>
        </w:rPr>
      </w:pPr>
      <w:r>
        <w:rPr>
          <w:rFonts w:ascii="Calibri" w:cs="Calibri" w:eastAsia="Calibri" w:hAnsi="Calibri"/>
          <w:sz w:val="20"/>
          <w:szCs w:val="20"/>
          <w:color w:val="auto"/>
        </w:rPr>
        <w:t>use commercially reasonable eforts to support R&amp;D and other technology advancement eforts through actve partcipaton in the NSTC and/or other CHIPS R&amp;D programs, subject to negotaton and executon of agreements between the Recipients (or the Sponsor Guarantor on their behalf), the Natonal Center for the Advancement of Semiconductor Technology (Natcast) and the Department’s CHIPS R&amp;D Ofce.</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3.4.2</w:t>
        <w:tab/>
        <w:t>[***].</w:t>
      </w:r>
    </w:p>
    <w:p>
      <w:pPr>
        <w:spacing w:after="0" w:line="188" w:lineRule="exact"/>
        <w:rPr>
          <w:sz w:val="20"/>
          <w:szCs w:val="20"/>
          <w:color w:val="auto"/>
        </w:rPr>
      </w:pPr>
    </w:p>
    <w:p>
      <w:pPr>
        <w:ind w:left="1960"/>
        <w:spacing w:after="0"/>
        <w:rPr>
          <w:sz w:val="20"/>
          <w:szCs w:val="20"/>
          <w:color w:val="auto"/>
        </w:rPr>
      </w:pPr>
      <w:r>
        <w:rPr>
          <w:rFonts w:ascii="Calibri" w:cs="Calibri" w:eastAsia="Calibri" w:hAnsi="Calibri"/>
          <w:sz w:val="20"/>
          <w:szCs w:val="20"/>
          <w:color w:val="auto"/>
        </w:rPr>
        <w:t>(a)</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3.5.</w:t>
      </w:r>
      <w:r>
        <w:rPr>
          <w:sz w:val="20"/>
          <w:szCs w:val="20"/>
          <w:color w:val="auto"/>
        </w:rPr>
        <w:tab/>
      </w:r>
      <w:r>
        <w:rPr>
          <w:rFonts w:ascii="Calibri" w:cs="Calibri" w:eastAsia="Calibri" w:hAnsi="Calibri"/>
          <w:sz w:val="20"/>
          <w:szCs w:val="20"/>
          <w:b w:val="1"/>
          <w:bCs w:val="1"/>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3.5.1</w:t>
      </w:r>
      <w:r>
        <w:rPr>
          <w:sz w:val="20"/>
          <w:szCs w:val="20"/>
          <w:color w:val="auto"/>
        </w:rPr>
        <w:tab/>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3.5.2</w:t>
      </w:r>
      <w:r>
        <w:rPr>
          <w:sz w:val="20"/>
          <w:szCs w:val="20"/>
          <w:color w:val="auto"/>
        </w:rPr>
        <w:tab/>
      </w:r>
      <w:r>
        <w:rPr>
          <w:rFonts w:ascii="Calibri" w:cs="Calibri" w:eastAsia="Calibri" w:hAnsi="Calibri"/>
          <w:sz w:val="19"/>
          <w:szCs w:val="19"/>
          <w:b w:val="1"/>
          <w:bCs w:val="1"/>
          <w:color w:val="auto"/>
        </w:rPr>
        <w:t>[***].</w:t>
      </w:r>
    </w:p>
    <w:p>
      <w:pPr>
        <w:spacing w:after="0" w:line="171"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3.5.3 </w:t>
      </w:r>
      <w:r>
        <w:rPr>
          <w:rFonts w:ascii="Calibri" w:cs="Calibri" w:eastAsia="Calibri" w:hAnsi="Calibri"/>
          <w:sz w:val="20"/>
          <w:szCs w:val="20"/>
          <w:b w:val="1"/>
          <w:bCs w:val="1"/>
          <w:color w:val="auto"/>
        </w:rPr>
        <w:t>Public Reportng; Department Reportng.</w:t>
      </w:r>
      <w:r>
        <w:rPr>
          <w:rFonts w:ascii="Calibri" w:cs="Calibri" w:eastAsia="Calibri" w:hAnsi="Calibri"/>
          <w:sz w:val="20"/>
          <w:szCs w:val="20"/>
          <w:color w:val="auto"/>
        </w:rPr>
        <w:t xml:space="preserve"> Commencing no later than the frst full calendar year following start of operatons of ID Project (for the ID Project) and frst full calendar year following the start of operatons of Fab 1 for the NY Projects, the Recipients shall (a) disclose in the Sponsor Guarantor’s Sustainability Report, sustainability webpage, or equivalent the environmental responsibility goals adopted by the Recipients for the Sponsor Guarantor and its subsidiaries (inclusive of the Projects, though not necessarily identfying site-specifc goals), and shall thereafer annually report on progress against these goals with appropriate metrics, and (b) disclose to the Department the environmental responsibility goals adopted by the Recipients for the Projects, and shall thereafer annually report on the Recipients’ progress against these goals with appropriate metrics </w:t>
      </w:r>
      <w:r>
        <w:rPr>
          <w:rFonts w:ascii="Calibri" w:cs="Calibri" w:eastAsia="Calibri" w:hAnsi="Calibri"/>
          <w:sz w:val="20"/>
          <w:szCs w:val="20"/>
          <w:b w:val="1"/>
          <w:bCs w:val="1"/>
          <w:color w:val="auto"/>
        </w:rPr>
        <w:t>[***]</w:t>
      </w:r>
      <w:r>
        <w:rPr>
          <w:rFonts w:ascii="Calibri" w:cs="Calibri" w:eastAsia="Calibri" w:hAnsi="Calibri"/>
          <w:sz w:val="20"/>
          <w:szCs w:val="20"/>
          <w:color w:val="auto"/>
        </w:rPr>
        <w:t>.</w:t>
      </w:r>
    </w:p>
    <w:p>
      <w:pPr>
        <w:spacing w:after="0" w:line="163" w:lineRule="exact"/>
        <w:rPr>
          <w:sz w:val="20"/>
          <w:szCs w:val="20"/>
          <w:color w:val="auto"/>
        </w:rPr>
      </w:pPr>
    </w:p>
    <w:p>
      <w:pPr>
        <w:jc w:val="both"/>
        <w:ind w:firstLine="1296"/>
        <w:spacing w:after="0" w:line="199" w:lineRule="auto"/>
        <w:rPr>
          <w:sz w:val="20"/>
          <w:szCs w:val="20"/>
          <w:color w:val="auto"/>
        </w:rPr>
      </w:pPr>
      <w:r>
        <w:rPr>
          <w:rFonts w:ascii="Calibri" w:cs="Calibri" w:eastAsia="Calibri" w:hAnsi="Calibri"/>
          <w:sz w:val="20"/>
          <w:szCs w:val="20"/>
          <w:color w:val="auto"/>
        </w:rPr>
        <w:t xml:space="preserve">3.5.4 </w:t>
      </w:r>
      <w:r>
        <w:rPr>
          <w:rFonts w:ascii="Calibri" w:cs="Calibri" w:eastAsia="Calibri" w:hAnsi="Calibri"/>
          <w:sz w:val="20"/>
          <w:szCs w:val="20"/>
          <w:b w:val="1"/>
          <w:bCs w:val="1"/>
          <w:color w:val="auto"/>
        </w:rPr>
        <w:t>Adopton of Protectve Occupatonal Exposure Limits.</w:t>
      </w:r>
      <w:r>
        <w:rPr>
          <w:rFonts w:ascii="Calibri" w:cs="Calibri" w:eastAsia="Calibri" w:hAnsi="Calibri"/>
          <w:sz w:val="20"/>
          <w:szCs w:val="20"/>
          <w:color w:val="auto"/>
        </w:rPr>
        <w:t xml:space="preserve"> In developing its safety procedures for each Project, Recipient shall incorporate the most protectve (i.e., lowest) Occupatonal Exposure Limit (“</w:t>
      </w:r>
      <w:r>
        <w:rPr>
          <w:rFonts w:ascii="Calibri" w:cs="Calibri" w:eastAsia="Calibri" w:hAnsi="Calibri"/>
          <w:sz w:val="20"/>
          <w:szCs w:val="20"/>
          <w:b w:val="1"/>
          <w:bCs w:val="1"/>
          <w:color w:val="auto"/>
        </w:rPr>
        <w:t>OEL</w:t>
      </w:r>
      <w:r>
        <w:rPr>
          <w:rFonts w:ascii="Calibri" w:cs="Calibri" w:eastAsia="Calibri" w:hAnsi="Calibri"/>
          <w:sz w:val="20"/>
          <w:szCs w:val="20"/>
          <w:color w:val="auto"/>
        </w:rPr>
        <w:t>”), pursuant to the American Conference of Governmental Industrial Hygienists (“</w:t>
      </w:r>
      <w:r>
        <w:rPr>
          <w:rFonts w:ascii="Calibri" w:cs="Calibri" w:eastAsia="Calibri" w:hAnsi="Calibri"/>
          <w:sz w:val="20"/>
          <w:szCs w:val="20"/>
          <w:b w:val="1"/>
          <w:bCs w:val="1"/>
          <w:color w:val="auto"/>
        </w:rPr>
        <w:t>ACGIH</w:t>
      </w:r>
      <w:r>
        <w:rPr>
          <w:rFonts w:ascii="Calibri" w:cs="Calibri" w:eastAsia="Calibri" w:hAnsi="Calibri"/>
          <w:sz w:val="20"/>
          <w:szCs w:val="20"/>
          <w:color w:val="auto"/>
        </w:rPr>
        <w:t>”) threshold limit values (“</w:t>
      </w:r>
      <w:r>
        <w:rPr>
          <w:rFonts w:ascii="Calibri" w:cs="Calibri" w:eastAsia="Calibri" w:hAnsi="Calibri"/>
          <w:sz w:val="20"/>
          <w:szCs w:val="20"/>
          <w:b w:val="1"/>
          <w:bCs w:val="1"/>
          <w:color w:val="auto"/>
        </w:rPr>
        <w:t>TLVs</w:t>
      </w:r>
      <w:r>
        <w:rPr>
          <w:rFonts w:ascii="Calibri" w:cs="Calibri" w:eastAsia="Calibri" w:hAnsi="Calibri"/>
          <w:sz w:val="20"/>
          <w:szCs w:val="20"/>
          <w:color w:val="auto"/>
        </w:rPr>
        <w:t>”) or the Recipient’s own limit if lower than the ACGIH TLVs, for the chemicals used and the Project-specifc scenarios (overarching, equipment-specifc, or task-specifc) in which they are applied. Where Recipient has determined to incorporate a newly promulgated lower OEL, Recipient shall revise its safety procedures within ninety (90) days afer promulgaton of a new lower OEL to incorporate the new lower limit(s), when applicable.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3.6.</w:t>
      </w:r>
      <w:r>
        <w:rPr>
          <w:sz w:val="20"/>
          <w:szCs w:val="20"/>
          <w:color w:val="auto"/>
        </w:rPr>
        <w:tab/>
      </w:r>
      <w:r>
        <w:rPr>
          <w:rFonts w:ascii="Calibri" w:cs="Calibri" w:eastAsia="Calibri" w:hAnsi="Calibri"/>
          <w:sz w:val="20"/>
          <w:szCs w:val="20"/>
          <w:b w:val="1"/>
          <w:bCs w:val="1"/>
          <w:color w:val="auto"/>
        </w:rPr>
        <w:t xml:space="preserve">Community Investment. </w:t>
      </w:r>
      <w:r>
        <w:rPr>
          <w:rFonts w:ascii="Calibri" w:cs="Calibri" w:eastAsia="Calibri" w:hAnsi="Calibri"/>
          <w:sz w:val="20"/>
          <w:szCs w:val="20"/>
          <w:color w:val="auto"/>
        </w:rPr>
        <w:t>The Recipients, as applicable, shall make:</w:t>
      </w:r>
    </w:p>
    <w:p>
      <w:pPr>
        <w:spacing w:after="0" w:line="157" w:lineRule="exact"/>
        <w:rPr>
          <w:sz w:val="20"/>
          <w:szCs w:val="20"/>
          <w:color w:val="auto"/>
        </w:rPr>
      </w:pPr>
    </w:p>
    <w:p>
      <w:pPr>
        <w:jc w:val="both"/>
        <w:ind w:firstLine="1952"/>
        <w:spacing w:after="0" w:line="203" w:lineRule="auto"/>
        <w:tabs>
          <w:tab w:leader="none" w:pos="2596" w:val="left"/>
        </w:tabs>
        <w:numPr>
          <w:ilvl w:val="0"/>
          <w:numId w:val="692"/>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NY Projects, investments of no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to the Green CHIPS Community Investment Fund, to be invested during Green Chips Phase 1 (between 2023 and 2035 and associated with Fab 1 and Fab 2), and additonal investments consistent with the NY Recipient’s obligatons under Green Chips Phase 2 to be invested during Green Chips Phase 2, provided NY Recipient constructs two (2) subsequent fabricaton facilites to be co-located with Fab 1 and Fab 2; and</w:t>
      </w:r>
    </w:p>
    <w:p>
      <w:pPr>
        <w:spacing w:after="0" w:line="159"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692"/>
        </w:numPr>
        <w:rPr>
          <w:rFonts w:ascii="Calibri" w:cs="Calibri" w:eastAsia="Calibri" w:hAnsi="Calibri"/>
          <w:sz w:val="20"/>
          <w:szCs w:val="20"/>
          <w:color w:val="auto"/>
        </w:rPr>
      </w:pPr>
      <w:r>
        <w:rPr>
          <w:rFonts w:ascii="Calibri" w:cs="Calibri" w:eastAsia="Calibri" w:hAnsi="Calibri"/>
          <w:sz w:val="20"/>
          <w:szCs w:val="20"/>
          <w:color w:val="auto"/>
        </w:rPr>
        <w:t xml:space="preserve">with respect to the ID Project, within ten (10) years from the public announcement of the ID Project, investments no less than </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 in Idaho for purposes including, but not limited to: of infrastructure, transportaton and mobility access, housing afordability and access, and entry-level relocaton expenses, including, but not limited to, student loans and retrement grants, childcare, and/or internship/apprentceship programs.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3.7.</w:t>
      </w:r>
      <w:r>
        <w:rPr>
          <w:sz w:val="20"/>
          <w:szCs w:val="20"/>
          <w:color w:val="auto"/>
        </w:rPr>
        <w:tab/>
      </w:r>
      <w:r>
        <w:rPr>
          <w:rFonts w:ascii="Calibri" w:cs="Calibri" w:eastAsia="Calibri" w:hAnsi="Calibri"/>
          <w:sz w:val="20"/>
          <w:szCs w:val="20"/>
          <w:b w:val="1"/>
          <w:bCs w:val="1"/>
          <w:color w:val="auto"/>
        </w:rPr>
        <w:t>Signage.</w:t>
      </w:r>
    </w:p>
    <w:p>
      <w:pPr>
        <w:spacing w:after="0" w:line="161" w:lineRule="exact"/>
        <w:rPr>
          <w:sz w:val="20"/>
          <w:szCs w:val="20"/>
          <w:color w:val="auto"/>
        </w:rPr>
      </w:pPr>
    </w:p>
    <w:p>
      <w:pPr>
        <w:ind w:left="2600" w:hanging="648"/>
        <w:spacing w:after="0"/>
        <w:tabs>
          <w:tab w:leader="none" w:pos="2600" w:val="left"/>
        </w:tabs>
        <w:numPr>
          <w:ilvl w:val="0"/>
          <w:numId w:val="693"/>
        </w:numPr>
        <w:rPr>
          <w:rFonts w:ascii="Calibri" w:cs="Calibri" w:eastAsia="Calibri" w:hAnsi="Calibri"/>
          <w:sz w:val="20"/>
          <w:szCs w:val="20"/>
          <w:color w:val="auto"/>
        </w:rPr>
      </w:pPr>
      <w:r>
        <w:rPr>
          <w:rFonts w:ascii="Calibri" w:cs="Calibri" w:eastAsia="Calibri" w:hAnsi="Calibri"/>
          <w:sz w:val="20"/>
          <w:szCs w:val="20"/>
          <w:color w:val="auto"/>
        </w:rPr>
        <w:t>Each Recipient is encouraged to</w:t>
      </w: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79"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-22</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74" w:right="339" w:bottom="1440" w:gutter="0" w:footer="0" w:header="0"/>
        </w:sectPr>
      </w:pPr>
    </w:p>
    <w:bookmarkStart w:id="539" w:name="page540"/>
    <w:bookmarkEnd w:id="539"/>
    <w:p>
      <w:pPr>
        <w:jc w:val="both"/>
        <w:ind w:firstLine="2600"/>
        <w:spacing w:after="0" w:line="205" w:lineRule="auto"/>
        <w:tabs>
          <w:tab w:leader="none" w:pos="3234" w:val="left"/>
        </w:tabs>
        <w:numPr>
          <w:ilvl w:val="1"/>
          <w:numId w:val="694"/>
        </w:numPr>
        <w:rPr>
          <w:rFonts w:ascii="Calibri" w:cs="Calibri" w:eastAsia="Calibri" w:hAnsi="Calibri"/>
          <w:sz w:val="20"/>
          <w:szCs w:val="20"/>
          <w:color w:val="auto"/>
        </w:rPr>
      </w:pPr>
      <w:r>
        <w:rPr>
          <w:rFonts w:ascii="Calibri" w:cs="Calibri" w:eastAsia="Calibri" w:hAnsi="Calibri"/>
          <w:sz w:val="20"/>
          <w:szCs w:val="20"/>
          <w:color w:val="auto"/>
        </w:rPr>
        <w:t>post project signage and include public acknowledgments in published and other collateral materials (e.g., press releases, marketng materials, website, etc.) in form and substance satsfactory to NIST, that identfes the nature of the Project(s) and indicates that “the project is funded by the CHIPS Act;”</w:t>
      </w:r>
    </w:p>
    <w:p>
      <w:pPr>
        <w:spacing w:after="0" w:line="170" w:lineRule="exact"/>
        <w:rPr>
          <w:rFonts w:ascii="Calibri" w:cs="Calibri" w:eastAsia="Calibri" w:hAnsi="Calibri"/>
          <w:sz w:val="20"/>
          <w:szCs w:val="20"/>
          <w:color w:val="auto"/>
        </w:rPr>
      </w:pPr>
    </w:p>
    <w:p>
      <w:pPr>
        <w:jc w:val="both"/>
        <w:ind w:firstLine="2600"/>
        <w:spacing w:after="0" w:line="205" w:lineRule="auto"/>
        <w:tabs>
          <w:tab w:leader="none" w:pos="3240" w:val="left"/>
        </w:tabs>
        <w:numPr>
          <w:ilvl w:val="1"/>
          <w:numId w:val="694"/>
        </w:numPr>
        <w:rPr>
          <w:rFonts w:ascii="Calibri" w:cs="Calibri" w:eastAsia="Calibri" w:hAnsi="Calibri"/>
          <w:sz w:val="20"/>
          <w:szCs w:val="20"/>
          <w:color w:val="auto"/>
        </w:rPr>
      </w:pPr>
      <w:r>
        <w:rPr>
          <w:rFonts w:ascii="Calibri" w:cs="Calibri" w:eastAsia="Calibri" w:hAnsi="Calibri"/>
          <w:sz w:val="20"/>
          <w:szCs w:val="20"/>
          <w:color w:val="auto"/>
        </w:rPr>
        <w:t>use the ofcial Investng in America emblem in accordance with the Ofcial Investng in America Emblem Style Guide (</w:t>
      </w:r>
      <w:r>
        <w:rPr>
          <w:rFonts w:ascii="Calibri" w:cs="Calibri" w:eastAsia="Calibri" w:hAnsi="Calibri"/>
          <w:sz w:val="20"/>
          <w:szCs w:val="20"/>
          <w:u w:val="single" w:color="auto"/>
          <w:color w:val="0000FF"/>
        </w:rPr>
        <w:t>htps://www.whitehouse.gov/wp-content/uploads/2023/02/Investng-in-America-Brand-Guide.pdf</w:t>
      </w:r>
      <w:r>
        <w:rPr>
          <w:rFonts w:ascii="Calibri" w:cs="Calibri" w:eastAsia="Calibri" w:hAnsi="Calibri"/>
          <w:sz w:val="20"/>
          <w:szCs w:val="20"/>
          <w:color w:val="auto"/>
        </w:rPr>
        <w:t>) in connecton with any Project signage; and</w:t>
      </w:r>
    </w:p>
    <w:p>
      <w:pPr>
        <w:spacing w:after="0" w:line="147" w:lineRule="exact"/>
        <w:rPr>
          <w:rFonts w:ascii="Calibri" w:cs="Calibri" w:eastAsia="Calibri" w:hAnsi="Calibri"/>
          <w:sz w:val="20"/>
          <w:szCs w:val="20"/>
          <w:color w:val="auto"/>
        </w:rPr>
      </w:pPr>
    </w:p>
    <w:p>
      <w:pPr>
        <w:ind w:left="3260" w:hanging="660"/>
        <w:spacing w:after="0"/>
        <w:tabs>
          <w:tab w:leader="none" w:pos="3260" w:val="left"/>
        </w:tabs>
        <w:numPr>
          <w:ilvl w:val="1"/>
          <w:numId w:val="694"/>
        </w:numPr>
        <w:rPr>
          <w:rFonts w:ascii="Calibri" w:cs="Calibri" w:eastAsia="Calibri" w:hAnsi="Calibri"/>
          <w:sz w:val="20"/>
          <w:szCs w:val="20"/>
          <w:color w:val="auto"/>
        </w:rPr>
      </w:pPr>
      <w:r>
        <w:rPr>
          <w:rFonts w:ascii="Calibri" w:cs="Calibri" w:eastAsia="Calibri" w:hAnsi="Calibri"/>
          <w:sz w:val="20"/>
          <w:szCs w:val="20"/>
          <w:color w:val="auto"/>
        </w:rPr>
        <w:t>use recycled or recovered materials, to the extent commercially feasible, when procuring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project signs.</w:t>
      </w:r>
    </w:p>
    <w:p>
      <w:pPr>
        <w:spacing w:after="0" w:line="157" w:lineRule="exact"/>
        <w:rPr>
          <w:rFonts w:ascii="Calibri" w:cs="Calibri" w:eastAsia="Calibri" w:hAnsi="Calibri"/>
          <w:sz w:val="20"/>
          <w:szCs w:val="20"/>
          <w:color w:val="auto"/>
        </w:rPr>
      </w:pPr>
    </w:p>
    <w:p>
      <w:pPr>
        <w:jc w:val="both"/>
        <w:ind w:firstLine="1952"/>
        <w:spacing w:after="0" w:line="209" w:lineRule="auto"/>
        <w:tabs>
          <w:tab w:leader="none" w:pos="2592" w:val="left"/>
        </w:tabs>
        <w:numPr>
          <w:ilvl w:val="0"/>
          <w:numId w:val="695"/>
        </w:numPr>
        <w:rPr>
          <w:rFonts w:ascii="Calibri" w:cs="Calibri" w:eastAsia="Calibri" w:hAnsi="Calibri"/>
          <w:sz w:val="20"/>
          <w:szCs w:val="20"/>
          <w:color w:val="auto"/>
        </w:rPr>
      </w:pPr>
      <w:r>
        <w:rPr>
          <w:rFonts w:ascii="Calibri" w:cs="Calibri" w:eastAsia="Calibri" w:hAnsi="Calibri"/>
          <w:sz w:val="20"/>
          <w:szCs w:val="20"/>
          <w:color w:val="auto"/>
        </w:rPr>
        <w:t>Costs associated with signage and public acknowledgments must be reasonable and limited. Signs or public acknowledgments should not be produced, displayed, or published if doing so results in unreasonable cost, expense, or Recipient burden.</w:t>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5200" w:val="left"/>
          <w:tab w:leader="none" w:pos="10200" w:val="left"/>
        </w:tabs>
        <w:rPr>
          <w:sz w:val="20"/>
          <w:szCs w:val="20"/>
          <w:color w:val="auto"/>
        </w:rPr>
      </w:pPr>
      <w:r>
        <w:rPr>
          <w:rFonts w:ascii="Calibri" w:cs="Calibri" w:eastAsia="Calibri" w:hAnsi="Calibri"/>
          <w:sz w:val="18"/>
          <w:szCs w:val="18"/>
          <w:color w:val="auto"/>
        </w:rPr>
        <w:t>24007905661-v27</w:t>
      </w:r>
      <w:r>
        <w:rPr>
          <w:sz w:val="20"/>
          <w:szCs w:val="20"/>
          <w:color w:val="auto"/>
        </w:rPr>
        <w:tab/>
      </w:r>
      <w:r>
        <w:rPr>
          <w:rFonts w:ascii="Calibri" w:cs="Calibri" w:eastAsia="Calibri" w:hAnsi="Calibri"/>
          <w:sz w:val="36"/>
          <w:szCs w:val="36"/>
          <w:color w:val="auto"/>
          <w:vertAlign w:val="subscript"/>
        </w:rPr>
        <w:t>A</w:t>
      </w:r>
      <w:r>
        <w:rPr>
          <w:rFonts w:ascii="Calibri" w:cs="Calibri" w:eastAsia="Calibri" w:hAnsi="Calibri"/>
          <w:sz w:val="19"/>
          <w:szCs w:val="19"/>
          <w:color w:val="auto"/>
        </w:rPr>
        <w:t>nnex</w:t>
      </w:r>
      <w:r>
        <w:rPr>
          <w:rFonts w:ascii="Calibri" w:cs="Calibri" w:eastAsia="Calibri" w:hAnsi="Calibri"/>
          <w:sz w:val="36"/>
          <w:szCs w:val="36"/>
          <w:color w:val="auto"/>
        </w:rPr>
        <w:t xml:space="preserve"> </w:t>
      </w:r>
      <w:r>
        <w:rPr>
          <w:rFonts w:ascii="Calibri" w:cs="Calibri" w:eastAsia="Calibri" w:hAnsi="Calibri"/>
          <w:sz w:val="36"/>
          <w:szCs w:val="36"/>
          <w:color w:val="auto"/>
          <w:vertAlign w:val="subscript"/>
        </w:rPr>
        <w:t>-23</w:t>
      </w:r>
      <w:r>
        <w:rPr>
          <w:sz w:val="20"/>
          <w:szCs w:val="20"/>
          <w:color w:val="auto"/>
        </w:rPr>
        <w:tab/>
      </w:r>
      <w:r>
        <w:rPr>
          <w:rFonts w:ascii="Calibri" w:cs="Calibri" w:eastAsia="Calibri" w:hAnsi="Calibri"/>
          <w:sz w:val="17"/>
          <w:szCs w:val="17"/>
          <w:color w:val="auto"/>
        </w:rPr>
        <w:t>81-41052779</w:t>
      </w:r>
    </w:p>
    <w:p>
      <w:pPr>
        <w:sectPr>
          <w:pgSz w:w="11900" w:h="16838" w:orient="portrait"/>
          <w:cols w:equalWidth="0" w:num="1">
            <w:col w:w="11240"/>
          </w:cols>
          <w:pgMar w:left="320" w:top="1384" w:right="339" w:bottom="1440" w:gutter="0" w:footer="0" w:header="0"/>
        </w:sectPr>
      </w:pPr>
    </w:p>
    <w:bookmarkStart w:id="540" w:name="page541"/>
    <w:bookmarkEnd w:id="540"/>
    <w:p>
      <w:pPr>
        <w:jc w:val="right"/>
        <w:spacing w:after="0"/>
        <w:rPr>
          <w:sz w:val="20"/>
          <w:szCs w:val="20"/>
          <w:color w:val="auto"/>
        </w:rPr>
      </w:pPr>
      <w:r>
        <w:rPr>
          <w:rFonts w:ascii="Calibri" w:cs="Calibri" w:eastAsia="Calibri" w:hAnsi="Calibri"/>
          <w:sz w:val="20"/>
          <w:szCs w:val="20"/>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60"/>
        <w:spacing w:after="0"/>
        <w:rPr>
          <w:sz w:val="20"/>
          <w:szCs w:val="20"/>
          <w:color w:val="auto"/>
        </w:rPr>
      </w:pPr>
      <w:r>
        <w:rPr>
          <w:rFonts w:ascii="Calibri" w:cs="Calibri" w:eastAsia="Calibri" w:hAnsi="Calibri"/>
          <w:sz w:val="20"/>
          <w:szCs w:val="20"/>
          <w:color w:val="auto"/>
        </w:rPr>
        <w:t>Dated as of December 9, 2024</w:t>
      </w:r>
    </w:p>
    <w:p>
      <w:pPr>
        <w:spacing w:after="0" w:line="215" w:lineRule="exact"/>
        <w:rPr>
          <w:sz w:val="20"/>
          <w:szCs w:val="20"/>
          <w:color w:val="auto"/>
        </w:rPr>
      </w:pPr>
    </w:p>
    <w:p>
      <w:pPr>
        <w:jc w:val="center"/>
        <w:ind w:right="1120"/>
        <w:spacing w:after="0"/>
        <w:rPr>
          <w:sz w:val="20"/>
          <w:szCs w:val="20"/>
          <w:color w:val="auto"/>
        </w:rPr>
      </w:pPr>
      <w:r>
        <w:rPr>
          <w:rFonts w:ascii="Calibri" w:cs="Calibri" w:eastAsia="Calibri" w:hAnsi="Calibri"/>
          <w:sz w:val="20"/>
          <w:szCs w:val="20"/>
          <w:color w:val="auto"/>
        </w:rPr>
        <w:t>MICRON TECHNOLOGY, INC.,</w:t>
      </w:r>
    </w:p>
    <w:p>
      <w:pPr>
        <w:jc w:val="center"/>
        <w:ind w:right="1120"/>
        <w:spacing w:after="0" w:line="225" w:lineRule="auto"/>
        <w:rPr>
          <w:sz w:val="20"/>
          <w:szCs w:val="20"/>
          <w:color w:val="auto"/>
        </w:rPr>
      </w:pPr>
      <w:r>
        <w:rPr>
          <w:rFonts w:ascii="Calibri" w:cs="Calibri" w:eastAsia="Calibri" w:hAnsi="Calibri"/>
          <w:sz w:val="20"/>
          <w:szCs w:val="20"/>
          <w:color w:val="auto"/>
        </w:rPr>
        <w:t>as Sponsor Guarantor</w:t>
      </w:r>
    </w:p>
    <w:p>
      <w:pPr>
        <w:spacing w:after="0" w:line="215" w:lineRule="exact"/>
        <w:rPr>
          <w:sz w:val="20"/>
          <w:szCs w:val="20"/>
          <w:color w:val="auto"/>
        </w:rPr>
      </w:pPr>
    </w:p>
    <w:p>
      <w:pPr>
        <w:ind w:left="4340"/>
        <w:spacing w:after="0"/>
        <w:rPr>
          <w:sz w:val="20"/>
          <w:szCs w:val="20"/>
          <w:color w:val="auto"/>
        </w:rPr>
      </w:pPr>
      <w:r>
        <w:rPr>
          <w:rFonts w:ascii="Calibri" w:cs="Calibri" w:eastAsia="Calibri" w:hAnsi="Calibri"/>
          <w:sz w:val="20"/>
          <w:szCs w:val="20"/>
          <w:color w:val="auto"/>
        </w:rPr>
        <w:t>and</w:t>
      </w:r>
    </w:p>
    <w:p>
      <w:pPr>
        <w:spacing w:after="0" w:line="201" w:lineRule="exact"/>
        <w:rPr>
          <w:sz w:val="20"/>
          <w:szCs w:val="20"/>
          <w:color w:val="auto"/>
        </w:rPr>
      </w:pPr>
    </w:p>
    <w:p>
      <w:pPr>
        <w:jc w:val="center"/>
        <w:ind w:right="1120"/>
        <w:spacing w:after="0"/>
        <w:rPr>
          <w:sz w:val="20"/>
          <w:szCs w:val="20"/>
          <w:color w:val="auto"/>
        </w:rPr>
      </w:pPr>
      <w:r>
        <w:rPr>
          <w:rFonts w:ascii="Calibri" w:cs="Calibri" w:eastAsia="Calibri" w:hAnsi="Calibri"/>
          <w:sz w:val="20"/>
          <w:szCs w:val="20"/>
          <w:color w:val="auto"/>
        </w:rPr>
        <w:t>U.S. DEPARTMENT OF COMMERCE,</w:t>
      </w:r>
    </w:p>
    <w:p>
      <w:pPr>
        <w:jc w:val="center"/>
        <w:ind w:right="1120"/>
        <w:spacing w:after="0" w:line="238" w:lineRule="auto"/>
        <w:rPr>
          <w:sz w:val="20"/>
          <w:szCs w:val="20"/>
          <w:color w:val="auto"/>
        </w:rPr>
      </w:pPr>
      <w:r>
        <w:rPr>
          <w:rFonts w:ascii="Calibri" w:cs="Calibri" w:eastAsia="Calibri" w:hAnsi="Calibri"/>
          <w:sz w:val="20"/>
          <w:szCs w:val="20"/>
          <w:color w:val="auto"/>
        </w:rPr>
        <w:t>as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Calibri" w:cs="Calibri" w:eastAsia="Calibri" w:hAnsi="Calibri"/>
          <w:sz w:val="20"/>
          <w:szCs w:val="20"/>
          <w:color w:val="auto"/>
        </w:rPr>
        <w:t>NY and ID PROJECTS</w:t>
      </w:r>
    </w:p>
    <w:p>
      <w:pPr>
        <w:jc w:val="center"/>
        <w:ind w:right="1120"/>
        <w:spacing w:after="0" w:line="225" w:lineRule="auto"/>
        <w:rPr>
          <w:sz w:val="20"/>
          <w:szCs w:val="20"/>
          <w:color w:val="auto"/>
        </w:rPr>
      </w:pPr>
      <w:r>
        <w:rPr>
          <w:rFonts w:ascii="Calibri" w:cs="Calibri" w:eastAsia="Calibri" w:hAnsi="Calibri"/>
          <w:sz w:val="20"/>
          <w:szCs w:val="20"/>
          <w:color w:val="auto"/>
        </w:rPr>
        <w:t>GUARANTEE AND EQUITY CONTRIBUTION AGREEMENT</w:t>
      </w:r>
    </w:p>
    <w:p>
      <w:pPr>
        <w:ind w:left="2460"/>
        <w:spacing w:after="0"/>
        <w:rPr>
          <w:sz w:val="20"/>
          <w:szCs w:val="20"/>
          <w:color w:val="auto"/>
        </w:rPr>
      </w:pPr>
      <w:r>
        <w:rPr>
          <w:rFonts w:ascii="Calibri" w:cs="Calibri" w:eastAsia="Calibri" w:hAnsi="Calibri"/>
          <w:sz w:val="20"/>
          <w:szCs w:val="20"/>
          <w:color w:val="auto"/>
        </w:rPr>
        <w:t>AWARD ID NOS. AP-2024-0023 and AP-2024-0022</w:t>
      </w:r>
    </w:p>
    <w:p>
      <w:pPr>
        <w:sectPr>
          <w:pgSz w:w="11900" w:h="16838" w:orient="portrait"/>
          <w:cols w:equalWidth="0" w:num="1">
            <w:col w:w="10120"/>
          </w:cols>
          <w:pgMar w:left="1440" w:top="105" w:right="339" w:bottom="1440" w:gutter="0" w:footer="0" w:header="0"/>
        </w:sectPr>
      </w:pPr>
    </w:p>
    <w:bookmarkStart w:id="541" w:name="page542"/>
    <w:bookmarkEnd w:id="541"/>
    <w:tbl>
      <w:tblPr>
        <w:tblLayout w:type="fixed"/>
        <w:tblInd w:w="0" w:type="dxa"/>
        <w:tblCellMar>
          <w:top w:w="0" w:type="dxa"/>
          <w:left w:w="0" w:type="dxa"/>
          <w:bottom w:w="0" w:type="dxa"/>
          <w:right w:w="0" w:type="dxa"/>
        </w:tblCellMar>
      </w:tblPr>
      <w:tr>
        <w:trPr>
          <w:trHeight w:val="244"/>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740" w:type="dxa"/>
            <w:vAlign w:val="bottom"/>
            <w:gridSpan w:val="2"/>
          </w:tcPr>
          <w:p>
            <w:pPr>
              <w:jc w:val="right"/>
              <w:ind w:right="4661"/>
              <w:spacing w:after="0"/>
              <w:rPr>
                <w:sz w:val="20"/>
                <w:szCs w:val="20"/>
                <w:color w:val="auto"/>
              </w:rPr>
            </w:pPr>
            <w:r>
              <w:rPr>
                <w:rFonts w:ascii="Calibri" w:cs="Calibri" w:eastAsia="Calibri" w:hAnsi="Calibri"/>
                <w:sz w:val="20"/>
                <w:szCs w:val="20"/>
                <w:b w:val="1"/>
                <w:bCs w:val="1"/>
                <w:color w:val="auto"/>
              </w:rPr>
              <w:t>TABLE OF CONTENTS</w:t>
            </w:r>
          </w:p>
        </w:tc>
      </w:tr>
      <w:tr>
        <w:trPr>
          <w:trHeight w:val="459"/>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Calibri" w:cs="Calibri" w:eastAsia="Calibri" w:hAnsi="Calibri"/>
                <w:sz w:val="20"/>
                <w:szCs w:val="20"/>
                <w:b w:val="1"/>
                <w:bCs w:val="1"/>
                <w:color w:val="auto"/>
              </w:rPr>
              <w:t>Page</w:t>
            </w:r>
          </w:p>
        </w:tc>
      </w:tr>
      <w:tr>
        <w:trPr>
          <w:trHeight w:val="459"/>
        </w:trPr>
        <w:tc>
          <w:tcPr>
            <w:tcW w:w="4500" w:type="dxa"/>
            <w:vAlign w:val="bottom"/>
            <w:gridSpan w:val="8"/>
          </w:tcPr>
          <w:p>
            <w:pPr>
              <w:ind w:left="720"/>
              <w:spacing w:after="0"/>
              <w:rPr>
                <w:sz w:val="20"/>
                <w:szCs w:val="20"/>
                <w:color w:val="auto"/>
              </w:rPr>
            </w:pPr>
            <w:r>
              <w:rPr>
                <w:rFonts w:ascii="Calibri" w:cs="Calibri" w:eastAsia="Calibri" w:hAnsi="Calibri"/>
                <w:sz w:val="20"/>
                <w:szCs w:val="20"/>
                <w:color w:val="auto"/>
              </w:rPr>
              <w:t>Secton 1.1.  Defnitons and Interpretaton</w:t>
            </w:r>
          </w:p>
        </w:tc>
        <w:tc>
          <w:tcPr>
            <w:tcW w:w="980" w:type="dxa"/>
            <w:vAlign w:val="bottom"/>
          </w:tcPr>
          <w:p>
            <w:pPr>
              <w:jc w:val="right"/>
              <w:ind w:right="781"/>
              <w:spacing w:after="0"/>
              <w:rPr>
                <w:sz w:val="20"/>
                <w:szCs w:val="20"/>
                <w:color w:val="auto"/>
              </w:rPr>
            </w:pPr>
            <w:r>
              <w:rPr>
                <w:rFonts w:ascii="Calibri" w:cs="Calibri" w:eastAsia="Calibri" w:hAnsi="Calibri"/>
                <w:sz w:val="20"/>
                <w:szCs w:val="20"/>
                <w:color w:val="auto"/>
                <w:w w:val="78"/>
              </w:rPr>
              <w:t>1</w:t>
            </w:r>
          </w:p>
        </w:tc>
        <w:tc>
          <w:tcPr>
            <w:tcW w:w="5760" w:type="dxa"/>
            <w:vAlign w:val="bottom"/>
          </w:tcPr>
          <w:p>
            <w:pPr>
              <w:spacing w:after="0"/>
              <w:rPr>
                <w:sz w:val="24"/>
                <w:szCs w:val="24"/>
                <w:color w:val="auto"/>
              </w:rPr>
            </w:pPr>
          </w:p>
        </w:tc>
      </w:tr>
      <w:tr>
        <w:trPr>
          <w:trHeight w:val="365"/>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1.2.</w:t>
            </w:r>
          </w:p>
        </w:tc>
        <w:tc>
          <w:tcPr>
            <w:tcW w:w="1660" w:type="dxa"/>
            <w:vAlign w:val="bottom"/>
            <w:gridSpan w:val="3"/>
          </w:tcPr>
          <w:p>
            <w:pPr>
              <w:ind w:left="100"/>
              <w:spacing w:after="0"/>
              <w:rPr>
                <w:sz w:val="20"/>
                <w:szCs w:val="20"/>
                <w:color w:val="auto"/>
              </w:rPr>
            </w:pPr>
            <w:r>
              <w:rPr>
                <w:rFonts w:ascii="Calibri" w:cs="Calibri" w:eastAsia="Calibri" w:hAnsi="Calibri"/>
                <w:sz w:val="20"/>
                <w:szCs w:val="20"/>
                <w:color w:val="auto"/>
              </w:rPr>
              <w:t>Department Rights</w:t>
            </w:r>
          </w:p>
        </w:tc>
        <w:tc>
          <w:tcPr>
            <w:tcW w:w="16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Calibri" w:cs="Calibri" w:eastAsia="Calibri" w:hAnsi="Calibri"/>
                <w:sz w:val="20"/>
                <w:szCs w:val="20"/>
                <w:color w:val="auto"/>
                <w:w w:val="78"/>
              </w:rPr>
              <w:t>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4"/>
        </w:trPr>
        <w:tc>
          <w:tcPr>
            <w:tcW w:w="1780" w:type="dxa"/>
            <w:vAlign w:val="bottom"/>
          </w:tcPr>
          <w:p>
            <w:pPr>
              <w:spacing w:after="0"/>
              <w:rPr>
                <w:sz w:val="20"/>
                <w:szCs w:val="20"/>
                <w:color w:val="auto"/>
              </w:rPr>
            </w:pPr>
            <w:r>
              <w:rPr>
                <w:rFonts w:ascii="Calibri" w:cs="Calibri" w:eastAsia="Calibri" w:hAnsi="Calibri"/>
                <w:sz w:val="20"/>
                <w:szCs w:val="20"/>
                <w:color w:val="auto"/>
              </w:rPr>
              <w:t>Artcle 2 Guarantee</w:t>
            </w:r>
          </w:p>
        </w:tc>
        <w:tc>
          <w:tcPr>
            <w:tcW w:w="100" w:type="dxa"/>
            <w:vAlign w:val="bottom"/>
          </w:tcPr>
          <w:p>
            <w:pPr>
              <w:jc w:val="right"/>
              <w:spacing w:after="0"/>
              <w:rPr>
                <w:sz w:val="20"/>
                <w:szCs w:val="20"/>
                <w:color w:val="auto"/>
              </w:rPr>
            </w:pPr>
            <w:r>
              <w:rPr>
                <w:rFonts w:ascii="Calibri" w:cs="Calibri" w:eastAsia="Calibri" w:hAnsi="Calibri"/>
                <w:sz w:val="20"/>
                <w:szCs w:val="20"/>
                <w:color w:val="auto"/>
                <w:w w:val="78"/>
              </w:rPr>
              <w:t>2</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38"/>
        </w:trPr>
        <w:tc>
          <w:tcPr>
            <w:tcW w:w="3860" w:type="dxa"/>
            <w:vAlign w:val="bottom"/>
            <w:gridSpan w:val="6"/>
          </w:tcPr>
          <w:p>
            <w:pPr>
              <w:spacing w:after="0"/>
              <w:rPr>
                <w:sz w:val="20"/>
                <w:szCs w:val="20"/>
                <w:color w:val="auto"/>
              </w:rPr>
            </w:pPr>
            <w:r>
              <w:rPr>
                <w:rFonts w:ascii="Calibri" w:cs="Calibri" w:eastAsia="Calibri" w:hAnsi="Calibri"/>
                <w:sz w:val="20"/>
                <w:szCs w:val="20"/>
                <w:color w:val="auto"/>
              </w:rPr>
              <w:t>Artcle 3 Guaranteed Obligatons Not Waived</w:t>
            </w:r>
          </w:p>
        </w:tc>
        <w:tc>
          <w:tcPr>
            <w:tcW w:w="280" w:type="dxa"/>
            <w:vAlign w:val="bottom"/>
          </w:tcPr>
          <w:p>
            <w:pPr>
              <w:jc w:val="right"/>
              <w:ind w:right="61"/>
              <w:spacing w:after="0"/>
              <w:rPr>
                <w:sz w:val="20"/>
                <w:szCs w:val="20"/>
                <w:color w:val="auto"/>
              </w:rPr>
            </w:pPr>
            <w:r>
              <w:rPr>
                <w:rFonts w:ascii="Calibri" w:cs="Calibri" w:eastAsia="Calibri" w:hAnsi="Calibri"/>
                <w:sz w:val="20"/>
                <w:szCs w:val="20"/>
                <w:color w:val="auto"/>
                <w:w w:val="98"/>
              </w:rPr>
              <w:t>3</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51"/>
        </w:trPr>
        <w:tc>
          <w:tcPr>
            <w:tcW w:w="3180" w:type="dxa"/>
            <w:vAlign w:val="bottom"/>
            <w:gridSpan w:val="3"/>
          </w:tcPr>
          <w:p>
            <w:pPr>
              <w:spacing w:after="0"/>
              <w:rPr>
                <w:sz w:val="20"/>
                <w:szCs w:val="20"/>
                <w:color w:val="auto"/>
              </w:rPr>
            </w:pPr>
            <w:r>
              <w:rPr>
                <w:rFonts w:ascii="Calibri" w:cs="Calibri" w:eastAsia="Calibri" w:hAnsi="Calibri"/>
                <w:sz w:val="20"/>
                <w:szCs w:val="20"/>
                <w:color w:val="auto"/>
              </w:rPr>
              <w:t>Artcle 4 Guarantee of Payment  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38"/>
        </w:trPr>
        <w:tc>
          <w:tcPr>
            <w:tcW w:w="4500" w:type="dxa"/>
            <w:vAlign w:val="bottom"/>
            <w:gridSpan w:val="8"/>
          </w:tcPr>
          <w:p>
            <w:pPr>
              <w:spacing w:after="0"/>
              <w:rPr>
                <w:sz w:val="20"/>
                <w:szCs w:val="20"/>
                <w:color w:val="auto"/>
              </w:rPr>
            </w:pPr>
            <w:r>
              <w:rPr>
                <w:rFonts w:ascii="Calibri" w:cs="Calibri" w:eastAsia="Calibri" w:hAnsi="Calibri"/>
                <w:sz w:val="20"/>
                <w:szCs w:val="20"/>
                <w:color w:val="auto"/>
              </w:rPr>
              <w:t>Artcle 5 No Discharge or Diminishment of Guarantee</w:t>
            </w:r>
          </w:p>
        </w:tc>
        <w:tc>
          <w:tcPr>
            <w:tcW w:w="980" w:type="dxa"/>
            <w:vAlign w:val="bottom"/>
          </w:tcPr>
          <w:p>
            <w:pPr>
              <w:jc w:val="right"/>
              <w:ind w:right="721"/>
              <w:spacing w:after="0"/>
              <w:rPr>
                <w:sz w:val="20"/>
                <w:szCs w:val="20"/>
                <w:color w:val="auto"/>
              </w:rPr>
            </w:pPr>
            <w:r>
              <w:rPr>
                <w:rFonts w:ascii="Calibri" w:cs="Calibri" w:eastAsia="Calibri" w:hAnsi="Calibri"/>
                <w:sz w:val="20"/>
                <w:szCs w:val="20"/>
                <w:color w:val="auto"/>
              </w:rPr>
              <w:t>3</w:t>
            </w:r>
          </w:p>
        </w:tc>
        <w:tc>
          <w:tcPr>
            <w:tcW w:w="5760" w:type="dxa"/>
            <w:vAlign w:val="bottom"/>
          </w:tcPr>
          <w:p>
            <w:pPr>
              <w:spacing w:after="0"/>
              <w:rPr>
                <w:sz w:val="24"/>
                <w:szCs w:val="24"/>
                <w:color w:val="auto"/>
              </w:rPr>
            </w:pPr>
          </w:p>
        </w:tc>
      </w:tr>
      <w:tr>
        <w:trPr>
          <w:trHeight w:val="351"/>
        </w:trPr>
        <w:tc>
          <w:tcPr>
            <w:tcW w:w="3180" w:type="dxa"/>
            <w:vAlign w:val="bottom"/>
            <w:gridSpan w:val="3"/>
          </w:tcPr>
          <w:p>
            <w:pPr>
              <w:spacing w:after="0"/>
              <w:rPr>
                <w:sz w:val="20"/>
                <w:szCs w:val="20"/>
                <w:color w:val="auto"/>
              </w:rPr>
            </w:pPr>
            <w:r>
              <w:rPr>
                <w:rFonts w:ascii="Calibri" w:cs="Calibri" w:eastAsia="Calibri" w:hAnsi="Calibri"/>
                <w:sz w:val="20"/>
                <w:szCs w:val="20"/>
                <w:color w:val="auto"/>
              </w:rPr>
              <w:t>Artcle 6 Defenses Waived  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51"/>
        </w:trPr>
        <w:tc>
          <w:tcPr>
            <w:tcW w:w="4500" w:type="dxa"/>
            <w:vAlign w:val="bottom"/>
            <w:gridSpan w:val="8"/>
          </w:tcPr>
          <w:p>
            <w:pPr>
              <w:spacing w:after="0"/>
              <w:rPr>
                <w:sz w:val="20"/>
                <w:szCs w:val="20"/>
                <w:color w:val="auto"/>
              </w:rPr>
            </w:pPr>
            <w:r>
              <w:rPr>
                <w:rFonts w:ascii="Calibri" w:cs="Calibri" w:eastAsia="Calibri" w:hAnsi="Calibri"/>
                <w:sz w:val="20"/>
                <w:szCs w:val="20"/>
                <w:color w:val="auto"/>
              </w:rPr>
              <w:t>Artcle 7 Agreement To Pay; Contributon; Subrogaton</w:t>
            </w:r>
          </w:p>
        </w:tc>
        <w:tc>
          <w:tcPr>
            <w:tcW w:w="980" w:type="dxa"/>
            <w:vAlign w:val="bottom"/>
          </w:tcPr>
          <w:p>
            <w:pPr>
              <w:jc w:val="right"/>
              <w:ind w:right="641"/>
              <w:spacing w:after="0"/>
              <w:rPr>
                <w:sz w:val="20"/>
                <w:szCs w:val="20"/>
                <w:color w:val="auto"/>
              </w:rPr>
            </w:pPr>
            <w:r>
              <w:rPr>
                <w:rFonts w:ascii="Calibri" w:cs="Calibri" w:eastAsia="Calibri" w:hAnsi="Calibri"/>
                <w:sz w:val="20"/>
                <w:szCs w:val="20"/>
                <w:color w:val="auto"/>
              </w:rPr>
              <w:t>5</w:t>
            </w:r>
          </w:p>
        </w:tc>
        <w:tc>
          <w:tcPr>
            <w:tcW w:w="5760" w:type="dxa"/>
            <w:vAlign w:val="bottom"/>
          </w:tcPr>
          <w:p>
            <w:pPr>
              <w:spacing w:after="0"/>
              <w:rPr>
                <w:sz w:val="24"/>
                <w:szCs w:val="24"/>
                <w:color w:val="auto"/>
              </w:rPr>
            </w:pPr>
          </w:p>
        </w:tc>
      </w:tr>
      <w:tr>
        <w:trPr>
          <w:trHeight w:val="338"/>
        </w:trPr>
        <w:tc>
          <w:tcPr>
            <w:tcW w:w="1780" w:type="dxa"/>
            <w:vAlign w:val="bottom"/>
          </w:tcPr>
          <w:p>
            <w:pPr>
              <w:spacing w:after="0"/>
              <w:rPr>
                <w:sz w:val="20"/>
                <w:szCs w:val="20"/>
                <w:color w:val="auto"/>
              </w:rPr>
            </w:pPr>
            <w:r>
              <w:rPr>
                <w:rFonts w:ascii="Calibri" w:cs="Calibri" w:eastAsia="Calibri" w:hAnsi="Calibri"/>
                <w:sz w:val="20"/>
                <w:szCs w:val="20"/>
                <w:color w:val="auto"/>
              </w:rPr>
              <w:t>Artcle 8 Informaton</w:t>
            </w: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Calibri" w:cs="Calibri" w:eastAsia="Calibri" w:hAnsi="Calibri"/>
                <w:sz w:val="20"/>
                <w:szCs w:val="20"/>
                <w:color w:val="auto"/>
              </w:rPr>
              <w:t>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51"/>
        </w:trPr>
        <w:tc>
          <w:tcPr>
            <w:tcW w:w="3180" w:type="dxa"/>
            <w:vAlign w:val="bottom"/>
            <w:gridSpan w:val="3"/>
          </w:tcPr>
          <w:p>
            <w:pPr>
              <w:spacing w:after="0"/>
              <w:rPr>
                <w:sz w:val="20"/>
                <w:szCs w:val="20"/>
                <w:color w:val="auto"/>
              </w:rPr>
            </w:pPr>
            <w:r>
              <w:rPr>
                <w:rFonts w:ascii="Calibri" w:cs="Calibri" w:eastAsia="Calibri" w:hAnsi="Calibri"/>
                <w:sz w:val="20"/>
                <w:szCs w:val="20"/>
                <w:color w:val="auto"/>
              </w:rPr>
              <w:t>Artcle 9 Equity Contributon  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51"/>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9.1.</w:t>
            </w:r>
          </w:p>
        </w:tc>
        <w:tc>
          <w:tcPr>
            <w:tcW w:w="1820" w:type="dxa"/>
            <w:vAlign w:val="bottom"/>
            <w:gridSpan w:val="4"/>
          </w:tcPr>
          <w:p>
            <w:pPr>
              <w:ind w:left="100"/>
              <w:spacing w:after="0"/>
              <w:rPr>
                <w:sz w:val="20"/>
                <w:szCs w:val="20"/>
                <w:color w:val="auto"/>
              </w:rPr>
            </w:pPr>
            <w:r>
              <w:rPr>
                <w:rFonts w:ascii="Calibri" w:cs="Calibri" w:eastAsia="Calibri" w:hAnsi="Calibri"/>
                <w:sz w:val="20"/>
                <w:szCs w:val="20"/>
                <w:color w:val="auto"/>
              </w:rPr>
              <w:t>Equity Contributons</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78"/>
        </w:trPr>
        <w:tc>
          <w:tcPr>
            <w:tcW w:w="5480" w:type="dxa"/>
            <w:vAlign w:val="bottom"/>
            <w:gridSpan w:val="9"/>
          </w:tcPr>
          <w:p>
            <w:pPr>
              <w:ind w:left="720"/>
              <w:spacing w:after="0"/>
              <w:rPr>
                <w:sz w:val="20"/>
                <w:szCs w:val="20"/>
                <w:color w:val="auto"/>
              </w:rPr>
            </w:pPr>
            <w:r>
              <w:rPr>
                <w:rFonts w:ascii="Calibri" w:cs="Calibri" w:eastAsia="Calibri" w:hAnsi="Calibri"/>
                <w:sz w:val="20"/>
                <w:szCs w:val="20"/>
                <w:color w:val="auto"/>
              </w:rPr>
              <w:t>Secton 9.2.  Mechanics for Funding Equity Contributons</w:t>
            </w:r>
          </w:p>
        </w:tc>
        <w:tc>
          <w:tcPr>
            <w:tcW w:w="5760" w:type="dxa"/>
            <w:vAlign w:val="bottom"/>
          </w:tcPr>
          <w:p>
            <w:pPr>
              <w:ind w:left="180"/>
              <w:spacing w:after="0"/>
              <w:rPr>
                <w:sz w:val="20"/>
                <w:szCs w:val="20"/>
                <w:color w:val="auto"/>
              </w:rPr>
            </w:pPr>
            <w:r>
              <w:rPr>
                <w:rFonts w:ascii="Calibri" w:cs="Calibri" w:eastAsia="Calibri" w:hAnsi="Calibri"/>
                <w:sz w:val="20"/>
                <w:szCs w:val="20"/>
                <w:color w:val="auto"/>
              </w:rPr>
              <w:t>6</w:t>
            </w:r>
          </w:p>
        </w:tc>
      </w:tr>
      <w:tr>
        <w:trPr>
          <w:trHeight w:val="351"/>
        </w:trPr>
        <w:tc>
          <w:tcPr>
            <w:tcW w:w="3600" w:type="dxa"/>
            <w:vAlign w:val="bottom"/>
            <w:gridSpan w:val="5"/>
          </w:tcPr>
          <w:p>
            <w:pPr>
              <w:spacing w:after="0"/>
              <w:rPr>
                <w:sz w:val="20"/>
                <w:szCs w:val="20"/>
                <w:color w:val="auto"/>
              </w:rPr>
            </w:pPr>
            <w:r>
              <w:rPr>
                <w:rFonts w:ascii="Calibri" w:cs="Calibri" w:eastAsia="Calibri" w:hAnsi="Calibri"/>
                <w:sz w:val="20"/>
                <w:szCs w:val="20"/>
                <w:color w:val="auto"/>
              </w:rPr>
              <w:t>Artcle 10 Representatons and Warrantes</w:t>
            </w:r>
          </w:p>
        </w:tc>
        <w:tc>
          <w:tcPr>
            <w:tcW w:w="260" w:type="dxa"/>
            <w:vAlign w:val="bottom"/>
          </w:tcPr>
          <w:p>
            <w:pPr>
              <w:jc w:val="right"/>
              <w:ind w:right="1"/>
              <w:spacing w:after="0"/>
              <w:rPr>
                <w:sz w:val="20"/>
                <w:szCs w:val="20"/>
                <w:color w:val="auto"/>
              </w:rPr>
            </w:pPr>
            <w:r>
              <w:rPr>
                <w:rFonts w:ascii="Calibri" w:cs="Calibri" w:eastAsia="Calibri" w:hAnsi="Calibri"/>
                <w:sz w:val="20"/>
                <w:szCs w:val="20"/>
                <w:color w:val="auto"/>
              </w:rPr>
              <w:t>6</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51"/>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10.1.</w:t>
            </w:r>
          </w:p>
        </w:tc>
        <w:tc>
          <w:tcPr>
            <w:tcW w:w="1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alibri" w:cs="Calibri" w:eastAsia="Calibri" w:hAnsi="Calibri"/>
                <w:sz w:val="20"/>
                <w:szCs w:val="20"/>
                <w:color w:val="auto"/>
              </w:rPr>
              <w:t>Organizaton</w:t>
            </w:r>
          </w:p>
        </w:tc>
        <w:tc>
          <w:tcPr>
            <w:tcW w:w="260" w:type="dxa"/>
            <w:vAlign w:val="bottom"/>
          </w:tcPr>
          <w:p>
            <w:pPr>
              <w:jc w:val="right"/>
              <w:ind w:right="41"/>
              <w:spacing w:after="0"/>
              <w:rPr>
                <w:sz w:val="20"/>
                <w:szCs w:val="20"/>
                <w:color w:val="auto"/>
              </w:rPr>
            </w:pPr>
            <w:r>
              <w:rPr>
                <w:rFonts w:ascii="Calibri" w:cs="Calibri" w:eastAsia="Calibri" w:hAnsi="Calibri"/>
                <w:sz w:val="20"/>
                <w:szCs w:val="20"/>
                <w:color w:val="auto"/>
                <w:w w:val="98"/>
              </w:rPr>
              <w:t>6</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10.2.</w:t>
            </w:r>
          </w:p>
        </w:tc>
        <w:tc>
          <w:tcPr>
            <w:tcW w:w="100" w:type="dxa"/>
            <w:vAlign w:val="bottom"/>
          </w:tcPr>
          <w:p>
            <w:pPr>
              <w:spacing w:after="0"/>
              <w:rPr>
                <w:sz w:val="24"/>
                <w:szCs w:val="24"/>
                <w:color w:val="auto"/>
              </w:rPr>
            </w:pPr>
          </w:p>
        </w:tc>
        <w:tc>
          <w:tcPr>
            <w:tcW w:w="2260" w:type="dxa"/>
            <w:vAlign w:val="bottom"/>
            <w:gridSpan w:val="5"/>
          </w:tcPr>
          <w:p>
            <w:pPr>
              <w:ind w:left="100"/>
              <w:spacing w:after="0"/>
              <w:rPr>
                <w:sz w:val="20"/>
                <w:szCs w:val="20"/>
                <w:color w:val="auto"/>
              </w:rPr>
            </w:pPr>
            <w:r>
              <w:rPr>
                <w:rFonts w:ascii="Calibri" w:cs="Calibri" w:eastAsia="Calibri" w:hAnsi="Calibri"/>
                <w:sz w:val="20"/>
                <w:szCs w:val="20"/>
                <w:color w:val="auto"/>
              </w:rPr>
              <w:t>Authorizaton; No Confict</w:t>
            </w:r>
          </w:p>
        </w:tc>
        <w:tc>
          <w:tcPr>
            <w:tcW w:w="360" w:type="dxa"/>
            <w:vAlign w:val="bottom"/>
          </w:tcPr>
          <w:p>
            <w:pPr>
              <w:jc w:val="right"/>
              <w:ind w:right="1"/>
              <w:spacing w:after="0"/>
              <w:rPr>
                <w:sz w:val="20"/>
                <w:szCs w:val="20"/>
                <w:color w:val="auto"/>
              </w:rPr>
            </w:pPr>
            <w:r>
              <w:rPr>
                <w:rFonts w:ascii="Calibri" w:cs="Calibri" w:eastAsia="Calibri" w:hAnsi="Calibri"/>
                <w:sz w:val="20"/>
                <w:szCs w:val="20"/>
                <w:color w:val="auto"/>
              </w:rPr>
              <w:t>6</w:t>
            </w: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78"/>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10.3.</w:t>
            </w:r>
          </w:p>
        </w:tc>
        <w:tc>
          <w:tcPr>
            <w:tcW w:w="100" w:type="dxa"/>
            <w:vAlign w:val="bottom"/>
          </w:tcPr>
          <w:p>
            <w:pPr>
              <w:spacing w:after="0"/>
              <w:rPr>
                <w:sz w:val="24"/>
                <w:szCs w:val="24"/>
                <w:color w:val="auto"/>
              </w:rPr>
            </w:pPr>
          </w:p>
        </w:tc>
        <w:tc>
          <w:tcPr>
            <w:tcW w:w="1980" w:type="dxa"/>
            <w:vAlign w:val="bottom"/>
            <w:gridSpan w:val="4"/>
          </w:tcPr>
          <w:p>
            <w:pPr>
              <w:ind w:left="100"/>
              <w:spacing w:after="0"/>
              <w:rPr>
                <w:sz w:val="20"/>
                <w:szCs w:val="20"/>
                <w:color w:val="auto"/>
              </w:rPr>
            </w:pPr>
            <w:r>
              <w:rPr>
                <w:rFonts w:ascii="Calibri" w:cs="Calibri" w:eastAsia="Calibri" w:hAnsi="Calibri"/>
                <w:sz w:val="20"/>
                <w:szCs w:val="20"/>
                <w:color w:val="auto"/>
              </w:rPr>
              <w:t>Compliance with Laws</w:t>
            </w:r>
          </w:p>
        </w:tc>
        <w:tc>
          <w:tcPr>
            <w:tcW w:w="280" w:type="dxa"/>
            <w:vAlign w:val="bottom"/>
          </w:tcPr>
          <w:p>
            <w:pPr>
              <w:jc w:val="right"/>
              <w:spacing w:after="0"/>
              <w:rPr>
                <w:sz w:val="20"/>
                <w:szCs w:val="20"/>
                <w:color w:val="auto"/>
              </w:rPr>
            </w:pPr>
            <w:r>
              <w:rPr>
                <w:rFonts w:ascii="Calibri" w:cs="Calibri" w:eastAsia="Calibri" w:hAnsi="Calibri"/>
                <w:sz w:val="20"/>
                <w:szCs w:val="20"/>
                <w:color w:val="auto"/>
              </w:rPr>
              <w:t>7</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10.4.</w:t>
            </w:r>
          </w:p>
        </w:tc>
        <w:tc>
          <w:tcPr>
            <w:tcW w:w="100" w:type="dxa"/>
            <w:vAlign w:val="bottom"/>
          </w:tcPr>
          <w:p>
            <w:pPr>
              <w:spacing w:after="0"/>
              <w:rPr>
                <w:sz w:val="24"/>
                <w:szCs w:val="24"/>
                <w:color w:val="auto"/>
              </w:rPr>
            </w:pPr>
          </w:p>
        </w:tc>
        <w:tc>
          <w:tcPr>
            <w:tcW w:w="3600" w:type="dxa"/>
            <w:vAlign w:val="bottom"/>
            <w:gridSpan w:val="7"/>
          </w:tcPr>
          <w:p>
            <w:pPr>
              <w:ind w:left="100"/>
              <w:spacing w:after="0"/>
              <w:rPr>
                <w:sz w:val="20"/>
                <w:szCs w:val="20"/>
                <w:color w:val="auto"/>
              </w:rPr>
            </w:pPr>
            <w:r>
              <w:rPr>
                <w:rFonts w:ascii="Calibri" w:cs="Calibri" w:eastAsia="Calibri" w:hAnsi="Calibri"/>
                <w:sz w:val="20"/>
                <w:szCs w:val="20"/>
                <w:color w:val="auto"/>
              </w:rPr>
              <w:t>Legality; Validity; Enforceability  8</w:t>
            </w:r>
          </w:p>
        </w:tc>
        <w:tc>
          <w:tcPr>
            <w:tcW w:w="5760" w:type="dxa"/>
            <w:vAlign w:val="bottom"/>
          </w:tcPr>
          <w:p>
            <w:pPr>
              <w:spacing w:after="0"/>
              <w:rPr>
                <w:sz w:val="24"/>
                <w:szCs w:val="24"/>
                <w:color w:val="auto"/>
              </w:rPr>
            </w:pPr>
          </w:p>
        </w:tc>
      </w:tr>
      <w:tr>
        <w:trPr>
          <w:trHeight w:val="365"/>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10.5.</w:t>
            </w:r>
          </w:p>
        </w:tc>
        <w:tc>
          <w:tcPr>
            <w:tcW w:w="1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alibri" w:cs="Calibri" w:eastAsia="Calibri" w:hAnsi="Calibri"/>
                <w:sz w:val="20"/>
                <w:szCs w:val="20"/>
                <w:color w:val="auto"/>
              </w:rPr>
              <w:t>Real Property</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4"/>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10.6.</w:t>
            </w:r>
          </w:p>
        </w:tc>
        <w:tc>
          <w:tcPr>
            <w:tcW w:w="100" w:type="dxa"/>
            <w:vAlign w:val="bottom"/>
          </w:tcPr>
          <w:p>
            <w:pPr>
              <w:spacing w:after="0"/>
              <w:rPr>
                <w:sz w:val="24"/>
                <w:szCs w:val="24"/>
                <w:color w:val="auto"/>
              </w:rPr>
            </w:pPr>
          </w:p>
        </w:tc>
        <w:tc>
          <w:tcPr>
            <w:tcW w:w="1980" w:type="dxa"/>
            <w:vAlign w:val="bottom"/>
            <w:gridSpan w:val="4"/>
          </w:tcPr>
          <w:p>
            <w:pPr>
              <w:ind w:left="100"/>
              <w:spacing w:after="0"/>
              <w:rPr>
                <w:sz w:val="20"/>
                <w:szCs w:val="20"/>
                <w:color w:val="auto"/>
              </w:rPr>
            </w:pPr>
            <w:r>
              <w:rPr>
                <w:rFonts w:ascii="Calibri" w:cs="Calibri" w:eastAsia="Calibri" w:hAnsi="Calibri"/>
                <w:sz w:val="20"/>
                <w:szCs w:val="20"/>
                <w:color w:val="auto"/>
              </w:rPr>
              <w:t>Financial Statements</w:t>
            </w:r>
          </w:p>
        </w:tc>
        <w:tc>
          <w:tcPr>
            <w:tcW w:w="280" w:type="dxa"/>
            <w:vAlign w:val="bottom"/>
          </w:tcPr>
          <w:p>
            <w:pPr>
              <w:jc w:val="right"/>
              <w:ind w:right="81"/>
              <w:spacing w:after="0"/>
              <w:rPr>
                <w:sz w:val="20"/>
                <w:szCs w:val="20"/>
                <w:color w:val="auto"/>
              </w:rPr>
            </w:pPr>
            <w:r>
              <w:rPr>
                <w:rFonts w:ascii="Calibri" w:cs="Calibri" w:eastAsia="Calibri" w:hAnsi="Calibri"/>
                <w:sz w:val="20"/>
                <w:szCs w:val="20"/>
                <w:color w:val="auto"/>
                <w:w w:val="78"/>
              </w:rPr>
              <w:t>8</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10.7.</w:t>
            </w:r>
          </w:p>
        </w:tc>
        <w:tc>
          <w:tcPr>
            <w:tcW w:w="100" w:type="dxa"/>
            <w:vAlign w:val="bottom"/>
          </w:tcPr>
          <w:p>
            <w:pPr>
              <w:spacing w:after="0"/>
              <w:rPr>
                <w:sz w:val="24"/>
                <w:szCs w:val="24"/>
                <w:color w:val="auto"/>
              </w:rPr>
            </w:pPr>
          </w:p>
        </w:tc>
        <w:tc>
          <w:tcPr>
            <w:tcW w:w="2260" w:type="dxa"/>
            <w:vAlign w:val="bottom"/>
            <w:gridSpan w:val="5"/>
          </w:tcPr>
          <w:p>
            <w:pPr>
              <w:ind w:left="100"/>
              <w:spacing w:after="0"/>
              <w:rPr>
                <w:sz w:val="20"/>
                <w:szCs w:val="20"/>
                <w:color w:val="auto"/>
              </w:rPr>
            </w:pPr>
            <w:r>
              <w:rPr>
                <w:rFonts w:ascii="Calibri" w:cs="Calibri" w:eastAsia="Calibri" w:hAnsi="Calibri"/>
                <w:sz w:val="20"/>
                <w:szCs w:val="20"/>
                <w:color w:val="auto"/>
              </w:rPr>
              <w:t>Adequate Project Funding</w:t>
            </w:r>
          </w:p>
        </w:tc>
        <w:tc>
          <w:tcPr>
            <w:tcW w:w="360" w:type="dxa"/>
            <w:vAlign w:val="bottom"/>
          </w:tcPr>
          <w:p>
            <w:pPr>
              <w:jc w:val="right"/>
              <w:ind w:right="1"/>
              <w:spacing w:after="0"/>
              <w:rPr>
                <w:sz w:val="20"/>
                <w:szCs w:val="20"/>
                <w:color w:val="auto"/>
              </w:rPr>
            </w:pPr>
            <w:r>
              <w:rPr>
                <w:rFonts w:ascii="Calibri" w:cs="Calibri" w:eastAsia="Calibri" w:hAnsi="Calibri"/>
                <w:sz w:val="20"/>
                <w:szCs w:val="20"/>
                <w:color w:val="auto"/>
              </w:rPr>
              <w:t>9</w:t>
            </w: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78"/>
        </w:trPr>
        <w:tc>
          <w:tcPr>
            <w:tcW w:w="1780" w:type="dxa"/>
            <w:vAlign w:val="bottom"/>
          </w:tcPr>
          <w:p>
            <w:pPr>
              <w:ind w:left="720"/>
              <w:spacing w:after="0"/>
              <w:rPr>
                <w:sz w:val="20"/>
                <w:szCs w:val="20"/>
                <w:color w:val="auto"/>
              </w:rPr>
            </w:pPr>
            <w:r>
              <w:rPr>
                <w:rFonts w:ascii="Calibri" w:cs="Calibri" w:eastAsia="Calibri" w:hAnsi="Calibri"/>
                <w:sz w:val="20"/>
                <w:szCs w:val="20"/>
                <w:color w:val="auto"/>
              </w:rPr>
              <w:t>Secton 10.8.</w:t>
            </w:r>
          </w:p>
        </w:tc>
        <w:tc>
          <w:tcPr>
            <w:tcW w:w="100" w:type="dxa"/>
            <w:vAlign w:val="bottom"/>
          </w:tcPr>
          <w:p>
            <w:pPr>
              <w:spacing w:after="0"/>
              <w:rPr>
                <w:sz w:val="24"/>
                <w:szCs w:val="24"/>
                <w:color w:val="auto"/>
              </w:rPr>
            </w:pPr>
          </w:p>
        </w:tc>
        <w:tc>
          <w:tcPr>
            <w:tcW w:w="1980" w:type="dxa"/>
            <w:vAlign w:val="bottom"/>
            <w:gridSpan w:val="4"/>
          </w:tcPr>
          <w:p>
            <w:pPr>
              <w:ind w:left="100"/>
              <w:spacing w:after="0"/>
              <w:rPr>
                <w:sz w:val="20"/>
                <w:szCs w:val="20"/>
                <w:color w:val="auto"/>
              </w:rPr>
            </w:pPr>
            <w:r>
              <w:rPr>
                <w:rFonts w:ascii="Calibri" w:cs="Calibri" w:eastAsia="Calibri" w:hAnsi="Calibri"/>
                <w:sz w:val="20"/>
                <w:szCs w:val="20"/>
                <w:color w:val="auto"/>
              </w:rPr>
              <w:t>Federal Requirements</w:t>
            </w:r>
          </w:p>
        </w:tc>
        <w:tc>
          <w:tcPr>
            <w:tcW w:w="280" w:type="dxa"/>
            <w:vAlign w:val="bottom"/>
          </w:tcPr>
          <w:p>
            <w:pPr>
              <w:jc w:val="right"/>
              <w:spacing w:after="0"/>
              <w:rPr>
                <w:sz w:val="20"/>
                <w:szCs w:val="20"/>
                <w:color w:val="auto"/>
              </w:rPr>
            </w:pPr>
            <w:r>
              <w:rPr>
                <w:rFonts w:ascii="Calibri" w:cs="Calibri" w:eastAsia="Calibri" w:hAnsi="Calibri"/>
                <w:sz w:val="20"/>
                <w:szCs w:val="20"/>
                <w:color w:val="auto"/>
              </w:rPr>
              <w:t>9</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10.9.</w:t>
            </w:r>
          </w:p>
        </w:tc>
        <w:tc>
          <w:tcPr>
            <w:tcW w:w="9360" w:type="dxa"/>
            <w:vAlign w:val="bottom"/>
            <w:gridSpan w:val="8"/>
          </w:tcPr>
          <w:p>
            <w:pPr>
              <w:jc w:val="right"/>
              <w:spacing w:after="0"/>
              <w:rPr>
                <w:sz w:val="20"/>
                <w:szCs w:val="20"/>
                <w:color w:val="auto"/>
              </w:rPr>
            </w:pPr>
            <w:r>
              <w:rPr>
                <w:rFonts w:ascii="Calibri" w:cs="Calibri" w:eastAsia="Calibri" w:hAnsi="Calibri"/>
                <w:sz w:val="20"/>
                <w:szCs w:val="20"/>
                <w:color w:val="auto"/>
              </w:rPr>
              <w:t>Foreign Entty of Concern; Prohibited Persons; Sanctons; Export Controls; Ant-Corrupton; Ant-Money</w:t>
            </w: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ind w:left="80"/>
              <w:spacing w:after="0" w:line="243" w:lineRule="exact"/>
              <w:rPr>
                <w:sz w:val="20"/>
                <w:szCs w:val="20"/>
                <w:color w:val="auto"/>
              </w:rPr>
            </w:pPr>
            <w:r>
              <w:rPr>
                <w:rFonts w:ascii="Calibri" w:cs="Calibri" w:eastAsia="Calibri" w:hAnsi="Calibri"/>
                <w:sz w:val="20"/>
                <w:szCs w:val="20"/>
                <w:color w:val="auto"/>
              </w:rPr>
              <w:t>Laundering Laws</w:t>
            </w:r>
          </w:p>
        </w:tc>
        <w:tc>
          <w:tcPr>
            <w:tcW w:w="160" w:type="dxa"/>
            <w:vAlign w:val="bottom"/>
          </w:tcPr>
          <w:p>
            <w:pPr>
              <w:ind w:left="60"/>
              <w:spacing w:after="0" w:line="243" w:lineRule="exact"/>
              <w:rPr>
                <w:sz w:val="20"/>
                <w:szCs w:val="20"/>
                <w:color w:val="auto"/>
              </w:rPr>
            </w:pPr>
            <w:r>
              <w:rPr>
                <w:rFonts w:ascii="Calibri" w:cs="Calibri" w:eastAsia="Calibri" w:hAnsi="Calibri"/>
                <w:sz w:val="20"/>
                <w:szCs w:val="20"/>
                <w:color w:val="auto"/>
                <w:w w:val="78"/>
              </w:rPr>
              <w:t>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760" w:type="dxa"/>
            <w:vAlign w:val="bottom"/>
          </w:tcPr>
          <w:p>
            <w:pPr>
              <w:spacing w:after="0"/>
              <w:rPr>
                <w:sz w:val="21"/>
                <w:szCs w:val="21"/>
                <w:color w:val="auto"/>
              </w:rPr>
            </w:pPr>
          </w:p>
        </w:tc>
      </w:tr>
      <w:tr>
        <w:trPr>
          <w:trHeight w:val="365"/>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10.10.</w:t>
            </w:r>
          </w:p>
        </w:tc>
        <w:tc>
          <w:tcPr>
            <w:tcW w:w="2260" w:type="dxa"/>
            <w:vAlign w:val="bottom"/>
            <w:gridSpan w:val="5"/>
          </w:tcPr>
          <w:p>
            <w:pPr>
              <w:ind w:left="200"/>
              <w:spacing w:after="0"/>
              <w:rPr>
                <w:sz w:val="20"/>
                <w:szCs w:val="20"/>
                <w:color w:val="auto"/>
              </w:rPr>
            </w:pPr>
            <w:r>
              <w:rPr>
                <w:rFonts w:ascii="Calibri" w:cs="Calibri" w:eastAsia="Calibri" w:hAnsi="Calibri"/>
                <w:sz w:val="20"/>
                <w:szCs w:val="20"/>
                <w:color w:val="auto"/>
              </w:rPr>
              <w:t>Insolvency Proceedings</w:t>
            </w:r>
          </w:p>
        </w:tc>
        <w:tc>
          <w:tcPr>
            <w:tcW w:w="360" w:type="dxa"/>
            <w:vAlign w:val="bottom"/>
          </w:tcPr>
          <w:p>
            <w:pPr>
              <w:jc w:val="right"/>
              <w:ind w:right="21"/>
              <w:spacing w:after="0"/>
              <w:rPr>
                <w:sz w:val="20"/>
                <w:szCs w:val="20"/>
                <w:color w:val="auto"/>
              </w:rPr>
            </w:pPr>
            <w:r>
              <w:rPr>
                <w:rFonts w:ascii="Calibri" w:cs="Calibri" w:eastAsia="Calibri" w:hAnsi="Calibri"/>
                <w:sz w:val="20"/>
                <w:szCs w:val="20"/>
                <w:color w:val="auto"/>
              </w:rPr>
              <w:t>10</w:t>
            </w: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10.11.</w:t>
            </w:r>
          </w:p>
        </w:tc>
        <w:tc>
          <w:tcPr>
            <w:tcW w:w="1560" w:type="dxa"/>
            <w:vAlign w:val="bottom"/>
            <w:gridSpan w:val="2"/>
          </w:tcPr>
          <w:p>
            <w:pPr>
              <w:ind w:left="200"/>
              <w:spacing w:after="0"/>
              <w:rPr>
                <w:sz w:val="20"/>
                <w:szCs w:val="20"/>
                <w:color w:val="auto"/>
              </w:rPr>
            </w:pPr>
            <w:r>
              <w:rPr>
                <w:rFonts w:ascii="Calibri" w:cs="Calibri" w:eastAsia="Calibri" w:hAnsi="Calibri"/>
                <w:sz w:val="20"/>
                <w:szCs w:val="20"/>
                <w:color w:val="auto"/>
              </w:rPr>
              <w:t>Full Disclosure</w:t>
            </w:r>
          </w:p>
        </w:tc>
        <w:tc>
          <w:tcPr>
            <w:tcW w:w="420" w:type="dxa"/>
            <w:vAlign w:val="bottom"/>
            <w:gridSpan w:val="2"/>
          </w:tcPr>
          <w:p>
            <w:pPr>
              <w:jc w:val="right"/>
              <w:ind w:right="121"/>
              <w:spacing w:after="0"/>
              <w:rPr>
                <w:sz w:val="20"/>
                <w:szCs w:val="20"/>
                <w:color w:val="auto"/>
              </w:rPr>
            </w:pPr>
            <w:r>
              <w:rPr>
                <w:rFonts w:ascii="Calibri" w:cs="Calibri" w:eastAsia="Calibri" w:hAnsi="Calibri"/>
                <w:sz w:val="20"/>
                <w:szCs w:val="20"/>
                <w:color w:val="auto"/>
                <w:w w:val="88"/>
              </w:rPr>
              <w:t>11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4"/>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10.12.</w:t>
            </w:r>
          </w:p>
        </w:tc>
        <w:tc>
          <w:tcPr>
            <w:tcW w:w="1300" w:type="dxa"/>
            <w:vAlign w:val="bottom"/>
          </w:tcPr>
          <w:p>
            <w:pPr>
              <w:ind w:left="200"/>
              <w:spacing w:after="0"/>
              <w:rPr>
                <w:sz w:val="20"/>
                <w:szCs w:val="20"/>
                <w:color w:val="auto"/>
              </w:rPr>
            </w:pPr>
            <w:r>
              <w:rPr>
                <w:rFonts w:ascii="Calibri" w:cs="Calibri" w:eastAsia="Calibri" w:hAnsi="Calibri"/>
                <w:sz w:val="20"/>
                <w:szCs w:val="20"/>
                <w:color w:val="auto"/>
              </w:rPr>
              <w:t>No Immunity</w:t>
            </w:r>
          </w:p>
        </w:tc>
        <w:tc>
          <w:tcPr>
            <w:tcW w:w="420" w:type="dxa"/>
            <w:vAlign w:val="bottom"/>
            <w:gridSpan w:val="2"/>
          </w:tcPr>
          <w:p>
            <w:pPr>
              <w:jc w:val="right"/>
              <w:spacing w:after="0"/>
              <w:rPr>
                <w:sz w:val="20"/>
                <w:szCs w:val="20"/>
                <w:color w:val="auto"/>
              </w:rPr>
            </w:pPr>
            <w:r>
              <w:rPr>
                <w:rFonts w:ascii="Calibri" w:cs="Calibri" w:eastAsia="Calibri" w:hAnsi="Calibri"/>
                <w:sz w:val="20"/>
                <w:szCs w:val="20"/>
                <w:color w:val="auto"/>
              </w:rPr>
              <w:t>11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65"/>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10.13.</w:t>
            </w:r>
          </w:p>
        </w:tc>
        <w:tc>
          <w:tcPr>
            <w:tcW w:w="2620" w:type="dxa"/>
            <w:vAlign w:val="bottom"/>
            <w:gridSpan w:val="6"/>
          </w:tcPr>
          <w:p>
            <w:pPr>
              <w:ind w:left="200"/>
              <w:spacing w:after="0"/>
              <w:rPr>
                <w:sz w:val="20"/>
                <w:szCs w:val="20"/>
                <w:color w:val="auto"/>
              </w:rPr>
            </w:pPr>
            <w:r>
              <w:rPr>
                <w:rFonts w:ascii="Calibri" w:cs="Calibri" w:eastAsia="Calibri" w:hAnsi="Calibri"/>
                <w:sz w:val="20"/>
                <w:szCs w:val="20"/>
                <w:color w:val="auto"/>
              </w:rPr>
              <w:t>No Federal Debt Delinquency</w:t>
            </w:r>
          </w:p>
        </w:tc>
        <w:tc>
          <w:tcPr>
            <w:tcW w:w="980" w:type="dxa"/>
            <w:vAlign w:val="bottom"/>
          </w:tcPr>
          <w:p>
            <w:pPr>
              <w:jc w:val="right"/>
              <w:ind w:right="521"/>
              <w:spacing w:after="0"/>
              <w:rPr>
                <w:sz w:val="20"/>
                <w:szCs w:val="20"/>
                <w:color w:val="auto"/>
              </w:rPr>
            </w:pPr>
            <w:r>
              <w:rPr>
                <w:rFonts w:ascii="Calibri" w:cs="Calibri" w:eastAsia="Calibri" w:hAnsi="Calibri"/>
                <w:sz w:val="20"/>
                <w:szCs w:val="20"/>
                <w:color w:val="auto"/>
              </w:rPr>
              <w:t>11</w:t>
            </w:r>
          </w:p>
        </w:tc>
        <w:tc>
          <w:tcPr>
            <w:tcW w:w="5760" w:type="dxa"/>
            <w:vAlign w:val="bottom"/>
          </w:tcPr>
          <w:p>
            <w:pPr>
              <w:spacing w:after="0"/>
              <w:rPr>
                <w:sz w:val="24"/>
                <w:szCs w:val="24"/>
                <w:color w:val="auto"/>
              </w:rPr>
            </w:pPr>
          </w:p>
        </w:tc>
      </w:tr>
      <w:tr>
        <w:trPr>
          <w:trHeight w:val="364"/>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10.14.</w:t>
            </w:r>
          </w:p>
        </w:tc>
        <w:tc>
          <w:tcPr>
            <w:tcW w:w="1560" w:type="dxa"/>
            <w:vAlign w:val="bottom"/>
            <w:gridSpan w:val="2"/>
          </w:tcPr>
          <w:p>
            <w:pPr>
              <w:ind w:left="200"/>
              <w:spacing w:after="0"/>
              <w:rPr>
                <w:sz w:val="20"/>
                <w:szCs w:val="20"/>
                <w:color w:val="auto"/>
              </w:rPr>
            </w:pPr>
            <w:r>
              <w:rPr>
                <w:rFonts w:ascii="Calibri" w:cs="Calibri" w:eastAsia="Calibri" w:hAnsi="Calibri"/>
                <w:sz w:val="20"/>
                <w:szCs w:val="20"/>
                <w:color w:val="auto"/>
              </w:rPr>
              <w:t>No Debarment</w:t>
            </w:r>
          </w:p>
        </w:tc>
        <w:tc>
          <w:tcPr>
            <w:tcW w:w="420" w:type="dxa"/>
            <w:vAlign w:val="bottom"/>
            <w:gridSpan w:val="2"/>
          </w:tcPr>
          <w:p>
            <w:pPr>
              <w:ind w:left="40"/>
              <w:spacing w:after="0"/>
              <w:rPr>
                <w:sz w:val="20"/>
                <w:szCs w:val="20"/>
                <w:color w:val="auto"/>
              </w:rPr>
            </w:pPr>
            <w:r>
              <w:rPr>
                <w:rFonts w:ascii="Calibri" w:cs="Calibri" w:eastAsia="Calibri" w:hAnsi="Calibri"/>
                <w:sz w:val="20"/>
                <w:szCs w:val="20"/>
                <w:color w:val="auto"/>
              </w:rPr>
              <w:t>11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78"/>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10.15.</w:t>
            </w:r>
          </w:p>
        </w:tc>
        <w:tc>
          <w:tcPr>
            <w:tcW w:w="3600" w:type="dxa"/>
            <w:vAlign w:val="bottom"/>
            <w:gridSpan w:val="7"/>
          </w:tcPr>
          <w:p>
            <w:pPr>
              <w:ind w:left="200"/>
              <w:spacing w:after="0"/>
              <w:rPr>
                <w:sz w:val="20"/>
                <w:szCs w:val="20"/>
                <w:color w:val="auto"/>
              </w:rPr>
            </w:pPr>
            <w:r>
              <w:rPr>
                <w:rFonts w:ascii="Calibri" w:cs="Calibri" w:eastAsia="Calibri" w:hAnsi="Calibri"/>
                <w:sz w:val="20"/>
                <w:szCs w:val="20"/>
                <w:color w:val="auto"/>
              </w:rPr>
              <w:t>Informaton Technology; Cyber Security</w:t>
            </w:r>
          </w:p>
        </w:tc>
        <w:tc>
          <w:tcPr>
            <w:tcW w:w="5760" w:type="dxa"/>
            <w:vAlign w:val="bottom"/>
          </w:tcPr>
          <w:p>
            <w:pPr>
              <w:jc w:val="right"/>
              <w:ind w:right="5441"/>
              <w:spacing w:after="0"/>
              <w:rPr>
                <w:sz w:val="20"/>
                <w:szCs w:val="20"/>
                <w:color w:val="auto"/>
              </w:rPr>
            </w:pPr>
            <w:r>
              <w:rPr>
                <w:rFonts w:ascii="Calibri" w:cs="Calibri" w:eastAsia="Calibri" w:hAnsi="Calibri"/>
                <w:sz w:val="20"/>
                <w:szCs w:val="20"/>
                <w:color w:val="auto"/>
                <w:w w:val="98"/>
              </w:rPr>
              <w:t>11</w:t>
            </w:r>
          </w:p>
        </w:tc>
      </w:tr>
      <w:tr>
        <w:trPr>
          <w:trHeight w:val="364"/>
        </w:trPr>
        <w:tc>
          <w:tcPr>
            <w:tcW w:w="1880" w:type="dxa"/>
            <w:vAlign w:val="bottom"/>
            <w:gridSpan w:val="2"/>
          </w:tcPr>
          <w:p>
            <w:pPr>
              <w:ind w:left="720"/>
              <w:spacing w:after="0"/>
              <w:rPr>
                <w:sz w:val="20"/>
                <w:szCs w:val="20"/>
                <w:color w:val="auto"/>
              </w:rPr>
            </w:pPr>
            <w:r>
              <w:rPr>
                <w:rFonts w:ascii="Calibri" w:cs="Calibri" w:eastAsia="Calibri" w:hAnsi="Calibri"/>
                <w:sz w:val="20"/>
                <w:szCs w:val="20"/>
                <w:color w:val="auto"/>
              </w:rPr>
              <w:t>Secton 10.16.</w:t>
            </w:r>
          </w:p>
        </w:tc>
        <w:tc>
          <w:tcPr>
            <w:tcW w:w="3600" w:type="dxa"/>
            <w:vAlign w:val="bottom"/>
            <w:gridSpan w:val="7"/>
          </w:tcPr>
          <w:p>
            <w:pPr>
              <w:ind w:left="200"/>
              <w:spacing w:after="0"/>
              <w:rPr>
                <w:sz w:val="20"/>
                <w:szCs w:val="20"/>
                <w:color w:val="auto"/>
              </w:rPr>
            </w:pPr>
            <w:r>
              <w:rPr>
                <w:rFonts w:ascii="Calibri" w:cs="Calibri" w:eastAsia="Calibri" w:hAnsi="Calibri"/>
                <w:sz w:val="20"/>
                <w:szCs w:val="20"/>
                <w:color w:val="auto"/>
              </w:rPr>
              <w:t>Acknowledgement Regarding Use of Data</w:t>
            </w:r>
          </w:p>
        </w:tc>
        <w:tc>
          <w:tcPr>
            <w:tcW w:w="5760" w:type="dxa"/>
            <w:vAlign w:val="bottom"/>
          </w:tcPr>
          <w:p>
            <w:pPr>
              <w:ind w:left="180"/>
              <w:spacing w:after="0"/>
              <w:rPr>
                <w:sz w:val="20"/>
                <w:szCs w:val="20"/>
                <w:color w:val="auto"/>
              </w:rPr>
            </w:pPr>
            <w:r>
              <w:rPr>
                <w:rFonts w:ascii="Calibri" w:cs="Calibri" w:eastAsia="Calibri" w:hAnsi="Calibri"/>
                <w:sz w:val="20"/>
                <w:szCs w:val="20"/>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i</w:t>
      </w:r>
    </w:p>
    <w:p>
      <w:pPr>
        <w:sectPr>
          <w:pgSz w:w="11900" w:h="16838" w:orient="portrait"/>
          <w:cols w:equalWidth="0" w:num="1">
            <w:col w:w="11240"/>
          </w:cols>
          <w:pgMar w:left="320" w:top="1401" w:right="339" w:bottom="1440" w:gutter="0" w:footer="0" w:header="0"/>
        </w:sectPr>
      </w:pPr>
    </w:p>
    <w:bookmarkStart w:id="542" w:name="page543"/>
    <w:bookmarkEnd w:id="542"/>
    <w:p>
      <w:pPr>
        <w:spacing w:after="0" w:line="83" w:lineRule="exact"/>
        <w:rPr>
          <w:sz w:val="20"/>
          <w:szCs w:val="20"/>
          <w:color w:val="auto"/>
        </w:rPr>
      </w:pPr>
    </w:p>
    <w:tbl>
      <w:tblPr>
        <w:tblLayout w:type="fixed"/>
        <w:tblInd w:w="720" w:type="dxa"/>
        <w:tblCellMar>
          <w:top w:w="0" w:type="dxa"/>
          <w:left w:w="0" w:type="dxa"/>
          <w:bottom w:w="0" w:type="dxa"/>
          <w:right w:w="0" w:type="dxa"/>
        </w:tblCellMar>
      </w:tblPr>
      <w:tr>
        <w:trPr>
          <w:trHeight w:val="244"/>
        </w:trPr>
        <w:tc>
          <w:tcPr>
            <w:tcW w:w="1260" w:type="dxa"/>
            <w:vAlign w:val="bottom"/>
          </w:tcPr>
          <w:p>
            <w:pPr>
              <w:spacing w:after="0"/>
              <w:rPr>
                <w:sz w:val="20"/>
                <w:szCs w:val="20"/>
                <w:color w:val="auto"/>
              </w:rPr>
            </w:pPr>
            <w:r>
              <w:rPr>
                <w:rFonts w:ascii="Calibri" w:cs="Calibri" w:eastAsia="Calibri" w:hAnsi="Calibri"/>
                <w:sz w:val="20"/>
                <w:szCs w:val="20"/>
                <w:color w:val="auto"/>
              </w:rPr>
              <w:t>Secton 10.17.</w:t>
            </w:r>
          </w:p>
        </w:tc>
        <w:tc>
          <w:tcPr>
            <w:tcW w:w="1880" w:type="dxa"/>
            <w:vAlign w:val="bottom"/>
          </w:tcPr>
          <w:p>
            <w:pPr>
              <w:ind w:left="100"/>
              <w:spacing w:after="0"/>
              <w:rPr>
                <w:sz w:val="20"/>
                <w:szCs w:val="20"/>
                <w:color w:val="auto"/>
              </w:rPr>
            </w:pPr>
            <w:r>
              <w:rPr>
                <w:rFonts w:ascii="Calibri" w:cs="Calibri" w:eastAsia="Calibri" w:hAnsi="Calibri"/>
                <w:sz w:val="20"/>
                <w:szCs w:val="20"/>
                <w:color w:val="auto"/>
              </w:rPr>
              <w:t>Financing Documents</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364"/>
        </w:trPr>
        <w:tc>
          <w:tcPr>
            <w:tcW w:w="1260" w:type="dxa"/>
            <w:vAlign w:val="bottom"/>
          </w:tcPr>
          <w:p>
            <w:pPr>
              <w:spacing w:after="0"/>
              <w:rPr>
                <w:sz w:val="20"/>
                <w:szCs w:val="20"/>
                <w:color w:val="auto"/>
              </w:rPr>
            </w:pPr>
            <w:r>
              <w:rPr>
                <w:rFonts w:ascii="Calibri" w:cs="Calibri" w:eastAsia="Calibri" w:hAnsi="Calibri"/>
                <w:sz w:val="20"/>
                <w:szCs w:val="20"/>
                <w:color w:val="auto"/>
              </w:rPr>
              <w:t>Secton 10.18.</w:t>
            </w:r>
          </w:p>
        </w:tc>
        <w:tc>
          <w:tcPr>
            <w:tcW w:w="1880" w:type="dxa"/>
            <w:vAlign w:val="bottom"/>
          </w:tcPr>
          <w:p>
            <w:pPr>
              <w:ind w:left="100"/>
              <w:spacing w:after="0"/>
              <w:rPr>
                <w:sz w:val="20"/>
                <w:szCs w:val="20"/>
                <w:color w:val="auto"/>
              </w:rPr>
            </w:pPr>
            <w:r>
              <w:rPr>
                <w:rFonts w:ascii="Calibri" w:cs="Calibri" w:eastAsia="Calibri" w:hAnsi="Calibri"/>
                <w:sz w:val="20"/>
                <w:szCs w:val="20"/>
                <w:color w:val="auto"/>
              </w:rPr>
              <w:t>Required Approvals</w:t>
            </w:r>
          </w:p>
        </w:tc>
        <w:tc>
          <w:tcPr>
            <w:tcW w:w="380" w:type="dxa"/>
            <w:vAlign w:val="bottom"/>
          </w:tcPr>
          <w:p>
            <w:pPr>
              <w:jc w:val="right"/>
              <w:ind w:right="81"/>
              <w:spacing w:after="0"/>
              <w:rPr>
                <w:sz w:val="20"/>
                <w:szCs w:val="20"/>
                <w:color w:val="auto"/>
              </w:rPr>
            </w:pPr>
            <w:r>
              <w:rPr>
                <w:rFonts w:ascii="Calibri" w:cs="Calibri" w:eastAsia="Calibri" w:hAnsi="Calibri"/>
                <w:sz w:val="20"/>
                <w:szCs w:val="20"/>
                <w:color w:val="auto"/>
                <w:w w:val="88"/>
              </w:rPr>
              <w:t>12</w:t>
            </w:r>
          </w:p>
        </w:tc>
      </w:tr>
      <w:tr>
        <w:trPr>
          <w:trHeight w:val="365"/>
        </w:trPr>
        <w:tc>
          <w:tcPr>
            <w:tcW w:w="1260" w:type="dxa"/>
            <w:vAlign w:val="bottom"/>
          </w:tcPr>
          <w:p>
            <w:pPr>
              <w:spacing w:after="0"/>
              <w:rPr>
                <w:sz w:val="20"/>
                <w:szCs w:val="20"/>
                <w:color w:val="auto"/>
              </w:rPr>
            </w:pPr>
            <w:r>
              <w:rPr>
                <w:rFonts w:ascii="Calibri" w:cs="Calibri" w:eastAsia="Calibri" w:hAnsi="Calibri"/>
                <w:sz w:val="20"/>
                <w:szCs w:val="20"/>
                <w:color w:val="auto"/>
              </w:rPr>
              <w:t>Secton 10.19.</w:t>
            </w:r>
          </w:p>
        </w:tc>
        <w:tc>
          <w:tcPr>
            <w:tcW w:w="1880" w:type="dxa"/>
            <w:vAlign w:val="bottom"/>
          </w:tcPr>
          <w:p>
            <w:pPr>
              <w:ind w:left="100"/>
              <w:spacing w:after="0"/>
              <w:rPr>
                <w:sz w:val="20"/>
                <w:szCs w:val="20"/>
                <w:color w:val="auto"/>
              </w:rPr>
            </w:pPr>
            <w:r>
              <w:rPr>
                <w:rFonts w:ascii="Calibri" w:cs="Calibri" w:eastAsia="Calibri" w:hAnsi="Calibri"/>
                <w:sz w:val="20"/>
                <w:szCs w:val="20"/>
                <w:color w:val="auto"/>
              </w:rPr>
              <w:t>Litgaton  12</w:t>
            </w:r>
          </w:p>
        </w:tc>
        <w:tc>
          <w:tcPr>
            <w:tcW w:w="380" w:type="dxa"/>
            <w:vAlign w:val="bottom"/>
          </w:tcPr>
          <w:p>
            <w:pPr>
              <w:spacing w:after="0"/>
              <w:rPr>
                <w:sz w:val="24"/>
                <w:szCs w:val="24"/>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00" w:type="dxa"/>
            <w:vAlign w:val="bottom"/>
            <w:gridSpan w:val="3"/>
          </w:tcPr>
          <w:p>
            <w:pPr>
              <w:spacing w:after="0"/>
              <w:rPr>
                <w:sz w:val="20"/>
                <w:szCs w:val="20"/>
                <w:color w:val="auto"/>
              </w:rPr>
            </w:pPr>
            <w:r>
              <w:rPr>
                <w:rFonts w:ascii="Calibri" w:cs="Calibri" w:eastAsia="Calibri" w:hAnsi="Calibri"/>
                <w:sz w:val="20"/>
                <w:szCs w:val="20"/>
                <w:color w:val="auto"/>
              </w:rPr>
              <w:t>Artcle 11 Reportng Covenants</w:t>
            </w:r>
          </w:p>
        </w:tc>
        <w:tc>
          <w:tcPr>
            <w:tcW w:w="260" w:type="dxa"/>
            <w:vAlign w:val="bottom"/>
          </w:tcPr>
          <w:p>
            <w:pPr>
              <w:jc w:val="right"/>
              <w:spacing w:after="0"/>
              <w:rPr>
                <w:sz w:val="20"/>
                <w:szCs w:val="20"/>
                <w:color w:val="auto"/>
              </w:rPr>
            </w:pPr>
            <w:r>
              <w:rPr>
                <w:rFonts w:ascii="Calibri" w:cs="Calibri" w:eastAsia="Calibri" w:hAnsi="Calibri"/>
                <w:sz w:val="20"/>
                <w:szCs w:val="20"/>
                <w:color w:val="auto"/>
              </w:rPr>
              <w:t>12</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338"/>
        </w:trPr>
        <w:tc>
          <w:tcPr>
            <w:tcW w:w="2700" w:type="dxa"/>
            <w:vAlign w:val="bottom"/>
            <w:gridSpan w:val="3"/>
          </w:tcPr>
          <w:p>
            <w:pPr>
              <w:spacing w:after="0"/>
              <w:rPr>
                <w:sz w:val="20"/>
                <w:szCs w:val="20"/>
                <w:color w:val="auto"/>
              </w:rPr>
            </w:pPr>
            <w:r>
              <w:rPr>
                <w:rFonts w:ascii="Calibri" w:cs="Calibri" w:eastAsia="Calibri" w:hAnsi="Calibri"/>
                <w:sz w:val="20"/>
                <w:szCs w:val="20"/>
                <w:color w:val="auto"/>
              </w:rPr>
              <w:t>Artcle 12 Afrmatve Covenants</w:t>
            </w:r>
          </w:p>
        </w:tc>
        <w:tc>
          <w:tcPr>
            <w:tcW w:w="720" w:type="dxa"/>
            <w:vAlign w:val="bottom"/>
            <w:gridSpan w:val="2"/>
          </w:tcPr>
          <w:p>
            <w:pPr>
              <w:jc w:val="right"/>
              <w:ind w:right="281"/>
              <w:spacing w:after="0"/>
              <w:rPr>
                <w:sz w:val="20"/>
                <w:szCs w:val="20"/>
                <w:color w:val="auto"/>
              </w:rPr>
            </w:pPr>
            <w:r>
              <w:rPr>
                <w:rFonts w:ascii="Calibri" w:cs="Calibri" w:eastAsia="Calibri" w:hAnsi="Calibri"/>
                <w:sz w:val="20"/>
                <w:szCs w:val="20"/>
                <w:color w:val="auto"/>
              </w:rPr>
              <w:t>13</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12.1.</w:t>
            </w:r>
          </w:p>
        </w:tc>
        <w:tc>
          <w:tcPr>
            <w:tcW w:w="4660" w:type="dxa"/>
            <w:vAlign w:val="bottom"/>
            <w:gridSpan w:val="8"/>
          </w:tcPr>
          <w:p>
            <w:pPr>
              <w:ind w:left="40"/>
              <w:spacing w:after="0"/>
              <w:rPr>
                <w:sz w:val="20"/>
                <w:szCs w:val="20"/>
                <w:color w:val="auto"/>
              </w:rPr>
            </w:pPr>
            <w:r>
              <w:rPr>
                <w:rFonts w:ascii="Calibri" w:cs="Calibri" w:eastAsia="Calibri" w:hAnsi="Calibri"/>
                <w:sz w:val="20"/>
                <w:szCs w:val="20"/>
                <w:color w:val="auto"/>
              </w:rPr>
              <w:t>Afrmatve Covenants during the Period of Performance</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12.2.</w:t>
            </w:r>
          </w:p>
        </w:tc>
        <w:tc>
          <w:tcPr>
            <w:tcW w:w="4660" w:type="dxa"/>
            <w:vAlign w:val="bottom"/>
            <w:gridSpan w:val="8"/>
          </w:tcPr>
          <w:p>
            <w:pPr>
              <w:ind w:left="40"/>
              <w:spacing w:after="0"/>
              <w:rPr>
                <w:sz w:val="20"/>
                <w:szCs w:val="20"/>
                <w:color w:val="auto"/>
              </w:rPr>
            </w:pPr>
            <w:r>
              <w:rPr>
                <w:rFonts w:ascii="Calibri" w:cs="Calibri" w:eastAsia="Calibri" w:hAnsi="Calibri"/>
                <w:sz w:val="20"/>
                <w:szCs w:val="20"/>
                <w:color w:val="auto"/>
              </w:rPr>
              <w:t>Afrmatve Covenants during the Upside Sharing Term</w:t>
            </w:r>
          </w:p>
        </w:tc>
        <w:tc>
          <w:tcPr>
            <w:tcW w:w="380" w:type="dxa"/>
            <w:vAlign w:val="bottom"/>
          </w:tcPr>
          <w:p>
            <w:pPr>
              <w:jc w:val="right"/>
              <w:ind w:right="61"/>
              <w:spacing w:after="0"/>
              <w:rPr>
                <w:sz w:val="20"/>
                <w:szCs w:val="20"/>
                <w:color w:val="auto"/>
              </w:rPr>
            </w:pPr>
            <w:r>
              <w:rPr>
                <w:rFonts w:ascii="Calibri" w:cs="Calibri" w:eastAsia="Calibri" w:hAnsi="Calibri"/>
                <w:sz w:val="20"/>
                <w:szCs w:val="20"/>
                <w:color w:val="auto"/>
                <w:w w:val="98"/>
              </w:rPr>
              <w:t>16</w:t>
            </w:r>
          </w:p>
        </w:tc>
      </w:tr>
      <w:tr>
        <w:trPr>
          <w:trHeight w:val="351"/>
        </w:trPr>
        <w:tc>
          <w:tcPr>
            <w:tcW w:w="2960" w:type="dxa"/>
            <w:vAlign w:val="bottom"/>
            <w:gridSpan w:val="4"/>
          </w:tcPr>
          <w:p>
            <w:pPr>
              <w:spacing w:after="0"/>
              <w:rPr>
                <w:sz w:val="20"/>
                <w:szCs w:val="20"/>
                <w:color w:val="auto"/>
              </w:rPr>
            </w:pPr>
            <w:r>
              <w:rPr>
                <w:rFonts w:ascii="Calibri" w:cs="Calibri" w:eastAsia="Calibri" w:hAnsi="Calibri"/>
                <w:sz w:val="20"/>
                <w:szCs w:val="20"/>
                <w:color w:val="auto"/>
              </w:rPr>
              <w:t>Artcle 13 Negatve Covenants  16</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13.1.</w:t>
            </w:r>
          </w:p>
        </w:tc>
        <w:tc>
          <w:tcPr>
            <w:tcW w:w="4000" w:type="dxa"/>
            <w:vAlign w:val="bottom"/>
            <w:gridSpan w:val="7"/>
          </w:tcPr>
          <w:p>
            <w:pPr>
              <w:ind w:left="40"/>
              <w:spacing w:after="0"/>
              <w:rPr>
                <w:sz w:val="20"/>
                <w:szCs w:val="20"/>
                <w:color w:val="auto"/>
              </w:rPr>
            </w:pPr>
            <w:r>
              <w:rPr>
                <w:rFonts w:ascii="Calibri" w:cs="Calibri" w:eastAsia="Calibri" w:hAnsi="Calibri"/>
                <w:sz w:val="20"/>
                <w:szCs w:val="20"/>
                <w:color w:val="auto"/>
              </w:rPr>
              <w:t>Prohibited Persons; Foreign Enttes of Concern</w:t>
            </w:r>
          </w:p>
        </w:tc>
        <w:tc>
          <w:tcPr>
            <w:tcW w:w="660" w:type="dxa"/>
            <w:vAlign w:val="bottom"/>
          </w:tcPr>
          <w:p>
            <w:pPr>
              <w:jc w:val="right"/>
              <w:ind w:right="281"/>
              <w:spacing w:after="0"/>
              <w:rPr>
                <w:sz w:val="20"/>
                <w:szCs w:val="20"/>
                <w:color w:val="auto"/>
              </w:rPr>
            </w:pPr>
            <w:r>
              <w:rPr>
                <w:rFonts w:ascii="Calibri" w:cs="Calibri" w:eastAsia="Calibri" w:hAnsi="Calibri"/>
                <w:sz w:val="20"/>
                <w:szCs w:val="20"/>
                <w:color w:val="auto"/>
              </w:rPr>
              <w:t>17</w:t>
            </w: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13.2.</w:t>
            </w:r>
          </w:p>
        </w:tc>
        <w:tc>
          <w:tcPr>
            <w:tcW w:w="1020" w:type="dxa"/>
            <w:vAlign w:val="bottom"/>
            <w:gridSpan w:val="3"/>
          </w:tcPr>
          <w:p>
            <w:pPr>
              <w:ind w:left="40"/>
              <w:spacing w:after="0"/>
              <w:rPr>
                <w:sz w:val="20"/>
                <w:szCs w:val="20"/>
                <w:color w:val="auto"/>
              </w:rPr>
            </w:pPr>
            <w:r>
              <w:rPr>
                <w:rFonts w:ascii="Calibri" w:cs="Calibri" w:eastAsia="Calibri" w:hAnsi="Calibri"/>
                <w:sz w:val="20"/>
                <w:szCs w:val="20"/>
                <w:color w:val="auto"/>
              </w:rPr>
              <w:t>[Reserved]</w:t>
            </w:r>
          </w:p>
        </w:tc>
        <w:tc>
          <w:tcPr>
            <w:tcW w:w="460" w:type="dxa"/>
            <w:vAlign w:val="bottom"/>
          </w:tcPr>
          <w:p>
            <w:pPr>
              <w:jc w:val="right"/>
              <w:ind w:right="81"/>
              <w:spacing w:after="0"/>
              <w:rPr>
                <w:sz w:val="20"/>
                <w:szCs w:val="20"/>
                <w:color w:val="auto"/>
              </w:rPr>
            </w:pPr>
            <w:r>
              <w:rPr>
                <w:rFonts w:ascii="Calibri" w:cs="Calibri" w:eastAsia="Calibri" w:hAnsi="Calibri"/>
                <w:sz w:val="20"/>
                <w:szCs w:val="20"/>
                <w:color w:val="auto"/>
              </w:rPr>
              <w:t>17</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13.3.</w:t>
            </w:r>
          </w:p>
        </w:tc>
        <w:tc>
          <w:tcPr>
            <w:tcW w:w="2060" w:type="dxa"/>
            <w:vAlign w:val="bottom"/>
            <w:gridSpan w:val="6"/>
          </w:tcPr>
          <w:p>
            <w:pPr>
              <w:ind w:left="40"/>
              <w:spacing w:after="0"/>
              <w:rPr>
                <w:sz w:val="20"/>
                <w:szCs w:val="20"/>
                <w:color w:val="auto"/>
              </w:rPr>
            </w:pPr>
            <w:r>
              <w:rPr>
                <w:rFonts w:ascii="Calibri" w:cs="Calibri" w:eastAsia="Calibri" w:hAnsi="Calibri"/>
                <w:sz w:val="20"/>
                <w:szCs w:val="20"/>
                <w:color w:val="auto"/>
              </w:rPr>
              <w:t>Debarment Regulatons</w:t>
            </w:r>
          </w:p>
        </w:tc>
        <w:tc>
          <w:tcPr>
            <w:tcW w:w="1940" w:type="dxa"/>
            <w:vAlign w:val="bottom"/>
          </w:tcPr>
          <w:p>
            <w:pPr>
              <w:jc w:val="right"/>
              <w:ind w:right="1541"/>
              <w:spacing w:after="0"/>
              <w:rPr>
                <w:sz w:val="20"/>
                <w:szCs w:val="20"/>
                <w:color w:val="auto"/>
              </w:rPr>
            </w:pPr>
            <w:r>
              <w:rPr>
                <w:rFonts w:ascii="Calibri" w:cs="Calibri" w:eastAsia="Calibri" w:hAnsi="Calibri"/>
                <w:sz w:val="20"/>
                <w:szCs w:val="20"/>
                <w:color w:val="auto"/>
              </w:rPr>
              <w:t>17</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13.4.</w:t>
            </w:r>
          </w:p>
        </w:tc>
        <w:tc>
          <w:tcPr>
            <w:tcW w:w="4000" w:type="dxa"/>
            <w:vAlign w:val="bottom"/>
            <w:gridSpan w:val="7"/>
          </w:tcPr>
          <w:p>
            <w:pPr>
              <w:ind w:left="40"/>
              <w:spacing w:after="0"/>
              <w:rPr>
                <w:sz w:val="20"/>
                <w:szCs w:val="20"/>
                <w:color w:val="auto"/>
              </w:rPr>
            </w:pPr>
            <w:r>
              <w:rPr>
                <w:rFonts w:ascii="Calibri" w:cs="Calibri" w:eastAsia="Calibri" w:hAnsi="Calibri"/>
                <w:sz w:val="20"/>
                <w:szCs w:val="20"/>
                <w:color w:val="auto"/>
              </w:rPr>
              <w:t>Merger; Dispositon; Sharing of Assets; Transfer</w:t>
            </w:r>
          </w:p>
        </w:tc>
        <w:tc>
          <w:tcPr>
            <w:tcW w:w="660" w:type="dxa"/>
            <w:vAlign w:val="bottom"/>
          </w:tcPr>
          <w:p>
            <w:pPr>
              <w:jc w:val="right"/>
              <w:ind w:right="261"/>
              <w:spacing w:after="0"/>
              <w:rPr>
                <w:sz w:val="20"/>
                <w:szCs w:val="20"/>
                <w:color w:val="auto"/>
              </w:rPr>
            </w:pPr>
            <w:r>
              <w:rPr>
                <w:rFonts w:ascii="Calibri" w:cs="Calibri" w:eastAsia="Calibri" w:hAnsi="Calibri"/>
                <w:sz w:val="20"/>
                <w:szCs w:val="20"/>
                <w:color w:val="auto"/>
              </w:rPr>
              <w:t>17</w:t>
            </w:r>
          </w:p>
        </w:tc>
        <w:tc>
          <w:tcPr>
            <w:tcW w:w="380" w:type="dxa"/>
            <w:vAlign w:val="bottom"/>
          </w:tcPr>
          <w:p>
            <w:pPr>
              <w:spacing w:after="0"/>
              <w:rPr>
                <w:sz w:val="24"/>
                <w:szCs w:val="24"/>
                <w:color w:val="auto"/>
              </w:rPr>
            </w:pPr>
          </w:p>
        </w:tc>
      </w:tr>
      <w:tr>
        <w:trPr>
          <w:trHeight w:val="351"/>
        </w:trPr>
        <w:tc>
          <w:tcPr>
            <w:tcW w:w="2060" w:type="dxa"/>
            <w:vAlign w:val="bottom"/>
            <w:gridSpan w:val="2"/>
          </w:tcPr>
          <w:p>
            <w:pPr>
              <w:spacing w:after="0"/>
              <w:rPr>
                <w:sz w:val="20"/>
                <w:szCs w:val="20"/>
                <w:color w:val="auto"/>
              </w:rPr>
            </w:pPr>
            <w:r>
              <w:rPr>
                <w:rFonts w:ascii="Calibri" w:cs="Calibri" w:eastAsia="Calibri" w:hAnsi="Calibri"/>
                <w:sz w:val="20"/>
                <w:szCs w:val="20"/>
                <w:color w:val="auto"/>
              </w:rPr>
              <w:t>Artcle 14 Net of Tax  18</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1"/>
        </w:trPr>
        <w:tc>
          <w:tcPr>
            <w:tcW w:w="2060" w:type="dxa"/>
            <w:vAlign w:val="bottom"/>
            <w:gridSpan w:val="2"/>
          </w:tcPr>
          <w:p>
            <w:pPr>
              <w:spacing w:after="0"/>
              <w:rPr>
                <w:sz w:val="20"/>
                <w:szCs w:val="20"/>
                <w:color w:val="auto"/>
              </w:rPr>
            </w:pPr>
            <w:r>
              <w:rPr>
                <w:rFonts w:ascii="Calibri" w:cs="Calibri" w:eastAsia="Calibri" w:hAnsi="Calibri"/>
                <w:sz w:val="20"/>
                <w:szCs w:val="20"/>
                <w:color w:val="auto"/>
              </w:rPr>
              <w:t>Artcle 15 Reinstatement</w:t>
            </w:r>
          </w:p>
        </w:tc>
        <w:tc>
          <w:tcPr>
            <w:tcW w:w="640" w:type="dxa"/>
            <w:vAlign w:val="bottom"/>
          </w:tcPr>
          <w:p>
            <w:pPr>
              <w:ind w:left="160"/>
              <w:spacing w:after="0"/>
              <w:rPr>
                <w:sz w:val="20"/>
                <w:szCs w:val="20"/>
                <w:color w:val="auto"/>
              </w:rPr>
            </w:pPr>
            <w:r>
              <w:rPr>
                <w:rFonts w:ascii="Calibri" w:cs="Calibri" w:eastAsia="Calibri" w:hAnsi="Calibri"/>
                <w:sz w:val="20"/>
                <w:szCs w:val="20"/>
                <w:color w:val="auto"/>
              </w:rPr>
              <w:t>18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1"/>
        </w:trPr>
        <w:tc>
          <w:tcPr>
            <w:tcW w:w="1940" w:type="dxa"/>
            <w:vAlign w:val="bottom"/>
          </w:tcPr>
          <w:p>
            <w:pPr>
              <w:spacing w:after="0"/>
              <w:rPr>
                <w:sz w:val="20"/>
                <w:szCs w:val="20"/>
                <w:color w:val="auto"/>
              </w:rPr>
            </w:pPr>
            <w:r>
              <w:rPr>
                <w:rFonts w:ascii="Calibri" w:cs="Calibri" w:eastAsia="Calibri" w:hAnsi="Calibri"/>
                <w:sz w:val="20"/>
                <w:szCs w:val="20"/>
                <w:color w:val="auto"/>
              </w:rPr>
              <w:t>Artcle 16 Terminaton</w:t>
            </w:r>
          </w:p>
        </w:tc>
        <w:tc>
          <w:tcPr>
            <w:tcW w:w="760" w:type="dxa"/>
            <w:vAlign w:val="bottom"/>
            <w:gridSpan w:val="2"/>
          </w:tcPr>
          <w:p>
            <w:pPr>
              <w:ind w:left="60"/>
              <w:spacing w:after="0"/>
              <w:rPr>
                <w:sz w:val="20"/>
                <w:szCs w:val="20"/>
                <w:color w:val="auto"/>
              </w:rPr>
            </w:pPr>
            <w:r>
              <w:rPr>
                <w:rFonts w:ascii="Calibri" w:cs="Calibri" w:eastAsia="Calibri" w:hAnsi="Calibri"/>
                <w:sz w:val="20"/>
                <w:szCs w:val="20"/>
                <w:color w:val="auto"/>
              </w:rPr>
              <w:t>18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2060" w:type="dxa"/>
            <w:vAlign w:val="bottom"/>
            <w:gridSpan w:val="2"/>
          </w:tcPr>
          <w:p>
            <w:pPr>
              <w:spacing w:after="0"/>
              <w:rPr>
                <w:sz w:val="20"/>
                <w:szCs w:val="20"/>
                <w:color w:val="auto"/>
              </w:rPr>
            </w:pPr>
            <w:r>
              <w:rPr>
                <w:rFonts w:ascii="Calibri" w:cs="Calibri" w:eastAsia="Calibri" w:hAnsi="Calibri"/>
                <w:sz w:val="20"/>
                <w:szCs w:val="20"/>
                <w:color w:val="auto"/>
              </w:rPr>
              <w:t>Artcle 17 Miscellaneous</w:t>
            </w:r>
          </w:p>
        </w:tc>
        <w:tc>
          <w:tcPr>
            <w:tcW w:w="640" w:type="dxa"/>
            <w:vAlign w:val="bottom"/>
          </w:tcPr>
          <w:p>
            <w:pPr>
              <w:ind w:left="140"/>
              <w:spacing w:after="0"/>
              <w:rPr>
                <w:sz w:val="20"/>
                <w:szCs w:val="20"/>
                <w:color w:val="auto"/>
              </w:rPr>
            </w:pPr>
            <w:r>
              <w:rPr>
                <w:rFonts w:ascii="Calibri" w:cs="Calibri" w:eastAsia="Calibri" w:hAnsi="Calibri"/>
                <w:sz w:val="20"/>
                <w:szCs w:val="20"/>
                <w:color w:val="auto"/>
              </w:rPr>
              <w:t>18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w:t>
            </w:r>
          </w:p>
        </w:tc>
        <w:tc>
          <w:tcPr>
            <w:tcW w:w="1020" w:type="dxa"/>
            <w:vAlign w:val="bottom"/>
            <w:gridSpan w:val="3"/>
          </w:tcPr>
          <w:p>
            <w:pPr>
              <w:ind w:left="40"/>
              <w:spacing w:after="0"/>
              <w:rPr>
                <w:sz w:val="20"/>
                <w:szCs w:val="20"/>
                <w:color w:val="auto"/>
              </w:rPr>
            </w:pPr>
            <w:r>
              <w:rPr>
                <w:rFonts w:ascii="Calibri" w:cs="Calibri" w:eastAsia="Calibri" w:hAnsi="Calibri"/>
                <w:sz w:val="20"/>
                <w:szCs w:val="20"/>
                <w:color w:val="auto"/>
              </w:rPr>
              <w:t>Addresses</w:t>
            </w:r>
          </w:p>
        </w:tc>
        <w:tc>
          <w:tcPr>
            <w:tcW w:w="460" w:type="dxa"/>
            <w:vAlign w:val="bottom"/>
          </w:tcPr>
          <w:p>
            <w:pPr>
              <w:jc w:val="right"/>
              <w:ind w:right="121"/>
              <w:spacing w:after="0"/>
              <w:rPr>
                <w:sz w:val="20"/>
                <w:szCs w:val="20"/>
                <w:color w:val="auto"/>
              </w:rPr>
            </w:pPr>
            <w:r>
              <w:rPr>
                <w:rFonts w:ascii="Calibri" w:cs="Calibri" w:eastAsia="Calibri" w:hAnsi="Calibri"/>
                <w:sz w:val="20"/>
                <w:szCs w:val="20"/>
                <w:color w:val="auto"/>
              </w:rPr>
              <w:t>18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17.2.</w:t>
            </w:r>
          </w:p>
        </w:tc>
        <w:tc>
          <w:tcPr>
            <w:tcW w:w="1480" w:type="dxa"/>
            <w:vAlign w:val="bottom"/>
            <w:gridSpan w:val="4"/>
          </w:tcPr>
          <w:p>
            <w:pPr>
              <w:ind w:left="40"/>
              <w:spacing w:after="0"/>
              <w:rPr>
                <w:sz w:val="20"/>
                <w:szCs w:val="20"/>
                <w:color w:val="auto"/>
              </w:rPr>
            </w:pPr>
            <w:r>
              <w:rPr>
                <w:rFonts w:ascii="Calibri" w:cs="Calibri" w:eastAsia="Calibri" w:hAnsi="Calibri"/>
                <w:sz w:val="20"/>
                <w:szCs w:val="20"/>
                <w:color w:val="auto"/>
              </w:rPr>
              <w:t>Use of Websites</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19</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17.3.</w:t>
            </w:r>
          </w:p>
        </w:tc>
        <w:tc>
          <w:tcPr>
            <w:tcW w:w="4000" w:type="dxa"/>
            <w:vAlign w:val="bottom"/>
            <w:gridSpan w:val="7"/>
          </w:tcPr>
          <w:p>
            <w:pPr>
              <w:ind w:left="40"/>
              <w:spacing w:after="0"/>
              <w:rPr>
                <w:sz w:val="20"/>
                <w:szCs w:val="20"/>
                <w:color w:val="auto"/>
              </w:rPr>
            </w:pPr>
            <w:r>
              <w:rPr>
                <w:rFonts w:ascii="Calibri" w:cs="Calibri" w:eastAsia="Calibri" w:hAnsi="Calibri"/>
                <w:sz w:val="20"/>
                <w:szCs w:val="20"/>
                <w:color w:val="auto"/>
              </w:rPr>
              <w:t>Counterparts; Electronic Signatures  20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17.4.</w:t>
            </w:r>
          </w:p>
        </w:tc>
        <w:tc>
          <w:tcPr>
            <w:tcW w:w="1860" w:type="dxa"/>
            <w:vAlign w:val="bottom"/>
            <w:gridSpan w:val="5"/>
          </w:tcPr>
          <w:p>
            <w:pPr>
              <w:ind w:left="40"/>
              <w:spacing w:after="0"/>
              <w:rPr>
                <w:sz w:val="20"/>
                <w:szCs w:val="20"/>
                <w:color w:val="auto"/>
              </w:rPr>
            </w:pPr>
            <w:r>
              <w:rPr>
                <w:rFonts w:ascii="Calibri" w:cs="Calibri" w:eastAsia="Calibri" w:hAnsi="Calibri"/>
                <w:sz w:val="20"/>
                <w:szCs w:val="20"/>
                <w:color w:val="auto"/>
              </w:rPr>
              <w:t>No Strict Constructon</w:t>
            </w:r>
          </w:p>
        </w:tc>
        <w:tc>
          <w:tcPr>
            <w:tcW w:w="2140" w:type="dxa"/>
            <w:vAlign w:val="bottom"/>
            <w:gridSpan w:val="2"/>
          </w:tcPr>
          <w:p>
            <w:pPr>
              <w:jc w:val="right"/>
              <w:ind w:right="1661"/>
              <w:spacing w:after="0"/>
              <w:rPr>
                <w:sz w:val="20"/>
                <w:szCs w:val="20"/>
                <w:color w:val="auto"/>
              </w:rPr>
            </w:pPr>
            <w:r>
              <w:rPr>
                <w:rFonts w:ascii="Calibri" w:cs="Calibri" w:eastAsia="Calibri" w:hAnsi="Calibri"/>
                <w:sz w:val="20"/>
                <w:szCs w:val="20"/>
                <w:color w:val="auto"/>
              </w:rPr>
              <w:t>20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17.5.</w:t>
            </w:r>
          </w:p>
        </w:tc>
        <w:tc>
          <w:tcPr>
            <w:tcW w:w="1020" w:type="dxa"/>
            <w:vAlign w:val="bottom"/>
            <w:gridSpan w:val="3"/>
          </w:tcPr>
          <w:p>
            <w:pPr>
              <w:ind w:left="40"/>
              <w:spacing w:after="0"/>
              <w:rPr>
                <w:sz w:val="20"/>
                <w:szCs w:val="20"/>
                <w:color w:val="auto"/>
              </w:rPr>
            </w:pPr>
            <w:r>
              <w:rPr>
                <w:rFonts w:ascii="Calibri" w:cs="Calibri" w:eastAsia="Calibri" w:hAnsi="Calibri"/>
                <w:sz w:val="20"/>
                <w:szCs w:val="20"/>
                <w:color w:val="auto"/>
              </w:rPr>
              <w:t>Severability</w:t>
            </w:r>
          </w:p>
        </w:tc>
        <w:tc>
          <w:tcPr>
            <w:tcW w:w="460" w:type="dxa"/>
            <w:vAlign w:val="bottom"/>
          </w:tcPr>
          <w:p>
            <w:pPr>
              <w:jc w:val="right"/>
              <w:ind w:right="1"/>
              <w:spacing w:after="0"/>
              <w:rPr>
                <w:sz w:val="20"/>
                <w:szCs w:val="20"/>
                <w:color w:val="auto"/>
              </w:rPr>
            </w:pPr>
            <w:r>
              <w:rPr>
                <w:rFonts w:ascii="Calibri" w:cs="Calibri" w:eastAsia="Calibri" w:hAnsi="Calibri"/>
                <w:sz w:val="20"/>
                <w:szCs w:val="20"/>
                <w:color w:val="auto"/>
              </w:rPr>
              <w:t>21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17.6.</w:t>
            </w:r>
          </w:p>
        </w:tc>
        <w:tc>
          <w:tcPr>
            <w:tcW w:w="760" w:type="dxa"/>
            <w:vAlign w:val="bottom"/>
            <w:gridSpan w:val="2"/>
          </w:tcPr>
          <w:p>
            <w:pPr>
              <w:ind w:left="40"/>
              <w:spacing w:after="0"/>
              <w:rPr>
                <w:sz w:val="20"/>
                <w:szCs w:val="20"/>
                <w:color w:val="auto"/>
              </w:rPr>
            </w:pPr>
            <w:r>
              <w:rPr>
                <w:rFonts w:ascii="Calibri" w:cs="Calibri" w:eastAsia="Calibri" w:hAnsi="Calibri"/>
                <w:sz w:val="20"/>
                <w:szCs w:val="20"/>
                <w:color w:val="auto"/>
              </w:rPr>
              <w:t>Survival</w:t>
            </w:r>
          </w:p>
        </w:tc>
        <w:tc>
          <w:tcPr>
            <w:tcW w:w="720" w:type="dxa"/>
            <w:vAlign w:val="bottom"/>
            <w:gridSpan w:val="2"/>
          </w:tcPr>
          <w:p>
            <w:pPr>
              <w:jc w:val="right"/>
              <w:ind w:right="321"/>
              <w:spacing w:after="0"/>
              <w:rPr>
                <w:sz w:val="20"/>
                <w:szCs w:val="20"/>
                <w:color w:val="auto"/>
              </w:rPr>
            </w:pPr>
            <w:r>
              <w:rPr>
                <w:rFonts w:ascii="Calibri" w:cs="Calibri" w:eastAsia="Calibri" w:hAnsi="Calibri"/>
                <w:sz w:val="20"/>
                <w:szCs w:val="20"/>
                <w:color w:val="auto"/>
              </w:rPr>
              <w:t>21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17.7.</w:t>
            </w:r>
          </w:p>
        </w:tc>
        <w:tc>
          <w:tcPr>
            <w:tcW w:w="2060" w:type="dxa"/>
            <w:vAlign w:val="bottom"/>
            <w:gridSpan w:val="6"/>
          </w:tcPr>
          <w:p>
            <w:pPr>
              <w:ind w:left="40"/>
              <w:spacing w:after="0"/>
              <w:rPr>
                <w:sz w:val="20"/>
                <w:szCs w:val="20"/>
                <w:color w:val="auto"/>
              </w:rPr>
            </w:pPr>
            <w:r>
              <w:rPr>
                <w:rFonts w:ascii="Calibri" w:cs="Calibri" w:eastAsia="Calibri" w:hAnsi="Calibri"/>
                <w:sz w:val="20"/>
                <w:szCs w:val="20"/>
                <w:color w:val="auto"/>
              </w:rPr>
              <w:t>Successors and Assigns</w:t>
            </w:r>
          </w:p>
        </w:tc>
        <w:tc>
          <w:tcPr>
            <w:tcW w:w="1940" w:type="dxa"/>
            <w:vAlign w:val="bottom"/>
          </w:tcPr>
          <w:p>
            <w:pPr>
              <w:jc w:val="right"/>
              <w:ind w:right="1581"/>
              <w:spacing w:after="0"/>
              <w:rPr>
                <w:sz w:val="20"/>
                <w:szCs w:val="20"/>
                <w:color w:val="auto"/>
              </w:rPr>
            </w:pPr>
            <w:r>
              <w:rPr>
                <w:rFonts w:ascii="Calibri" w:cs="Calibri" w:eastAsia="Calibri" w:hAnsi="Calibri"/>
                <w:sz w:val="20"/>
                <w:szCs w:val="20"/>
                <w:color w:val="auto"/>
              </w:rPr>
              <w:t>21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17.8.</w:t>
            </w:r>
          </w:p>
        </w:tc>
        <w:tc>
          <w:tcPr>
            <w:tcW w:w="2060" w:type="dxa"/>
            <w:vAlign w:val="bottom"/>
            <w:gridSpan w:val="6"/>
          </w:tcPr>
          <w:p>
            <w:pPr>
              <w:ind w:left="40"/>
              <w:spacing w:after="0"/>
              <w:rPr>
                <w:sz w:val="20"/>
                <w:szCs w:val="20"/>
                <w:color w:val="auto"/>
              </w:rPr>
            </w:pPr>
            <w:r>
              <w:rPr>
                <w:rFonts w:ascii="Calibri" w:cs="Calibri" w:eastAsia="Calibri" w:hAnsi="Calibri"/>
                <w:sz w:val="20"/>
                <w:szCs w:val="20"/>
                <w:color w:val="auto"/>
              </w:rPr>
              <w:t>Waiver and Amendment</w:t>
            </w:r>
          </w:p>
        </w:tc>
        <w:tc>
          <w:tcPr>
            <w:tcW w:w="1940" w:type="dxa"/>
            <w:vAlign w:val="bottom"/>
          </w:tcPr>
          <w:p>
            <w:pPr>
              <w:jc w:val="right"/>
              <w:ind w:right="1481"/>
              <w:spacing w:after="0"/>
              <w:rPr>
                <w:sz w:val="20"/>
                <w:szCs w:val="20"/>
                <w:color w:val="auto"/>
              </w:rPr>
            </w:pPr>
            <w:r>
              <w:rPr>
                <w:rFonts w:ascii="Calibri" w:cs="Calibri" w:eastAsia="Calibri" w:hAnsi="Calibri"/>
                <w:sz w:val="20"/>
                <w:szCs w:val="20"/>
                <w:color w:val="auto"/>
              </w:rPr>
              <w:t>21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17.9.</w:t>
            </w:r>
          </w:p>
        </w:tc>
        <w:tc>
          <w:tcPr>
            <w:tcW w:w="2060" w:type="dxa"/>
            <w:vAlign w:val="bottom"/>
            <w:gridSpan w:val="6"/>
          </w:tcPr>
          <w:p>
            <w:pPr>
              <w:ind w:left="40"/>
              <w:spacing w:after="0"/>
              <w:rPr>
                <w:sz w:val="20"/>
                <w:szCs w:val="20"/>
                <w:color w:val="auto"/>
              </w:rPr>
            </w:pPr>
            <w:r>
              <w:rPr>
                <w:rFonts w:ascii="Calibri" w:cs="Calibri" w:eastAsia="Calibri" w:hAnsi="Calibri"/>
                <w:sz w:val="20"/>
                <w:szCs w:val="20"/>
                <w:color w:val="auto"/>
              </w:rPr>
              <w:t>Costs and Expenses  22</w:t>
            </w: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17.10.</w:t>
            </w:r>
          </w:p>
        </w:tc>
        <w:tc>
          <w:tcPr>
            <w:tcW w:w="1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Calibri" w:cs="Calibri" w:eastAsia="Calibri" w:hAnsi="Calibri"/>
                <w:sz w:val="20"/>
                <w:szCs w:val="20"/>
                <w:color w:val="auto"/>
              </w:rPr>
              <w:t>Indemnifcaton</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22</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17.11.</w:t>
            </w:r>
          </w:p>
        </w:tc>
        <w:tc>
          <w:tcPr>
            <w:tcW w:w="1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Calibri" w:cs="Calibri" w:eastAsia="Calibri" w:hAnsi="Calibri"/>
                <w:sz w:val="20"/>
                <w:szCs w:val="20"/>
                <w:color w:val="auto"/>
              </w:rPr>
              <w:t>Governing Law</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23</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17.12.</w:t>
            </w:r>
          </w:p>
        </w:tc>
        <w:tc>
          <w:tcPr>
            <w:tcW w:w="120" w:type="dxa"/>
            <w:vAlign w:val="bottom"/>
          </w:tcPr>
          <w:p>
            <w:pPr>
              <w:spacing w:after="0"/>
              <w:rPr>
                <w:sz w:val="24"/>
                <w:szCs w:val="24"/>
                <w:color w:val="auto"/>
              </w:rPr>
            </w:pPr>
          </w:p>
        </w:tc>
        <w:tc>
          <w:tcPr>
            <w:tcW w:w="1740" w:type="dxa"/>
            <w:vAlign w:val="bottom"/>
            <w:gridSpan w:val="4"/>
          </w:tcPr>
          <w:p>
            <w:pPr>
              <w:ind w:left="20"/>
              <w:spacing w:after="0"/>
              <w:rPr>
                <w:sz w:val="20"/>
                <w:szCs w:val="20"/>
                <w:color w:val="auto"/>
              </w:rPr>
            </w:pPr>
            <w:r>
              <w:rPr>
                <w:rFonts w:ascii="Calibri" w:cs="Calibri" w:eastAsia="Calibri" w:hAnsi="Calibri"/>
                <w:sz w:val="20"/>
                <w:szCs w:val="20"/>
                <w:color w:val="auto"/>
              </w:rPr>
              <w:t>Waiver of Jury Trial</w:t>
            </w:r>
          </w:p>
        </w:tc>
        <w:tc>
          <w:tcPr>
            <w:tcW w:w="2140" w:type="dxa"/>
            <w:vAlign w:val="bottom"/>
            <w:gridSpan w:val="2"/>
          </w:tcPr>
          <w:p>
            <w:pPr>
              <w:jc w:val="right"/>
              <w:ind w:right="1801"/>
              <w:spacing w:after="0"/>
              <w:rPr>
                <w:sz w:val="20"/>
                <w:szCs w:val="20"/>
                <w:color w:val="auto"/>
              </w:rPr>
            </w:pPr>
            <w:r>
              <w:rPr>
                <w:rFonts w:ascii="Calibri" w:cs="Calibri" w:eastAsia="Calibri" w:hAnsi="Calibri"/>
                <w:sz w:val="20"/>
                <w:szCs w:val="20"/>
                <w:color w:val="auto"/>
              </w:rPr>
              <w:t>23</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17.13.</w:t>
            </w:r>
          </w:p>
        </w:tc>
        <w:tc>
          <w:tcPr>
            <w:tcW w:w="12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Calibri" w:cs="Calibri" w:eastAsia="Calibri" w:hAnsi="Calibri"/>
                <w:sz w:val="20"/>
                <w:szCs w:val="20"/>
                <w:color w:val="auto"/>
              </w:rPr>
              <w:t>Consent to Jurisdicton</w:t>
            </w:r>
          </w:p>
        </w:tc>
        <w:tc>
          <w:tcPr>
            <w:tcW w:w="1940" w:type="dxa"/>
            <w:vAlign w:val="bottom"/>
          </w:tcPr>
          <w:p>
            <w:pPr>
              <w:jc w:val="right"/>
              <w:ind w:right="1501"/>
              <w:spacing w:after="0"/>
              <w:rPr>
                <w:sz w:val="20"/>
                <w:szCs w:val="20"/>
                <w:color w:val="auto"/>
              </w:rPr>
            </w:pPr>
            <w:r>
              <w:rPr>
                <w:rFonts w:ascii="Calibri" w:cs="Calibri" w:eastAsia="Calibri" w:hAnsi="Calibri"/>
                <w:sz w:val="20"/>
                <w:szCs w:val="20"/>
                <w:color w:val="auto"/>
              </w:rPr>
              <w:t>23</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17.14.</w:t>
            </w:r>
          </w:p>
        </w:tc>
        <w:tc>
          <w:tcPr>
            <w:tcW w:w="120" w:type="dxa"/>
            <w:vAlign w:val="bottom"/>
          </w:tcPr>
          <w:p>
            <w:pPr>
              <w:spacing w:after="0"/>
              <w:rPr>
                <w:sz w:val="24"/>
                <w:szCs w:val="24"/>
                <w:color w:val="auto"/>
              </w:rPr>
            </w:pPr>
          </w:p>
        </w:tc>
        <w:tc>
          <w:tcPr>
            <w:tcW w:w="3880" w:type="dxa"/>
            <w:vAlign w:val="bottom"/>
            <w:gridSpan w:val="6"/>
          </w:tcPr>
          <w:p>
            <w:pPr>
              <w:ind w:left="20"/>
              <w:spacing w:after="0"/>
              <w:rPr>
                <w:sz w:val="20"/>
                <w:szCs w:val="20"/>
                <w:color w:val="auto"/>
              </w:rPr>
            </w:pPr>
            <w:r>
              <w:rPr>
                <w:rFonts w:ascii="Calibri" w:cs="Calibri" w:eastAsia="Calibri" w:hAnsi="Calibri"/>
                <w:sz w:val="20"/>
                <w:szCs w:val="20"/>
                <w:color w:val="auto"/>
              </w:rPr>
              <w:t>Dispute Resoluton Secton  24</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17.15.</w:t>
            </w:r>
          </w:p>
        </w:tc>
        <w:tc>
          <w:tcPr>
            <w:tcW w:w="12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Calibri" w:cs="Calibri" w:eastAsia="Calibri" w:hAnsi="Calibri"/>
                <w:sz w:val="20"/>
                <w:szCs w:val="20"/>
                <w:color w:val="auto"/>
              </w:rPr>
              <w:t>Benefts of Agreement</w:t>
            </w:r>
          </w:p>
        </w:tc>
        <w:tc>
          <w:tcPr>
            <w:tcW w:w="1940" w:type="dxa"/>
            <w:vAlign w:val="bottom"/>
          </w:tcPr>
          <w:p>
            <w:pPr>
              <w:jc w:val="right"/>
              <w:ind w:right="1521"/>
              <w:spacing w:after="0"/>
              <w:rPr>
                <w:sz w:val="20"/>
                <w:szCs w:val="20"/>
                <w:color w:val="auto"/>
              </w:rPr>
            </w:pPr>
            <w:r>
              <w:rPr>
                <w:rFonts w:ascii="Calibri" w:cs="Calibri" w:eastAsia="Calibri" w:hAnsi="Calibri"/>
                <w:sz w:val="20"/>
                <w:szCs w:val="20"/>
                <w:color w:val="auto"/>
              </w:rPr>
              <w:t>24</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940" w:type="dxa"/>
            <w:vAlign w:val="bottom"/>
          </w:tcPr>
          <w:p>
            <w:pPr>
              <w:ind w:left="720"/>
              <w:spacing w:after="0"/>
              <w:rPr>
                <w:sz w:val="20"/>
                <w:szCs w:val="20"/>
                <w:color w:val="auto"/>
              </w:rPr>
            </w:pPr>
            <w:r>
              <w:rPr>
                <w:rFonts w:ascii="Calibri" w:cs="Calibri" w:eastAsia="Calibri" w:hAnsi="Calibri"/>
                <w:sz w:val="20"/>
                <w:szCs w:val="20"/>
                <w:color w:val="auto"/>
              </w:rPr>
              <w:t>Secton 17.16.</w:t>
            </w:r>
          </w:p>
        </w:tc>
        <w:tc>
          <w:tcPr>
            <w:tcW w:w="12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Calibri" w:cs="Calibri" w:eastAsia="Calibri" w:hAnsi="Calibri"/>
                <w:sz w:val="20"/>
                <w:szCs w:val="20"/>
                <w:color w:val="auto"/>
              </w:rPr>
              <w:t>Limitaton on Liability</w:t>
            </w:r>
          </w:p>
        </w:tc>
        <w:tc>
          <w:tcPr>
            <w:tcW w:w="1940" w:type="dxa"/>
            <w:vAlign w:val="bottom"/>
          </w:tcPr>
          <w:p>
            <w:pPr>
              <w:jc w:val="right"/>
              <w:ind w:right="1601"/>
              <w:spacing w:after="0"/>
              <w:rPr>
                <w:sz w:val="20"/>
                <w:szCs w:val="20"/>
                <w:color w:val="auto"/>
              </w:rPr>
            </w:pPr>
            <w:r>
              <w:rPr>
                <w:rFonts w:ascii="Calibri" w:cs="Calibri" w:eastAsia="Calibri" w:hAnsi="Calibri"/>
                <w:sz w:val="20"/>
                <w:szCs w:val="20"/>
                <w:color w:val="auto"/>
              </w:rPr>
              <w:t>24</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Calibri" w:cs="Calibri" w:eastAsia="Calibri" w:hAnsi="Calibri"/>
          <w:sz w:val="20"/>
          <w:szCs w:val="20"/>
          <w:color w:val="auto"/>
        </w:rPr>
        <w:t>ii</w:t>
      </w:r>
    </w:p>
    <w:p>
      <w:pPr>
        <w:sectPr>
          <w:pgSz w:w="11900" w:h="16838" w:orient="portrait"/>
          <w:cols w:equalWidth="0" w:num="1">
            <w:col w:w="10139"/>
          </w:cols>
          <w:pgMar w:left="320" w:top="1440" w:right="1440" w:bottom="1440" w:gutter="0" w:footer="0" w:header="0"/>
        </w:sectPr>
      </w:pPr>
    </w:p>
    <w:bookmarkStart w:id="543" w:name="page544"/>
    <w:bookmarkEnd w:id="543"/>
    <w:p>
      <w:pPr>
        <w:spacing w:after="0" w:line="83" w:lineRule="exact"/>
        <w:rPr>
          <w:sz w:val="20"/>
          <w:szCs w:val="20"/>
          <w:color w:val="auto"/>
        </w:rPr>
      </w:pPr>
    </w:p>
    <w:p>
      <w:pPr>
        <w:spacing w:after="0"/>
        <w:tabs>
          <w:tab w:leader="none" w:pos="1340" w:val="left"/>
          <w:tab w:leader="none" w:pos="2980" w:val="left"/>
        </w:tabs>
        <w:rPr>
          <w:sz w:val="20"/>
          <w:szCs w:val="20"/>
          <w:color w:val="auto"/>
        </w:rPr>
      </w:pPr>
      <w:r>
        <w:rPr>
          <w:rFonts w:ascii="Calibri" w:cs="Calibri" w:eastAsia="Calibri" w:hAnsi="Calibri"/>
          <w:sz w:val="20"/>
          <w:szCs w:val="20"/>
          <w:color w:val="auto"/>
        </w:rPr>
        <w:t>Secton 17.17.</w:t>
        <w:tab/>
        <w:t>Entre Agreement</w:t>
      </w:r>
      <w:r>
        <w:rPr>
          <w:sz w:val="20"/>
          <w:szCs w:val="20"/>
          <w:color w:val="auto"/>
        </w:rPr>
        <w:tab/>
      </w:r>
      <w:r>
        <w:rPr>
          <w:rFonts w:ascii="Calibri" w:cs="Calibri" w:eastAsia="Calibri" w:hAnsi="Calibri"/>
          <w:sz w:val="19"/>
          <w:szCs w:val="19"/>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60"/>
        <w:spacing w:after="0"/>
        <w:rPr>
          <w:sz w:val="20"/>
          <w:szCs w:val="20"/>
          <w:color w:val="auto"/>
        </w:rPr>
      </w:pPr>
      <w:r>
        <w:rPr>
          <w:rFonts w:ascii="Calibri" w:cs="Calibri" w:eastAsia="Calibri" w:hAnsi="Calibri"/>
          <w:sz w:val="20"/>
          <w:szCs w:val="20"/>
          <w:color w:val="auto"/>
        </w:rPr>
        <w:t>iii</w:t>
      </w:r>
    </w:p>
    <w:p>
      <w:pPr>
        <w:sectPr>
          <w:pgSz w:w="11900" w:h="16838" w:orient="portrait"/>
          <w:cols w:equalWidth="0" w:num="1">
            <w:col w:w="9419"/>
          </w:cols>
          <w:pgMar w:left="1040" w:top="1440" w:right="1440" w:bottom="1440" w:gutter="0" w:footer="0" w:header="0"/>
        </w:sectPr>
      </w:pPr>
    </w:p>
    <w:bookmarkStart w:id="544" w:name="page545"/>
    <w:bookmarkEnd w:id="544"/>
    <w:p>
      <w:pPr>
        <w:jc w:val="center"/>
        <w:spacing w:after="0"/>
        <w:rPr>
          <w:sz w:val="20"/>
          <w:szCs w:val="20"/>
          <w:color w:val="auto"/>
        </w:rPr>
      </w:pPr>
      <w:r>
        <w:rPr>
          <w:rFonts w:ascii="Calibri" w:cs="Calibri" w:eastAsia="Calibri" w:hAnsi="Calibri"/>
          <w:sz w:val="20"/>
          <w:szCs w:val="20"/>
          <w:b w:val="1"/>
          <w:bCs w:val="1"/>
          <w:color w:val="auto"/>
        </w:rPr>
        <w:t>GUARANTEE AND EQUITY CONTRIBUTION AGREEMENT</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 xml:space="preserve">This </w:t>
      </w:r>
      <w:r>
        <w:rPr>
          <w:rFonts w:ascii="Calibri" w:cs="Calibri" w:eastAsia="Calibri" w:hAnsi="Calibri"/>
          <w:sz w:val="20"/>
          <w:szCs w:val="20"/>
          <w:b w:val="1"/>
          <w:bCs w:val="1"/>
          <w:color w:val="auto"/>
        </w:rPr>
        <w:t>GUARANTEE AND EQUITY CONTRIBUTION AGREEMENT</w:t>
      </w:r>
      <w:r>
        <w:rPr>
          <w:rFonts w:ascii="Calibri" w:cs="Calibri" w:eastAsia="Calibri" w:hAnsi="Calibri"/>
          <w:sz w:val="20"/>
          <w:szCs w:val="20"/>
          <w:color w:val="auto"/>
        </w:rPr>
        <w:t xml:space="preserve"> (this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is entered into as of December 9, 2024, by and between Micron Technology, Inc., a corporaton organized and existng under the laws of Delaware, as the guarantor (the “</w:t>
      </w:r>
      <w:r>
        <w:rPr>
          <w:rFonts w:ascii="Calibri" w:cs="Calibri" w:eastAsia="Calibri" w:hAnsi="Calibri"/>
          <w:sz w:val="20"/>
          <w:szCs w:val="20"/>
          <w:b w:val="1"/>
          <w:bCs w:val="1"/>
          <w:color w:val="auto"/>
        </w:rPr>
        <w:t>Sponsor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Guarantor</w:t>
      </w:r>
      <w:r>
        <w:rPr>
          <w:rFonts w:ascii="Calibri" w:cs="Calibri" w:eastAsia="Calibri" w:hAnsi="Calibri"/>
          <w:sz w:val="20"/>
          <w:szCs w:val="20"/>
          <w:color w:val="auto"/>
        </w:rPr>
        <w:t>”), and the UNITED STATES DEPARTMENT OF COMMERCE (the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and together with the Sponsor Guarantor,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Partes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 agency of the United States of America, actng by and through the Secretary of Commerce (or appropriate authorized representatve thereof).</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RECITALS</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has entered into (a) that certain direct funding agreement with Micron New York Semiconductor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Manufacturing LLC, a Delaware limited liability company (the “</w:t>
      </w:r>
      <w:r>
        <w:rPr>
          <w:rFonts w:ascii="Calibri" w:cs="Calibri" w:eastAsia="Calibri" w:hAnsi="Calibri"/>
          <w:sz w:val="20"/>
          <w:szCs w:val="20"/>
          <w:b w:val="1"/>
          <w:bCs w:val="1"/>
          <w:color w:val="auto"/>
        </w:rPr>
        <w:t>NY Recipient</w:t>
      </w:r>
      <w:r>
        <w:rPr>
          <w:rFonts w:ascii="Calibri" w:cs="Calibri" w:eastAsia="Calibri" w:hAnsi="Calibri"/>
          <w:sz w:val="20"/>
          <w:szCs w:val="20"/>
          <w:color w:val="auto"/>
        </w:rPr>
        <w:t>”), dated as of December 9, 2024 (the “</w:t>
      </w:r>
      <w:r>
        <w:rPr>
          <w:rFonts w:ascii="Calibri" w:cs="Calibri" w:eastAsia="Calibri" w:hAnsi="Calibri"/>
          <w:sz w:val="20"/>
          <w:szCs w:val="20"/>
          <w:b w:val="1"/>
          <w:bCs w:val="1"/>
          <w:color w:val="auto"/>
        </w:rPr>
        <w:t>NY DFA</w:t>
      </w:r>
      <w:r>
        <w:rPr>
          <w:rFonts w:ascii="Calibri" w:cs="Calibri" w:eastAsia="Calibri" w:hAnsi="Calibri"/>
          <w:sz w:val="20"/>
          <w:szCs w:val="20"/>
          <w:color w:val="auto"/>
        </w:rPr>
        <w:t>”), and (b) that certain direct funding agreement with Micron Idaho Semiconductor Manufacturing (Triton) LLC, a Delaware limited liability company (the “</w:t>
      </w:r>
      <w:r>
        <w:rPr>
          <w:rFonts w:ascii="Calibri" w:cs="Calibri" w:eastAsia="Calibri" w:hAnsi="Calibri"/>
          <w:sz w:val="20"/>
          <w:szCs w:val="20"/>
          <w:b w:val="1"/>
          <w:bCs w:val="1"/>
          <w:color w:val="auto"/>
        </w:rPr>
        <w:t>ID Recipient</w:t>
      </w:r>
      <w:r>
        <w:rPr>
          <w:rFonts w:ascii="Calibri" w:cs="Calibri" w:eastAsia="Calibri" w:hAnsi="Calibri"/>
          <w:sz w:val="20"/>
          <w:szCs w:val="20"/>
          <w:color w:val="auto"/>
        </w:rPr>
        <w:t>”, and together with the NY Recipient, the “</w:t>
      </w:r>
      <w:r>
        <w:rPr>
          <w:rFonts w:ascii="Calibri" w:cs="Calibri" w:eastAsia="Calibri" w:hAnsi="Calibri"/>
          <w:sz w:val="20"/>
          <w:szCs w:val="20"/>
          <w:b w:val="1"/>
          <w:bCs w:val="1"/>
          <w:color w:val="auto"/>
        </w:rPr>
        <w:t>Recipients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dated as of December 9, 2024 (the “</w:t>
      </w:r>
      <w:r>
        <w:rPr>
          <w:rFonts w:ascii="Calibri" w:cs="Calibri" w:eastAsia="Calibri" w:hAnsi="Calibri"/>
          <w:sz w:val="20"/>
          <w:szCs w:val="20"/>
          <w:b w:val="1"/>
          <w:bCs w:val="1"/>
          <w:color w:val="auto"/>
        </w:rPr>
        <w:t>ID DFA</w:t>
      </w:r>
      <w:r>
        <w:rPr>
          <w:rFonts w:ascii="Calibri" w:cs="Calibri" w:eastAsia="Calibri" w:hAnsi="Calibri"/>
          <w:sz w:val="20"/>
          <w:szCs w:val="20"/>
          <w:color w:val="auto"/>
        </w:rPr>
        <w:t>”, and together with the NY DFA, the “</w:t>
      </w:r>
      <w:r>
        <w:rPr>
          <w:rFonts w:ascii="Calibri" w:cs="Calibri" w:eastAsia="Calibri" w:hAnsi="Calibri"/>
          <w:sz w:val="20"/>
          <w:szCs w:val="20"/>
          <w:b w:val="1"/>
          <w:bCs w:val="1"/>
          <w:color w:val="auto"/>
        </w:rPr>
        <w:t>DFAs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DFA</w:t>
      </w:r>
      <w:r>
        <w:rPr>
          <w:rFonts w:ascii="Calibri" w:cs="Calibri" w:eastAsia="Calibri" w:hAnsi="Calibri"/>
          <w:sz w:val="20"/>
          <w:szCs w:val="20"/>
          <w:color w:val="auto"/>
        </w:rPr>
        <w:t>”), pursuant to which the Department has agreed to issue an Award to each Recipient subject to, and in accordance with, the terms and conditons set out in the applicable DFA;</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each Recipient is a direct wholly-owned Subsidiary of the Sponsor Guarantor; and</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it is a conditon precedent to the executon and delivery of the Awards under each DFA that the Partes hereto enter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into this Agreement;</w:t>
      </w:r>
    </w:p>
    <w:p>
      <w:pPr>
        <w:spacing w:after="0" w:line="226"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foregoing, the agreements herein and in the other Financing Documents and other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good and valid consideraton, the receipt and adequacy of which are hereby expressly acknowledged, and in reliance upon the representatons and warrantes set forth herein and therein, the Partes agree as follows:</w:t>
      </w:r>
    </w:p>
    <w:p>
      <w:pPr>
        <w:spacing w:after="0" w:line="17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w:t>
      </w:r>
    </w:p>
    <w:p>
      <w:pPr>
        <w:spacing w:after="0" w:line="171"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1.1. </w:t>
      </w:r>
      <w:r>
        <w:rPr>
          <w:rFonts w:ascii="Calibri" w:cs="Calibri" w:eastAsia="Calibri" w:hAnsi="Calibri"/>
          <w:sz w:val="20"/>
          <w:szCs w:val="20"/>
          <w:b w:val="1"/>
          <w:bCs w:val="1"/>
          <w:color w:val="auto"/>
        </w:rPr>
        <w:t>Defnitons and Interpretaton</w:t>
      </w:r>
      <w:r>
        <w:rPr>
          <w:rFonts w:ascii="Calibri" w:cs="Calibri" w:eastAsia="Calibri" w:hAnsi="Calibri"/>
          <w:sz w:val="20"/>
          <w:szCs w:val="20"/>
          <w:color w:val="auto"/>
        </w:rPr>
        <w:t>. Except as otherwise expressly provided herein, capitalized terms used in this Agreement shall have the respectve meanings assigned to such terms in Annex A (</w:t>
      </w:r>
      <w:r>
        <w:rPr>
          <w:rFonts w:ascii="Calibri" w:cs="Calibri" w:eastAsia="Calibri" w:hAnsi="Calibri"/>
          <w:sz w:val="20"/>
          <w:szCs w:val="20"/>
          <w:i w:val="1"/>
          <w:iCs w:val="1"/>
          <w:color w:val="auto"/>
        </w:rPr>
        <w:t>Defnitons</w:t>
      </w:r>
      <w:r>
        <w:rPr>
          <w:rFonts w:ascii="Calibri" w:cs="Calibri" w:eastAsia="Calibri" w:hAnsi="Calibri"/>
          <w:sz w:val="20"/>
          <w:szCs w:val="20"/>
          <w:color w:val="auto"/>
        </w:rPr>
        <w:t>) of each DFA, as applicable, and the rules of interpretaton set forth in Annex B (</w:t>
      </w:r>
      <w:r>
        <w:rPr>
          <w:rFonts w:ascii="Calibri" w:cs="Calibri" w:eastAsia="Calibri" w:hAnsi="Calibri"/>
          <w:sz w:val="20"/>
          <w:szCs w:val="20"/>
          <w:i w:val="1"/>
          <w:iCs w:val="1"/>
          <w:color w:val="auto"/>
        </w:rPr>
        <w:t>Rules of Interpretaton</w:t>
      </w:r>
      <w:r>
        <w:rPr>
          <w:rFonts w:ascii="Calibri" w:cs="Calibri" w:eastAsia="Calibri" w:hAnsi="Calibri"/>
          <w:sz w:val="20"/>
          <w:szCs w:val="20"/>
          <w:color w:val="auto"/>
        </w:rPr>
        <w:t xml:space="preserve">) of each DFA shall apply to this Agreement </w:t>
      </w:r>
      <w:r>
        <w:rPr>
          <w:rFonts w:ascii="Calibri" w:cs="Calibri" w:eastAsia="Calibri" w:hAnsi="Calibri"/>
          <w:sz w:val="20"/>
          <w:szCs w:val="20"/>
          <w:i w:val="1"/>
          <w:iCs w:val="1"/>
          <w:color w:val="auto"/>
        </w:rPr>
        <w:t>mutats mutandis</w:t>
      </w:r>
      <w:r>
        <w:rPr>
          <w:rFonts w:ascii="Calibri" w:cs="Calibri" w:eastAsia="Calibri" w:hAnsi="Calibri"/>
          <w:sz w:val="20"/>
          <w:szCs w:val="20"/>
          <w:color w:val="auto"/>
        </w:rPr>
        <w:t>. As used herein, the following terms shall have the following meanings: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has the meaning given to that term in the preamble hereto.</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Communicatons</w:t>
      </w:r>
      <w:r>
        <w:rPr>
          <w:rFonts w:ascii="Calibri" w:cs="Calibri" w:eastAsia="Calibri" w:hAnsi="Calibri"/>
          <w:sz w:val="20"/>
          <w:szCs w:val="20"/>
          <w:color w:val="auto"/>
        </w:rPr>
        <w:t>” has the meaning given to that term in Secton 17.2(a)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has the meaning given to that term in the preamble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DFA</w:t>
      </w:r>
      <w:r>
        <w:rPr>
          <w:rFonts w:ascii="Calibri" w:cs="Calibri" w:eastAsia="Calibri" w:hAnsi="Calibri"/>
          <w:sz w:val="20"/>
          <w:szCs w:val="20"/>
          <w:color w:val="auto"/>
        </w:rPr>
        <w:t>” has the meaning given to that term in the recitals hereto.</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Guaranteed Obligatons</w:t>
      </w:r>
      <w:r>
        <w:rPr>
          <w:rFonts w:ascii="Calibri" w:cs="Calibri" w:eastAsia="Calibri" w:hAnsi="Calibri"/>
          <w:sz w:val="20"/>
          <w:szCs w:val="20"/>
          <w:color w:val="auto"/>
        </w:rPr>
        <w:t>” means all Department Obligatons of each Recipient.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ID DFA</w:t>
      </w:r>
      <w:r>
        <w:rPr>
          <w:rFonts w:ascii="Calibri" w:cs="Calibri" w:eastAsia="Calibri" w:hAnsi="Calibri"/>
          <w:sz w:val="20"/>
          <w:szCs w:val="20"/>
          <w:color w:val="auto"/>
        </w:rPr>
        <w:t>” has the meaning given to that term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tabs>
          <w:tab w:leader="none" w:pos="10380" w:val="left"/>
        </w:tabs>
        <w:rPr>
          <w:sz w:val="20"/>
          <w:szCs w:val="20"/>
          <w:color w:val="auto"/>
        </w:rPr>
      </w:pPr>
      <w:r>
        <w:rPr>
          <w:rFonts w:ascii="Calibri" w:cs="Calibri" w:eastAsia="Calibri" w:hAnsi="Calibri"/>
          <w:sz w:val="14"/>
          <w:szCs w:val="14"/>
          <w:color w:val="auto"/>
        </w:rPr>
        <w:t>24009462784-v5</w:t>
      </w:r>
      <w:r>
        <w:rPr>
          <w:sz w:val="20"/>
          <w:szCs w:val="20"/>
          <w:color w:val="auto"/>
        </w:rPr>
        <w:tab/>
      </w:r>
      <w:r>
        <w:rPr>
          <w:rFonts w:ascii="Calibri" w:cs="Calibri" w:eastAsia="Calibri" w:hAnsi="Calibri"/>
          <w:sz w:val="14"/>
          <w:szCs w:val="14"/>
          <w:color w:val="auto"/>
        </w:rPr>
        <w:t>81-41052779</w:t>
      </w:r>
    </w:p>
    <w:p>
      <w:pPr>
        <w:sectPr>
          <w:pgSz w:w="11900" w:h="16838" w:orient="portrait"/>
          <w:cols w:equalWidth="0" w:num="1">
            <w:col w:w="11240"/>
          </w:cols>
          <w:pgMar w:left="320" w:top="1401" w:right="339" w:bottom="1440" w:gutter="0" w:footer="0" w:header="0"/>
        </w:sectPr>
      </w:pPr>
    </w:p>
    <w:bookmarkStart w:id="545" w:name="page546"/>
    <w:bookmarkEnd w:id="545"/>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ID Recipient</w:t>
      </w:r>
      <w:r>
        <w:rPr>
          <w:rFonts w:ascii="Calibri" w:cs="Calibri" w:eastAsia="Calibri" w:hAnsi="Calibri"/>
          <w:sz w:val="20"/>
          <w:szCs w:val="20"/>
          <w:color w:val="auto"/>
        </w:rPr>
        <w:t>” has the meaning given to that term in the recitals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has the meaning given to that term in Secton 10.15(a) (</w:t>
      </w:r>
      <w:r>
        <w:rPr>
          <w:rFonts w:ascii="Calibri" w:cs="Calibri" w:eastAsia="Calibri" w:hAnsi="Calibri"/>
          <w:sz w:val="20"/>
          <w:szCs w:val="20"/>
          <w:b w:val="1"/>
          <w:bCs w:val="1"/>
          <w:color w:val="auto"/>
        </w:rPr>
        <w:t>Informaton Technology; Cyber Security.</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Liability</w:t>
      </w:r>
      <w:r>
        <w:rPr>
          <w:rFonts w:ascii="Calibri" w:cs="Calibri" w:eastAsia="Calibri" w:hAnsi="Calibri"/>
          <w:sz w:val="20"/>
          <w:szCs w:val="20"/>
          <w:color w:val="auto"/>
        </w:rPr>
        <w:t>” has the meaning given to that term in Secton 17.10(a)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Indemnifed Party</w:t>
      </w:r>
      <w:r>
        <w:rPr>
          <w:rFonts w:ascii="Calibri" w:cs="Calibri" w:eastAsia="Calibri" w:hAnsi="Calibri"/>
          <w:sz w:val="20"/>
          <w:szCs w:val="20"/>
          <w:color w:val="auto"/>
        </w:rPr>
        <w:t>” has the meaning given to that term in Secton 17.10(a)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DFA</w:t>
      </w:r>
      <w:r>
        <w:rPr>
          <w:rFonts w:ascii="Calibri" w:cs="Calibri" w:eastAsia="Calibri" w:hAnsi="Calibri"/>
          <w:sz w:val="20"/>
          <w:szCs w:val="20"/>
          <w:color w:val="auto"/>
        </w:rPr>
        <w:t>” has the meaning given to that term in the recitals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NY Recipient</w:t>
      </w:r>
      <w:r>
        <w:rPr>
          <w:rFonts w:ascii="Calibri" w:cs="Calibri" w:eastAsia="Calibri" w:hAnsi="Calibri"/>
          <w:sz w:val="20"/>
          <w:szCs w:val="20"/>
          <w:color w:val="auto"/>
        </w:rPr>
        <w:t>” has the meaning given to that term in the recitals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Party</w:t>
      </w:r>
      <w:r>
        <w:rPr>
          <w:rFonts w:ascii="Calibri" w:cs="Calibri" w:eastAsia="Calibri" w:hAnsi="Calibri"/>
          <w:sz w:val="20"/>
          <w:szCs w:val="20"/>
          <w:color w:val="auto"/>
        </w:rPr>
        <w:t>” and “</w:t>
      </w:r>
      <w:r>
        <w:rPr>
          <w:rFonts w:ascii="Calibri" w:cs="Calibri" w:eastAsia="Calibri" w:hAnsi="Calibri"/>
          <w:sz w:val="20"/>
          <w:szCs w:val="20"/>
          <w:b w:val="1"/>
          <w:bCs w:val="1"/>
          <w:color w:val="auto"/>
        </w:rPr>
        <w:t>Partes</w:t>
      </w:r>
      <w:r>
        <w:rPr>
          <w:rFonts w:ascii="Calibri" w:cs="Calibri" w:eastAsia="Calibri" w:hAnsi="Calibri"/>
          <w:sz w:val="20"/>
          <w:szCs w:val="20"/>
          <w:color w:val="auto"/>
        </w:rPr>
        <w:t>” has the meaning given to that term in the preamble hereto.</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Platorm</w:t>
      </w:r>
      <w:r>
        <w:rPr>
          <w:rFonts w:ascii="Calibri" w:cs="Calibri" w:eastAsia="Calibri" w:hAnsi="Calibri"/>
          <w:sz w:val="20"/>
          <w:szCs w:val="20"/>
          <w:color w:val="auto"/>
        </w:rPr>
        <w:t>” has the meaning given to that term in Secton 17.2(a)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 Party</w:t>
      </w:r>
      <w:r>
        <w:rPr>
          <w:rFonts w:ascii="Calibri" w:cs="Calibri" w:eastAsia="Calibri" w:hAnsi="Calibri"/>
          <w:sz w:val="20"/>
          <w:szCs w:val="20"/>
          <w:color w:val="auto"/>
        </w:rPr>
        <w:t>” means each of (a) the NY Recipient; (b) the ID Recipient; and (c) the Sponsor Guarantor.</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Recipients</w:t>
      </w:r>
      <w:r>
        <w:rPr>
          <w:rFonts w:ascii="Calibri" w:cs="Calibri" w:eastAsia="Calibri" w:hAnsi="Calibri"/>
          <w:sz w:val="20"/>
          <w:szCs w:val="20"/>
          <w:color w:val="auto"/>
        </w:rPr>
        <w:t>” has the meaning given to that term in the recitals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Sponsor Guarantor</w:t>
      </w:r>
      <w:r>
        <w:rPr>
          <w:rFonts w:ascii="Calibri" w:cs="Calibri" w:eastAsia="Calibri" w:hAnsi="Calibri"/>
          <w:sz w:val="20"/>
          <w:szCs w:val="20"/>
          <w:color w:val="auto"/>
        </w:rPr>
        <w:t>” has the meaning given to that term in the preamble hereto.</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Successor Company</w:t>
      </w:r>
      <w:r>
        <w:rPr>
          <w:rFonts w:ascii="Calibri" w:cs="Calibri" w:eastAsia="Calibri" w:hAnsi="Calibri"/>
          <w:sz w:val="20"/>
          <w:szCs w:val="20"/>
          <w:color w:val="auto"/>
        </w:rPr>
        <w:t>” has the meaning given to that term in Secton 13.4 (</w:t>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w:t>
      </w:r>
    </w:p>
    <w:p>
      <w:pPr>
        <w:spacing w:after="0" w:line="184"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1.2. </w:t>
      </w:r>
      <w:r>
        <w:rPr>
          <w:rFonts w:ascii="Calibri" w:cs="Calibri" w:eastAsia="Calibri" w:hAnsi="Calibri"/>
          <w:sz w:val="20"/>
          <w:szCs w:val="20"/>
          <w:b w:val="1"/>
          <w:bCs w:val="1"/>
          <w:color w:val="auto"/>
        </w:rPr>
        <w:t>Department Rights</w:t>
      </w:r>
      <w:r>
        <w:rPr>
          <w:rFonts w:ascii="Calibri" w:cs="Calibri" w:eastAsia="Calibri" w:hAnsi="Calibri"/>
          <w:sz w:val="20"/>
          <w:szCs w:val="20"/>
          <w:color w:val="auto"/>
        </w:rPr>
        <w:t>. The Partes to this Agreement agree that each determinaton by the Department of any amount or fees payable hereunder shall be conclusive and binding for all purposes, absent manifest error.</w:t>
      </w:r>
    </w:p>
    <w:p>
      <w:pPr>
        <w:spacing w:after="0" w:line="162"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2</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GUARANTEE</w:t>
      </w:r>
    </w:p>
    <w:p>
      <w:pPr>
        <w:spacing w:after="0" w:line="171" w:lineRule="exact"/>
        <w:rPr>
          <w:sz w:val="20"/>
          <w:szCs w:val="20"/>
          <w:color w:val="auto"/>
        </w:rPr>
      </w:pPr>
    </w:p>
    <w:p>
      <w:pPr>
        <w:jc w:val="both"/>
        <w:ind w:firstLine="1952"/>
        <w:spacing w:after="0" w:line="202" w:lineRule="auto"/>
        <w:tabs>
          <w:tab w:leader="none" w:pos="2596" w:val="left"/>
        </w:tabs>
        <w:numPr>
          <w:ilvl w:val="0"/>
          <w:numId w:val="696"/>
        </w:numPr>
        <w:rPr>
          <w:rFonts w:ascii="Calibri" w:cs="Calibri" w:eastAsia="Calibri" w:hAnsi="Calibri"/>
          <w:sz w:val="20"/>
          <w:szCs w:val="20"/>
          <w:color w:val="auto"/>
        </w:rPr>
      </w:pPr>
      <w:r>
        <w:rPr>
          <w:rFonts w:ascii="Calibri" w:cs="Calibri" w:eastAsia="Calibri" w:hAnsi="Calibri"/>
          <w:sz w:val="20"/>
          <w:szCs w:val="20"/>
          <w:color w:val="auto"/>
        </w:rPr>
        <w:t>The Sponsor Guarantor irrevocably, absolutely and unconditonally guarantees to the Department, as a primary obligor and not merely as a surety, the due and punctual payment of the Guaranteed Obligatons. The Sponsor Guarantor further agrees that the Guaranteed Obligatons may be extended or renewed, in whole or in part, without notce to or further assent from it, and that the Sponsor Guarantor will remain bound upon its guarantee notwithstanding any extension or renewal of any Guaranteed Obligaton.</w:t>
      </w:r>
    </w:p>
    <w:p>
      <w:pPr>
        <w:spacing w:after="0" w:line="187"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696"/>
        </w:numPr>
        <w:rPr>
          <w:rFonts w:ascii="Calibri" w:cs="Calibri" w:eastAsia="Calibri" w:hAnsi="Calibri"/>
          <w:sz w:val="20"/>
          <w:szCs w:val="20"/>
          <w:color w:val="auto"/>
        </w:rPr>
      </w:pPr>
      <w:r>
        <w:rPr>
          <w:rFonts w:ascii="Calibri" w:cs="Calibri" w:eastAsia="Calibri" w:hAnsi="Calibri"/>
          <w:sz w:val="20"/>
          <w:szCs w:val="20"/>
          <w:color w:val="auto"/>
        </w:rPr>
        <w:t>Notwithstanding anything to the contrary herein or in any other Financing Document, the maximum liability of the Sponsor Guarantor under this Agreement shall not exceed an amount equal to the largest amount that would not render the Sponsor Guarantor’s obligatons hereunder subject to avoidance under Secton 548 of the Bankruptcy Code of the United States or any equivalent provision of any other bankruptcy, insolvency, reorganizaton, receivership, moratorium or other Applicable Laws afectng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01" w:right="339" w:bottom="1440" w:gutter="0" w:footer="0" w:header="0"/>
        </w:sectPr>
      </w:pPr>
    </w:p>
    <w:bookmarkStart w:id="546" w:name="page547"/>
    <w:bookmarkEnd w:id="546"/>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GUARANTEED OBLIGATIONS NOT WAIVED</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The Sponsor Guarantor waives presentment to, demand of, payment from and protest to any Recipient of any of the Guaranteed Obligatons, and also waives notce of acceptance of its guarantee and notce of protest for nonpayment.</w:t>
      </w:r>
    </w:p>
    <w:p>
      <w:pPr>
        <w:spacing w:after="0" w:line="176"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GUARANTEE OF PAYMENT</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The Sponsor Guarantor further agrees that its guarantee hereunder consttutes a guarantee of payment when due (whether at the stated maturity, by acceleraton or otherwise) and not a guarantee of collecton, and waives any right to require that any resort be had by the Department to any collateral security held for the payment of the Guaranteed Obligatons or to any balance of any deposit account or credit on the books of the Department in favor of any Recipient or any other Person. Each failure by the Sponsor Guarantor to make a payment as required during the efectveness of this Guarantee will give rise to a separate cause of acton hereunder and separate suits may be brought hereunder as each cause of acton arises.</w:t>
      </w:r>
    </w:p>
    <w:p>
      <w:pPr>
        <w:spacing w:after="0" w:line="18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NO DISCHARGE OR DIMINISHMENT OF GUARANTEE</w:t>
      </w:r>
    </w:p>
    <w:p>
      <w:pPr>
        <w:spacing w:after="0" w:line="184" w:lineRule="exact"/>
        <w:rPr>
          <w:sz w:val="20"/>
          <w:szCs w:val="20"/>
          <w:color w:val="auto"/>
        </w:rPr>
      </w:pPr>
    </w:p>
    <w:p>
      <w:pPr>
        <w:jc w:val="both"/>
        <w:ind w:firstLine="1952"/>
        <w:spacing w:after="0" w:line="199" w:lineRule="auto"/>
        <w:tabs>
          <w:tab w:leader="none" w:pos="2596" w:val="left"/>
        </w:tabs>
        <w:numPr>
          <w:ilvl w:val="0"/>
          <w:numId w:val="697"/>
        </w:numPr>
        <w:rPr>
          <w:rFonts w:ascii="Calibri" w:cs="Calibri" w:eastAsia="Calibri" w:hAnsi="Calibri"/>
          <w:sz w:val="20"/>
          <w:szCs w:val="20"/>
          <w:color w:val="auto"/>
        </w:rPr>
      </w:pPr>
      <w:r>
        <w:rPr>
          <w:rFonts w:ascii="Calibri" w:cs="Calibri" w:eastAsia="Calibri" w:hAnsi="Calibri"/>
          <w:sz w:val="20"/>
          <w:szCs w:val="20"/>
          <w:color w:val="auto"/>
        </w:rPr>
        <w:t>Except for terminaton of the obligatons of the Sponsor Guarantor hereunder as expressly provided for in Artcle 16 (</w:t>
      </w:r>
      <w:r>
        <w:rPr>
          <w:rFonts w:ascii="Calibri" w:cs="Calibri" w:eastAsia="Calibri" w:hAnsi="Calibri"/>
          <w:sz w:val="20"/>
          <w:szCs w:val="20"/>
          <w:b w:val="1"/>
          <w:bCs w:val="1"/>
          <w:color w:val="auto"/>
        </w:rPr>
        <w:t>Terminaton</w:t>
      </w:r>
      <w:r>
        <w:rPr>
          <w:rFonts w:ascii="Calibri" w:cs="Calibri" w:eastAsia="Calibri" w:hAnsi="Calibri"/>
          <w:sz w:val="20"/>
          <w:szCs w:val="20"/>
          <w:color w:val="auto"/>
        </w:rPr>
        <w:t>), the obligatons of the Sponsor Guarantor hereunder shall not be subject to any reducton, limitaton, impairment or terminaton for any reason, including any claim of waiver, release, surrender, alteraton or compromise, and shall not be subject to any defense or setof, counterclaim, recoupment or terminaton whatsoever by reason of the invalidity, illegality or unenforceability of the Guaranteed Obligatons or otherwise (other than defense of payment). Without limitng the generality of the foregoing, the obligatons of the Sponsor Guarantor hereunder, to the fullest extent permited by Applicable Law, shall not be discharged or impaired or otherwise afected by, and the Sponsor Guarantor hereby waives any defense to the enforcement hereof by reason of:</w:t>
      </w:r>
    </w:p>
    <w:p>
      <w:pPr>
        <w:spacing w:after="0" w:line="176" w:lineRule="exact"/>
        <w:rPr>
          <w:rFonts w:ascii="Calibri" w:cs="Calibri" w:eastAsia="Calibri" w:hAnsi="Calibri"/>
          <w:sz w:val="20"/>
          <w:szCs w:val="20"/>
          <w:color w:val="auto"/>
        </w:rPr>
      </w:pPr>
    </w:p>
    <w:p>
      <w:pPr>
        <w:ind w:right="20" w:firstLine="2600"/>
        <w:spacing w:after="0" w:line="214" w:lineRule="auto"/>
        <w:tabs>
          <w:tab w:leader="none" w:pos="3234" w:val="left"/>
        </w:tabs>
        <w:numPr>
          <w:ilvl w:val="1"/>
          <w:numId w:val="697"/>
        </w:numPr>
        <w:rPr>
          <w:rFonts w:ascii="Calibri" w:cs="Calibri" w:eastAsia="Calibri" w:hAnsi="Calibri"/>
          <w:sz w:val="20"/>
          <w:szCs w:val="20"/>
          <w:color w:val="auto"/>
        </w:rPr>
      </w:pPr>
      <w:r>
        <w:rPr>
          <w:rFonts w:ascii="Calibri" w:cs="Calibri" w:eastAsia="Calibri" w:hAnsi="Calibri"/>
          <w:sz w:val="20"/>
          <w:szCs w:val="20"/>
          <w:color w:val="auto"/>
        </w:rPr>
        <w:t>the failure of the Department to assert any claim or demand or to exercise or enforce any right or remedy under the provisions of any Financing Document or otherwise;</w:t>
      </w:r>
    </w:p>
    <w:p>
      <w:pPr>
        <w:spacing w:after="0" w:line="185" w:lineRule="exact"/>
        <w:rPr>
          <w:rFonts w:ascii="Calibri" w:cs="Calibri" w:eastAsia="Calibri" w:hAnsi="Calibri"/>
          <w:sz w:val="20"/>
          <w:szCs w:val="20"/>
          <w:color w:val="auto"/>
        </w:rPr>
      </w:pPr>
    </w:p>
    <w:p>
      <w:pPr>
        <w:ind w:right="20" w:firstLine="2600"/>
        <w:spacing w:after="0" w:line="208" w:lineRule="auto"/>
        <w:tabs>
          <w:tab w:leader="none" w:pos="3240" w:val="left"/>
        </w:tabs>
        <w:numPr>
          <w:ilvl w:val="1"/>
          <w:numId w:val="697"/>
        </w:numPr>
        <w:rPr>
          <w:rFonts w:ascii="Calibri" w:cs="Calibri" w:eastAsia="Calibri" w:hAnsi="Calibri"/>
          <w:sz w:val="20"/>
          <w:szCs w:val="20"/>
          <w:color w:val="auto"/>
        </w:rPr>
      </w:pPr>
      <w:r>
        <w:rPr>
          <w:rFonts w:ascii="Calibri" w:cs="Calibri" w:eastAsia="Calibri" w:hAnsi="Calibri"/>
          <w:sz w:val="20"/>
          <w:szCs w:val="20"/>
          <w:color w:val="auto"/>
        </w:rPr>
        <w:t>any rescission, waiver, amendment or modifcaton of, or any release from any of the terms or provisions of, any Financing Document or any other agreement, including with respect to any Recipient under any DFA;</w:t>
      </w:r>
    </w:p>
    <w:p>
      <w:pPr>
        <w:spacing w:after="0" w:line="184" w:lineRule="exact"/>
        <w:rPr>
          <w:rFonts w:ascii="Calibri" w:cs="Calibri" w:eastAsia="Calibri" w:hAnsi="Calibri"/>
          <w:sz w:val="20"/>
          <w:szCs w:val="20"/>
          <w:color w:val="auto"/>
        </w:rPr>
      </w:pPr>
    </w:p>
    <w:p>
      <w:pPr>
        <w:ind w:right="20" w:firstLine="2600"/>
        <w:spacing w:after="0" w:line="214" w:lineRule="auto"/>
        <w:tabs>
          <w:tab w:leader="none" w:pos="3246" w:val="left"/>
        </w:tabs>
        <w:numPr>
          <w:ilvl w:val="1"/>
          <w:numId w:val="697"/>
        </w:numPr>
        <w:rPr>
          <w:rFonts w:ascii="Calibri" w:cs="Calibri" w:eastAsia="Calibri" w:hAnsi="Calibri"/>
          <w:sz w:val="20"/>
          <w:szCs w:val="20"/>
          <w:color w:val="auto"/>
        </w:rPr>
      </w:pPr>
      <w:r>
        <w:rPr>
          <w:rFonts w:ascii="Calibri" w:cs="Calibri" w:eastAsia="Calibri" w:hAnsi="Calibri"/>
          <w:sz w:val="20"/>
          <w:szCs w:val="20"/>
          <w:color w:val="auto"/>
        </w:rPr>
        <w:t>the failure to perfect any security interest in, or the exchange, substtuton, release or any impairment of, any security held by the Department for the Guaranteed Obligatons;</w:t>
      </w:r>
    </w:p>
    <w:p>
      <w:pPr>
        <w:spacing w:after="0" w:line="162" w:lineRule="exact"/>
        <w:rPr>
          <w:rFonts w:ascii="Calibri" w:cs="Calibri" w:eastAsia="Calibri" w:hAnsi="Calibri"/>
          <w:sz w:val="20"/>
          <w:szCs w:val="20"/>
          <w:color w:val="auto"/>
        </w:rPr>
      </w:pPr>
    </w:p>
    <w:p>
      <w:pPr>
        <w:ind w:left="3260" w:hanging="660"/>
        <w:spacing w:after="0"/>
        <w:tabs>
          <w:tab w:leader="none" w:pos="3260" w:val="left"/>
        </w:tabs>
        <w:numPr>
          <w:ilvl w:val="1"/>
          <w:numId w:val="697"/>
        </w:numPr>
        <w:rPr>
          <w:rFonts w:ascii="Calibri" w:cs="Calibri" w:eastAsia="Calibri" w:hAnsi="Calibri"/>
          <w:sz w:val="20"/>
          <w:szCs w:val="20"/>
          <w:color w:val="auto"/>
        </w:rPr>
      </w:pPr>
      <w:r>
        <w:rPr>
          <w:rFonts w:ascii="Calibri" w:cs="Calibri" w:eastAsia="Calibri" w:hAnsi="Calibri"/>
          <w:sz w:val="20"/>
          <w:szCs w:val="20"/>
          <w:color w:val="auto"/>
        </w:rPr>
        <w:t>any default, failure or delay, willful or otherwise, in the performance of the Guaranteed</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Obligatons;</w:t>
      </w:r>
    </w:p>
    <w:p>
      <w:pPr>
        <w:spacing w:after="0" w:line="184" w:lineRule="exact"/>
        <w:rPr>
          <w:rFonts w:ascii="Calibri" w:cs="Calibri" w:eastAsia="Calibri" w:hAnsi="Calibri"/>
          <w:sz w:val="20"/>
          <w:szCs w:val="20"/>
          <w:color w:val="auto"/>
        </w:rPr>
      </w:pPr>
    </w:p>
    <w:p>
      <w:pPr>
        <w:jc w:val="both"/>
        <w:ind w:right="20" w:firstLine="2600"/>
        <w:spacing w:after="0" w:line="205" w:lineRule="auto"/>
        <w:tabs>
          <w:tab w:leader="none" w:pos="3238" w:val="left"/>
        </w:tabs>
        <w:numPr>
          <w:ilvl w:val="1"/>
          <w:numId w:val="697"/>
        </w:numPr>
        <w:rPr>
          <w:rFonts w:ascii="Calibri" w:cs="Calibri" w:eastAsia="Calibri" w:hAnsi="Calibri"/>
          <w:sz w:val="20"/>
          <w:szCs w:val="20"/>
          <w:color w:val="auto"/>
        </w:rPr>
      </w:pPr>
      <w:r>
        <w:rPr>
          <w:rFonts w:ascii="Calibri" w:cs="Calibri" w:eastAsia="Calibri" w:hAnsi="Calibri"/>
          <w:sz w:val="20"/>
          <w:szCs w:val="20"/>
          <w:color w:val="auto"/>
        </w:rPr>
        <w:t>any other act or omission that may or might in any manner or to any extent vary the risk of the Sponsor Guarantor or otherwise operate as a discharge of the Sponsor Guarantor as a mater of law or equity (other than the payment in full in cash or immediately available funds of all the Guaranteed Obligatons);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374" w:right="339" w:bottom="1440" w:gutter="0" w:footer="0" w:header="0"/>
        </w:sectPr>
      </w:pPr>
    </w:p>
    <w:bookmarkStart w:id="547" w:name="page548"/>
    <w:bookmarkEnd w:id="547"/>
    <w:p>
      <w:pPr>
        <w:ind w:left="3260" w:hanging="660"/>
        <w:spacing w:after="0"/>
        <w:tabs>
          <w:tab w:leader="none" w:pos="3260" w:val="left"/>
        </w:tabs>
        <w:numPr>
          <w:ilvl w:val="1"/>
          <w:numId w:val="698"/>
        </w:numPr>
        <w:rPr>
          <w:rFonts w:ascii="Calibri" w:cs="Calibri" w:eastAsia="Calibri" w:hAnsi="Calibri"/>
          <w:sz w:val="20"/>
          <w:szCs w:val="20"/>
          <w:color w:val="auto"/>
        </w:rPr>
      </w:pPr>
      <w:r>
        <w:rPr>
          <w:rFonts w:ascii="Calibri" w:cs="Calibri" w:eastAsia="Calibri" w:hAnsi="Calibri"/>
          <w:sz w:val="20"/>
          <w:szCs w:val="20"/>
          <w:color w:val="auto"/>
        </w:rPr>
        <w:t>any illegality, lack of validity or enforceability of any Guaranteed Obligatons;</w:t>
      </w:r>
    </w:p>
    <w:p>
      <w:pPr>
        <w:spacing w:after="0" w:line="184" w:lineRule="exact"/>
        <w:rPr>
          <w:rFonts w:ascii="Calibri" w:cs="Calibri" w:eastAsia="Calibri" w:hAnsi="Calibri"/>
          <w:sz w:val="20"/>
          <w:szCs w:val="20"/>
          <w:color w:val="auto"/>
        </w:rPr>
      </w:pPr>
    </w:p>
    <w:p>
      <w:pPr>
        <w:jc w:val="both"/>
        <w:ind w:firstLine="2600"/>
        <w:spacing w:after="0" w:line="205" w:lineRule="auto"/>
        <w:tabs>
          <w:tab w:leader="none" w:pos="3237" w:val="left"/>
        </w:tabs>
        <w:numPr>
          <w:ilvl w:val="1"/>
          <w:numId w:val="698"/>
        </w:numPr>
        <w:rPr>
          <w:rFonts w:ascii="Calibri" w:cs="Calibri" w:eastAsia="Calibri" w:hAnsi="Calibri"/>
          <w:sz w:val="20"/>
          <w:szCs w:val="20"/>
          <w:color w:val="auto"/>
        </w:rPr>
      </w:pPr>
      <w:r>
        <w:rPr>
          <w:rFonts w:ascii="Calibri" w:cs="Calibri" w:eastAsia="Calibri" w:hAnsi="Calibri"/>
          <w:sz w:val="20"/>
          <w:szCs w:val="20"/>
          <w:color w:val="auto"/>
        </w:rPr>
        <w:t>any change in the corporate existence, structure or ownership of any Recipient, or any insolvency, bankruptcy, reorganizaton or other similar proceeding afectng any Recipient or any assets of such Recipient or any resultng release or discharge of any Guaranteed Obligatons;</w:t>
      </w:r>
    </w:p>
    <w:p>
      <w:pPr>
        <w:spacing w:after="0" w:line="184" w:lineRule="exact"/>
        <w:rPr>
          <w:rFonts w:ascii="Calibri" w:cs="Calibri" w:eastAsia="Calibri" w:hAnsi="Calibri"/>
          <w:sz w:val="20"/>
          <w:szCs w:val="20"/>
          <w:color w:val="auto"/>
        </w:rPr>
      </w:pPr>
    </w:p>
    <w:p>
      <w:pPr>
        <w:ind w:firstLine="2600"/>
        <w:spacing w:after="0" w:line="208" w:lineRule="auto"/>
        <w:tabs>
          <w:tab w:leader="none" w:pos="3243" w:val="left"/>
        </w:tabs>
        <w:numPr>
          <w:ilvl w:val="1"/>
          <w:numId w:val="698"/>
        </w:numPr>
        <w:rPr>
          <w:rFonts w:ascii="Calibri" w:cs="Calibri" w:eastAsia="Calibri" w:hAnsi="Calibri"/>
          <w:sz w:val="20"/>
          <w:szCs w:val="20"/>
          <w:color w:val="auto"/>
        </w:rPr>
      </w:pPr>
      <w:r>
        <w:rPr>
          <w:rFonts w:ascii="Calibri" w:cs="Calibri" w:eastAsia="Calibri" w:hAnsi="Calibri"/>
          <w:sz w:val="20"/>
          <w:szCs w:val="20"/>
          <w:color w:val="auto"/>
        </w:rPr>
        <w:t>the existence of any claim, set-of or other rights that the Sponsor Guarantor may have at any tme against any Recipient, the Department, or any other Person, whether in connecton herewith or any unrelated transactons;</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698"/>
        </w:numPr>
        <w:rPr>
          <w:rFonts w:ascii="Calibri" w:cs="Calibri" w:eastAsia="Calibri" w:hAnsi="Calibri"/>
          <w:sz w:val="20"/>
          <w:szCs w:val="20"/>
          <w:color w:val="auto"/>
        </w:rPr>
      </w:pPr>
      <w:r>
        <w:rPr>
          <w:rFonts w:ascii="Calibri" w:cs="Calibri" w:eastAsia="Calibri" w:hAnsi="Calibri"/>
          <w:sz w:val="20"/>
          <w:szCs w:val="20"/>
          <w:color w:val="auto"/>
        </w:rPr>
        <w:t>any acton permited or authorized hereunder; or</w:t>
      </w:r>
    </w:p>
    <w:p>
      <w:pPr>
        <w:spacing w:after="0" w:line="184" w:lineRule="exact"/>
        <w:rPr>
          <w:rFonts w:ascii="Calibri" w:cs="Calibri" w:eastAsia="Calibri" w:hAnsi="Calibri"/>
          <w:sz w:val="20"/>
          <w:szCs w:val="20"/>
          <w:color w:val="auto"/>
        </w:rPr>
      </w:pPr>
    </w:p>
    <w:p>
      <w:pPr>
        <w:jc w:val="both"/>
        <w:ind w:firstLine="2600"/>
        <w:spacing w:after="0" w:line="205" w:lineRule="auto"/>
        <w:tabs>
          <w:tab w:leader="none" w:pos="3234" w:val="left"/>
        </w:tabs>
        <w:numPr>
          <w:ilvl w:val="1"/>
          <w:numId w:val="698"/>
        </w:numPr>
        <w:rPr>
          <w:rFonts w:ascii="Calibri" w:cs="Calibri" w:eastAsia="Calibri" w:hAnsi="Calibri"/>
          <w:sz w:val="20"/>
          <w:szCs w:val="20"/>
          <w:color w:val="auto"/>
        </w:rPr>
      </w:pPr>
      <w:r>
        <w:rPr>
          <w:rFonts w:ascii="Calibri" w:cs="Calibri" w:eastAsia="Calibri" w:hAnsi="Calibri"/>
          <w:sz w:val="20"/>
          <w:szCs w:val="20"/>
          <w:color w:val="auto"/>
        </w:rPr>
        <w:t>any other circumstance (including any statute of limitatons) or any existence of or reliance on any representaton by the Department that might otherwise consttute a defense to, or a legal or equitable discharge of, any Recipient Party or surety.</w:t>
      </w:r>
    </w:p>
    <w:p>
      <w:pPr>
        <w:spacing w:after="0" w:line="184" w:lineRule="exact"/>
        <w:rPr>
          <w:rFonts w:ascii="Calibri" w:cs="Calibri" w:eastAsia="Calibri" w:hAnsi="Calibri"/>
          <w:sz w:val="20"/>
          <w:szCs w:val="20"/>
          <w:color w:val="auto"/>
        </w:rPr>
      </w:pPr>
    </w:p>
    <w:p>
      <w:pPr>
        <w:jc w:val="both"/>
        <w:ind w:firstLine="1952"/>
        <w:spacing w:after="0" w:line="200" w:lineRule="auto"/>
        <w:tabs>
          <w:tab w:leader="none" w:pos="2592" w:val="left"/>
        </w:tabs>
        <w:numPr>
          <w:ilvl w:val="0"/>
          <w:numId w:val="699"/>
        </w:numPr>
        <w:rPr>
          <w:rFonts w:ascii="Calibri" w:cs="Calibri" w:eastAsia="Calibri" w:hAnsi="Calibri"/>
          <w:sz w:val="20"/>
          <w:szCs w:val="20"/>
          <w:color w:val="auto"/>
        </w:rPr>
      </w:pPr>
      <w:r>
        <w:rPr>
          <w:rFonts w:ascii="Calibri" w:cs="Calibri" w:eastAsia="Calibri" w:hAnsi="Calibri"/>
          <w:sz w:val="20"/>
          <w:szCs w:val="20"/>
          <w:color w:val="auto"/>
        </w:rPr>
        <w:t>The Sponsor Guarantor expressly authorizes the Department to take and hold security for the payment and performance of the Guaranteed Obligatons, to exchange, waive or release any or all such security (with or without consideraton), to enforce or apply such security and direct the order and manner of any sale thereof in their sole discreton or to release or substtute any one or more other guarantors or obligors upon or in respect of the Guaranteed Obligatons, all without afectng the obligatons of the Sponsor Guarantor hereunder.</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6</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DEFENSES WAIVED</w:t>
      </w:r>
    </w:p>
    <w:p>
      <w:pPr>
        <w:spacing w:after="0" w:line="21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To the fullest extent permited by Applicable Law, the Sponsor Guarantor waives any defense based on or arising out of any defense of any Recipient or the unenforceability of the Guaranteed Obligatons or any part thereof from any cause, or the cessaton from any cause of the liability of any Recipient, other than the payment in full in cash or immediately available funds of all the Guaranteed Obligatons (other than contngent indemnity or expense reimbursement obligatons as to which no claim has been made). The Department may, at its electon: (a) foreclose on any security held by it by one or more judicial or nonjudicial sales; (b) accept an assignment of any such security in lieu of foreclosure; (c) compromise or adjust any part of the Guaranteed Obligatons; (d) make any other accommodaton with any Recipient; or (e) exercise any other right or remedy available to them against any Recipient, without afectng or impairing in any way the liability of the Sponsor Guarantor hereunder, except to the extent that the Guaranteed Obligatons (other than contngent indemnity or expense reimbursement obligatons as to which no claim has been made) have been paid in full in cash or in immediately available funds. To the fullest extent permited by Applicable Law, the Sponsor Guarantor waives any defense arising out of any such electon even though such electon operates, pursuant to Applicable Law, to impair or to extnguish any right of reimbursement or subrogaton or other right or remedy of the Sponsor Guarantor against any Recipient, as the case may be, or any security.</w:t>
      </w:r>
    </w:p>
    <w:p>
      <w:pPr>
        <w:spacing w:after="0" w:line="34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7</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AGREEMENT TO PAY; CONTRIBUTION; SUBROGATION</w:t>
      </w:r>
    </w:p>
    <w:p>
      <w:pPr>
        <w:spacing w:after="0" w:line="184" w:lineRule="exact"/>
        <w:rPr>
          <w:sz w:val="20"/>
          <w:szCs w:val="20"/>
          <w:color w:val="auto"/>
        </w:rPr>
      </w:pPr>
    </w:p>
    <w:p>
      <w:pPr>
        <w:jc w:val="both"/>
        <w:ind w:right="20" w:firstLine="1952"/>
        <w:spacing w:after="0" w:line="205" w:lineRule="auto"/>
        <w:tabs>
          <w:tab w:leader="none" w:pos="2596" w:val="left"/>
        </w:tabs>
        <w:numPr>
          <w:ilvl w:val="0"/>
          <w:numId w:val="700"/>
        </w:numPr>
        <w:rPr>
          <w:rFonts w:ascii="Calibri" w:cs="Calibri" w:eastAsia="Calibri" w:hAnsi="Calibri"/>
          <w:sz w:val="20"/>
          <w:szCs w:val="20"/>
          <w:color w:val="auto"/>
        </w:rPr>
      </w:pPr>
      <w:r>
        <w:rPr>
          <w:rFonts w:ascii="Calibri" w:cs="Calibri" w:eastAsia="Calibri" w:hAnsi="Calibri"/>
          <w:sz w:val="20"/>
          <w:szCs w:val="20"/>
          <w:color w:val="auto"/>
        </w:rPr>
        <w:t>In furtherance of the foregoing provisions of this Agreement and not in limitaton of any other right that the Department has at law or in equity against the Sponsor Guarantor by virtue hereof, upon the failure of any Recipient Party to pay any Guaranteed Obligaton when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374" w:right="339" w:bottom="1440" w:gutter="0" w:footer="0" w:header="0"/>
        </w:sectPr>
      </w:pPr>
    </w:p>
    <w:bookmarkStart w:id="548" w:name="page549"/>
    <w:bookmarkEnd w:id="548"/>
    <w:p>
      <w:pPr>
        <w:jc w:val="both"/>
        <w:spacing w:after="0" w:line="205" w:lineRule="auto"/>
        <w:rPr>
          <w:sz w:val="20"/>
          <w:szCs w:val="20"/>
          <w:color w:val="auto"/>
        </w:rPr>
      </w:pPr>
      <w:r>
        <w:rPr>
          <w:rFonts w:ascii="Calibri" w:cs="Calibri" w:eastAsia="Calibri" w:hAnsi="Calibri"/>
          <w:sz w:val="20"/>
          <w:szCs w:val="20"/>
          <w:color w:val="auto"/>
        </w:rPr>
        <w:t>the same shall become due, whether at maturity, by acceleraton, afer notce of prepayment or otherwise, the Sponsor Guarantor hereby promises to and will forthwith pay in cash, or cause to be paid in cash, to the Department such unpaid Guaranteed Obligatons upon demand. The Sponsor Guarantor hereby agrees to make any such payment of unpaid Guaranteed Obligatons in Dollars.</w:t>
      </w:r>
    </w:p>
    <w:p>
      <w:pPr>
        <w:spacing w:after="0" w:line="184" w:lineRule="exact"/>
        <w:rPr>
          <w:sz w:val="20"/>
          <w:szCs w:val="20"/>
          <w:color w:val="auto"/>
        </w:rPr>
      </w:pPr>
    </w:p>
    <w:p>
      <w:pPr>
        <w:jc w:val="both"/>
        <w:ind w:firstLine="1952"/>
        <w:spacing w:after="0" w:line="198" w:lineRule="auto"/>
        <w:tabs>
          <w:tab w:leader="none" w:pos="2592" w:val="left"/>
        </w:tabs>
        <w:numPr>
          <w:ilvl w:val="0"/>
          <w:numId w:val="701"/>
        </w:numPr>
        <w:rPr>
          <w:rFonts w:ascii="Calibri" w:cs="Calibri" w:eastAsia="Calibri" w:hAnsi="Calibri"/>
          <w:sz w:val="20"/>
          <w:szCs w:val="20"/>
          <w:color w:val="auto"/>
        </w:rPr>
      </w:pPr>
      <w:r>
        <w:rPr>
          <w:rFonts w:ascii="Calibri" w:cs="Calibri" w:eastAsia="Calibri" w:hAnsi="Calibri"/>
          <w:sz w:val="20"/>
          <w:szCs w:val="20"/>
          <w:color w:val="auto"/>
        </w:rPr>
        <w:t>Upon payment by the Sponsor Guarantor of any sums to the Department, all rights of the Sponsor Guarantor against any Recipient arising as a result thereof by way of right of subrogaton, contributon, reimbursement, indemnity or otherwise shall in all respects be subordinate and junior in right of payment to the prior indefeasible payment in full in cash of all the Department Obligatons. In additon, any indebtedness of any Recipient now or hereafer held by the Sponsor Guarantor is hereby subordinated in right of payment to the prior payment in full of the Department Obligatons during the existence of an Event of Default. If any amount shall erroneously be paid to the Sponsor Guarantor on account of (i) such subrogaton, contributon, reimbursement, indemnity or similar right or (ii) any such indebtedness of any Recipient, such amount shall be held in trust for the beneft of the Department and shall forthwith be paid to the Department to be credited against the payment of the Department Obligatons, whether matured or unmatured, in accordance with the terms of this Agreement and the other Financing Documents.</w:t>
      </w:r>
    </w:p>
    <w:p>
      <w:pPr>
        <w:spacing w:after="0" w:line="185" w:lineRule="exact"/>
        <w:rPr>
          <w:rFonts w:ascii="Calibri" w:cs="Calibri" w:eastAsia="Calibri" w:hAnsi="Calibri"/>
          <w:sz w:val="20"/>
          <w:szCs w:val="20"/>
          <w:color w:val="auto"/>
        </w:rPr>
      </w:pPr>
    </w:p>
    <w:p>
      <w:pPr>
        <w:jc w:val="both"/>
        <w:ind w:firstLine="1952"/>
        <w:spacing w:after="0" w:line="203" w:lineRule="auto"/>
        <w:tabs>
          <w:tab w:leader="none" w:pos="2584" w:val="left"/>
        </w:tabs>
        <w:numPr>
          <w:ilvl w:val="0"/>
          <w:numId w:val="701"/>
        </w:numPr>
        <w:rPr>
          <w:rFonts w:ascii="Calibri" w:cs="Calibri" w:eastAsia="Calibri" w:hAnsi="Calibri"/>
          <w:sz w:val="20"/>
          <w:szCs w:val="20"/>
          <w:color w:val="auto"/>
        </w:rPr>
      </w:pPr>
      <w:r>
        <w:rPr>
          <w:rFonts w:ascii="Calibri" w:cs="Calibri" w:eastAsia="Calibri" w:hAnsi="Calibri"/>
          <w:sz w:val="20"/>
          <w:szCs w:val="20"/>
          <w:color w:val="auto"/>
        </w:rPr>
        <w:t>If the Sponsor Guarantor at any tme pays to the Department an amount less than the full amount then due and payable to the Department under this Agreement, without waiving any other rights in connecton therewith, the Department may allocate and apply such payment in any way or manner and for such purpose or purposes as the Department in its sole discreton determines, notwithstanding any instructon that the Sponsor Guarantor, the Recipient or any other Person may give to the contrary.</w:t>
      </w:r>
    </w:p>
    <w:p>
      <w:pPr>
        <w:spacing w:after="0" w:line="177"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8</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INFORMATION</w:t>
      </w:r>
    </w:p>
    <w:p>
      <w:pPr>
        <w:spacing w:after="0" w:line="198"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The Sponsor Guarantor assumes all responsibility for being and keeping itself informed of the fnancial conditon and assets of each Recipient, and of all other circumstances bearing upon the risk of nonpayment of the Department Obligatons and the nature, scope and extent of the risks that the Sponsor Guarantor assumes and incurs hereunder, and agrees that the Department will have no duty to advise the Sponsor Guarantor of informaton known to it or any of them regarding such circumstances or risks.</w:t>
      </w:r>
    </w:p>
    <w:p>
      <w:pPr>
        <w:spacing w:after="0" w:line="190"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9</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EQUITY CONTRIBUTION</w:t>
      </w:r>
    </w:p>
    <w:p>
      <w:pPr>
        <w:spacing w:after="0" w:line="184" w:lineRule="exact"/>
        <w:rPr>
          <w:sz w:val="20"/>
          <w:szCs w:val="20"/>
          <w:color w:val="auto"/>
        </w:rPr>
      </w:pPr>
    </w:p>
    <w:p>
      <w:pPr>
        <w:jc w:val="both"/>
        <w:ind w:firstLine="648"/>
        <w:spacing w:after="0" w:line="198" w:lineRule="auto"/>
        <w:rPr>
          <w:sz w:val="20"/>
          <w:szCs w:val="20"/>
          <w:color w:val="auto"/>
        </w:rPr>
      </w:pPr>
      <w:r>
        <w:rPr>
          <w:rFonts w:ascii="Calibri" w:cs="Calibri" w:eastAsia="Calibri" w:hAnsi="Calibri"/>
          <w:sz w:val="20"/>
          <w:szCs w:val="20"/>
          <w:color w:val="auto"/>
        </w:rPr>
        <w:t xml:space="preserve">Secton 9.1. </w:t>
      </w:r>
      <w:r>
        <w:rPr>
          <w:rFonts w:ascii="Calibri" w:cs="Calibri" w:eastAsia="Calibri" w:hAnsi="Calibri"/>
          <w:sz w:val="20"/>
          <w:szCs w:val="20"/>
          <w:b w:val="1"/>
          <w:bCs w:val="1"/>
          <w:color w:val="auto"/>
        </w:rPr>
        <w:t>Equity Contributons</w:t>
      </w:r>
      <w:r>
        <w:rPr>
          <w:rFonts w:ascii="Calibri" w:cs="Calibri" w:eastAsia="Calibri" w:hAnsi="Calibri"/>
          <w:sz w:val="20"/>
          <w:szCs w:val="20"/>
          <w:color w:val="auto"/>
        </w:rPr>
        <w:t>. The Sponsor Guarantor covenants and agrees that it shall make one or more Equity Contributons to each Recipient (a) to ensure that the Total Funding Available for each Project will be sufcient to pay all remaining Project Costs for such Project and to achieve the Project Completon Date for such Project by no later than the fnal Milestone Completon Longstop Date for such Project; (b) as and when required to enable each Recipient to fund Project Costs incurred by such Recipient in connecton with the relevant Project, as and when such Project Costs are due and payable, in each case, in accordance with the terms of the DFA, the Constructon and Tool Installaton Budget, the Task Based Schedule, and the Sources and Uses Plan; (c) to ensure that each Recipient will be able to pay its debts as they become due and maintain sufcient capital as is reasonably necessary to satsfy such Recipient’s current and antcipated obligatons; and (d) in order to satsfy each Recipient’s obligatons pursuant to Secton</w:t>
      </w:r>
    </w:p>
    <w:p>
      <w:pPr>
        <w:spacing w:after="0" w:line="199" w:lineRule="auto"/>
        <w:rPr>
          <w:sz w:val="20"/>
          <w:szCs w:val="20"/>
          <w:color w:val="auto"/>
        </w:rPr>
      </w:pPr>
      <w:r>
        <w:rPr>
          <w:rFonts w:ascii="Calibri" w:cs="Calibri" w:eastAsia="Calibri" w:hAnsi="Calibri"/>
          <w:sz w:val="20"/>
          <w:szCs w:val="20"/>
          <w:color w:val="auto"/>
        </w:rPr>
        <w:t>12.10 (</w:t>
      </w:r>
      <w:r>
        <w:rPr>
          <w:rFonts w:ascii="Calibri" w:cs="Calibri" w:eastAsia="Calibri" w:hAnsi="Calibri"/>
          <w:sz w:val="20"/>
          <w:szCs w:val="20"/>
          <w:b w:val="1"/>
          <w:bCs w:val="1"/>
          <w:color w:val="auto"/>
        </w:rPr>
        <w:t>Diligent Executon of Project</w:t>
      </w:r>
      <w:r>
        <w:rPr>
          <w:rFonts w:ascii="Calibri" w:cs="Calibri" w:eastAsia="Calibri" w:hAnsi="Calibri"/>
          <w:sz w:val="20"/>
          <w:szCs w:val="20"/>
          <w:color w:val="auto"/>
        </w:rPr>
        <w:t>).</w:t>
      </w:r>
    </w:p>
    <w:p>
      <w:pPr>
        <w:spacing w:after="0" w:line="184"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9.2. </w:t>
      </w:r>
      <w:r>
        <w:rPr>
          <w:rFonts w:ascii="Calibri" w:cs="Calibri" w:eastAsia="Calibri" w:hAnsi="Calibri"/>
          <w:sz w:val="20"/>
          <w:szCs w:val="20"/>
          <w:b w:val="1"/>
          <w:bCs w:val="1"/>
          <w:color w:val="auto"/>
        </w:rPr>
        <w:t>Mechanics for Funding Equity Contributons</w:t>
      </w:r>
      <w:r>
        <w:rPr>
          <w:rFonts w:ascii="Calibri" w:cs="Calibri" w:eastAsia="Calibri" w:hAnsi="Calibri"/>
          <w:sz w:val="20"/>
          <w:szCs w:val="20"/>
          <w:color w:val="auto"/>
        </w:rPr>
        <w:t>. The Sponsor Guarantor shall be enttled to make or efect, or cause to be made or efected, any Equity Contributon required pursuant to Secton 9.1 (</w:t>
      </w:r>
      <w:r>
        <w:rPr>
          <w:rFonts w:ascii="Calibri" w:cs="Calibri" w:eastAsia="Calibri" w:hAnsi="Calibri"/>
          <w:sz w:val="20"/>
          <w:szCs w:val="20"/>
          <w:b w:val="1"/>
          <w:bCs w:val="1"/>
          <w:color w:val="auto"/>
        </w:rPr>
        <w:t>Equity Contributons</w:t>
      </w:r>
      <w:r>
        <w:rPr>
          <w:rFonts w:ascii="Calibri" w:cs="Calibri" w:eastAsia="Calibri" w:hAnsi="Calibri"/>
          <w:sz w:val="20"/>
          <w:szCs w:val="20"/>
          <w:color w:val="auto"/>
        </w:rPr>
        <w:t>), through cash contributons or cash advances of Permited Shareholder Loans to each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384" w:right="339" w:bottom="1440" w:gutter="0" w:footer="0" w:header="0"/>
        </w:sectPr>
      </w:pPr>
    </w:p>
    <w:bookmarkStart w:id="549" w:name="page550"/>
    <w:bookmarkEnd w:id="549"/>
    <w:p>
      <w:pPr>
        <w:jc w:val="center"/>
        <w:ind w:right="500"/>
        <w:spacing w:after="0"/>
        <w:rPr>
          <w:sz w:val="20"/>
          <w:szCs w:val="20"/>
          <w:color w:val="auto"/>
        </w:rPr>
      </w:pPr>
      <w:r>
        <w:rPr>
          <w:rFonts w:ascii="Calibri" w:cs="Calibri" w:eastAsia="Calibri" w:hAnsi="Calibri"/>
          <w:sz w:val="20"/>
          <w:szCs w:val="20"/>
          <w:b w:val="1"/>
          <w:bCs w:val="1"/>
          <w:color w:val="auto"/>
        </w:rPr>
        <w:t>Artcle 10</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REPRESENTATIONS AND WARRANTIES</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The Sponsor Guarantor makes each of the following representatons and warrantes to and in favor of the Department as of</w:t>
      </w:r>
    </w:p>
    <w:p>
      <w:pPr>
        <w:spacing w:after="0" w:line="9" w:lineRule="exact"/>
        <w:rPr>
          <w:sz w:val="20"/>
          <w:szCs w:val="20"/>
          <w:color w:val="auto"/>
        </w:rPr>
      </w:pPr>
    </w:p>
    <w:p>
      <w:pPr>
        <w:jc w:val="both"/>
        <w:ind w:firstLine="8"/>
        <w:spacing w:after="0" w:line="230" w:lineRule="auto"/>
        <w:tabs>
          <w:tab w:leader="none" w:pos="297" w:val="left"/>
        </w:tabs>
        <w:numPr>
          <w:ilvl w:val="0"/>
          <w:numId w:val="702"/>
        </w:numPr>
        <w:rPr>
          <w:rFonts w:ascii="Calibri" w:cs="Calibri" w:eastAsia="Calibri" w:hAnsi="Calibri"/>
          <w:sz w:val="20"/>
          <w:szCs w:val="20"/>
          <w:color w:val="auto"/>
        </w:rPr>
      </w:pPr>
      <w:r>
        <w:rPr>
          <w:rFonts w:ascii="Calibri" w:cs="Calibri" w:eastAsia="Calibri" w:hAnsi="Calibri"/>
          <w:sz w:val="20"/>
          <w:szCs w:val="20"/>
          <w:color w:val="auto"/>
        </w:rPr>
        <w:t>the applicable Award Date; (b) each Disbursement Date; and (c) each Project Completon Date, as applicable (in all cases, both immediately before and immediately afer giving efect to the Disbursements, if any, being made on such date), except as such representatons and warrantes are expressly made as to an earlier date, in which case such representatons and warrantes will be true as of such earlier date:</w:t>
      </w:r>
    </w:p>
    <w:p>
      <w:pPr>
        <w:spacing w:after="0" w:line="188"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10.1.</w:t>
      </w:r>
      <w:r>
        <w:rPr>
          <w:sz w:val="20"/>
          <w:szCs w:val="20"/>
          <w:color w:val="auto"/>
        </w:rPr>
        <w:tab/>
      </w:r>
      <w:r>
        <w:rPr>
          <w:rFonts w:ascii="Calibri" w:cs="Calibri" w:eastAsia="Calibri" w:hAnsi="Calibri"/>
          <w:sz w:val="20"/>
          <w:szCs w:val="20"/>
          <w:b w:val="1"/>
          <w:bCs w:val="1"/>
          <w:color w:val="auto"/>
        </w:rPr>
        <w:t>Organizaton</w:t>
      </w:r>
      <w:r>
        <w:rPr>
          <w:rFonts w:ascii="Calibri" w:cs="Calibri" w:eastAsia="Calibri" w:hAnsi="Calibri"/>
          <w:sz w:val="20"/>
          <w:szCs w:val="20"/>
          <w:color w:val="auto"/>
        </w:rPr>
        <w:t>. The Sponsor Guarantor:</w:t>
      </w:r>
    </w:p>
    <w:p>
      <w:pPr>
        <w:spacing w:after="0" w:line="167" w:lineRule="exact"/>
        <w:rPr>
          <w:sz w:val="20"/>
          <w:szCs w:val="20"/>
          <w:color w:val="auto"/>
        </w:rPr>
      </w:pPr>
    </w:p>
    <w:p>
      <w:pPr>
        <w:ind w:left="2600" w:hanging="648"/>
        <w:spacing w:after="0"/>
        <w:tabs>
          <w:tab w:leader="none" w:pos="2600" w:val="left"/>
        </w:tabs>
        <w:numPr>
          <w:ilvl w:val="0"/>
          <w:numId w:val="703"/>
        </w:numPr>
        <w:rPr>
          <w:rFonts w:ascii="Calibri" w:cs="Calibri" w:eastAsia="Calibri" w:hAnsi="Calibri"/>
          <w:sz w:val="20"/>
          <w:szCs w:val="20"/>
          <w:color w:val="auto"/>
        </w:rPr>
      </w:pPr>
      <w:r>
        <w:rPr>
          <w:rFonts w:ascii="Calibri" w:cs="Calibri" w:eastAsia="Calibri" w:hAnsi="Calibri"/>
          <w:sz w:val="20"/>
          <w:szCs w:val="20"/>
          <w:color w:val="auto"/>
        </w:rPr>
        <w:t>is a corporaton, duly organized, validly existng and in good standing under the laws of the State of</w:t>
      </w:r>
    </w:p>
    <w:p>
      <w:pPr>
        <w:spacing w:after="0" w:line="193" w:lineRule="auto"/>
        <w:rPr>
          <w:sz w:val="20"/>
          <w:szCs w:val="20"/>
          <w:color w:val="auto"/>
        </w:rPr>
      </w:pPr>
      <w:r>
        <w:rPr>
          <w:rFonts w:ascii="Calibri" w:cs="Calibri" w:eastAsia="Calibri" w:hAnsi="Calibri"/>
          <w:sz w:val="20"/>
          <w:szCs w:val="20"/>
          <w:color w:val="auto"/>
        </w:rPr>
        <w:t>Delaware;</w:t>
      </w:r>
    </w:p>
    <w:p>
      <w:pPr>
        <w:spacing w:after="0" w:line="184" w:lineRule="exact"/>
        <w:rPr>
          <w:sz w:val="20"/>
          <w:szCs w:val="20"/>
          <w:color w:val="auto"/>
        </w:rPr>
      </w:pPr>
    </w:p>
    <w:p>
      <w:pPr>
        <w:ind w:firstLine="1952"/>
        <w:spacing w:after="0" w:line="214" w:lineRule="auto"/>
        <w:tabs>
          <w:tab w:leader="none" w:pos="2592" w:val="left"/>
        </w:tabs>
        <w:numPr>
          <w:ilvl w:val="0"/>
          <w:numId w:val="704"/>
        </w:numPr>
        <w:rPr>
          <w:rFonts w:ascii="Calibri" w:cs="Calibri" w:eastAsia="Calibri" w:hAnsi="Calibri"/>
          <w:sz w:val="20"/>
          <w:szCs w:val="20"/>
          <w:color w:val="auto"/>
        </w:rPr>
      </w:pPr>
      <w:r>
        <w:rPr>
          <w:rFonts w:ascii="Calibri" w:cs="Calibri" w:eastAsia="Calibri" w:hAnsi="Calibri"/>
          <w:sz w:val="20"/>
          <w:szCs w:val="20"/>
          <w:color w:val="auto"/>
        </w:rPr>
        <w:t>is duly qualifed to do business in the States of New York, Idaho and Delaware and in each other jurisdicton where the failure to so qualify would reasonably be expected to have a Material Adverse Efect; and</w:t>
      </w:r>
    </w:p>
    <w:p>
      <w:pPr>
        <w:spacing w:after="0" w:line="172"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704"/>
        </w:numPr>
        <w:rPr>
          <w:rFonts w:ascii="Calibri" w:cs="Calibri" w:eastAsia="Calibri" w:hAnsi="Calibri"/>
          <w:sz w:val="20"/>
          <w:szCs w:val="20"/>
          <w:color w:val="auto"/>
        </w:rPr>
      </w:pPr>
      <w:r>
        <w:rPr>
          <w:rFonts w:ascii="Calibri" w:cs="Calibri" w:eastAsia="Calibri" w:hAnsi="Calibri"/>
          <w:sz w:val="20"/>
          <w:szCs w:val="20"/>
          <w:color w:val="auto"/>
        </w:rPr>
        <w:t>has all requisite company power and authority to (i) carry on its business as now being conducted and as proposed to be conducted in respect of each Project; and (ii) execute, deliver, perform and observe the terms and conditons of this Agreement.</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10.2.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The Sponsor Guarantor has duly authorized, executed and delivered this Agreement, and neither its executon and delivery thereof nor its consummaton of the transactons contemplated hereby nor its compliance with the terms of this Agreement does or will:</w:t>
      </w:r>
    </w:p>
    <w:p>
      <w:pPr>
        <w:spacing w:after="0" w:line="162" w:lineRule="exact"/>
        <w:rPr>
          <w:sz w:val="20"/>
          <w:szCs w:val="20"/>
          <w:color w:val="auto"/>
        </w:rPr>
      </w:pPr>
    </w:p>
    <w:p>
      <w:pPr>
        <w:ind w:left="2600" w:hanging="648"/>
        <w:spacing w:after="0"/>
        <w:tabs>
          <w:tab w:leader="none" w:pos="2600" w:val="left"/>
        </w:tabs>
        <w:numPr>
          <w:ilvl w:val="0"/>
          <w:numId w:val="705"/>
        </w:numPr>
        <w:rPr>
          <w:rFonts w:ascii="Calibri" w:cs="Calibri" w:eastAsia="Calibri" w:hAnsi="Calibri"/>
          <w:sz w:val="20"/>
          <w:szCs w:val="20"/>
          <w:color w:val="auto"/>
        </w:rPr>
      </w:pPr>
      <w:r>
        <w:rPr>
          <w:rFonts w:ascii="Calibri" w:cs="Calibri" w:eastAsia="Calibri" w:hAnsi="Calibri"/>
          <w:sz w:val="20"/>
          <w:szCs w:val="20"/>
          <w:color w:val="auto"/>
        </w:rPr>
        <w:t>contravene its Organizatonal Documents or any Applicable Laws in any material respects;</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05"/>
        </w:numPr>
        <w:rPr>
          <w:rFonts w:ascii="Calibri" w:cs="Calibri" w:eastAsia="Calibri" w:hAnsi="Calibri"/>
          <w:sz w:val="20"/>
          <w:szCs w:val="20"/>
          <w:color w:val="auto"/>
        </w:rPr>
      </w:pPr>
      <w:r>
        <w:rPr>
          <w:rFonts w:ascii="Calibri" w:cs="Calibri" w:eastAsia="Calibri" w:hAnsi="Calibri"/>
          <w:sz w:val="20"/>
          <w:szCs w:val="20"/>
          <w:color w:val="auto"/>
        </w:rPr>
        <w:t>contravene or result in any breach or consttute any default under any material Governmental Judgment;</w:t>
      </w:r>
    </w:p>
    <w:p>
      <w:pPr>
        <w:spacing w:after="0" w:line="170" w:lineRule="exact"/>
        <w:rPr>
          <w:rFonts w:ascii="Calibri" w:cs="Calibri" w:eastAsia="Calibri" w:hAnsi="Calibri"/>
          <w:sz w:val="20"/>
          <w:szCs w:val="20"/>
          <w:color w:val="auto"/>
        </w:rPr>
      </w:pPr>
    </w:p>
    <w:p>
      <w:pPr>
        <w:ind w:firstLine="1952"/>
        <w:spacing w:after="0" w:line="214" w:lineRule="auto"/>
        <w:tabs>
          <w:tab w:leader="none" w:pos="2584" w:val="left"/>
        </w:tabs>
        <w:numPr>
          <w:ilvl w:val="0"/>
          <w:numId w:val="705"/>
        </w:numPr>
        <w:rPr>
          <w:rFonts w:ascii="Calibri" w:cs="Calibri" w:eastAsia="Calibri" w:hAnsi="Calibri"/>
          <w:sz w:val="20"/>
          <w:szCs w:val="20"/>
          <w:color w:val="auto"/>
        </w:rPr>
      </w:pPr>
      <w:r>
        <w:rPr>
          <w:rFonts w:ascii="Calibri" w:cs="Calibri" w:eastAsia="Calibri" w:hAnsi="Calibri"/>
          <w:sz w:val="20"/>
          <w:szCs w:val="20"/>
          <w:color w:val="auto"/>
        </w:rPr>
        <w:t>contravene or result in any breach or consttute any default under any material agreement or instrument to which it is a party or by which it or any of its material Propertes related to any Project may be bound; or</w:t>
      </w:r>
    </w:p>
    <w:p>
      <w:pPr>
        <w:spacing w:after="0" w:line="185" w:lineRule="exact"/>
        <w:rPr>
          <w:rFonts w:ascii="Calibri" w:cs="Calibri" w:eastAsia="Calibri" w:hAnsi="Calibri"/>
          <w:sz w:val="20"/>
          <w:szCs w:val="20"/>
          <w:color w:val="auto"/>
        </w:rPr>
      </w:pPr>
    </w:p>
    <w:p>
      <w:pPr>
        <w:ind w:firstLine="1952"/>
        <w:spacing w:after="0" w:line="208" w:lineRule="auto"/>
        <w:tabs>
          <w:tab w:leader="none" w:pos="2592" w:val="left"/>
        </w:tabs>
        <w:numPr>
          <w:ilvl w:val="0"/>
          <w:numId w:val="705"/>
        </w:numPr>
        <w:rPr>
          <w:rFonts w:ascii="Calibri" w:cs="Calibri" w:eastAsia="Calibri" w:hAnsi="Calibri"/>
          <w:sz w:val="20"/>
          <w:szCs w:val="20"/>
          <w:color w:val="auto"/>
        </w:rPr>
      </w:pPr>
      <w:r>
        <w:rPr>
          <w:rFonts w:ascii="Calibri" w:cs="Calibri" w:eastAsia="Calibri" w:hAnsi="Calibri"/>
          <w:sz w:val="20"/>
          <w:szCs w:val="20"/>
          <w:color w:val="auto"/>
        </w:rPr>
        <w:t>require any material consent or approval of any Person other than the Required Approvals and any other consents or approvals that have been obtained and are in full force and efect.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10.3.</w:t>
      </w:r>
      <w:r>
        <w:rPr>
          <w:sz w:val="20"/>
          <w:szCs w:val="20"/>
          <w:color w:val="auto"/>
        </w:rPr>
        <w:tab/>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The Sponsor Guarantor has conducted and is conductng its business in compliance with:</w:t>
      </w:r>
    </w:p>
    <w:p>
      <w:pPr>
        <w:spacing w:after="0" w:line="174" w:lineRule="exact"/>
        <w:rPr>
          <w:sz w:val="20"/>
          <w:szCs w:val="20"/>
          <w:color w:val="auto"/>
        </w:rPr>
      </w:pPr>
    </w:p>
    <w:p>
      <w:pPr>
        <w:ind w:left="2600" w:hanging="648"/>
        <w:spacing w:after="0"/>
        <w:tabs>
          <w:tab w:leader="none" w:pos="2600" w:val="left"/>
        </w:tabs>
        <w:numPr>
          <w:ilvl w:val="0"/>
          <w:numId w:val="706"/>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706"/>
        </w:numPr>
        <w:rPr>
          <w:rFonts w:ascii="Calibri" w:cs="Calibri" w:eastAsia="Calibri" w:hAnsi="Calibri"/>
          <w:sz w:val="20"/>
          <w:szCs w:val="20"/>
          <w:color w:val="auto"/>
        </w:rPr>
      </w:pPr>
      <w:r>
        <w:rPr>
          <w:rFonts w:ascii="Calibri" w:cs="Calibri" w:eastAsia="Calibri" w:hAnsi="Calibri"/>
          <w:sz w:val="20"/>
          <w:szCs w:val="20"/>
          <w:color w:val="auto"/>
        </w:rPr>
        <w:t xml:space="preserve">the Program Fraud Civil Remedies Act (31 U.S.C. § 3801 </w:t>
      </w:r>
      <w:r>
        <w:rPr>
          <w:rFonts w:ascii="Calibri" w:cs="Calibri" w:eastAsia="Calibri" w:hAnsi="Calibri"/>
          <w:sz w:val="20"/>
          <w:szCs w:val="20"/>
          <w:i w:val="1"/>
          <w:iCs w:val="1"/>
          <w:color w:val="auto"/>
        </w:rPr>
        <w:t>et seq.</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06"/>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06"/>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706"/>
        </w:numPr>
        <w:rPr>
          <w:rFonts w:ascii="Calibri" w:cs="Calibri" w:eastAsia="Calibri" w:hAnsi="Calibri"/>
          <w:sz w:val="20"/>
          <w:szCs w:val="20"/>
          <w:color w:val="auto"/>
        </w:rPr>
      </w:pPr>
      <w:r>
        <w:rPr>
          <w:rFonts w:ascii="Calibri" w:cs="Calibri" w:eastAsia="Calibri" w:hAnsi="Calibri"/>
          <w:sz w:val="20"/>
          <w:szCs w:val="20"/>
          <w:color w:val="auto"/>
        </w:rPr>
        <w:t>the Civil False Claims Act (31 U.S.C. §§ 3729 - 3733);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374" w:right="339" w:bottom="1440" w:gutter="0" w:footer="0" w:header="0"/>
        </w:sectPr>
      </w:pPr>
    </w:p>
    <w:bookmarkStart w:id="550" w:name="page551"/>
    <w:bookmarkEnd w:id="550"/>
    <w:p>
      <w:pPr>
        <w:ind w:left="2600" w:hanging="648"/>
        <w:spacing w:after="0"/>
        <w:tabs>
          <w:tab w:leader="none" w:pos="2600" w:val="left"/>
        </w:tabs>
        <w:numPr>
          <w:ilvl w:val="0"/>
          <w:numId w:val="707"/>
        </w:numPr>
        <w:rPr>
          <w:rFonts w:ascii="Calibri" w:cs="Calibri" w:eastAsia="Calibri" w:hAnsi="Calibri"/>
          <w:sz w:val="20"/>
          <w:szCs w:val="20"/>
          <w:color w:val="auto"/>
        </w:rPr>
      </w:pPr>
      <w:r>
        <w:rPr>
          <w:rFonts w:ascii="Calibri" w:cs="Calibri" w:eastAsia="Calibri" w:hAnsi="Calibri"/>
          <w:sz w:val="20"/>
          <w:szCs w:val="20"/>
          <w:color w:val="auto"/>
        </w:rPr>
        <w:t xml:space="preserve">the Uniform Relocaton Assistance and Real Property Acquisiton Policies Act of 1970 (42 U.S.C. § 4601 </w:t>
      </w:r>
      <w:r>
        <w:rPr>
          <w:rFonts w:ascii="Calibri" w:cs="Calibri" w:eastAsia="Calibri" w:hAnsi="Calibri"/>
          <w:sz w:val="20"/>
          <w:szCs w:val="20"/>
          <w:i w:val="1"/>
          <w:iCs w:val="1"/>
          <w:color w:val="auto"/>
        </w:rPr>
        <w:t>et</w:t>
      </w:r>
    </w:p>
    <w:p>
      <w:pPr>
        <w:spacing w:after="0" w:line="199" w:lineRule="auto"/>
        <w:rPr>
          <w:rFonts w:ascii="Calibri" w:cs="Calibri" w:eastAsia="Calibri" w:hAnsi="Calibri"/>
          <w:sz w:val="20"/>
          <w:szCs w:val="20"/>
          <w:color w:val="auto"/>
        </w:rPr>
      </w:pPr>
      <w:r>
        <w:rPr>
          <w:rFonts w:ascii="Calibri" w:cs="Calibri" w:eastAsia="Calibri" w:hAnsi="Calibri"/>
          <w:sz w:val="20"/>
          <w:szCs w:val="20"/>
          <w:i w:val="1"/>
          <w:iCs w:val="1"/>
          <w:color w:val="auto"/>
        </w:rPr>
        <w:t>seq</w:t>
      </w:r>
      <w:r>
        <w:rPr>
          <w:rFonts w:ascii="Calibri" w:cs="Calibri" w:eastAsia="Calibri" w:hAnsi="Calibri"/>
          <w:sz w:val="20"/>
          <w:szCs w:val="20"/>
          <w:color w:val="auto"/>
        </w:rPr>
        <w:t>.) in all material respects;</w:t>
      </w:r>
    </w:p>
    <w:p>
      <w:pPr>
        <w:spacing w:after="0" w:line="170" w:lineRule="exact"/>
        <w:rPr>
          <w:rFonts w:ascii="Calibri" w:cs="Calibri" w:eastAsia="Calibri" w:hAnsi="Calibri"/>
          <w:sz w:val="20"/>
          <w:szCs w:val="20"/>
          <w:color w:val="auto"/>
        </w:rPr>
      </w:pPr>
    </w:p>
    <w:p>
      <w:pPr>
        <w:jc w:val="both"/>
        <w:ind w:firstLine="1952"/>
        <w:spacing w:after="0" w:line="209" w:lineRule="auto"/>
        <w:tabs>
          <w:tab w:leader="none" w:pos="2595" w:val="left"/>
        </w:tabs>
        <w:numPr>
          <w:ilvl w:val="0"/>
          <w:numId w:val="707"/>
        </w:numPr>
        <w:rPr>
          <w:rFonts w:ascii="Calibri" w:cs="Calibri" w:eastAsia="Calibri" w:hAnsi="Calibri"/>
          <w:sz w:val="20"/>
          <w:szCs w:val="20"/>
          <w:color w:val="auto"/>
        </w:rPr>
      </w:pPr>
      <w:r>
        <w:rPr>
          <w:rFonts w:ascii="Calibri" w:cs="Calibri" w:eastAsia="Calibri" w:hAnsi="Calibri"/>
          <w:sz w:val="20"/>
          <w:szCs w:val="20"/>
          <w:color w:val="auto"/>
        </w:rPr>
        <w:t xml:space="preserve">all applicable federal labor and employment laws, including Title VII of the Civil Rights Act of 1964 (42 U.S.C. § 2000e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the Fair Labor Standards Act (29 U.S.C. § 203), the Occupatonal Safety and Health Act (29 U.S.C. § 653) and the Natonal Labor Relatons Act (29 U.S.C. § 151 </w:t>
      </w:r>
      <w:r>
        <w:rPr>
          <w:rFonts w:ascii="Calibri" w:cs="Calibri" w:eastAsia="Calibri" w:hAnsi="Calibri"/>
          <w:sz w:val="20"/>
          <w:szCs w:val="20"/>
          <w:i w:val="1"/>
          <w:iCs w:val="1"/>
          <w:color w:val="auto"/>
        </w:rPr>
        <w:t>et seq</w:t>
      </w:r>
      <w:r>
        <w:rPr>
          <w:rFonts w:ascii="Calibri" w:cs="Calibri" w:eastAsia="Calibri" w:hAnsi="Calibri"/>
          <w:sz w:val="20"/>
          <w:szCs w:val="20"/>
          <w:color w:val="auto"/>
        </w:rPr>
        <w:t>.) in all material respects;</w:t>
      </w:r>
    </w:p>
    <w:p>
      <w:pPr>
        <w:spacing w:after="0" w:line="172"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707"/>
        </w:numPr>
        <w:rPr>
          <w:rFonts w:ascii="Calibri" w:cs="Calibri" w:eastAsia="Calibri" w:hAnsi="Calibri"/>
          <w:sz w:val="20"/>
          <w:szCs w:val="20"/>
          <w:color w:val="auto"/>
        </w:rPr>
      </w:pPr>
      <w:r>
        <w:rPr>
          <w:rFonts w:ascii="Calibri" w:cs="Calibri" w:eastAsia="Calibri" w:hAnsi="Calibri"/>
          <w:sz w:val="20"/>
          <w:szCs w:val="20"/>
          <w:color w:val="auto"/>
        </w:rPr>
        <w:t>all applicable Export Control Laws in all respects, except for any actual or potental violatons that involve only unintentonal minor, technical infractons, which either (i) were voluntarily self-disclosed to BIS within sixty (60) days of the Recipient Party becoming aware of the violaton, and, within sixty (60) days of disclosure resulted in the issuance of a warning or no acton leter by BIS; or (ii) otherwise could not reasonably be expected to give rise to an enforcement acton, or the impositon of any fne or penalty by any Governmental Authority; and</w:t>
      </w:r>
    </w:p>
    <w:p>
      <w:pPr>
        <w:spacing w:after="0" w:line="187" w:lineRule="exact"/>
        <w:rPr>
          <w:rFonts w:ascii="Calibri" w:cs="Calibri" w:eastAsia="Calibri" w:hAnsi="Calibri"/>
          <w:sz w:val="20"/>
          <w:szCs w:val="20"/>
          <w:color w:val="auto"/>
        </w:rPr>
      </w:pPr>
    </w:p>
    <w:p>
      <w:pPr>
        <w:jc w:val="both"/>
        <w:ind w:firstLine="1952"/>
        <w:spacing w:after="0" w:line="203" w:lineRule="auto"/>
        <w:tabs>
          <w:tab w:leader="none" w:pos="2586" w:val="left"/>
        </w:tabs>
        <w:numPr>
          <w:ilvl w:val="0"/>
          <w:numId w:val="707"/>
        </w:numPr>
        <w:rPr>
          <w:rFonts w:ascii="Calibri" w:cs="Calibri" w:eastAsia="Calibri" w:hAnsi="Calibri"/>
          <w:sz w:val="20"/>
          <w:szCs w:val="20"/>
          <w:color w:val="auto"/>
        </w:rPr>
      </w:pPr>
      <w:r>
        <w:rPr>
          <w:rFonts w:ascii="Calibri" w:cs="Calibri" w:eastAsia="Calibri" w:hAnsi="Calibri"/>
          <w:sz w:val="20"/>
          <w:szCs w:val="20"/>
          <w:color w:val="auto"/>
        </w:rPr>
        <w:t>without prejudice to Secton 10.2 (</w:t>
      </w:r>
      <w:r>
        <w:rPr>
          <w:rFonts w:ascii="Calibri" w:cs="Calibri" w:eastAsia="Calibri" w:hAnsi="Calibri"/>
          <w:sz w:val="20"/>
          <w:szCs w:val="20"/>
          <w:b w:val="1"/>
          <w:bCs w:val="1"/>
          <w:color w:val="auto"/>
        </w:rPr>
        <w:t>Authorizaton; No Confict</w:t>
      </w:r>
      <w:r>
        <w:rPr>
          <w:rFonts w:ascii="Calibri" w:cs="Calibri" w:eastAsia="Calibri" w:hAnsi="Calibri"/>
          <w:sz w:val="20"/>
          <w:szCs w:val="20"/>
          <w:color w:val="auto"/>
        </w:rPr>
        <w:t>), this Secton 10.3 (</w:t>
      </w:r>
      <w:r>
        <w:rPr>
          <w:rFonts w:ascii="Calibri" w:cs="Calibri" w:eastAsia="Calibri" w:hAnsi="Calibri"/>
          <w:sz w:val="20"/>
          <w:szCs w:val="20"/>
          <w:b w:val="1"/>
          <w:bCs w:val="1"/>
          <w:color w:val="auto"/>
        </w:rPr>
        <w:t>Compliance with Laws</w:t>
      </w:r>
      <w:r>
        <w:rPr>
          <w:rFonts w:ascii="Calibri" w:cs="Calibri" w:eastAsia="Calibri" w:hAnsi="Calibri"/>
          <w:sz w:val="20"/>
          <w:szCs w:val="20"/>
          <w:color w:val="auto"/>
        </w:rPr>
        <w:t>), Secton 10.8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 Secton 10.9 (</w:t>
      </w:r>
      <w:r>
        <w:rPr>
          <w:rFonts w:ascii="Calibri" w:cs="Calibri" w:eastAsia="Calibri" w:hAnsi="Calibri"/>
          <w:sz w:val="20"/>
          <w:szCs w:val="20"/>
          <w:b w:val="1"/>
          <w:bCs w:val="1"/>
          <w:color w:val="auto"/>
        </w:rPr>
        <w:t>Foreign Entty of Concern; Prohibited Persons; Sanctons; Export Controls; Ant-Corrupton; Ant-Money Laundering Laws</w:t>
      </w:r>
      <w:r>
        <w:rPr>
          <w:rFonts w:ascii="Calibri" w:cs="Calibri" w:eastAsia="Calibri" w:hAnsi="Calibri"/>
          <w:sz w:val="20"/>
          <w:szCs w:val="20"/>
          <w:color w:val="auto"/>
        </w:rPr>
        <w:t>), and Secton 10.17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with all other Applicable Laws, Required Approvals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its Organizatonal Documents in all material respects.</w:t>
      </w:r>
    </w:p>
    <w:p>
      <w:pPr>
        <w:spacing w:after="0" w:line="173"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10.4. </w:t>
      </w:r>
      <w:r>
        <w:rPr>
          <w:rFonts w:ascii="Calibri" w:cs="Calibri" w:eastAsia="Calibri" w:hAnsi="Calibri"/>
          <w:sz w:val="20"/>
          <w:szCs w:val="20"/>
          <w:b w:val="1"/>
          <w:bCs w:val="1"/>
          <w:color w:val="auto"/>
        </w:rPr>
        <w:t>Legality; Validity; Enforceability</w:t>
      </w:r>
      <w:r>
        <w:rPr>
          <w:rFonts w:ascii="Calibri" w:cs="Calibri" w:eastAsia="Calibri" w:hAnsi="Calibri"/>
          <w:sz w:val="20"/>
          <w:szCs w:val="20"/>
          <w:color w:val="auto"/>
        </w:rPr>
        <w:t>. This Agreement consttutes a legal, valid and binding obligaton of the Sponsor Guarantor, enforceable against the Sponsor Guarantor in accordance with its terms, except as such enforceability may be limited by bankruptcy, insolvency, reorganizaton, receivership, moratorium or other Applicable Laws afectng creditors’ rights generally and by general principles of equity (whether enforcement is sought by proceedings in equity or at law).</w:t>
      </w:r>
    </w:p>
    <w:p>
      <w:pPr>
        <w:spacing w:after="0" w:line="177"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10.5.</w:t>
      </w:r>
      <w:r>
        <w:rPr>
          <w:sz w:val="20"/>
          <w:szCs w:val="20"/>
          <w:color w:val="auto"/>
        </w:rPr>
        <w:tab/>
      </w:r>
      <w:r>
        <w:rPr>
          <w:rFonts w:ascii="Calibri" w:cs="Calibri" w:eastAsia="Calibri" w:hAnsi="Calibri"/>
          <w:sz w:val="20"/>
          <w:szCs w:val="20"/>
          <w:b w:val="1"/>
          <w:bCs w:val="1"/>
          <w:color w:val="auto"/>
        </w:rPr>
        <w:t>Real Property</w:t>
      </w:r>
      <w:r>
        <w:rPr>
          <w:rFonts w:ascii="Calibri" w:cs="Calibri" w:eastAsia="Calibri" w:hAnsi="Calibri"/>
          <w:sz w:val="20"/>
          <w:szCs w:val="20"/>
          <w:color w:val="auto"/>
        </w:rPr>
        <w:t>. Solely with respect to the ID Project:</w:t>
      </w:r>
    </w:p>
    <w:p>
      <w:pPr>
        <w:spacing w:after="0" w:line="161" w:lineRule="exact"/>
        <w:rPr>
          <w:sz w:val="20"/>
          <w:szCs w:val="20"/>
          <w:color w:val="auto"/>
        </w:rPr>
      </w:pPr>
    </w:p>
    <w:p>
      <w:pPr>
        <w:ind w:left="2600" w:hanging="648"/>
        <w:spacing w:after="0"/>
        <w:tabs>
          <w:tab w:leader="none" w:pos="2600" w:val="left"/>
        </w:tabs>
        <w:numPr>
          <w:ilvl w:val="0"/>
          <w:numId w:val="708"/>
        </w:numPr>
        <w:rPr>
          <w:rFonts w:ascii="Calibri" w:cs="Calibri" w:eastAsia="Calibri" w:hAnsi="Calibri"/>
          <w:sz w:val="20"/>
          <w:szCs w:val="20"/>
          <w:color w:val="auto"/>
        </w:rPr>
      </w:pPr>
      <w:r>
        <w:rPr>
          <w:rFonts w:ascii="Calibri" w:cs="Calibri" w:eastAsia="Calibri" w:hAnsi="Calibri"/>
          <w:sz w:val="20"/>
          <w:szCs w:val="20"/>
          <w:color w:val="auto"/>
        </w:rPr>
        <w:t>the Sponsor Guarantor owns and has valid legal and benefcial ttle to all real property interests in the</w:t>
      </w:r>
    </w:p>
    <w:p>
      <w:pPr>
        <w:spacing w:after="0" w:line="199" w:lineRule="auto"/>
        <w:rPr>
          <w:sz w:val="20"/>
          <w:szCs w:val="20"/>
          <w:color w:val="auto"/>
        </w:rPr>
      </w:pPr>
      <w:r>
        <w:rPr>
          <w:rFonts w:ascii="Calibri" w:cs="Calibri" w:eastAsia="Calibri" w:hAnsi="Calibri"/>
          <w:sz w:val="20"/>
          <w:szCs w:val="20"/>
          <w:color w:val="auto"/>
        </w:rPr>
        <w:t>Project Site.</w:t>
      </w:r>
    </w:p>
    <w:p>
      <w:pPr>
        <w:spacing w:after="0" w:line="184" w:lineRule="exact"/>
        <w:rPr>
          <w:sz w:val="20"/>
          <w:szCs w:val="20"/>
          <w:color w:val="auto"/>
        </w:rPr>
      </w:pPr>
    </w:p>
    <w:p>
      <w:pPr>
        <w:jc w:val="both"/>
        <w:ind w:firstLine="1952"/>
        <w:spacing w:after="0" w:line="203" w:lineRule="auto"/>
        <w:tabs>
          <w:tab w:leader="none" w:pos="2592" w:val="left"/>
        </w:tabs>
        <w:numPr>
          <w:ilvl w:val="0"/>
          <w:numId w:val="709"/>
        </w:numPr>
        <w:rPr>
          <w:rFonts w:ascii="Calibri" w:cs="Calibri" w:eastAsia="Calibri" w:hAnsi="Calibri"/>
          <w:sz w:val="20"/>
          <w:szCs w:val="20"/>
          <w:color w:val="auto"/>
        </w:rPr>
      </w:pPr>
      <w:r>
        <w:rPr>
          <w:rFonts w:ascii="Calibri" w:cs="Calibri" w:eastAsia="Calibri" w:hAnsi="Calibri"/>
          <w:sz w:val="20"/>
          <w:szCs w:val="20"/>
          <w:color w:val="auto"/>
        </w:rPr>
        <w:t>all material easements, leasehold and other property interests and utlity and other services, means of transportaton, facilites, other materials and rights held that are reasonably necessary for the constructon, completon and operaton of the Project have been obtained or are commercially available to the Project at the Project Site as and when required to have been obtained for the Project.</w:t>
      </w:r>
    </w:p>
    <w:p>
      <w:pPr>
        <w:spacing w:after="0" w:line="173" w:lineRule="exact"/>
        <w:rPr>
          <w:rFonts w:ascii="Calibri" w:cs="Calibri" w:eastAsia="Calibri" w:hAnsi="Calibri"/>
          <w:sz w:val="20"/>
          <w:szCs w:val="20"/>
          <w:color w:val="auto"/>
        </w:rPr>
      </w:pPr>
    </w:p>
    <w:p>
      <w:pPr>
        <w:jc w:val="both"/>
        <w:ind w:firstLine="1952"/>
        <w:spacing w:after="0" w:line="209" w:lineRule="auto"/>
        <w:tabs>
          <w:tab w:leader="none" w:pos="2584" w:val="left"/>
        </w:tabs>
        <w:numPr>
          <w:ilvl w:val="0"/>
          <w:numId w:val="709"/>
        </w:numPr>
        <w:rPr>
          <w:rFonts w:ascii="Calibri" w:cs="Calibri" w:eastAsia="Calibri" w:hAnsi="Calibri"/>
          <w:sz w:val="20"/>
          <w:szCs w:val="20"/>
          <w:color w:val="auto"/>
        </w:rPr>
      </w:pPr>
      <w:r>
        <w:rPr>
          <w:rFonts w:ascii="Calibri" w:cs="Calibri" w:eastAsia="Calibri" w:hAnsi="Calibri"/>
          <w:sz w:val="20"/>
          <w:szCs w:val="20"/>
          <w:color w:val="auto"/>
        </w:rPr>
        <w:t>to the Sponsor Guarantor’s Knowledge, the Project Site is sufcient and appropriate in all material respects for the development, sitng, design, engineering, constructon, ownership, operaton, maintenance and use of the Project as contemplated by the Award Documents.</w:t>
      </w:r>
    </w:p>
    <w:p>
      <w:pPr>
        <w:spacing w:after="0" w:line="172"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709"/>
        </w:numPr>
        <w:rPr>
          <w:rFonts w:ascii="Calibri" w:cs="Calibri" w:eastAsia="Calibri" w:hAnsi="Calibri"/>
          <w:sz w:val="20"/>
          <w:szCs w:val="20"/>
          <w:color w:val="auto"/>
        </w:rPr>
      </w:pPr>
      <w:r>
        <w:rPr>
          <w:rFonts w:ascii="Calibri" w:cs="Calibri" w:eastAsia="Calibri" w:hAnsi="Calibri"/>
          <w:sz w:val="20"/>
          <w:szCs w:val="20"/>
          <w:color w:val="auto"/>
        </w:rPr>
        <w:t>all of the improvements on the Project Site lie wholly within the boundaries and building restricton lines of the Project Site, and no improvements on adjoining propertes encroach upon the Project Site, and no improvements on the Project Site encroach upon or violate any easements or other encumbrances upon the Project Site, in each case, so as to materially impair the development, constructon, operaton, or use by (or for the beneft of) the Recipient of the Project Site for the Project.</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86" w:val="left"/>
        </w:tabs>
        <w:numPr>
          <w:ilvl w:val="0"/>
          <w:numId w:val="709"/>
        </w:numPr>
        <w:rPr>
          <w:rFonts w:ascii="Calibri" w:cs="Calibri" w:eastAsia="Calibri" w:hAnsi="Calibri"/>
          <w:sz w:val="20"/>
          <w:szCs w:val="20"/>
          <w:color w:val="auto"/>
        </w:rPr>
      </w:pPr>
      <w:r>
        <w:rPr>
          <w:rFonts w:ascii="Calibri" w:cs="Calibri" w:eastAsia="Calibri" w:hAnsi="Calibri"/>
          <w:sz w:val="20"/>
          <w:szCs w:val="20"/>
          <w:color w:val="auto"/>
        </w:rPr>
        <w:t>No condemnaton or adverse zoning or usage change proceeding has occurred or has been threatened against any of the Real Property that would reasonably be expected to materially impair the development, constructon, operaton, access to or use by (or for the beneft of) the Recipient of the Project Site for the Project.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10.6.</w:t>
      </w:r>
      <w:r>
        <w:rPr>
          <w:sz w:val="20"/>
          <w:szCs w:val="20"/>
          <w:color w:val="auto"/>
        </w:rPr>
        <w:tab/>
      </w:r>
      <w:r>
        <w:rPr>
          <w:rFonts w:ascii="Calibri" w:cs="Calibri" w:eastAsia="Calibri" w:hAnsi="Calibri"/>
          <w:sz w:val="19"/>
          <w:szCs w:val="19"/>
          <w:b w:val="1"/>
          <w:bCs w:val="1"/>
          <w:color w:val="auto"/>
        </w:rPr>
        <w:t>Financial Statements</w:t>
      </w:r>
      <w:r>
        <w:rPr>
          <w:rFonts w:ascii="Calibri" w:cs="Calibri" w:eastAsia="Calibri" w:hAnsi="Calibri"/>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374" w:right="339" w:bottom="1440" w:gutter="0" w:footer="0" w:header="0"/>
        </w:sectPr>
      </w:pPr>
    </w:p>
    <w:bookmarkStart w:id="551" w:name="page552"/>
    <w:bookmarkEnd w:id="551"/>
    <w:p>
      <w:pPr>
        <w:jc w:val="both"/>
        <w:ind w:firstLine="1952"/>
        <w:spacing w:after="0" w:line="199" w:lineRule="auto"/>
        <w:tabs>
          <w:tab w:leader="none" w:pos="2596" w:val="left"/>
        </w:tabs>
        <w:numPr>
          <w:ilvl w:val="0"/>
          <w:numId w:val="710"/>
        </w:numPr>
        <w:rPr>
          <w:rFonts w:ascii="Calibri" w:cs="Calibri" w:eastAsia="Calibri" w:hAnsi="Calibri"/>
          <w:sz w:val="20"/>
          <w:szCs w:val="20"/>
          <w:color w:val="auto"/>
        </w:rPr>
      </w:pPr>
      <w:r>
        <w:rPr>
          <w:rFonts w:ascii="Calibri" w:cs="Calibri" w:eastAsia="Calibri" w:hAnsi="Calibri"/>
          <w:sz w:val="20"/>
          <w:szCs w:val="20"/>
          <w:color w:val="auto"/>
        </w:rPr>
        <w:t>Each of the Financial Statements of the Sponsor Guarantor delivered to the Department pursuant to Annex F (</w:t>
      </w:r>
      <w:r>
        <w:rPr>
          <w:rFonts w:ascii="Calibri" w:cs="Calibri" w:eastAsia="Calibri" w:hAnsi="Calibri"/>
          <w:sz w:val="20"/>
          <w:szCs w:val="20"/>
          <w:i w:val="1"/>
          <w:iCs w:val="1"/>
          <w:color w:val="auto"/>
        </w:rPr>
        <w:t>Reportng Covenants</w:t>
      </w:r>
      <w:r>
        <w:rPr>
          <w:rFonts w:ascii="Calibri" w:cs="Calibri" w:eastAsia="Calibri" w:hAnsi="Calibri"/>
          <w:sz w:val="20"/>
          <w:szCs w:val="20"/>
          <w:color w:val="auto"/>
        </w:rPr>
        <w:t>) of each DFA has been prepared in accordance with the Applicable Accountng Requirements, on a Consolidated Basis, and presents fairly, in all material respects, the fnancial conditon of the Sponsor Guarantor as of the respectve dates of the Financial Statements for the respectve periods covered therein. Such Financial Statements refect all liabilites or obligatons of the Sponsor Guarantor and other informaton of any nature whatsoever for the period to which such Financial Statements relate that are required to be disclosed in accordance with Applicable Accountng Requirements.</w:t>
      </w:r>
    </w:p>
    <w:p>
      <w:pPr>
        <w:spacing w:after="0" w:line="189"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710"/>
        </w:numPr>
        <w:rPr>
          <w:rFonts w:ascii="Calibri" w:cs="Calibri" w:eastAsia="Calibri" w:hAnsi="Calibri"/>
          <w:sz w:val="20"/>
          <w:szCs w:val="20"/>
          <w:color w:val="auto"/>
        </w:rPr>
      </w:pPr>
      <w:r>
        <w:rPr>
          <w:rFonts w:ascii="Calibri" w:cs="Calibri" w:eastAsia="Calibri" w:hAnsi="Calibri"/>
          <w:sz w:val="20"/>
          <w:szCs w:val="20"/>
          <w:color w:val="auto"/>
        </w:rPr>
        <w:t>Since the date of delivery of such Financial Statements, or the respectve date of such Financial Statements, whichever is earlier, the Sponsor Guarantor has not incurred or assumed any material liabilites or obligatons that would be required to be recognized in such Financial Statements in accordance with the Applicable Accountng Requirements, except to the extent such liabilites or obligatons have been disclosed to the Department in writng.</w:t>
      </w:r>
    </w:p>
    <w:p>
      <w:pPr>
        <w:spacing w:after="0" w:line="187"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10.7. </w:t>
      </w:r>
      <w:r>
        <w:rPr>
          <w:rFonts w:ascii="Calibri" w:cs="Calibri" w:eastAsia="Calibri" w:hAnsi="Calibri"/>
          <w:sz w:val="20"/>
          <w:szCs w:val="20"/>
          <w:b w:val="1"/>
          <w:bCs w:val="1"/>
          <w:color w:val="auto"/>
        </w:rPr>
        <w:t>Adequate Project Funding</w:t>
      </w:r>
      <w:r>
        <w:rPr>
          <w:rFonts w:ascii="Calibri" w:cs="Calibri" w:eastAsia="Calibri" w:hAnsi="Calibri"/>
          <w:sz w:val="20"/>
          <w:szCs w:val="20"/>
          <w:color w:val="auto"/>
        </w:rPr>
        <w:t>. The Total Funding Available for each Project (taking into account the fnancial resources of the Sponsor Guarantor to increase its Equity Commitment thereunder) will be sufcient to pay all remaining Project Costs for such Project and to achieve the Project Completon Date for such Project by no later than the fnal Milestone Completon Longstop Date set forth in the Disbursement Milestone Schedule for such Project.</w:t>
      </w:r>
    </w:p>
    <w:p>
      <w:pPr>
        <w:spacing w:after="0" w:line="163"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10.8.</w:t>
      </w:r>
      <w:r>
        <w:rPr>
          <w:sz w:val="20"/>
          <w:szCs w:val="20"/>
          <w:color w:val="auto"/>
        </w:rPr>
        <w:tab/>
      </w:r>
      <w:r>
        <w:rPr>
          <w:rFonts w:ascii="Calibri" w:cs="Calibri" w:eastAsia="Calibri" w:hAnsi="Calibri"/>
          <w:sz w:val="20"/>
          <w:szCs w:val="20"/>
          <w:b w:val="1"/>
          <w:bCs w:val="1"/>
          <w:color w:val="auto"/>
        </w:rPr>
        <w:t>Federal Requirements</w:t>
      </w:r>
    </w:p>
    <w:p>
      <w:pPr>
        <w:spacing w:after="0" w:line="174" w:lineRule="exact"/>
        <w:rPr>
          <w:sz w:val="20"/>
          <w:szCs w:val="20"/>
          <w:color w:val="auto"/>
        </w:rPr>
      </w:pPr>
    </w:p>
    <w:p>
      <w:pPr>
        <w:ind w:left="2600" w:hanging="648"/>
        <w:spacing w:after="0"/>
        <w:tabs>
          <w:tab w:leader="none" w:pos="2600" w:val="left"/>
        </w:tabs>
        <w:numPr>
          <w:ilvl w:val="0"/>
          <w:numId w:val="711"/>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711"/>
        </w:numPr>
        <w:rPr>
          <w:rFonts w:ascii="Calibri" w:cs="Calibri" w:eastAsia="Calibri" w:hAnsi="Calibri"/>
          <w:sz w:val="20"/>
          <w:szCs w:val="20"/>
          <w:color w:val="auto"/>
        </w:rPr>
      </w:pPr>
      <w:r>
        <w:rPr>
          <w:rFonts w:ascii="Calibri" w:cs="Calibri" w:eastAsia="Calibri" w:hAnsi="Calibri"/>
          <w:sz w:val="20"/>
          <w:szCs w:val="20"/>
          <w:color w:val="auto"/>
        </w:rPr>
        <w:t>Each Recipient Party is in compliance with all applicable Guardrail Provisions.</w:t>
      </w:r>
    </w:p>
    <w:p>
      <w:pPr>
        <w:spacing w:after="0" w:line="170" w:lineRule="exact"/>
        <w:rPr>
          <w:rFonts w:ascii="Calibri" w:cs="Calibri" w:eastAsia="Calibri" w:hAnsi="Calibri"/>
          <w:sz w:val="20"/>
          <w:szCs w:val="20"/>
          <w:color w:val="auto"/>
        </w:rPr>
      </w:pPr>
    </w:p>
    <w:p>
      <w:pPr>
        <w:jc w:val="both"/>
        <w:ind w:firstLine="2600"/>
        <w:spacing w:after="0" w:line="203" w:lineRule="auto"/>
        <w:tabs>
          <w:tab w:leader="none" w:pos="3240" w:val="left"/>
        </w:tabs>
        <w:numPr>
          <w:ilvl w:val="1"/>
          <w:numId w:val="711"/>
        </w:numPr>
        <w:rPr>
          <w:rFonts w:ascii="Calibri" w:cs="Calibri" w:eastAsia="Calibri" w:hAnsi="Calibri"/>
          <w:sz w:val="20"/>
          <w:szCs w:val="20"/>
          <w:color w:val="auto"/>
        </w:rPr>
      </w:pPr>
      <w:r>
        <w:rPr>
          <w:rFonts w:ascii="Calibri" w:cs="Calibri" w:eastAsia="Calibri" w:hAnsi="Calibri"/>
          <w:sz w:val="20"/>
          <w:szCs w:val="20"/>
          <w:color w:val="auto"/>
        </w:rPr>
        <w:t>Each of the lists of existng facilites and ongoing Joint Research and Technology Licensing, each as atached as Appendix 1 to the Guardrail Provisions, is true and correct, and such appendices memorialize all informaton required to be set forth therein pursuant to Secton 1 (</w:t>
      </w:r>
      <w:r>
        <w:rPr>
          <w:rFonts w:ascii="Calibri" w:cs="Calibri" w:eastAsia="Calibri" w:hAnsi="Calibri"/>
          <w:sz w:val="20"/>
          <w:szCs w:val="20"/>
          <w:i w:val="1"/>
          <w:iCs w:val="1"/>
          <w:color w:val="auto"/>
        </w:rPr>
        <w:t>Prohibiton on Certain Expansion Transactons</w:t>
      </w:r>
      <w:r>
        <w:rPr>
          <w:rFonts w:ascii="Calibri" w:cs="Calibri" w:eastAsia="Calibri" w:hAnsi="Calibri"/>
          <w:sz w:val="20"/>
          <w:szCs w:val="20"/>
          <w:color w:val="auto"/>
        </w:rPr>
        <w:t>) and Secton 2 (</w:t>
      </w:r>
      <w:r>
        <w:rPr>
          <w:rFonts w:ascii="Calibri" w:cs="Calibri" w:eastAsia="Calibri" w:hAnsi="Calibri"/>
          <w:sz w:val="20"/>
          <w:szCs w:val="20"/>
          <w:i w:val="1"/>
          <w:iCs w:val="1"/>
          <w:color w:val="auto"/>
        </w:rPr>
        <w:t>Prohibiton on Certain Joint</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Research or Technology Licensing</w:t>
      </w:r>
      <w:r>
        <w:rPr>
          <w:rFonts w:ascii="Calibri" w:cs="Calibri" w:eastAsia="Calibri" w:hAnsi="Calibri"/>
          <w:sz w:val="20"/>
          <w:szCs w:val="20"/>
          <w:color w:val="auto"/>
        </w:rPr>
        <w:t>) of the Guardrail Provisions.</w:t>
      </w:r>
    </w:p>
    <w:p>
      <w:pPr>
        <w:spacing w:after="0" w:line="186" w:lineRule="exact"/>
        <w:rPr>
          <w:rFonts w:ascii="Calibri" w:cs="Calibri" w:eastAsia="Calibri" w:hAnsi="Calibri"/>
          <w:sz w:val="20"/>
          <w:szCs w:val="20"/>
          <w:color w:val="auto"/>
        </w:rPr>
      </w:pPr>
    </w:p>
    <w:p>
      <w:pPr>
        <w:jc w:val="both"/>
        <w:ind w:firstLine="2600"/>
        <w:spacing w:after="0" w:line="203" w:lineRule="auto"/>
        <w:tabs>
          <w:tab w:leader="none" w:pos="3246" w:val="left"/>
        </w:tabs>
        <w:numPr>
          <w:ilvl w:val="1"/>
          <w:numId w:val="711"/>
        </w:numPr>
        <w:rPr>
          <w:rFonts w:ascii="Calibri" w:cs="Calibri" w:eastAsia="Calibri" w:hAnsi="Calibri"/>
          <w:sz w:val="20"/>
          <w:szCs w:val="20"/>
          <w:color w:val="auto"/>
        </w:rPr>
      </w:pPr>
      <w:r>
        <w:rPr>
          <w:rFonts w:ascii="Calibri" w:cs="Calibri" w:eastAsia="Calibri" w:hAnsi="Calibri"/>
          <w:sz w:val="20"/>
          <w:szCs w:val="20"/>
          <w:color w:val="auto"/>
        </w:rPr>
        <w:t>Each Person that, as of the date hereof, is a member of each Recipient’s “afliated group,” as such term is defned under 26 U.S.C. § 1504(a), without regard to 26 U.S.C. § 1504(b)(3), directly, or indirectly through one or more intermediaries, Controls or is Controlled by, or is under common Control with, the Recipient as of the date hereof is set forth in Part 4 (</w:t>
      </w:r>
      <w:r>
        <w:rPr>
          <w:rFonts w:ascii="Calibri" w:cs="Calibri" w:eastAsia="Calibri" w:hAnsi="Calibri"/>
          <w:sz w:val="20"/>
          <w:szCs w:val="20"/>
          <w:i w:val="1"/>
          <w:iCs w:val="1"/>
          <w:color w:val="auto"/>
        </w:rPr>
        <w:t>Members of the Afliated Group</w:t>
      </w:r>
      <w:r>
        <w:rPr>
          <w:rFonts w:ascii="Calibri" w:cs="Calibri" w:eastAsia="Calibri" w:hAnsi="Calibri"/>
          <w:sz w:val="20"/>
          <w:szCs w:val="20"/>
          <w:color w:val="auto"/>
        </w:rPr>
        <w:t>) of Appendix 1 of the Guardrail Provisions.</w:t>
      </w:r>
    </w:p>
    <w:p>
      <w:pPr>
        <w:spacing w:after="0" w:line="173" w:lineRule="exact"/>
        <w:rPr>
          <w:rFonts w:ascii="Calibri" w:cs="Calibri" w:eastAsia="Calibri" w:hAnsi="Calibri"/>
          <w:sz w:val="20"/>
          <w:szCs w:val="20"/>
          <w:color w:val="auto"/>
        </w:rPr>
      </w:pPr>
    </w:p>
    <w:p>
      <w:pPr>
        <w:ind w:firstLine="2600"/>
        <w:spacing w:after="0" w:line="214" w:lineRule="auto"/>
        <w:tabs>
          <w:tab w:leader="none" w:pos="3244" w:val="left"/>
        </w:tabs>
        <w:numPr>
          <w:ilvl w:val="1"/>
          <w:numId w:val="711"/>
        </w:numPr>
        <w:rPr>
          <w:rFonts w:ascii="Calibri" w:cs="Calibri" w:eastAsia="Calibri" w:hAnsi="Calibri"/>
          <w:sz w:val="20"/>
          <w:szCs w:val="20"/>
          <w:color w:val="auto"/>
        </w:rPr>
      </w:pPr>
      <w:r>
        <w:rPr>
          <w:rFonts w:ascii="Calibri" w:cs="Calibri" w:eastAsia="Calibri" w:hAnsi="Calibri"/>
          <w:sz w:val="20"/>
          <w:szCs w:val="20"/>
          <w:color w:val="auto"/>
        </w:rPr>
        <w:t>Each Related Entty as of the date hereof is set forth in Part 5 (Related Enttes Subject to Secton 3 of Annex C (</w:t>
      </w:r>
      <w:r>
        <w:rPr>
          <w:rFonts w:ascii="Calibri" w:cs="Calibri" w:eastAsia="Calibri" w:hAnsi="Calibri"/>
          <w:sz w:val="20"/>
          <w:szCs w:val="20"/>
          <w:i w:val="1"/>
          <w:iCs w:val="1"/>
          <w:color w:val="auto"/>
        </w:rPr>
        <w:t>Guardrail Provisions</w:t>
      </w:r>
      <w:r>
        <w:rPr>
          <w:rFonts w:ascii="Calibri" w:cs="Calibri" w:eastAsia="Calibri" w:hAnsi="Calibri"/>
          <w:sz w:val="20"/>
          <w:szCs w:val="20"/>
          <w:color w:val="auto"/>
        </w:rPr>
        <w:t>)) of Appendix 1 of the Guardrail Provisions.</w:t>
      </w:r>
    </w:p>
    <w:p>
      <w:pPr>
        <w:spacing w:after="0" w:line="185" w:lineRule="exact"/>
        <w:rPr>
          <w:rFonts w:ascii="Calibri" w:cs="Calibri" w:eastAsia="Calibri" w:hAnsi="Calibri"/>
          <w:sz w:val="20"/>
          <w:szCs w:val="20"/>
          <w:color w:val="auto"/>
        </w:rPr>
      </w:pPr>
    </w:p>
    <w:p>
      <w:pPr>
        <w:ind w:firstLine="2600"/>
        <w:spacing w:after="0" w:line="208" w:lineRule="auto"/>
        <w:tabs>
          <w:tab w:leader="none" w:pos="3238" w:val="left"/>
        </w:tabs>
        <w:numPr>
          <w:ilvl w:val="1"/>
          <w:numId w:val="711"/>
        </w:numPr>
        <w:rPr>
          <w:rFonts w:ascii="Calibri" w:cs="Calibri" w:eastAsia="Calibri" w:hAnsi="Calibri"/>
          <w:sz w:val="20"/>
          <w:szCs w:val="20"/>
          <w:color w:val="auto"/>
        </w:rPr>
      </w:pPr>
      <w:r>
        <w:rPr>
          <w:rFonts w:ascii="Calibri" w:cs="Calibri" w:eastAsia="Calibri" w:hAnsi="Calibri"/>
          <w:sz w:val="20"/>
          <w:szCs w:val="20"/>
          <w:color w:val="auto"/>
        </w:rPr>
        <w:t>Each Mitgaton Agreement, if any, required pursuant to the Guardrail Provisions, is in full force and efect and no violaton thereof has occurred.</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711"/>
        </w:numPr>
        <w:rPr>
          <w:rFonts w:ascii="Calibri" w:cs="Calibri" w:eastAsia="Calibri" w:hAnsi="Calibri"/>
          <w:sz w:val="20"/>
          <w:szCs w:val="20"/>
          <w:color w:val="auto"/>
        </w:rPr>
      </w:pPr>
      <w:r>
        <w:rPr>
          <w:rFonts w:ascii="Calibri" w:cs="Calibri" w:eastAsia="Calibri" w:hAnsi="Calibri"/>
          <w:sz w:val="20"/>
          <w:szCs w:val="20"/>
          <w:b w:val="1"/>
          <w:bCs w:val="1"/>
          <w:color w:val="auto"/>
        </w:rPr>
        <w:t>Inverted Corporaton Requirement</w:t>
      </w:r>
      <w:r>
        <w:rPr>
          <w:rFonts w:ascii="Calibri" w:cs="Calibri" w:eastAsia="Calibri" w:hAnsi="Calibri"/>
          <w:sz w:val="20"/>
          <w:szCs w:val="20"/>
          <w:color w:val="auto"/>
        </w:rPr>
        <w:t>. The Sponsor Guarantor represents that it is not a foreign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incorporated entty which is treated as an inverted domestc corporaton under Secton 835(b) of the Homeland Security Act of 2002 (6 U.S.C. § 395(b)) or a Subsidiary of such an entty.</w:t>
      </w:r>
    </w:p>
    <w:p>
      <w:pPr>
        <w:spacing w:after="0" w:line="117" w:lineRule="exact"/>
        <w:rPr>
          <w:sz w:val="20"/>
          <w:szCs w:val="20"/>
          <w:color w:val="auto"/>
        </w:rPr>
      </w:pPr>
    </w:p>
    <w:p>
      <w:pPr>
        <w:ind w:firstLine="648"/>
        <w:spacing w:after="0" w:line="208" w:lineRule="auto"/>
        <w:rPr>
          <w:sz w:val="20"/>
          <w:szCs w:val="20"/>
          <w:color w:val="auto"/>
        </w:rPr>
      </w:pPr>
      <w:r>
        <w:rPr>
          <w:rFonts w:ascii="Calibri" w:cs="Calibri" w:eastAsia="Calibri" w:hAnsi="Calibri"/>
          <w:sz w:val="20"/>
          <w:szCs w:val="20"/>
          <w:color w:val="auto"/>
        </w:rPr>
        <w:t xml:space="preserve">Secton 10.9. </w:t>
      </w:r>
      <w:r>
        <w:rPr>
          <w:rFonts w:ascii="Calibri" w:cs="Calibri" w:eastAsia="Calibri" w:hAnsi="Calibri"/>
          <w:sz w:val="20"/>
          <w:szCs w:val="20"/>
          <w:b w:val="1"/>
          <w:bCs w:val="1"/>
          <w:color w:val="auto"/>
        </w:rPr>
        <w:t>Foreign Entty of Concern; Prohibited Persons; Sanctons; Export Controls; Ant-Corrupton; Ant-Money</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Laundering Laws</w:t>
      </w:r>
      <w:r>
        <w:rPr>
          <w:rFonts w:ascii="Calibri" w:cs="Calibri" w:eastAsia="Calibri" w:hAnsi="Calibri"/>
          <w:sz w:val="20"/>
          <w:szCs w:val="20"/>
          <w:color w:val="auto"/>
        </w:rPr>
        <w:t>.</w:t>
      </w:r>
    </w:p>
    <w:p>
      <w:pPr>
        <w:spacing w:after="0" w:line="175" w:lineRule="exact"/>
        <w:rPr>
          <w:sz w:val="20"/>
          <w:szCs w:val="20"/>
          <w:color w:val="auto"/>
        </w:rPr>
      </w:pPr>
    </w:p>
    <w:p>
      <w:pPr>
        <w:ind w:left="2600" w:hanging="648"/>
        <w:spacing w:after="0"/>
        <w:tabs>
          <w:tab w:leader="none" w:pos="2600" w:val="left"/>
        </w:tabs>
        <w:numPr>
          <w:ilvl w:val="0"/>
          <w:numId w:val="712"/>
        </w:numPr>
        <w:rPr>
          <w:rFonts w:ascii="Calibri" w:cs="Calibri" w:eastAsia="Calibri" w:hAnsi="Calibri"/>
          <w:sz w:val="20"/>
          <w:szCs w:val="20"/>
          <w:color w:val="auto"/>
        </w:rPr>
      </w:pPr>
      <w:r>
        <w:rPr>
          <w:rFonts w:ascii="Calibri" w:cs="Calibri" w:eastAsia="Calibri" w:hAnsi="Calibri"/>
          <w:sz w:val="20"/>
          <w:szCs w:val="20"/>
          <w:color w:val="auto"/>
        </w:rPr>
        <w:t>The Sponsor Guarantor is not a Foreign Entty of Concern.</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89" w:lineRule="exact"/>
        <w:rPr>
          <w:rFonts w:ascii="Calibri" w:cs="Calibri" w:eastAsia="Calibri" w:hAnsi="Calibri"/>
          <w:sz w:val="20"/>
          <w:szCs w:val="20"/>
          <w:color w:val="auto"/>
        </w:rPr>
      </w:pPr>
    </w:p>
    <w:p>
      <w:pPr>
        <w:ind w:left="5560"/>
        <w:spacing w:after="0"/>
        <w:rPr>
          <w:rFonts w:ascii="Calibri" w:cs="Calibri" w:eastAsia="Calibri" w:hAnsi="Calibri"/>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384" w:right="339" w:bottom="1440" w:gutter="0" w:footer="0" w:header="0"/>
        </w:sectPr>
      </w:pPr>
    </w:p>
    <w:bookmarkStart w:id="552" w:name="page553"/>
    <w:bookmarkEnd w:id="552"/>
    <w:p>
      <w:pPr>
        <w:jc w:val="both"/>
        <w:ind w:firstLine="1952"/>
        <w:spacing w:after="0" w:line="205" w:lineRule="auto"/>
        <w:tabs>
          <w:tab w:leader="none" w:pos="2592"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a Prohibited Person, and to the Sponsor Guarantor’s Knowledge, none of the employees, agents or representatves of any Recipient Party actng in such capacites is a Prohibited Person.</w:t>
      </w:r>
    </w:p>
    <w:p>
      <w:pPr>
        <w:spacing w:after="0" w:line="184"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To the Sponsor Guarantor</w:t>
      </w:r>
      <w:r>
        <w:rPr>
          <w:rFonts w:ascii="Calibri" w:cs="Calibri" w:eastAsia="Calibri" w:hAnsi="Calibri"/>
          <w:sz w:val="20"/>
          <w:szCs w:val="20"/>
          <w:i w:val="1"/>
          <w:iCs w:val="1"/>
          <w:color w:val="auto"/>
        </w:rPr>
        <w:t>'</w:t>
      </w:r>
      <w:r>
        <w:rPr>
          <w:rFonts w:ascii="Calibri" w:cs="Calibri" w:eastAsia="Calibri" w:hAnsi="Calibri"/>
          <w:sz w:val="20"/>
          <w:szCs w:val="20"/>
          <w:color w:val="auto"/>
        </w:rPr>
        <w:t>s Knowledge, no event has occurred, and no conditon exists, that is reasonably likely to result in any Recipient Party becoming a Prohibited Person.</w:t>
      </w:r>
    </w:p>
    <w:p>
      <w:pPr>
        <w:spacing w:after="0" w:line="172" w:lineRule="exact"/>
        <w:rPr>
          <w:rFonts w:ascii="Calibri" w:cs="Calibri" w:eastAsia="Calibri" w:hAnsi="Calibri"/>
          <w:sz w:val="20"/>
          <w:szCs w:val="20"/>
          <w:color w:val="auto"/>
        </w:rPr>
      </w:pPr>
    </w:p>
    <w:p>
      <w:pPr>
        <w:jc w:val="both"/>
        <w:ind w:firstLine="1952"/>
        <w:spacing w:after="0"/>
        <w:tabs>
          <w:tab w:leader="none" w:pos="2592"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There are no Actons pending or, to the Sponsor Guarantor</w:t>
      </w:r>
      <w:r>
        <w:rPr>
          <w:rFonts w:ascii="Calibri" w:cs="Calibri" w:eastAsia="Calibri" w:hAnsi="Calibri"/>
          <w:sz w:val="20"/>
          <w:szCs w:val="20"/>
          <w:i w:val="1"/>
          <w:iCs w:val="1"/>
          <w:color w:val="auto"/>
        </w:rPr>
        <w:t>'</w:t>
      </w:r>
      <w:r>
        <w:rPr>
          <w:rFonts w:ascii="Calibri" w:cs="Calibri" w:eastAsia="Calibri" w:hAnsi="Calibri"/>
          <w:sz w:val="20"/>
          <w:szCs w:val="20"/>
          <w:color w:val="auto"/>
        </w:rPr>
        <w:t>s Knowledge, threatened, against or afectng any Recipient Party or their respectve members, directors, ofcers, employees, agents or representatves actng in such capacites regarding any actual or alleged non-compliance with any Sanctons, Export Control Laws, Ant-Money Laundering Laws, or Ant-Corrupton Laws.</w:t>
      </w:r>
    </w:p>
    <w:p>
      <w:pPr>
        <w:spacing w:after="0" w:line="280" w:lineRule="exact"/>
        <w:rPr>
          <w:rFonts w:ascii="Calibri" w:cs="Calibri" w:eastAsia="Calibri" w:hAnsi="Calibri"/>
          <w:sz w:val="20"/>
          <w:szCs w:val="20"/>
          <w:color w:val="auto"/>
        </w:rPr>
      </w:pPr>
    </w:p>
    <w:p>
      <w:pPr>
        <w:jc w:val="both"/>
        <w:ind w:right="20" w:firstLine="1952"/>
        <w:spacing w:after="0" w:line="205" w:lineRule="auto"/>
        <w:tabs>
          <w:tab w:leader="none" w:pos="2586"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The Sponsor Guarantor has adopted and implemented and maintains policies and procedures designed to promote and achieve compliance with all applicable Sanctons, Export Control Laws, Ant-Money Laundering Laws, and Ant-Corrupton Laws.</w:t>
      </w:r>
    </w:p>
    <w:p>
      <w:pPr>
        <w:spacing w:after="0" w:line="184" w:lineRule="exact"/>
        <w:rPr>
          <w:rFonts w:ascii="Calibri" w:cs="Calibri" w:eastAsia="Calibri" w:hAnsi="Calibri"/>
          <w:sz w:val="20"/>
          <w:szCs w:val="20"/>
          <w:color w:val="auto"/>
        </w:rPr>
      </w:pPr>
    </w:p>
    <w:p>
      <w:pPr>
        <w:jc w:val="both"/>
        <w:ind w:firstLine="1952"/>
        <w:spacing w:after="0" w:line="199" w:lineRule="auto"/>
        <w:tabs>
          <w:tab w:leader="none" w:pos="2590"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Each Recipient Party and the respectve members, directors, ofcers, and, to the Sponsor Guarantor’s Knowledge, employees, agents and representatves thereof actng in such capacites, are, and for the last fve (5) years have been, in compliance with (i) all Sanctons and all applicable Ant-Money Laundering Laws; and (ii) all applicable Export Control Laws in all respects, except for any actual or potental violatons that involve only unintentonal minor, technical infractons, which either (A) were voluntarily self-disclosed to BIS within sixty (60) 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76" w:lineRule="exact"/>
        <w:rPr>
          <w:rFonts w:ascii="Calibri" w:cs="Calibri" w:eastAsia="Calibri" w:hAnsi="Calibri"/>
          <w:sz w:val="20"/>
          <w:szCs w:val="20"/>
          <w:color w:val="auto"/>
        </w:rPr>
      </w:pPr>
    </w:p>
    <w:p>
      <w:pPr>
        <w:jc w:val="both"/>
        <w:ind w:firstLine="1952"/>
        <w:spacing w:after="0" w:line="202" w:lineRule="auto"/>
        <w:tabs>
          <w:tab w:leader="none" w:pos="2595"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Each Recipient Party and each of their respectve Principal Persons, and, to the Sponsor Guarantor</w:t>
      </w:r>
      <w:r>
        <w:rPr>
          <w:rFonts w:ascii="Calibri" w:cs="Calibri" w:eastAsia="Calibri" w:hAnsi="Calibri"/>
          <w:sz w:val="20"/>
          <w:szCs w:val="20"/>
          <w:i w:val="1"/>
          <w:iCs w:val="1"/>
          <w:color w:val="auto"/>
        </w:rPr>
        <w:t>'</w:t>
      </w:r>
      <w:r>
        <w:rPr>
          <w:rFonts w:ascii="Calibri" w:cs="Calibri" w:eastAsia="Calibri" w:hAnsi="Calibri"/>
          <w:sz w:val="20"/>
          <w:szCs w:val="20"/>
          <w:color w:val="auto"/>
        </w:rPr>
        <w:t>s Knowledge, their employees, agents, and representatves actng in such capacites have complied with all applicable Sanctons, Export Control Laws (except as provided in the excepton in Secton 10.9(f)), Ant-Money Laundering Laws and Ant-Corrupton Laws in obtaining any consents, licenses, approvals, authorizatons, rights, or privileges with respect to any Project and, otherwise, have conducted each Project in compliance with all applicable Sanctons, Export Control Laws, Ant-Money Laundering Laws, and Ant-Corrupton Laws.</w:t>
      </w:r>
    </w:p>
    <w:p>
      <w:pPr>
        <w:spacing w:after="0" w:line="187" w:lineRule="exact"/>
        <w:rPr>
          <w:rFonts w:ascii="Calibri" w:cs="Calibri" w:eastAsia="Calibri" w:hAnsi="Calibri"/>
          <w:sz w:val="20"/>
          <w:szCs w:val="20"/>
          <w:color w:val="auto"/>
        </w:rPr>
      </w:pPr>
    </w:p>
    <w:p>
      <w:pPr>
        <w:jc w:val="both"/>
        <w:ind w:right="20" w:firstLine="1952"/>
        <w:spacing w:after="0" w:line="203" w:lineRule="auto"/>
        <w:tabs>
          <w:tab w:leader="none" w:pos="2592" w:val="left"/>
        </w:tabs>
        <w:numPr>
          <w:ilvl w:val="0"/>
          <w:numId w:val="713"/>
        </w:numPr>
        <w:rPr>
          <w:rFonts w:ascii="Calibri" w:cs="Calibri" w:eastAsia="Calibri" w:hAnsi="Calibri"/>
          <w:sz w:val="20"/>
          <w:szCs w:val="20"/>
          <w:color w:val="auto"/>
        </w:rPr>
      </w:pPr>
      <w:r>
        <w:rPr>
          <w:rFonts w:ascii="Calibri" w:cs="Calibri" w:eastAsia="Calibri" w:hAnsi="Calibri"/>
          <w:sz w:val="20"/>
          <w:szCs w:val="20"/>
          <w:color w:val="auto"/>
        </w:rPr>
        <w:t>None of the Sponsor Guarantor, nor its members, directors, ofcers, nor, to the Sponsor Guarantor</w:t>
      </w:r>
      <w:r>
        <w:rPr>
          <w:rFonts w:ascii="Calibri" w:cs="Calibri" w:eastAsia="Calibri" w:hAnsi="Calibri"/>
          <w:sz w:val="20"/>
          <w:szCs w:val="20"/>
          <w:i w:val="1"/>
          <w:iCs w:val="1"/>
          <w:color w:val="auto"/>
        </w:rPr>
        <w:t>'</w:t>
      </w:r>
      <w:r>
        <w:rPr>
          <w:rFonts w:ascii="Calibri" w:cs="Calibri" w:eastAsia="Calibri" w:hAnsi="Calibri"/>
          <w:sz w:val="20"/>
          <w:szCs w:val="20"/>
          <w:color w:val="auto"/>
        </w:rPr>
        <w:t>s Knowledge, employees, agents or representatves actng in such capacites, has made, ofered or promised to make, provided or paid any unlawful contributons, entertainment or anything of value to any local or foreign ofcial (including employees of state-owned or controlled enttes), foreign politcal party or party ofcial or any candidate for foreign politcal ofce:</w:t>
      </w:r>
    </w:p>
    <w:p>
      <w:pPr>
        <w:spacing w:after="0" w:line="173" w:lineRule="exact"/>
        <w:rPr>
          <w:rFonts w:ascii="Calibri" w:cs="Calibri" w:eastAsia="Calibri" w:hAnsi="Calibri"/>
          <w:sz w:val="20"/>
          <w:szCs w:val="20"/>
          <w:color w:val="auto"/>
        </w:rPr>
      </w:pPr>
    </w:p>
    <w:p>
      <w:pPr>
        <w:jc w:val="both"/>
        <w:ind w:firstLine="3248"/>
        <w:spacing w:after="0"/>
        <w:tabs>
          <w:tab w:leader="none" w:pos="3882" w:val="left"/>
        </w:tabs>
        <w:numPr>
          <w:ilvl w:val="1"/>
          <w:numId w:val="713"/>
        </w:numPr>
        <w:rPr>
          <w:rFonts w:ascii="Calibri" w:cs="Calibri" w:eastAsia="Calibri" w:hAnsi="Calibri"/>
          <w:sz w:val="20"/>
          <w:szCs w:val="20"/>
          <w:color w:val="auto"/>
        </w:rPr>
      </w:pPr>
      <w:r>
        <w:rPr>
          <w:rFonts w:ascii="Calibri" w:cs="Calibri" w:eastAsia="Calibri" w:hAnsi="Calibri"/>
          <w:sz w:val="20"/>
          <w:szCs w:val="20"/>
          <w:color w:val="auto"/>
        </w:rPr>
        <w:t>in order to infuence any act or decision of any foreign ofcial, foreign politcal party, party ofcial or candidate for foreign politcal ofce in his or her ofcial capacity, including a decision to fail to perform his or her ofcial functons;</w:t>
      </w:r>
    </w:p>
    <w:p>
      <w:pPr>
        <w:spacing w:after="0" w:line="312" w:lineRule="exact"/>
        <w:rPr>
          <w:rFonts w:ascii="Calibri" w:cs="Calibri" w:eastAsia="Calibri" w:hAnsi="Calibri"/>
          <w:sz w:val="20"/>
          <w:szCs w:val="20"/>
          <w:color w:val="auto"/>
        </w:rPr>
      </w:pPr>
    </w:p>
    <w:p>
      <w:pPr>
        <w:ind w:left="3900" w:hanging="652"/>
        <w:spacing w:after="0"/>
        <w:tabs>
          <w:tab w:leader="none" w:pos="3900" w:val="left"/>
        </w:tabs>
        <w:numPr>
          <w:ilvl w:val="1"/>
          <w:numId w:val="713"/>
        </w:numPr>
        <w:rPr>
          <w:rFonts w:ascii="Calibri" w:cs="Calibri" w:eastAsia="Calibri" w:hAnsi="Calibri"/>
          <w:sz w:val="20"/>
          <w:szCs w:val="20"/>
          <w:color w:val="auto"/>
        </w:rPr>
      </w:pPr>
      <w:r>
        <w:rPr>
          <w:rFonts w:ascii="Calibri" w:cs="Calibri" w:eastAsia="Calibri" w:hAnsi="Calibri"/>
          <w:sz w:val="20"/>
          <w:szCs w:val="20"/>
          <w:color w:val="auto"/>
        </w:rPr>
        <w:t>to secure an advantage; or</w:t>
      </w:r>
    </w:p>
    <w:p>
      <w:pPr>
        <w:spacing w:after="0" w:line="184" w:lineRule="exact"/>
        <w:rPr>
          <w:rFonts w:ascii="Calibri" w:cs="Calibri" w:eastAsia="Calibri" w:hAnsi="Calibri"/>
          <w:sz w:val="20"/>
          <w:szCs w:val="20"/>
          <w:color w:val="auto"/>
        </w:rPr>
      </w:pPr>
    </w:p>
    <w:p>
      <w:pPr>
        <w:ind w:firstLine="3248"/>
        <w:spacing w:after="0" w:line="214" w:lineRule="auto"/>
        <w:tabs>
          <w:tab w:leader="none" w:pos="3894" w:val="left"/>
        </w:tabs>
        <w:numPr>
          <w:ilvl w:val="1"/>
          <w:numId w:val="713"/>
        </w:numPr>
        <w:rPr>
          <w:rFonts w:ascii="Calibri" w:cs="Calibri" w:eastAsia="Calibri" w:hAnsi="Calibri"/>
          <w:sz w:val="20"/>
          <w:szCs w:val="20"/>
          <w:color w:val="auto"/>
        </w:rPr>
      </w:pPr>
      <w:r>
        <w:rPr>
          <w:rFonts w:ascii="Calibri" w:cs="Calibri" w:eastAsia="Calibri" w:hAnsi="Calibri"/>
          <w:sz w:val="20"/>
          <w:szCs w:val="20"/>
          <w:color w:val="auto"/>
        </w:rPr>
        <w:t>with the intent to induce the recipient to misuse his or her ofcial positon to direct business to any Recipient Party or any of its Afliates or to any other Person,</w:t>
      </w:r>
    </w:p>
    <w:p>
      <w:pPr>
        <w:spacing w:after="0" w:line="189" w:lineRule="exact"/>
        <w:rPr>
          <w:sz w:val="20"/>
          <w:szCs w:val="20"/>
          <w:color w:val="auto"/>
        </w:rPr>
      </w:pPr>
    </w:p>
    <w:p>
      <w:pPr>
        <w:ind w:left="640"/>
        <w:spacing w:after="0"/>
        <w:rPr>
          <w:sz w:val="20"/>
          <w:szCs w:val="20"/>
          <w:color w:val="auto"/>
        </w:rPr>
      </w:pPr>
      <w:r>
        <w:rPr>
          <w:rFonts w:ascii="Calibri" w:cs="Calibri" w:eastAsia="Calibri" w:hAnsi="Calibri"/>
          <w:sz w:val="20"/>
          <w:szCs w:val="20"/>
          <w:color w:val="auto"/>
        </w:rPr>
        <w:t>in each case, in violaton of any applicable Ant-Corrupton Laws or any other Applicable Law.</w:t>
      </w:r>
    </w:p>
    <w:p>
      <w:pPr>
        <w:spacing w:after="0" w:line="188"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10.10.</w:t>
      </w:r>
      <w:r>
        <w:rPr>
          <w:sz w:val="20"/>
          <w:szCs w:val="20"/>
          <w:color w:val="auto"/>
        </w:rPr>
        <w:tab/>
      </w:r>
      <w:r>
        <w:rPr>
          <w:rFonts w:ascii="Calibri" w:cs="Calibri" w:eastAsia="Calibri" w:hAnsi="Calibri"/>
          <w:sz w:val="20"/>
          <w:szCs w:val="20"/>
          <w:b w:val="1"/>
          <w:bCs w:val="1"/>
          <w:color w:val="auto"/>
        </w:rPr>
        <w:t>Insolvency Proceedings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384" w:right="339" w:bottom="1440" w:gutter="0" w:footer="0" w:header="0"/>
        </w:sectPr>
      </w:pPr>
    </w:p>
    <w:bookmarkStart w:id="553" w:name="page554"/>
    <w:bookmarkEnd w:id="553"/>
    <w:p>
      <w:pPr>
        <w:jc w:val="both"/>
        <w:ind w:firstLine="1952"/>
        <w:spacing w:after="0" w:line="205" w:lineRule="auto"/>
        <w:tabs>
          <w:tab w:leader="none" w:pos="2596" w:val="left"/>
        </w:tabs>
        <w:numPr>
          <w:ilvl w:val="1"/>
          <w:numId w:val="714"/>
        </w:numPr>
        <w:rPr>
          <w:rFonts w:ascii="Calibri" w:cs="Calibri" w:eastAsia="Calibri" w:hAnsi="Calibri"/>
          <w:sz w:val="20"/>
          <w:szCs w:val="20"/>
          <w:color w:val="auto"/>
        </w:rPr>
      </w:pPr>
      <w:r>
        <w:rPr>
          <w:rFonts w:ascii="Calibri" w:cs="Calibri" w:eastAsia="Calibri" w:hAnsi="Calibri"/>
          <w:sz w:val="20"/>
          <w:szCs w:val="20"/>
          <w:color w:val="auto"/>
        </w:rPr>
        <w:t>Neither the Sponsor Guarantor nor any Recipient is the subject of any pending or, to the Sponsor Guarantor’s Knowledge, threatened (in writng), Insolvency Proceedings, in each case, to the extent such Insolvency Proceedings are bona fde and non-frivolous.</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1"/>
          <w:numId w:val="714"/>
        </w:numPr>
        <w:rPr>
          <w:rFonts w:ascii="Calibri" w:cs="Calibri" w:eastAsia="Calibri" w:hAnsi="Calibri"/>
          <w:sz w:val="20"/>
          <w:szCs w:val="20"/>
          <w:color w:val="auto"/>
        </w:rPr>
      </w:pPr>
      <w:r>
        <w:rPr>
          <w:rFonts w:ascii="Calibri" w:cs="Calibri" w:eastAsia="Calibri" w:hAnsi="Calibri"/>
          <w:sz w:val="20"/>
          <w:szCs w:val="20"/>
          <w:color w:val="auto"/>
        </w:rPr>
        <w:t>The Sponsor Guarantor is and, afer entry into this Agreement, will be solvent. For purposes of the preceding sentence, “solvent” means (i) the fair saleable value (on a going concern basis) of the Sponsor Guarantor’s assets exceed its liabilites, contngent or otherwise, fairly valued, (ii) the Sponsor Guarantor will be able to pay its debts as they become due and</w:t>
      </w:r>
    </w:p>
    <w:p>
      <w:pPr>
        <w:ind w:firstLine="8"/>
        <w:spacing w:after="0" w:line="199" w:lineRule="auto"/>
        <w:tabs>
          <w:tab w:leader="none" w:pos="315" w:val="left"/>
        </w:tabs>
        <w:numPr>
          <w:ilvl w:val="0"/>
          <w:numId w:val="715"/>
        </w:numPr>
        <w:rPr>
          <w:rFonts w:ascii="Calibri" w:cs="Calibri" w:eastAsia="Calibri" w:hAnsi="Calibri"/>
          <w:sz w:val="20"/>
          <w:szCs w:val="20"/>
          <w:color w:val="auto"/>
        </w:rPr>
      </w:pPr>
      <w:r>
        <w:rPr>
          <w:rFonts w:ascii="Calibri" w:cs="Calibri" w:eastAsia="Calibri" w:hAnsi="Calibri"/>
          <w:sz w:val="20"/>
          <w:szCs w:val="20"/>
          <w:color w:val="auto"/>
        </w:rPr>
        <w:t>upon paying its debts as they become due, the Sponsor Guarantor will not be lef with unreasonably small capital as is necessary to satsfy all of its current and reasonably antcipated obligatons.</w:t>
      </w:r>
    </w:p>
    <w:p>
      <w:pPr>
        <w:spacing w:after="0" w:line="171"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10.11. </w:t>
      </w:r>
      <w:r>
        <w:rPr>
          <w:rFonts w:ascii="Calibri" w:cs="Calibri" w:eastAsia="Calibri" w:hAnsi="Calibri"/>
          <w:sz w:val="20"/>
          <w:szCs w:val="20"/>
          <w:b w:val="1"/>
          <w:bCs w:val="1"/>
          <w:color w:val="auto"/>
        </w:rPr>
        <w:t>Full Disclosure</w:t>
      </w:r>
      <w:r>
        <w:rPr>
          <w:rFonts w:ascii="Calibri" w:cs="Calibri" w:eastAsia="Calibri" w:hAnsi="Calibri"/>
          <w:sz w:val="20"/>
          <w:szCs w:val="20"/>
          <w:color w:val="auto"/>
        </w:rPr>
        <w:t>. The statements and informaton contained in the Financing Documents, taken together with all documents, reports or other writen informaton pertaining to any Project that have been furnished by or on behalf of any Recipient Party to the Department or any Consultant from tme to tme, are true and correct in all material respects and do not contain any material misstatement of fact or omit to state a material fact or any fact necessary to make the statements contained therein not materially misleading at the tme they were made.</w:t>
      </w:r>
    </w:p>
    <w:p>
      <w:pPr>
        <w:spacing w:after="0" w:line="188"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10.12. </w:t>
      </w:r>
      <w:r>
        <w:rPr>
          <w:rFonts w:ascii="Calibri" w:cs="Calibri" w:eastAsia="Calibri" w:hAnsi="Calibri"/>
          <w:sz w:val="20"/>
          <w:szCs w:val="20"/>
          <w:b w:val="1"/>
          <w:bCs w:val="1"/>
          <w:color w:val="auto"/>
        </w:rPr>
        <w:t>No Immunity</w:t>
      </w:r>
      <w:r>
        <w:rPr>
          <w:rFonts w:ascii="Calibri" w:cs="Calibri" w:eastAsia="Calibri" w:hAnsi="Calibri"/>
          <w:sz w:val="20"/>
          <w:szCs w:val="20"/>
          <w:color w:val="auto"/>
        </w:rPr>
        <w:t>. No Recipient Party nor any of their respectve assets is enttled to immunity in any jurisdicton in which judicial proceedings would reasonably be expected at any tme to be commenced with respect to this Agreement or any other Financing Document.</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10.13. </w:t>
      </w:r>
      <w:r>
        <w:rPr>
          <w:rFonts w:ascii="Calibri" w:cs="Calibri" w:eastAsia="Calibri" w:hAnsi="Calibri"/>
          <w:sz w:val="20"/>
          <w:szCs w:val="20"/>
          <w:b w:val="1"/>
          <w:bCs w:val="1"/>
          <w:color w:val="auto"/>
        </w:rPr>
        <w:t>No Federal Debt Delinquency</w:t>
      </w:r>
      <w:r>
        <w:rPr>
          <w:rFonts w:ascii="Calibri" w:cs="Calibri" w:eastAsia="Calibri" w:hAnsi="Calibri"/>
          <w:sz w:val="20"/>
          <w:szCs w:val="20"/>
          <w:color w:val="auto"/>
        </w:rPr>
        <w:t>. No Recipient Party has (a) any judgment Lien against any of its Property for a debt owed to the United States; or (b) any Indebtedness owed to the United States or any Governmental Authority thereof that is in delinquent status, as the term “delinquent status” is defned in 31 C.F.R. 285.13(d), including any Tax liabilites (other than those Taxes that it is contestng in good faith and by appropriate proceedings), for which reserves have been established to the extent required by the Applicable Accountng Requirements except to the extent such delinquency has been resolved with the appropriate Governmental Authority in accordance with Applicable Law.</w:t>
      </w:r>
    </w:p>
    <w:p>
      <w:pPr>
        <w:spacing w:after="0" w:line="166"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10.14.</w:t>
      </w:r>
      <w:r>
        <w:rPr>
          <w:sz w:val="20"/>
          <w:szCs w:val="20"/>
          <w:color w:val="auto"/>
        </w:rPr>
        <w:tab/>
      </w:r>
      <w:r>
        <w:rPr>
          <w:rFonts w:ascii="Calibri" w:cs="Calibri" w:eastAsia="Calibri" w:hAnsi="Calibri"/>
          <w:sz w:val="20"/>
          <w:szCs w:val="20"/>
          <w:b w:val="1"/>
          <w:bCs w:val="1"/>
          <w:color w:val="auto"/>
        </w:rPr>
        <w:t>No Debarment</w:t>
      </w:r>
      <w:r>
        <w:rPr>
          <w:rFonts w:ascii="Calibri" w:cs="Calibri" w:eastAsia="Calibri" w:hAnsi="Calibri"/>
          <w:sz w:val="20"/>
          <w:szCs w:val="20"/>
          <w:color w:val="auto"/>
        </w:rPr>
        <w:t>.</w:t>
      </w:r>
    </w:p>
    <w:p>
      <w:pPr>
        <w:spacing w:after="0" w:line="184" w:lineRule="exact"/>
        <w:rPr>
          <w:sz w:val="20"/>
          <w:szCs w:val="20"/>
          <w:color w:val="auto"/>
        </w:rPr>
      </w:pPr>
    </w:p>
    <w:p>
      <w:pPr>
        <w:jc w:val="both"/>
        <w:ind w:firstLine="1952"/>
        <w:spacing w:after="0" w:line="205" w:lineRule="auto"/>
        <w:tabs>
          <w:tab w:leader="none" w:pos="2596" w:val="left"/>
        </w:tabs>
        <w:numPr>
          <w:ilvl w:val="0"/>
          <w:numId w:val="716"/>
        </w:numPr>
        <w:rPr>
          <w:rFonts w:ascii="Calibri" w:cs="Calibri" w:eastAsia="Calibri" w:hAnsi="Calibri"/>
          <w:sz w:val="20"/>
          <w:szCs w:val="20"/>
          <w:color w:val="auto"/>
        </w:rPr>
      </w:pPr>
      <w:r>
        <w:rPr>
          <w:rFonts w:ascii="Calibri" w:cs="Calibri" w:eastAsia="Calibri" w:hAnsi="Calibri"/>
          <w:sz w:val="20"/>
          <w:szCs w:val="20"/>
          <w:color w:val="auto"/>
        </w:rPr>
        <w:t>No event has occurred and no conditon exists that is likely to result in the debarment or suspension of any Recipient Party or their respectve members, directors, ofcers or employees from contractng with the U.S. government or any agency or instrumentality thereof.</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16"/>
        </w:numPr>
        <w:rPr>
          <w:rFonts w:ascii="Calibri" w:cs="Calibri" w:eastAsia="Calibri" w:hAnsi="Calibri"/>
          <w:sz w:val="20"/>
          <w:szCs w:val="20"/>
          <w:color w:val="auto"/>
        </w:rPr>
      </w:pPr>
      <w:r>
        <w:rPr>
          <w:rFonts w:ascii="Calibri" w:cs="Calibri" w:eastAsia="Calibri" w:hAnsi="Calibri"/>
          <w:sz w:val="20"/>
          <w:szCs w:val="20"/>
          <w:color w:val="auto"/>
        </w:rPr>
        <w:t>No Recipient Party nor any of their respectve members, directors or ofcers is or has been subject to any</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debarment or suspension.</w:t>
      </w:r>
    </w:p>
    <w:p>
      <w:pPr>
        <w:spacing w:after="0" w:line="161"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10.15.</w:t>
      </w:r>
      <w:r>
        <w:rPr>
          <w:sz w:val="20"/>
          <w:szCs w:val="20"/>
          <w:color w:val="auto"/>
        </w:rPr>
        <w:tab/>
      </w:r>
      <w:r>
        <w:rPr>
          <w:rFonts w:ascii="Calibri" w:cs="Calibri" w:eastAsia="Calibri" w:hAnsi="Calibri"/>
          <w:sz w:val="20"/>
          <w:szCs w:val="20"/>
          <w:b w:val="1"/>
          <w:bCs w:val="1"/>
          <w:color w:val="auto"/>
        </w:rPr>
        <w:t>Informaton Technology; Cyber Security</w:t>
      </w:r>
      <w:r>
        <w:rPr>
          <w:rFonts w:ascii="Calibri" w:cs="Calibri" w:eastAsia="Calibri" w:hAnsi="Calibri"/>
          <w:sz w:val="20"/>
          <w:szCs w:val="20"/>
          <w:color w:val="auto"/>
        </w:rPr>
        <w:t>.</w:t>
      </w:r>
    </w:p>
    <w:p>
      <w:pPr>
        <w:spacing w:after="0" w:line="184" w:lineRule="exact"/>
        <w:rPr>
          <w:sz w:val="20"/>
          <w:szCs w:val="20"/>
          <w:color w:val="auto"/>
        </w:rPr>
      </w:pPr>
    </w:p>
    <w:p>
      <w:pPr>
        <w:jc w:val="both"/>
        <w:ind w:firstLine="1952"/>
        <w:spacing w:after="0" w:line="202" w:lineRule="auto"/>
        <w:tabs>
          <w:tab w:leader="none" w:pos="2596" w:val="left"/>
        </w:tabs>
        <w:numPr>
          <w:ilvl w:val="0"/>
          <w:numId w:val="717"/>
        </w:numPr>
        <w:rPr>
          <w:rFonts w:ascii="Calibri" w:cs="Calibri" w:eastAsia="Calibri" w:hAnsi="Calibri"/>
          <w:sz w:val="20"/>
          <w:szCs w:val="20"/>
          <w:color w:val="auto"/>
        </w:rPr>
      </w:pPr>
      <w:r>
        <w:rPr>
          <w:rFonts w:ascii="Calibri" w:cs="Calibri" w:eastAsia="Calibri" w:hAnsi="Calibri"/>
          <w:sz w:val="20"/>
          <w:szCs w:val="20"/>
          <w:color w:val="auto"/>
        </w:rPr>
        <w:t>The informaton technology (including data communicatons systems, equipment and devices) used in the business of the Sponsor Guarantor (collectvely, the “</w:t>
      </w:r>
      <w:r>
        <w:rPr>
          <w:rFonts w:ascii="Calibri" w:cs="Calibri" w:eastAsia="Calibri" w:hAnsi="Calibri"/>
          <w:sz w:val="20"/>
          <w:szCs w:val="20"/>
          <w:b w:val="1"/>
          <w:bCs w:val="1"/>
          <w:color w:val="auto"/>
        </w:rPr>
        <w:t>IT Systems</w:t>
      </w:r>
      <w:r>
        <w:rPr>
          <w:rFonts w:ascii="Calibri" w:cs="Calibri" w:eastAsia="Calibri" w:hAnsi="Calibri"/>
          <w:sz w:val="20"/>
          <w:szCs w:val="20"/>
          <w:color w:val="auto"/>
        </w:rPr>
        <w:t>”) operates and performs in all material respects as necessary: (i) for the development, design, engineering, procurement, constructon, startng up, commissioning, ownership, operaton or maintenance of the Projects; (ii) to complete the actvites designated to achieve each Project Completon Date; and (iii) to exercise the Sponsor Guarantor’s rights and perform its obligatons under the Financing Documents in a tmely manner.</w:t>
      </w:r>
    </w:p>
    <w:p>
      <w:pPr>
        <w:spacing w:after="0" w:line="174" w:lineRule="exact"/>
        <w:rPr>
          <w:rFonts w:ascii="Calibri" w:cs="Calibri" w:eastAsia="Calibri" w:hAnsi="Calibri"/>
          <w:sz w:val="20"/>
          <w:szCs w:val="20"/>
          <w:color w:val="auto"/>
        </w:rPr>
      </w:pPr>
    </w:p>
    <w:p>
      <w:pPr>
        <w:jc w:val="both"/>
        <w:ind w:firstLine="1952"/>
        <w:spacing w:after="0" w:line="202" w:lineRule="auto"/>
        <w:tabs>
          <w:tab w:leader="none" w:pos="2592" w:val="left"/>
        </w:tabs>
        <w:numPr>
          <w:ilvl w:val="0"/>
          <w:numId w:val="717"/>
        </w:numPr>
        <w:rPr>
          <w:rFonts w:ascii="Calibri" w:cs="Calibri" w:eastAsia="Calibri" w:hAnsi="Calibri"/>
          <w:sz w:val="20"/>
          <w:szCs w:val="20"/>
          <w:color w:val="auto"/>
        </w:rPr>
      </w:pPr>
      <w:r>
        <w:rPr>
          <w:rFonts w:ascii="Calibri" w:cs="Calibri" w:eastAsia="Calibri" w:hAnsi="Calibri"/>
          <w:sz w:val="20"/>
          <w:szCs w:val="20"/>
          <w:color w:val="auto"/>
        </w:rPr>
        <w:t>The Sponsor Guarantor has implemented and maintains, and has caused, or no later than the frst Disbursement Date for the relevant Project, will have caused, each Recipient to implement and maintain in connecton with each Project, commercially reasonable privacy, informaton security, cyber security, disaster recovery, business contnuity, data backup and incident response plans, policies and procedures consistent with Prudent Industry Practce (including administratve, technical and physical safeguards) designed to protect: (i) Sensitve Informaton from any unauthorized, accidental, or unlawful Processing or loss; (ii) each applicable IT System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1384" w:right="339" w:bottom="1440" w:gutter="0" w:footer="0" w:header="0"/>
        </w:sectPr>
      </w:pPr>
    </w:p>
    <w:bookmarkStart w:id="554" w:name="page555"/>
    <w:bookmarkEnd w:id="554"/>
    <w:p>
      <w:pPr>
        <w:jc w:val="both"/>
        <w:spacing w:after="0" w:line="214" w:lineRule="auto"/>
        <w:rPr>
          <w:sz w:val="20"/>
          <w:szCs w:val="20"/>
          <w:color w:val="auto"/>
        </w:rPr>
      </w:pPr>
      <w:r>
        <w:rPr>
          <w:rFonts w:ascii="Calibri" w:cs="Calibri" w:eastAsia="Calibri" w:hAnsi="Calibri"/>
          <w:sz w:val="20"/>
          <w:szCs w:val="20"/>
          <w:color w:val="auto"/>
        </w:rPr>
        <w:t>unauthorized or unlawful access, acquisiton, use, control, disrupton, destructon, or modifcaton; and (iii) the integrity, security and availability of the Sensitve Informaton and IT Systems.</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10.16. </w:t>
      </w:r>
      <w:r>
        <w:rPr>
          <w:rFonts w:ascii="Calibri" w:cs="Calibri" w:eastAsia="Calibri" w:hAnsi="Calibri"/>
          <w:sz w:val="20"/>
          <w:szCs w:val="20"/>
          <w:b w:val="1"/>
          <w:bCs w:val="1"/>
          <w:color w:val="auto"/>
        </w:rPr>
        <w:t>Acknowledgement Regarding Use of Data</w:t>
      </w:r>
      <w:r>
        <w:rPr>
          <w:rFonts w:ascii="Calibri" w:cs="Calibri" w:eastAsia="Calibri" w:hAnsi="Calibri"/>
          <w:sz w:val="20"/>
          <w:szCs w:val="20"/>
          <w:color w:val="auto"/>
        </w:rPr>
        <w:t>. The Sponsor Guarantor has taken commercially reasonable measures to safeguard protected personally identfable informaton and other confdental or sensitve personal or business informaton created or obtained in connecton with the Award.</w:t>
      </w:r>
    </w:p>
    <w:p>
      <w:pPr>
        <w:spacing w:after="0" w:line="172"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10.17. </w:t>
      </w:r>
      <w:r>
        <w:rPr>
          <w:rFonts w:ascii="Calibri" w:cs="Calibri" w:eastAsia="Calibri" w:hAnsi="Calibri"/>
          <w:sz w:val="20"/>
          <w:szCs w:val="20"/>
          <w:b w:val="1"/>
          <w:bCs w:val="1"/>
          <w:color w:val="auto"/>
        </w:rPr>
        <w:t>Financing Documents</w:t>
      </w:r>
      <w:r>
        <w:rPr>
          <w:rFonts w:ascii="Calibri" w:cs="Calibri" w:eastAsia="Calibri" w:hAnsi="Calibri"/>
          <w:sz w:val="20"/>
          <w:szCs w:val="20"/>
          <w:color w:val="auto"/>
        </w:rPr>
        <w:t>. The Sponsor Guarantor has received a copy of each of the Financing Documents, including the DFAs.</w:t>
      </w:r>
    </w:p>
    <w:p>
      <w:pPr>
        <w:spacing w:after="0" w:line="186"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10.18. </w:t>
      </w:r>
      <w:r>
        <w:rPr>
          <w:rFonts w:ascii="Calibri" w:cs="Calibri" w:eastAsia="Calibri" w:hAnsi="Calibri"/>
          <w:sz w:val="20"/>
          <w:szCs w:val="20"/>
          <w:b w:val="1"/>
          <w:bCs w:val="1"/>
          <w:color w:val="auto"/>
        </w:rPr>
        <w:t>Required Approvals</w:t>
      </w:r>
      <w:r>
        <w:rPr>
          <w:rFonts w:ascii="Calibri" w:cs="Calibri" w:eastAsia="Calibri" w:hAnsi="Calibri"/>
          <w:sz w:val="20"/>
          <w:szCs w:val="20"/>
          <w:color w:val="auto"/>
        </w:rPr>
        <w:t>. The Sponsor Guarantor is in compliance in all material respects with all Required Approvals that have been obtained by, or are otherwise applicable to, the Sponsor Guarantor.</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10.19. </w:t>
      </w:r>
      <w:r>
        <w:rPr>
          <w:rFonts w:ascii="Calibri" w:cs="Calibri" w:eastAsia="Calibri" w:hAnsi="Calibri"/>
          <w:sz w:val="20"/>
          <w:szCs w:val="20"/>
          <w:b w:val="1"/>
          <w:bCs w:val="1"/>
          <w:color w:val="auto"/>
        </w:rPr>
        <w:t>Litgaton</w:t>
      </w:r>
      <w:r>
        <w:rPr>
          <w:rFonts w:ascii="Calibri" w:cs="Calibri" w:eastAsia="Calibri" w:hAnsi="Calibri"/>
          <w:sz w:val="20"/>
          <w:szCs w:val="20"/>
          <w:color w:val="auto"/>
        </w:rPr>
        <w:t>. Except (x) as expressly set forth on Schedule E (Litgaton) of each DFA (as such schedule may be updated from tme to tme upon writen notce to the Department), and (y) as set forth in forms, reports, statements or certfcatons and other documents (including all exhibits, amendments and supplements thereto) furnished to or fled from tme to tme (including afer the date hereof) with the U.S. Securites and Exchange Commission by the Sponsor Guarantor, there is no pending material Acton or, to the Sponsor Guarantor’s Knowledge, threatened Acton (in writng) that the Sponsor Guarantor reasonably believes is likely to result in a material Acton that relates to:</w:t>
      </w:r>
    </w:p>
    <w:p>
      <w:pPr>
        <w:spacing w:after="0" w:line="207" w:lineRule="exact"/>
        <w:rPr>
          <w:sz w:val="20"/>
          <w:szCs w:val="20"/>
          <w:color w:val="auto"/>
        </w:rPr>
      </w:pPr>
    </w:p>
    <w:p>
      <w:pPr>
        <w:ind w:left="2600" w:hanging="648"/>
        <w:spacing w:after="0"/>
        <w:tabs>
          <w:tab w:leader="none" w:pos="2600" w:val="left"/>
        </w:tabs>
        <w:numPr>
          <w:ilvl w:val="0"/>
          <w:numId w:val="718"/>
        </w:numPr>
        <w:rPr>
          <w:rFonts w:ascii="Calibri" w:cs="Calibri" w:eastAsia="Calibri" w:hAnsi="Calibri"/>
          <w:sz w:val="20"/>
          <w:szCs w:val="20"/>
          <w:color w:val="auto"/>
        </w:rPr>
      </w:pPr>
      <w:r>
        <w:rPr>
          <w:rFonts w:ascii="Calibri" w:cs="Calibri" w:eastAsia="Calibri" w:hAnsi="Calibri"/>
          <w:sz w:val="20"/>
          <w:szCs w:val="20"/>
          <w:color w:val="auto"/>
        </w:rPr>
        <w:t>the legality, validity or enforceability of this Agreement or to any transacton contemplated hereunder;</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718"/>
        </w:numPr>
        <w:rPr>
          <w:rFonts w:ascii="Calibri" w:cs="Calibri" w:eastAsia="Calibri" w:hAnsi="Calibri"/>
          <w:sz w:val="20"/>
          <w:szCs w:val="20"/>
          <w:color w:val="auto"/>
        </w:rPr>
      </w:pPr>
      <w:r>
        <w:rPr>
          <w:rFonts w:ascii="Calibri" w:cs="Calibri" w:eastAsia="Calibri" w:hAnsi="Calibri"/>
          <w:sz w:val="20"/>
          <w:szCs w:val="20"/>
          <w:color w:val="auto"/>
        </w:rPr>
        <w:t>any Project and that has, or would reasonably be expected to cause, a Material Adverse Efect; or</w:t>
      </w:r>
    </w:p>
    <w:p>
      <w:pPr>
        <w:spacing w:after="0" w:line="157" w:lineRule="exact"/>
        <w:rPr>
          <w:rFonts w:ascii="Calibri" w:cs="Calibri" w:eastAsia="Calibri" w:hAnsi="Calibri"/>
          <w:sz w:val="20"/>
          <w:szCs w:val="20"/>
          <w:color w:val="auto"/>
        </w:rPr>
      </w:pPr>
    </w:p>
    <w:p>
      <w:pPr>
        <w:ind w:right="160" w:firstLine="1952"/>
        <w:spacing w:after="0" w:line="234" w:lineRule="auto"/>
        <w:tabs>
          <w:tab w:leader="none" w:pos="2584" w:val="left"/>
        </w:tabs>
        <w:numPr>
          <w:ilvl w:val="0"/>
          <w:numId w:val="718"/>
        </w:numPr>
        <w:rPr>
          <w:rFonts w:ascii="Calibri" w:cs="Calibri" w:eastAsia="Calibri" w:hAnsi="Calibri"/>
          <w:sz w:val="20"/>
          <w:szCs w:val="20"/>
          <w:color w:val="auto"/>
        </w:rPr>
      </w:pPr>
      <w:r>
        <w:rPr>
          <w:rFonts w:ascii="Calibri" w:cs="Calibri" w:eastAsia="Calibri" w:hAnsi="Calibri"/>
          <w:sz w:val="20"/>
          <w:szCs w:val="20"/>
          <w:color w:val="auto"/>
        </w:rPr>
        <w:t>any Recipient Party that, either individually or in the aggregate, has, or could reasonably be expected to cause, a Material Adverse Efect.</w:t>
      </w:r>
    </w:p>
    <w:p>
      <w:pPr>
        <w:spacing w:after="0" w:line="122"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11</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REPORTING COVENANTS</w:t>
      </w:r>
    </w:p>
    <w:p>
      <w:pPr>
        <w:spacing w:after="0" w:line="211"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The Sponsor Guarantor covenants and agrees that, unless the Department waives compliance in writng, the Sponsor Guarantor shall, at its own expense, furnish, or cause to be furnished, to the Department all informaton as and when required in accordance with Annex F (</w:t>
      </w:r>
      <w:r>
        <w:rPr>
          <w:rFonts w:ascii="Calibri" w:cs="Calibri" w:eastAsia="Calibri" w:hAnsi="Calibri"/>
          <w:sz w:val="20"/>
          <w:szCs w:val="20"/>
          <w:i w:val="1"/>
          <w:iCs w:val="1"/>
          <w:color w:val="auto"/>
        </w:rPr>
        <w:t>Reportng Covenants</w:t>
      </w:r>
      <w:r>
        <w:rPr>
          <w:rFonts w:ascii="Calibri" w:cs="Calibri" w:eastAsia="Calibri" w:hAnsi="Calibri"/>
          <w:sz w:val="20"/>
          <w:szCs w:val="20"/>
          <w:color w:val="auto"/>
        </w:rPr>
        <w:t>) of each DFA.</w:t>
      </w:r>
    </w:p>
    <w:p>
      <w:pPr>
        <w:spacing w:after="0" w:line="190"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12</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AFFIRMATIVE COVENANTS</w:t>
      </w:r>
    </w:p>
    <w:p>
      <w:pPr>
        <w:spacing w:after="0" w:line="184"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12.1. </w:t>
      </w:r>
      <w:r>
        <w:rPr>
          <w:rFonts w:ascii="Calibri" w:cs="Calibri" w:eastAsia="Calibri" w:hAnsi="Calibri"/>
          <w:sz w:val="20"/>
          <w:szCs w:val="20"/>
          <w:b w:val="1"/>
          <w:bCs w:val="1"/>
          <w:color w:val="auto"/>
        </w:rPr>
        <w:t>Afrmatve Covenants during the Period of Performance</w:t>
      </w:r>
      <w:r>
        <w:rPr>
          <w:rFonts w:ascii="Calibri" w:cs="Calibri" w:eastAsia="Calibri" w:hAnsi="Calibri"/>
          <w:sz w:val="20"/>
          <w:szCs w:val="20"/>
          <w:color w:val="auto"/>
        </w:rPr>
        <w:t>. The Sponsor Guarantor covenants and agrees that during the applicable Period of Performance, unless the Department waives compliance in writng:</w:t>
      </w:r>
    </w:p>
    <w:p>
      <w:pPr>
        <w:spacing w:after="0" w:line="17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12.1.1.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The Sponsor Guarantor shall comply with and conduct its business, operatons, assets, equipment, property, leaseholds in compliance with:</w:t>
      </w:r>
    </w:p>
    <w:p>
      <w:pPr>
        <w:spacing w:after="0" w:line="162" w:lineRule="exact"/>
        <w:rPr>
          <w:sz w:val="20"/>
          <w:szCs w:val="20"/>
          <w:color w:val="auto"/>
        </w:rPr>
      </w:pPr>
    </w:p>
    <w:p>
      <w:pPr>
        <w:ind w:left="2600" w:hanging="648"/>
        <w:spacing w:after="0"/>
        <w:tabs>
          <w:tab w:leader="none" w:pos="2600" w:val="left"/>
        </w:tabs>
        <w:numPr>
          <w:ilvl w:val="0"/>
          <w:numId w:val="719"/>
        </w:numPr>
        <w:rPr>
          <w:rFonts w:ascii="Calibri" w:cs="Calibri" w:eastAsia="Calibri" w:hAnsi="Calibri"/>
          <w:sz w:val="20"/>
          <w:szCs w:val="20"/>
          <w:color w:val="auto"/>
        </w:rPr>
      </w:pPr>
      <w:r>
        <w:rPr>
          <w:rFonts w:ascii="Calibri" w:cs="Calibri" w:eastAsia="Calibri" w:hAnsi="Calibri"/>
          <w:sz w:val="20"/>
          <w:szCs w:val="20"/>
          <w:color w:val="auto"/>
        </w:rPr>
        <w:t>the CHIPS Act;</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19"/>
        </w:numPr>
        <w:rPr>
          <w:rFonts w:ascii="Calibri" w:cs="Calibri" w:eastAsia="Calibri" w:hAnsi="Calibri"/>
          <w:sz w:val="20"/>
          <w:szCs w:val="20"/>
          <w:color w:val="auto"/>
        </w:rPr>
      </w:pPr>
      <w:r>
        <w:rPr>
          <w:rFonts w:ascii="Calibri" w:cs="Calibri" w:eastAsia="Calibri" w:hAnsi="Calibri"/>
          <w:sz w:val="20"/>
          <w:szCs w:val="20"/>
          <w:color w:val="auto"/>
        </w:rPr>
        <w:t>the Program Fraud Civil Remedies Act (31 U.S.C. § 3801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1384" w:right="339" w:bottom="1440" w:gutter="0" w:footer="0" w:header="0"/>
        </w:sectPr>
      </w:pPr>
    </w:p>
    <w:bookmarkStart w:id="555" w:name="page556"/>
    <w:bookmarkEnd w:id="555"/>
    <w:p>
      <w:pPr>
        <w:ind w:left="2600" w:hanging="648"/>
        <w:spacing w:after="0"/>
        <w:tabs>
          <w:tab w:leader="none" w:pos="2600"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the False Claims Amendments Act of 1986 (18 U.S.C. § 287);</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the False Statements Accountability Act of 1996 (18 U.S.C. § 1001);</w:t>
      </w:r>
    </w:p>
    <w:p>
      <w:pPr>
        <w:spacing w:after="0" w:line="160" w:lineRule="exact"/>
        <w:rPr>
          <w:rFonts w:ascii="Calibri" w:cs="Calibri" w:eastAsia="Calibri" w:hAnsi="Calibri"/>
          <w:sz w:val="20"/>
          <w:szCs w:val="20"/>
          <w:color w:val="auto"/>
        </w:rPr>
      </w:pPr>
    </w:p>
    <w:p>
      <w:pPr>
        <w:ind w:left="2600" w:hanging="648"/>
        <w:spacing w:after="0"/>
        <w:tabs>
          <w:tab w:leader="none" w:pos="2600"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the Civil False Claims Act (31 U.S.C. §§ 3729 - 3733);</w:t>
      </w:r>
    </w:p>
    <w:p>
      <w:pPr>
        <w:spacing w:after="0" w:line="184" w:lineRule="exact"/>
        <w:rPr>
          <w:rFonts w:ascii="Calibri" w:cs="Calibri" w:eastAsia="Calibri" w:hAnsi="Calibri"/>
          <w:sz w:val="20"/>
          <w:szCs w:val="20"/>
          <w:color w:val="auto"/>
        </w:rPr>
      </w:pPr>
    </w:p>
    <w:p>
      <w:pPr>
        <w:ind w:right="20" w:firstLine="1952"/>
        <w:spacing w:after="0" w:line="214" w:lineRule="auto"/>
        <w:tabs>
          <w:tab w:leader="none" w:pos="2590"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any mitgaton measures and best management practces set forth in any NEPA decision document of the Department relatng to the Projects;</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the Uniform Relocaton Assistance and Real Property Acquisiton Policies Act of 1970 (42 U.S.C. § 4601 et</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seq.) in all material respects;</w:t>
      </w:r>
    </w:p>
    <w:p>
      <w:pPr>
        <w:spacing w:after="0" w:line="184"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 xml:space="preserve">all applicable federal labor and employment laws, including Title VII of the Civil Rights Act of 1964 (42 U.S.C. § 2000e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the Fair Labor Standards Act (29 U.S.C. § 203), the Occupatonal Safety and Health Act (29 U.S.C. § 653) and the Natonal Labor Relatons Act (29 U.S.C. § 151 </w:t>
      </w:r>
      <w:r>
        <w:rPr>
          <w:rFonts w:ascii="Calibri" w:cs="Calibri" w:eastAsia="Calibri" w:hAnsi="Calibri"/>
          <w:sz w:val="20"/>
          <w:szCs w:val="20"/>
          <w:i w:val="1"/>
          <w:iCs w:val="1"/>
          <w:color w:val="auto"/>
        </w:rPr>
        <w:t>et seq</w:t>
      </w:r>
      <w:r>
        <w:rPr>
          <w:rFonts w:ascii="Calibri" w:cs="Calibri" w:eastAsia="Calibri" w:hAnsi="Calibri"/>
          <w:sz w:val="20"/>
          <w:szCs w:val="20"/>
          <w:color w:val="auto"/>
        </w:rPr>
        <w:t>.) in all material respects;</w:t>
      </w:r>
    </w:p>
    <w:p>
      <w:pPr>
        <w:spacing w:after="0" w:line="184" w:lineRule="exact"/>
        <w:rPr>
          <w:rFonts w:ascii="Calibri" w:cs="Calibri" w:eastAsia="Calibri" w:hAnsi="Calibri"/>
          <w:sz w:val="20"/>
          <w:szCs w:val="20"/>
          <w:color w:val="auto"/>
        </w:rPr>
      </w:pPr>
    </w:p>
    <w:p>
      <w:pPr>
        <w:jc w:val="both"/>
        <w:ind w:firstLine="1952"/>
        <w:spacing w:after="0" w:line="200" w:lineRule="auto"/>
        <w:tabs>
          <w:tab w:leader="none" w:pos="2586"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all applicable Export Control Laws in all respects, except for any actual or potental violatons that involve only unintentonal minor, technical infractons, which either (A) were voluntarily self-disclosed to BIS within sixty (60) days of the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 and</w:t>
      </w:r>
    </w:p>
    <w:p>
      <w:pPr>
        <w:spacing w:after="0" w:line="184" w:lineRule="exact"/>
        <w:rPr>
          <w:rFonts w:ascii="Calibri" w:cs="Calibri" w:eastAsia="Calibri" w:hAnsi="Calibri"/>
          <w:sz w:val="20"/>
          <w:szCs w:val="20"/>
          <w:color w:val="auto"/>
        </w:rPr>
      </w:pPr>
    </w:p>
    <w:p>
      <w:pPr>
        <w:ind w:firstLine="1952"/>
        <w:spacing w:after="0" w:line="214" w:lineRule="auto"/>
        <w:tabs>
          <w:tab w:leader="none" w:pos="2594" w:val="left"/>
        </w:tabs>
        <w:numPr>
          <w:ilvl w:val="0"/>
          <w:numId w:val="720"/>
        </w:numPr>
        <w:rPr>
          <w:rFonts w:ascii="Calibri" w:cs="Calibri" w:eastAsia="Calibri" w:hAnsi="Calibri"/>
          <w:sz w:val="20"/>
          <w:szCs w:val="20"/>
          <w:color w:val="auto"/>
        </w:rPr>
      </w:pPr>
      <w:r>
        <w:rPr>
          <w:rFonts w:ascii="Calibri" w:cs="Calibri" w:eastAsia="Calibri" w:hAnsi="Calibri"/>
          <w:sz w:val="20"/>
          <w:szCs w:val="20"/>
          <w:color w:val="auto"/>
        </w:rPr>
        <w:t>without prejudice to this Secton 12.1.1 (</w:t>
      </w:r>
      <w:r>
        <w:rPr>
          <w:rFonts w:ascii="Calibri" w:cs="Calibri" w:eastAsia="Calibri" w:hAnsi="Calibri"/>
          <w:sz w:val="20"/>
          <w:szCs w:val="20"/>
          <w:b w:val="1"/>
          <w:bCs w:val="1"/>
          <w:color w:val="auto"/>
        </w:rPr>
        <w:t>Compliance with Applicable Law</w:t>
      </w:r>
      <w:r>
        <w:rPr>
          <w:rFonts w:ascii="Calibri" w:cs="Calibri" w:eastAsia="Calibri" w:hAnsi="Calibri"/>
          <w:sz w:val="20"/>
          <w:szCs w:val="20"/>
          <w:color w:val="auto"/>
        </w:rPr>
        <w:t>) and Secton 12.1.4 (</w:t>
      </w:r>
      <w:r>
        <w:rPr>
          <w:rFonts w:ascii="Calibri" w:cs="Calibri" w:eastAsia="Calibri" w:hAnsi="Calibri"/>
          <w:sz w:val="20"/>
          <w:szCs w:val="20"/>
          <w:b w:val="1"/>
          <w:bCs w:val="1"/>
          <w:color w:val="auto"/>
        </w:rPr>
        <w:t>Federal</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Requirements</w:t>
      </w:r>
      <w:r>
        <w:rPr>
          <w:rFonts w:ascii="Calibri" w:cs="Calibri" w:eastAsia="Calibri" w:hAnsi="Calibri"/>
          <w:sz w:val="20"/>
          <w:szCs w:val="20"/>
          <w:color w:val="auto"/>
        </w:rPr>
        <w:t>), with all other Applicable Law in all material respects.</w:t>
      </w:r>
    </w:p>
    <w:p>
      <w:pPr>
        <w:spacing w:after="0" w:line="172"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12.1.2. </w:t>
      </w:r>
      <w:r>
        <w:rPr>
          <w:rFonts w:ascii="Calibri" w:cs="Calibri" w:eastAsia="Calibri" w:hAnsi="Calibri"/>
          <w:sz w:val="20"/>
          <w:szCs w:val="20"/>
          <w:b w:val="1"/>
          <w:bCs w:val="1"/>
          <w:color w:val="auto"/>
        </w:rPr>
        <w:t>Taxes</w:t>
      </w:r>
      <w:r>
        <w:rPr>
          <w:rFonts w:ascii="Calibri" w:cs="Calibri" w:eastAsia="Calibri" w:hAnsi="Calibri"/>
          <w:sz w:val="20"/>
          <w:szCs w:val="20"/>
          <w:color w:val="auto"/>
        </w:rPr>
        <w:t>. The Sponsor Guarantor shall fle all tax returns required by Applicable Laws to be fled by it and shall pay or cause to be paid on or before the date payment is due (a) all income Taxes required to be paid by it; and (b) all other material Taxes and assessments required to be paid by it (other than those Taxes that it contests in good faith and by appropriate proceedings, for which reserves are established to the extent required by the Applicable Accountng Requirements).</w:t>
      </w:r>
    </w:p>
    <w:p>
      <w:pPr>
        <w:spacing w:after="0" w:line="187"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12.1.3. </w:t>
      </w:r>
      <w:r>
        <w:rPr>
          <w:rFonts w:ascii="Calibri" w:cs="Calibri" w:eastAsia="Calibri" w:hAnsi="Calibri"/>
          <w:sz w:val="20"/>
          <w:szCs w:val="20"/>
          <w:b w:val="1"/>
          <w:bCs w:val="1"/>
          <w:color w:val="auto"/>
        </w:rPr>
        <w:t>Public Announcements</w:t>
      </w:r>
      <w:r>
        <w:rPr>
          <w:rFonts w:ascii="Calibri" w:cs="Calibri" w:eastAsia="Calibri" w:hAnsi="Calibri"/>
          <w:sz w:val="20"/>
          <w:szCs w:val="20"/>
          <w:color w:val="auto"/>
        </w:rPr>
        <w:t xml:space="preserve"> . The Sponsor Guarantor shall, prior to the making thereof, provide reasonable advance notce to the Department with respect to any public announcement made by the Sponsor Guarantor or, to the Sponsor Guarantor’s Knowledge, any Recipient:</w:t>
      </w:r>
    </w:p>
    <w:p>
      <w:pPr>
        <w:spacing w:after="0" w:line="211" w:lineRule="exact"/>
        <w:rPr>
          <w:sz w:val="20"/>
          <w:szCs w:val="20"/>
          <w:color w:val="auto"/>
        </w:rPr>
      </w:pPr>
    </w:p>
    <w:p>
      <w:pPr>
        <w:ind w:firstLine="1952"/>
        <w:spacing w:after="0" w:line="234" w:lineRule="auto"/>
        <w:tabs>
          <w:tab w:leader="none" w:pos="2596" w:val="left"/>
        </w:tabs>
        <w:numPr>
          <w:ilvl w:val="0"/>
          <w:numId w:val="721"/>
        </w:numPr>
        <w:rPr>
          <w:rFonts w:ascii="Calibri" w:cs="Calibri" w:eastAsia="Calibri" w:hAnsi="Calibri"/>
          <w:sz w:val="20"/>
          <w:szCs w:val="20"/>
          <w:color w:val="auto"/>
        </w:rPr>
      </w:pPr>
      <w:r>
        <w:rPr>
          <w:rFonts w:ascii="Calibri" w:cs="Calibri" w:eastAsia="Calibri" w:hAnsi="Calibri"/>
          <w:sz w:val="20"/>
          <w:szCs w:val="20"/>
          <w:color w:val="auto"/>
        </w:rPr>
        <w:t xml:space="preserve">in connecton with material developments in respect of any Project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any Project’s ground-breaking ceremony or going into operaton) or satsfacton of any Disbursement Milestone; and</w:t>
      </w:r>
    </w:p>
    <w:p>
      <w:pPr>
        <w:spacing w:after="0" w:line="158" w:lineRule="exact"/>
        <w:rPr>
          <w:rFonts w:ascii="Calibri" w:cs="Calibri" w:eastAsia="Calibri" w:hAnsi="Calibri"/>
          <w:sz w:val="20"/>
          <w:szCs w:val="20"/>
          <w:color w:val="auto"/>
        </w:rPr>
      </w:pPr>
    </w:p>
    <w:p>
      <w:pPr>
        <w:jc w:val="both"/>
        <w:ind w:firstLine="1952"/>
        <w:spacing w:after="0" w:line="234" w:lineRule="auto"/>
        <w:tabs>
          <w:tab w:leader="none" w:pos="2592" w:val="left"/>
        </w:tabs>
        <w:numPr>
          <w:ilvl w:val="0"/>
          <w:numId w:val="721"/>
        </w:numPr>
        <w:rPr>
          <w:rFonts w:ascii="Calibri" w:cs="Calibri" w:eastAsia="Calibri" w:hAnsi="Calibri"/>
          <w:sz w:val="20"/>
          <w:szCs w:val="20"/>
          <w:color w:val="auto"/>
        </w:rPr>
      </w:pPr>
      <w:r>
        <w:rPr>
          <w:rFonts w:ascii="Calibri" w:cs="Calibri" w:eastAsia="Calibri" w:hAnsi="Calibri"/>
          <w:sz w:val="20"/>
          <w:szCs w:val="20"/>
          <w:color w:val="auto"/>
        </w:rPr>
        <w:t>that directly refers to the Award, this Agreement, any Financing Document or any Award Document (including by submitng the full text of any proposed public statement to the Department for review and refraining from making any</w:t>
      </w:r>
    </w:p>
    <w:p>
      <w:pPr>
        <w:spacing w:after="0" w:line="23" w:lineRule="exact"/>
        <w:rPr>
          <w:rFonts w:ascii="Calibri" w:cs="Calibri" w:eastAsia="Calibri" w:hAnsi="Calibri"/>
          <w:sz w:val="20"/>
          <w:szCs w:val="20"/>
          <w:color w:val="auto"/>
        </w:rPr>
      </w:pPr>
    </w:p>
    <w:p>
      <w:pPr>
        <w:jc w:val="both"/>
        <w:ind w:right="20"/>
        <w:spacing w:after="0"/>
        <w:rPr>
          <w:rFonts w:ascii="Calibri" w:cs="Calibri" w:eastAsia="Calibri" w:hAnsi="Calibri"/>
          <w:sz w:val="20"/>
          <w:szCs w:val="20"/>
          <w:color w:val="auto"/>
        </w:rPr>
      </w:pPr>
      <w:r>
        <w:rPr>
          <w:rFonts w:ascii="Calibri" w:cs="Calibri" w:eastAsia="Calibri" w:hAnsi="Calibri"/>
          <w:sz w:val="20"/>
          <w:szCs w:val="20"/>
          <w:color w:val="auto"/>
        </w:rPr>
        <w:t>such public statement without the Department’s prior writen approval), other than any such statements that are, as may be determined by any Recipient Party or any Afliate thereof: (i) required by or to comply with Applicable Law or stock exchange rules or regulatons applicable to such Person; or (ii) made in connecton with any Acton brought by or against any Recipient, the Sponsor Guarantor or any of its Afliates.</w:t>
      </w:r>
    </w:p>
    <w:p>
      <w:pPr>
        <w:spacing w:after="0" w:line="12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 xml:space="preserve">Secton 12.1.4. </w:t>
      </w:r>
      <w:r>
        <w:rPr>
          <w:rFonts w:ascii="Calibri" w:cs="Calibri" w:eastAsia="Calibri" w:hAnsi="Calibri"/>
          <w:sz w:val="20"/>
          <w:szCs w:val="20"/>
          <w:b w:val="1"/>
          <w:bCs w:val="1"/>
          <w:color w:val="auto"/>
        </w:rPr>
        <w:t>Federal Requirements</w:t>
      </w:r>
      <w:r>
        <w:rPr>
          <w:rFonts w:ascii="Calibri" w:cs="Calibri" w:eastAsia="Calibri" w:hAnsi="Calibri"/>
          <w:sz w:val="20"/>
          <w:szCs w:val="20"/>
          <w:color w:val="auto"/>
        </w:rPr>
        <w:t>.</w:t>
      </w:r>
    </w:p>
    <w:p>
      <w:pPr>
        <w:spacing w:after="0" w:line="161" w:lineRule="exact"/>
        <w:rPr>
          <w:sz w:val="20"/>
          <w:szCs w:val="20"/>
          <w:color w:val="auto"/>
        </w:rPr>
      </w:pPr>
    </w:p>
    <w:p>
      <w:pPr>
        <w:ind w:left="2600" w:hanging="648"/>
        <w:spacing w:after="0"/>
        <w:tabs>
          <w:tab w:leader="none" w:pos="2600" w:val="left"/>
        </w:tabs>
        <w:numPr>
          <w:ilvl w:val="0"/>
          <w:numId w:val="722"/>
        </w:numPr>
        <w:rPr>
          <w:rFonts w:ascii="Calibri" w:cs="Calibri" w:eastAsia="Calibri" w:hAnsi="Calibri"/>
          <w:sz w:val="20"/>
          <w:szCs w:val="20"/>
          <w:color w:val="auto"/>
        </w:rPr>
      </w:pPr>
      <w:r>
        <w:rPr>
          <w:rFonts w:ascii="Calibri" w:cs="Calibri" w:eastAsia="Calibri" w:hAnsi="Calibri"/>
          <w:sz w:val="20"/>
          <w:szCs w:val="20"/>
          <w:b w:val="1"/>
          <w:bCs w:val="1"/>
          <w:color w:val="auto"/>
        </w:rPr>
        <w:t>Sanctons, Export Control Laws, Ant-Money Laundering Laws, and Ant-Corrupton Laws</w:t>
      </w:r>
      <w:r>
        <w:rPr>
          <w:rFonts w:ascii="Calibri" w:cs="Calibri" w:eastAsia="Calibri" w:hAnsi="Calibri"/>
          <w:sz w:val="20"/>
          <w:szCs w:val="20"/>
          <w:color w:val="auto"/>
        </w:rPr>
        <w:t>. The Sponsor</w:t>
      </w:r>
    </w:p>
    <w:p>
      <w:pPr>
        <w:spacing w:after="0" w:line="199" w:lineRule="auto"/>
        <w:rPr>
          <w:sz w:val="20"/>
          <w:szCs w:val="20"/>
          <w:color w:val="auto"/>
        </w:rPr>
      </w:pPr>
      <w:r>
        <w:rPr>
          <w:rFonts w:ascii="Calibri" w:cs="Calibri" w:eastAsia="Calibri" w:hAnsi="Calibri"/>
          <w:sz w:val="20"/>
          <w:szCs w:val="20"/>
          <w:color w:val="auto"/>
        </w:rPr>
        <w:t>Guarantor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374" w:right="339" w:bottom="1440" w:gutter="0" w:footer="0" w:header="0"/>
        </w:sectPr>
      </w:pPr>
    </w:p>
    <w:bookmarkStart w:id="556" w:name="page557"/>
    <w:bookmarkEnd w:id="556"/>
    <w:p>
      <w:pPr>
        <w:jc w:val="both"/>
        <w:ind w:firstLine="2600"/>
        <w:spacing w:after="0" w:line="205" w:lineRule="auto"/>
        <w:tabs>
          <w:tab w:leader="none" w:pos="3234" w:val="left"/>
        </w:tabs>
        <w:numPr>
          <w:ilvl w:val="0"/>
          <w:numId w:val="723"/>
        </w:numPr>
        <w:rPr>
          <w:rFonts w:ascii="Calibri" w:cs="Calibri" w:eastAsia="Calibri" w:hAnsi="Calibri"/>
          <w:sz w:val="20"/>
          <w:szCs w:val="20"/>
          <w:color w:val="auto"/>
        </w:rPr>
      </w:pPr>
      <w:r>
        <w:rPr>
          <w:rFonts w:ascii="Calibri" w:cs="Calibri" w:eastAsia="Calibri" w:hAnsi="Calibri"/>
          <w:sz w:val="20"/>
          <w:szCs w:val="20"/>
          <w:color w:val="auto"/>
        </w:rPr>
        <w:t>comply with all Sanctons, Ant-Money Laundering Laws, and Ant-Corrupton Laws in connecton with its actvity under this Agreement or any Financing Document or otherwise in connecton with any Project or transacton contemplated by the Financing Documents;</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0"/>
          <w:numId w:val="723"/>
        </w:numPr>
        <w:rPr>
          <w:rFonts w:ascii="Calibri" w:cs="Calibri" w:eastAsia="Calibri" w:hAnsi="Calibri"/>
          <w:sz w:val="20"/>
          <w:szCs w:val="20"/>
          <w:color w:val="auto"/>
        </w:rPr>
      </w:pPr>
      <w:r>
        <w:rPr>
          <w:rFonts w:ascii="Calibri" w:cs="Calibri" w:eastAsia="Calibri" w:hAnsi="Calibri"/>
          <w:sz w:val="20"/>
          <w:szCs w:val="20"/>
          <w:color w:val="auto"/>
        </w:rPr>
        <w:t>comply with all applicable Export Control Laws in all respects. except for any actual or potental</w:t>
      </w:r>
    </w:p>
    <w:p>
      <w:pPr>
        <w:spacing w:after="0" w:line="191" w:lineRule="auto"/>
        <w:rPr>
          <w:sz w:val="20"/>
          <w:szCs w:val="20"/>
          <w:color w:val="auto"/>
        </w:rPr>
      </w:pPr>
      <w:r>
        <w:rPr>
          <w:rFonts w:ascii="Calibri" w:cs="Calibri" w:eastAsia="Calibri" w:hAnsi="Calibri"/>
          <w:sz w:val="20"/>
          <w:szCs w:val="20"/>
          <w:color w:val="auto"/>
        </w:rPr>
        <w:t>violatons that involve only unintentonal minor, technical infractons, which either (A) were voluntarily self-disclosed to BIS within sixty</w:t>
      </w:r>
    </w:p>
    <w:p>
      <w:pPr>
        <w:spacing w:after="0" w:line="1" w:lineRule="exact"/>
        <w:rPr>
          <w:sz w:val="20"/>
          <w:szCs w:val="20"/>
          <w:color w:val="auto"/>
        </w:rPr>
      </w:pPr>
    </w:p>
    <w:p>
      <w:pPr>
        <w:jc w:val="both"/>
        <w:ind w:firstLine="8"/>
        <w:spacing w:after="0" w:line="197" w:lineRule="auto"/>
        <w:tabs>
          <w:tab w:leader="none" w:pos="387" w:val="left"/>
        </w:tabs>
        <w:numPr>
          <w:ilvl w:val="0"/>
          <w:numId w:val="724"/>
        </w:numPr>
        <w:rPr>
          <w:rFonts w:ascii="Calibri" w:cs="Calibri" w:eastAsia="Calibri" w:hAnsi="Calibri"/>
          <w:sz w:val="20"/>
          <w:szCs w:val="20"/>
          <w:color w:val="auto"/>
        </w:rPr>
      </w:pPr>
      <w:r>
        <w:rPr>
          <w:rFonts w:ascii="Calibri" w:cs="Calibri" w:eastAsia="Calibri" w:hAnsi="Calibri"/>
          <w:sz w:val="20"/>
          <w:szCs w:val="20"/>
          <w:color w:val="auto"/>
        </w:rPr>
        <w:t>days of any Recipient Party becoming aware of the violaton, and, within sixty (60) days of disclosure resulted in the issuance of a warning or no acton leter by BIS; or (B) otherwise could not reasonably be expected to give rise to an enforcement acton, or the impositon of any fne or penalty by any Governmental Authority;</w:t>
      </w:r>
    </w:p>
    <w:p>
      <w:pPr>
        <w:spacing w:after="0" w:line="161" w:lineRule="exact"/>
        <w:rPr>
          <w:rFonts w:ascii="Calibri" w:cs="Calibri" w:eastAsia="Calibri" w:hAnsi="Calibri"/>
          <w:sz w:val="20"/>
          <w:szCs w:val="20"/>
          <w:color w:val="auto"/>
        </w:rPr>
      </w:pPr>
    </w:p>
    <w:p>
      <w:pPr>
        <w:ind w:left="3260" w:hanging="660"/>
        <w:spacing w:after="0"/>
        <w:tabs>
          <w:tab w:leader="none" w:pos="3260" w:val="left"/>
        </w:tabs>
        <w:numPr>
          <w:ilvl w:val="2"/>
          <w:numId w:val="724"/>
        </w:numPr>
        <w:rPr>
          <w:rFonts w:ascii="Calibri" w:cs="Calibri" w:eastAsia="Calibri" w:hAnsi="Calibri"/>
          <w:sz w:val="20"/>
          <w:szCs w:val="20"/>
          <w:color w:val="auto"/>
        </w:rPr>
      </w:pPr>
      <w:r>
        <w:rPr>
          <w:rFonts w:ascii="Calibri" w:cs="Calibri" w:eastAsia="Calibri" w:hAnsi="Calibri"/>
          <w:sz w:val="20"/>
          <w:szCs w:val="20"/>
          <w:color w:val="auto"/>
        </w:rPr>
        <w:t>maintain in efect policies and procedures designed to promote and achieve compliance with all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applicable Sanctons, Export Control Laws, Ant-Money Laundering Laws, and Ant-Corrupton Laws;</w:t>
      </w:r>
    </w:p>
    <w:p>
      <w:pPr>
        <w:spacing w:after="0" w:line="184" w:lineRule="exact"/>
        <w:rPr>
          <w:rFonts w:ascii="Calibri" w:cs="Calibri" w:eastAsia="Calibri" w:hAnsi="Calibri"/>
          <w:sz w:val="20"/>
          <w:szCs w:val="20"/>
          <w:color w:val="auto"/>
        </w:rPr>
      </w:pPr>
    </w:p>
    <w:p>
      <w:pPr>
        <w:jc w:val="both"/>
        <w:ind w:right="20" w:firstLine="2600"/>
        <w:spacing w:after="0" w:line="205" w:lineRule="auto"/>
        <w:tabs>
          <w:tab w:leader="none" w:pos="3244" w:val="left"/>
        </w:tabs>
        <w:numPr>
          <w:ilvl w:val="2"/>
          <w:numId w:val="724"/>
        </w:numPr>
        <w:rPr>
          <w:rFonts w:ascii="Calibri" w:cs="Calibri" w:eastAsia="Calibri" w:hAnsi="Calibri"/>
          <w:sz w:val="20"/>
          <w:szCs w:val="20"/>
          <w:color w:val="auto"/>
        </w:rPr>
      </w:pPr>
      <w:r>
        <w:rPr>
          <w:rFonts w:ascii="Calibri" w:cs="Calibri" w:eastAsia="Calibri" w:hAnsi="Calibri"/>
          <w:sz w:val="20"/>
          <w:szCs w:val="20"/>
          <w:color w:val="auto"/>
        </w:rPr>
        <w:t>maintain in efect disclosure controls and procedures to provide reasonable assurance that material informaton regarding each Recipient’s compliance with Applicable Laws (including Sanctons, Export Control Laws, Ant-Money Laundering Laws, and Ant-Corrupton Laws) is made known to Principal Persons of any Recipient; and</w:t>
      </w:r>
    </w:p>
    <w:p>
      <w:pPr>
        <w:spacing w:after="0" w:line="184" w:lineRule="exact"/>
        <w:rPr>
          <w:rFonts w:ascii="Calibri" w:cs="Calibri" w:eastAsia="Calibri" w:hAnsi="Calibri"/>
          <w:sz w:val="20"/>
          <w:szCs w:val="20"/>
          <w:color w:val="auto"/>
        </w:rPr>
      </w:pPr>
    </w:p>
    <w:p>
      <w:pPr>
        <w:jc w:val="both"/>
        <w:ind w:firstLine="2600"/>
        <w:spacing w:after="0"/>
        <w:tabs>
          <w:tab w:leader="none" w:pos="3238" w:val="left"/>
        </w:tabs>
        <w:numPr>
          <w:ilvl w:val="2"/>
          <w:numId w:val="724"/>
        </w:numPr>
        <w:rPr>
          <w:rFonts w:ascii="Calibri" w:cs="Calibri" w:eastAsia="Calibri" w:hAnsi="Calibri"/>
          <w:sz w:val="20"/>
          <w:szCs w:val="20"/>
          <w:color w:val="auto"/>
        </w:rPr>
      </w:pPr>
      <w:r>
        <w:rPr>
          <w:rFonts w:ascii="Calibri" w:cs="Calibri" w:eastAsia="Calibri" w:hAnsi="Calibri"/>
          <w:sz w:val="20"/>
          <w:szCs w:val="20"/>
          <w:color w:val="auto"/>
        </w:rPr>
        <w:t>take all responsible and prudent steps to ensure that each of its directors, ofcers, employees, agents, and representatves comply with applicable Sanctons, Export Control Laws, Ant-Money Laundering Laws and Ant-Corrupton Laws.</w:t>
      </w:r>
    </w:p>
    <w:p>
      <w:pPr>
        <w:spacing w:after="0" w:line="321" w:lineRule="exact"/>
        <w:rPr>
          <w:rFonts w:ascii="Calibri" w:cs="Calibri" w:eastAsia="Calibri" w:hAnsi="Calibri"/>
          <w:sz w:val="20"/>
          <w:szCs w:val="20"/>
          <w:color w:val="auto"/>
        </w:rPr>
      </w:pPr>
    </w:p>
    <w:p>
      <w:pPr>
        <w:jc w:val="both"/>
        <w:ind w:firstLine="1952"/>
        <w:spacing w:after="0" w:line="198" w:lineRule="auto"/>
        <w:tabs>
          <w:tab w:leader="none" w:pos="2592" w:val="left"/>
        </w:tabs>
        <w:numPr>
          <w:ilvl w:val="1"/>
          <w:numId w:val="724"/>
        </w:numPr>
        <w:rPr>
          <w:rFonts w:ascii="Calibri" w:cs="Calibri" w:eastAsia="Calibri" w:hAnsi="Calibri"/>
          <w:sz w:val="20"/>
          <w:szCs w:val="20"/>
          <w:color w:val="auto"/>
        </w:rPr>
      </w:pP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 The Sponsor Guarantor shall provide writen notce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Department as soon as practcable from the date that the Sponsor Guarantor knew or should have known that any Principal Person of the Sponsor Guarantor has become a Prohibited Person or the Sponsor Guarantor has become a Foreign Entty of Concern. For the purposes of this paragraph (b), (i) the date that the Sponsor Guarantor “should have known” such Principal Person became a Prohibited Person shall include, if applicable, (A) the date on which such Principal Person was identfed on any Sanctons List; and (B) the date on which such Principal Person became domiciled in a Sanctoned Country; and (ii) the date that the Sponsor Guarantor “should have known” that the Sponsor Guarantor became a Foreign Entty of Concern shall include, if applicable, the date on which the change in ownership or management that made the Sponsor Guarantor a Foreign Entty of Concern occurred.</w:t>
      </w:r>
    </w:p>
    <w:p>
      <w:pPr>
        <w:spacing w:after="0" w:line="174" w:lineRule="exact"/>
        <w:rPr>
          <w:rFonts w:ascii="Calibri" w:cs="Calibri" w:eastAsia="Calibri" w:hAnsi="Calibri"/>
          <w:sz w:val="20"/>
          <w:szCs w:val="20"/>
          <w:color w:val="auto"/>
        </w:rPr>
      </w:pPr>
    </w:p>
    <w:p>
      <w:pPr>
        <w:ind w:left="2600" w:hanging="648"/>
        <w:spacing w:after="0"/>
        <w:tabs>
          <w:tab w:leader="none" w:pos="2600" w:val="left"/>
        </w:tabs>
        <w:numPr>
          <w:ilvl w:val="1"/>
          <w:numId w:val="724"/>
        </w:numPr>
        <w:rPr>
          <w:rFonts w:ascii="Calibri" w:cs="Calibri" w:eastAsia="Calibri" w:hAnsi="Calibri"/>
          <w:sz w:val="20"/>
          <w:szCs w:val="20"/>
          <w:color w:val="auto"/>
        </w:rPr>
      </w:pPr>
      <w:r>
        <w:rPr>
          <w:rFonts w:ascii="Calibri" w:cs="Calibri" w:eastAsia="Calibri" w:hAnsi="Calibri"/>
          <w:sz w:val="20"/>
          <w:szCs w:val="20"/>
          <w:b w:val="1"/>
          <w:bCs w:val="1"/>
          <w:color w:val="auto"/>
        </w:rPr>
        <w:t>Lobbying Restricton</w:t>
      </w:r>
      <w:r>
        <w:rPr>
          <w:rFonts w:ascii="Calibri" w:cs="Calibri" w:eastAsia="Calibri" w:hAnsi="Calibri"/>
          <w:sz w:val="20"/>
          <w:szCs w:val="20"/>
          <w:color w:val="auto"/>
        </w:rPr>
        <w:t>. The Sponsor Guarantor shall:</w:t>
      </w:r>
    </w:p>
    <w:p>
      <w:pPr>
        <w:spacing w:after="0" w:line="170" w:lineRule="exact"/>
        <w:rPr>
          <w:rFonts w:ascii="Calibri" w:cs="Calibri" w:eastAsia="Calibri" w:hAnsi="Calibri"/>
          <w:sz w:val="20"/>
          <w:szCs w:val="20"/>
          <w:color w:val="auto"/>
        </w:rPr>
      </w:pPr>
    </w:p>
    <w:p>
      <w:pPr>
        <w:jc w:val="both"/>
        <w:ind w:firstLine="2600"/>
        <w:spacing w:after="0" w:line="203" w:lineRule="auto"/>
        <w:tabs>
          <w:tab w:leader="none" w:pos="3234" w:val="left"/>
        </w:tabs>
        <w:numPr>
          <w:ilvl w:val="2"/>
          <w:numId w:val="725"/>
        </w:numPr>
        <w:rPr>
          <w:rFonts w:ascii="Calibri" w:cs="Calibri" w:eastAsia="Calibri" w:hAnsi="Calibri"/>
          <w:sz w:val="20"/>
          <w:szCs w:val="20"/>
          <w:color w:val="auto"/>
        </w:rPr>
      </w:pPr>
      <w:r>
        <w:rPr>
          <w:rFonts w:ascii="Calibri" w:cs="Calibri" w:eastAsia="Calibri" w:hAnsi="Calibri"/>
          <w:sz w:val="20"/>
          <w:szCs w:val="20"/>
          <w:color w:val="auto"/>
        </w:rPr>
        <w:t>comply with all requirements of 31 U.S.C. § 1352, as amended, including the requirement that no proceeds of any Disbursement be expended by any Recipient or any of their Afliates to pay any Person for infuencing or atemptng to infuence an ofcer or employee of any federal agency, a member of the U.S. Congress, an ofcer or employee of the U.S. Congress, or an employee of a member of Congress in connecton with the making of the Award or any other acton described in 31 U.S.C. § 1352(a)</w:t>
      </w:r>
    </w:p>
    <w:p>
      <w:pPr>
        <w:spacing w:after="0" w:line="2" w:lineRule="exact"/>
        <w:rPr>
          <w:rFonts w:ascii="Calibri" w:cs="Calibri" w:eastAsia="Calibri" w:hAnsi="Calibri"/>
          <w:sz w:val="20"/>
          <w:szCs w:val="20"/>
          <w:color w:val="auto"/>
        </w:rPr>
      </w:pPr>
    </w:p>
    <w:p>
      <w:pPr>
        <w:ind w:left="280" w:hanging="272"/>
        <w:spacing w:after="0" w:line="199" w:lineRule="auto"/>
        <w:tabs>
          <w:tab w:leader="none" w:pos="280" w:val="left"/>
        </w:tabs>
        <w:numPr>
          <w:ilvl w:val="0"/>
          <w:numId w:val="726"/>
        </w:numPr>
        <w:rPr>
          <w:rFonts w:ascii="Calibri" w:cs="Calibri" w:eastAsia="Calibri" w:hAnsi="Calibri"/>
          <w:sz w:val="20"/>
          <w:szCs w:val="20"/>
          <w:color w:val="auto"/>
        </w:rPr>
      </w:pPr>
      <w:r>
        <w:rPr>
          <w:rFonts w:ascii="Calibri" w:cs="Calibri" w:eastAsia="Calibri" w:hAnsi="Calibri"/>
          <w:sz w:val="20"/>
          <w:szCs w:val="20"/>
          <w:color w:val="auto"/>
        </w:rPr>
        <w:t>and with the implementng regulatons at 15 C.F.R. Part 28; and</w:t>
      </w:r>
    </w:p>
    <w:p>
      <w:pPr>
        <w:spacing w:after="0" w:line="167" w:lineRule="exact"/>
        <w:rPr>
          <w:rFonts w:ascii="Calibri" w:cs="Calibri" w:eastAsia="Calibri" w:hAnsi="Calibri"/>
          <w:sz w:val="20"/>
          <w:szCs w:val="20"/>
          <w:color w:val="auto"/>
        </w:rPr>
      </w:pPr>
    </w:p>
    <w:p>
      <w:pPr>
        <w:ind w:left="3240" w:hanging="640"/>
        <w:spacing w:after="0"/>
        <w:tabs>
          <w:tab w:leader="none" w:pos="3240" w:val="left"/>
        </w:tabs>
        <w:numPr>
          <w:ilvl w:val="2"/>
          <w:numId w:val="726"/>
        </w:numPr>
        <w:rPr>
          <w:rFonts w:ascii="Calibri" w:cs="Calibri" w:eastAsia="Calibri" w:hAnsi="Calibri"/>
          <w:sz w:val="20"/>
          <w:szCs w:val="20"/>
          <w:color w:val="auto"/>
        </w:rPr>
      </w:pPr>
      <w:r>
        <w:rPr>
          <w:rFonts w:ascii="Calibri" w:cs="Calibri" w:eastAsia="Calibri" w:hAnsi="Calibri"/>
          <w:sz w:val="20"/>
          <w:szCs w:val="20"/>
          <w:color w:val="auto"/>
        </w:rPr>
        <w:t>disclose to the Department any registratons as required under the Lobbying Disclosure Act (2</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 xml:space="preserve">U.S.C. § 1601 </w:t>
      </w:r>
      <w:r>
        <w:rPr>
          <w:rFonts w:ascii="Calibri" w:cs="Calibri" w:eastAsia="Calibri" w:hAnsi="Calibri"/>
          <w:sz w:val="20"/>
          <w:szCs w:val="20"/>
          <w:i w:val="1"/>
          <w:iCs w:val="1"/>
          <w:color w:val="auto"/>
        </w:rPr>
        <w:t>et seq</w:t>
      </w:r>
      <w:r>
        <w:rPr>
          <w:rFonts w:ascii="Calibri" w:cs="Calibri" w:eastAsia="Calibri" w:hAnsi="Calibri"/>
          <w:sz w:val="20"/>
          <w:szCs w:val="20"/>
          <w:color w:val="auto"/>
        </w:rPr>
        <w:t xml:space="preserve">.) or the Foreign Agents Registraton Act (22 U.S.C. § 611 </w:t>
      </w:r>
      <w:r>
        <w:rPr>
          <w:rFonts w:ascii="Calibri" w:cs="Calibri" w:eastAsia="Calibri" w:hAnsi="Calibri"/>
          <w:sz w:val="20"/>
          <w:szCs w:val="20"/>
          <w:i w:val="1"/>
          <w:iCs w:val="1"/>
          <w:color w:val="auto"/>
        </w:rPr>
        <w:t>et seq</w:t>
      </w:r>
      <w:r>
        <w:rPr>
          <w:rFonts w:ascii="Calibri" w:cs="Calibri" w:eastAsia="Calibri" w:hAnsi="Calibri"/>
          <w:sz w:val="20"/>
          <w:szCs w:val="20"/>
          <w:color w:val="auto"/>
        </w:rPr>
        <w:t>.) related to the Projects.</w:t>
      </w:r>
    </w:p>
    <w:p>
      <w:pPr>
        <w:spacing w:after="0" w:line="184" w:lineRule="exact"/>
        <w:rPr>
          <w:rFonts w:ascii="Calibri" w:cs="Calibri" w:eastAsia="Calibri" w:hAnsi="Calibri"/>
          <w:sz w:val="20"/>
          <w:szCs w:val="20"/>
          <w:color w:val="auto"/>
        </w:rPr>
      </w:pPr>
    </w:p>
    <w:p>
      <w:pPr>
        <w:ind w:right="20" w:firstLine="1952"/>
        <w:spacing w:after="0" w:line="214" w:lineRule="auto"/>
        <w:tabs>
          <w:tab w:leader="none" w:pos="2592" w:val="left"/>
        </w:tabs>
        <w:numPr>
          <w:ilvl w:val="1"/>
          <w:numId w:val="726"/>
        </w:numPr>
        <w:rPr>
          <w:rFonts w:ascii="Calibri" w:cs="Calibri" w:eastAsia="Calibri" w:hAnsi="Calibri"/>
          <w:sz w:val="20"/>
          <w:szCs w:val="20"/>
          <w:color w:val="auto"/>
        </w:rPr>
      </w:pPr>
      <w:r>
        <w:rPr>
          <w:rFonts w:ascii="Calibri" w:cs="Calibri" w:eastAsia="Calibri" w:hAnsi="Calibri"/>
          <w:sz w:val="20"/>
          <w:szCs w:val="20"/>
          <w:b w:val="1"/>
          <w:bCs w:val="1"/>
          <w:color w:val="auto"/>
        </w:rPr>
        <w:t>Program Requirements</w:t>
      </w:r>
      <w:r>
        <w:rPr>
          <w:rFonts w:ascii="Calibri" w:cs="Calibri" w:eastAsia="Calibri" w:hAnsi="Calibri"/>
          <w:sz w:val="20"/>
          <w:szCs w:val="20"/>
          <w:color w:val="auto"/>
        </w:rPr>
        <w:t>. The Sponsor Guarantor shall, and shall cause each Recipient to, comply with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applicable provisions set forth in Annex D (</w:t>
      </w:r>
      <w:r>
        <w:rPr>
          <w:rFonts w:ascii="Calibri" w:cs="Calibri" w:eastAsia="Calibri" w:hAnsi="Calibri"/>
          <w:sz w:val="20"/>
          <w:szCs w:val="20"/>
          <w:i w:val="1"/>
          <w:iCs w:val="1"/>
          <w:color w:val="auto"/>
        </w:rPr>
        <w:t>Program Requirements</w:t>
      </w:r>
      <w:r>
        <w:rPr>
          <w:rFonts w:ascii="Calibri" w:cs="Calibri" w:eastAsia="Calibri" w:hAnsi="Calibri"/>
          <w:sz w:val="20"/>
          <w:szCs w:val="20"/>
          <w:color w:val="auto"/>
        </w:rPr>
        <w:t>) to each DFA.</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1"/>
          <w:numId w:val="726"/>
        </w:numPr>
        <w:rPr>
          <w:rFonts w:ascii="Calibri" w:cs="Calibri" w:eastAsia="Calibri" w:hAnsi="Calibri"/>
          <w:sz w:val="20"/>
          <w:szCs w:val="20"/>
          <w:color w:val="auto"/>
        </w:rPr>
      </w:pPr>
      <w:r>
        <w:rPr>
          <w:rFonts w:ascii="Calibri" w:cs="Calibri" w:eastAsia="Calibri" w:hAnsi="Calibri"/>
          <w:sz w:val="20"/>
          <w:szCs w:val="20"/>
          <w:b w:val="1"/>
          <w:bCs w:val="1"/>
          <w:color w:val="auto"/>
        </w:rPr>
        <w:t>Guardrail Provisions</w:t>
      </w:r>
      <w:r>
        <w:rPr>
          <w:rFonts w:ascii="Calibri" w:cs="Calibri" w:eastAsia="Calibri" w:hAnsi="Calibri"/>
          <w:sz w:val="20"/>
          <w:szCs w:val="20"/>
          <w:color w:val="auto"/>
        </w:rPr>
        <w:t>.</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2"/>
          <w:numId w:val="727"/>
        </w:numPr>
        <w:rPr>
          <w:rFonts w:ascii="Calibri" w:cs="Calibri" w:eastAsia="Calibri" w:hAnsi="Calibri"/>
          <w:sz w:val="20"/>
          <w:szCs w:val="20"/>
          <w:color w:val="auto"/>
        </w:rPr>
      </w:pPr>
      <w:r>
        <w:rPr>
          <w:rFonts w:ascii="Calibri" w:cs="Calibri" w:eastAsia="Calibri" w:hAnsi="Calibri"/>
          <w:sz w:val="20"/>
          <w:szCs w:val="20"/>
          <w:color w:val="auto"/>
        </w:rPr>
        <w:t>The Sponsor Guarantor shall, and shall cause each Recipient to, comply with the Guardrail</w:t>
      </w:r>
    </w:p>
    <w:p>
      <w:pPr>
        <w:spacing w:after="0" w:line="199" w:lineRule="auto"/>
        <w:rPr>
          <w:rFonts w:ascii="Calibri" w:cs="Calibri" w:eastAsia="Calibri" w:hAnsi="Calibri"/>
          <w:sz w:val="20"/>
          <w:szCs w:val="20"/>
          <w:color w:val="auto"/>
        </w:rPr>
      </w:pPr>
      <w:r>
        <w:rPr>
          <w:rFonts w:ascii="Calibri" w:cs="Calibri" w:eastAsia="Calibri" w:hAnsi="Calibri"/>
          <w:sz w:val="20"/>
          <w:szCs w:val="20"/>
          <w:color w:val="auto"/>
        </w:rPr>
        <w:t>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40"/>
          </w:cols>
          <w:pgMar w:left="320" w:top="1384" w:right="339" w:bottom="1440" w:gutter="0" w:footer="0" w:header="0"/>
        </w:sectPr>
      </w:pPr>
    </w:p>
    <w:bookmarkStart w:id="557" w:name="page558"/>
    <w:bookmarkEnd w:id="557"/>
    <w:p>
      <w:pPr>
        <w:ind w:right="20" w:firstLine="2600"/>
        <w:spacing w:after="0" w:line="214" w:lineRule="auto"/>
        <w:tabs>
          <w:tab w:leader="none" w:pos="3240" w:val="left"/>
        </w:tabs>
        <w:numPr>
          <w:ilvl w:val="1"/>
          <w:numId w:val="728"/>
        </w:numPr>
        <w:rPr>
          <w:rFonts w:ascii="Calibri" w:cs="Calibri" w:eastAsia="Calibri" w:hAnsi="Calibri"/>
          <w:sz w:val="20"/>
          <w:szCs w:val="20"/>
          <w:color w:val="auto"/>
        </w:rPr>
      </w:pPr>
      <w:r>
        <w:rPr>
          <w:rFonts w:ascii="Calibri" w:cs="Calibri" w:eastAsia="Calibri" w:hAnsi="Calibri"/>
          <w:sz w:val="20"/>
          <w:szCs w:val="20"/>
          <w:color w:val="auto"/>
        </w:rPr>
        <w:t>The Sponsor Guarantor shall, and shall cause each Recipient to, comply with each Mitgaton Agreement, if any, required pursuant to the Guardrail Provisions.</w:t>
      </w:r>
    </w:p>
    <w:p>
      <w:pPr>
        <w:spacing w:after="0" w:line="162" w:lineRule="exact"/>
        <w:rPr>
          <w:rFonts w:ascii="Calibri" w:cs="Calibri" w:eastAsia="Calibri" w:hAnsi="Calibri"/>
          <w:sz w:val="20"/>
          <w:szCs w:val="20"/>
          <w:color w:val="auto"/>
        </w:rPr>
      </w:pPr>
    </w:p>
    <w:p>
      <w:pPr>
        <w:ind w:left="2600" w:hanging="648"/>
        <w:spacing w:after="0"/>
        <w:tabs>
          <w:tab w:leader="none" w:pos="2600" w:val="left"/>
        </w:tabs>
        <w:numPr>
          <w:ilvl w:val="0"/>
          <w:numId w:val="729"/>
        </w:numPr>
        <w:rPr>
          <w:rFonts w:ascii="Calibri" w:cs="Calibri" w:eastAsia="Calibri" w:hAnsi="Calibri"/>
          <w:sz w:val="20"/>
          <w:szCs w:val="20"/>
          <w:color w:val="auto"/>
        </w:rPr>
      </w:pPr>
      <w:r>
        <w:rPr>
          <w:rFonts w:ascii="Calibri" w:cs="Calibri" w:eastAsia="Calibri" w:hAnsi="Calibri"/>
          <w:sz w:val="20"/>
          <w:szCs w:val="20"/>
          <w:b w:val="1"/>
          <w:bCs w:val="1"/>
          <w:color w:val="auto"/>
        </w:rPr>
        <w:t>Compliance with Whistleblower Protectons</w:t>
      </w:r>
      <w:r>
        <w:rPr>
          <w:rFonts w:ascii="Calibri" w:cs="Calibri" w:eastAsia="Calibri" w:hAnsi="Calibri"/>
          <w:sz w:val="20"/>
          <w:szCs w:val="20"/>
          <w:color w:val="auto"/>
        </w:rPr>
        <w:t>. The Sponsor Guarantor shall:</w:t>
      </w:r>
    </w:p>
    <w:p>
      <w:pPr>
        <w:spacing w:after="0" w:line="184" w:lineRule="exact"/>
        <w:rPr>
          <w:rFonts w:ascii="Calibri" w:cs="Calibri" w:eastAsia="Calibri" w:hAnsi="Calibri"/>
          <w:sz w:val="20"/>
          <w:szCs w:val="20"/>
          <w:color w:val="auto"/>
        </w:rPr>
      </w:pPr>
    </w:p>
    <w:p>
      <w:pPr>
        <w:jc w:val="both"/>
        <w:ind w:firstLine="2600"/>
        <w:spacing w:after="0" w:line="199" w:lineRule="auto"/>
        <w:tabs>
          <w:tab w:leader="none" w:pos="3234" w:val="left"/>
        </w:tabs>
        <w:numPr>
          <w:ilvl w:val="1"/>
          <w:numId w:val="729"/>
        </w:numPr>
        <w:rPr>
          <w:rFonts w:ascii="Calibri" w:cs="Calibri" w:eastAsia="Calibri" w:hAnsi="Calibri"/>
          <w:sz w:val="20"/>
          <w:szCs w:val="20"/>
          <w:color w:val="auto"/>
        </w:rPr>
      </w:pPr>
      <w:r>
        <w:rPr>
          <w:rFonts w:ascii="Calibri" w:cs="Calibri" w:eastAsia="Calibri" w:hAnsi="Calibri"/>
          <w:sz w:val="20"/>
          <w:szCs w:val="20"/>
          <w:color w:val="auto"/>
        </w:rPr>
        <w:t xml:space="preserve">promptly disclose in writng, (A) to each of the Director of the CHIPS Program Ofce, the Department’s Chief Counsel for Semiconductor Incentves and the OIG, whenever, in connecton with this Agreement or any Project, the Sponsor Guarantor has credible evidence that any principal, ofcer, director, employee, agent, or entty has commited a violaton of (1) federal criminal law involving fraud, confict of interest, bribery, or gratuity violatons (see Title 18 of the United States Code); or (2) the Civil False Claims Act (see 31 U.S.C. §§ 3729-3733); and (B) to the OIG through </w:t>
      </w:r>
      <w:r>
        <w:rPr>
          <w:rFonts w:ascii="Calibri" w:cs="Calibri" w:eastAsia="Calibri" w:hAnsi="Calibri"/>
          <w:sz w:val="20"/>
          <w:szCs w:val="20"/>
          <w:u w:val="single" w:color="auto"/>
          <w:color w:val="0563C1"/>
        </w:rPr>
        <w:t>htps://www.oig.doc.gov/Pages/Hotline.aspx)</w:t>
      </w:r>
      <w:r>
        <w:rPr>
          <w:rFonts w:ascii="Calibri" w:cs="Calibri" w:eastAsia="Calibri" w:hAnsi="Calibri"/>
          <w:sz w:val="20"/>
          <w:szCs w:val="20"/>
          <w:color w:val="auto"/>
        </w:rPr>
        <w:t>, whenever, in connecton with this Agreement or a Project, the Sponsor Guarantor has credible evidence of fraud, waste, and abuse;</w:t>
      </w:r>
    </w:p>
    <w:p>
      <w:pPr>
        <w:spacing w:after="0" w:line="189" w:lineRule="exact"/>
        <w:rPr>
          <w:sz w:val="20"/>
          <w:szCs w:val="20"/>
          <w:color w:val="auto"/>
        </w:rPr>
      </w:pPr>
    </w:p>
    <w:p>
      <w:pPr>
        <w:jc w:val="both"/>
        <w:ind w:firstLine="2600"/>
        <w:spacing w:after="0" w:line="202" w:lineRule="auto"/>
        <w:tabs>
          <w:tab w:leader="none" w:pos="3240" w:val="left"/>
        </w:tabs>
        <w:numPr>
          <w:ilvl w:val="1"/>
          <w:numId w:val="730"/>
        </w:numPr>
        <w:rPr>
          <w:rFonts w:ascii="Calibri" w:cs="Calibri" w:eastAsia="Calibri" w:hAnsi="Calibri"/>
          <w:sz w:val="20"/>
          <w:szCs w:val="20"/>
          <w:color w:val="auto"/>
        </w:rPr>
      </w:pPr>
      <w:r>
        <w:rPr>
          <w:rFonts w:ascii="Calibri" w:cs="Calibri" w:eastAsia="Calibri" w:hAnsi="Calibri"/>
          <w:sz w:val="20"/>
          <w:szCs w:val="20"/>
          <w:color w:val="auto"/>
        </w:rPr>
        <w:t>comply with 41 U.S.C. § 4712 and the whistleblower protectons aforded to employees thereby to not discharge, demote, or otherwise discriminate against an employee as a reprisal for disclosing to a Body of Informaton that the employee reasonably believes is evidence of gross mismanagement of the Award, a gross waste of the Award, an abuse of authority relatng to the Award, a substantal and specifc danger to public health or safety, or a violaton of law, rule, or regulaton related to a Federal award, subaward, or contract under a Federal award or subaward; and</w:t>
      </w:r>
    </w:p>
    <w:p>
      <w:pPr>
        <w:spacing w:after="0" w:line="174" w:lineRule="exact"/>
        <w:rPr>
          <w:rFonts w:ascii="Calibri" w:cs="Calibri" w:eastAsia="Calibri" w:hAnsi="Calibri"/>
          <w:sz w:val="20"/>
          <w:szCs w:val="20"/>
          <w:color w:val="auto"/>
        </w:rPr>
      </w:pPr>
    </w:p>
    <w:p>
      <w:pPr>
        <w:ind w:firstLine="2600"/>
        <w:spacing w:after="0" w:line="214" w:lineRule="auto"/>
        <w:tabs>
          <w:tab w:leader="none" w:pos="3246" w:val="left"/>
        </w:tabs>
        <w:numPr>
          <w:ilvl w:val="1"/>
          <w:numId w:val="730"/>
        </w:numPr>
        <w:rPr>
          <w:rFonts w:ascii="Calibri" w:cs="Calibri" w:eastAsia="Calibri" w:hAnsi="Calibri"/>
          <w:sz w:val="20"/>
          <w:szCs w:val="20"/>
          <w:color w:val="auto"/>
        </w:rPr>
      </w:pPr>
      <w:r>
        <w:rPr>
          <w:rFonts w:ascii="Calibri" w:cs="Calibri" w:eastAsia="Calibri" w:hAnsi="Calibri"/>
          <w:sz w:val="20"/>
          <w:szCs w:val="20"/>
          <w:color w:val="auto"/>
        </w:rPr>
        <w:t>inform the Sponsor Guarantor’s employees and contractors in writng, in the predominant natve language of the workforce, of the rights under this paragraph (f).</w:t>
      </w:r>
    </w:p>
    <w:p>
      <w:pPr>
        <w:spacing w:after="0" w:line="175" w:lineRule="exact"/>
        <w:rPr>
          <w:rFonts w:ascii="Calibri" w:cs="Calibri" w:eastAsia="Calibri" w:hAnsi="Calibri"/>
          <w:sz w:val="20"/>
          <w:szCs w:val="20"/>
          <w:color w:val="auto"/>
        </w:rPr>
      </w:pPr>
    </w:p>
    <w:p>
      <w:pPr>
        <w:ind w:left="2600" w:hanging="648"/>
        <w:spacing w:after="0"/>
        <w:tabs>
          <w:tab w:leader="none" w:pos="2600" w:val="left"/>
        </w:tabs>
        <w:numPr>
          <w:ilvl w:val="0"/>
          <w:numId w:val="731"/>
        </w:numPr>
        <w:rPr>
          <w:rFonts w:ascii="Calibri" w:cs="Calibri" w:eastAsia="Calibri" w:hAnsi="Calibri"/>
          <w:sz w:val="20"/>
          <w:szCs w:val="20"/>
          <w:color w:val="auto"/>
        </w:rPr>
      </w:pPr>
      <w:r>
        <w:rPr>
          <w:rFonts w:ascii="Calibri" w:cs="Calibri" w:eastAsia="Calibri" w:hAnsi="Calibri"/>
          <w:sz w:val="20"/>
          <w:szCs w:val="20"/>
          <w:b w:val="1"/>
          <w:bCs w:val="1"/>
          <w:color w:val="auto"/>
        </w:rPr>
        <w:t>Compliance with Trafcking in Persons Laws</w:t>
      </w:r>
      <w:r>
        <w:rPr>
          <w:rFonts w:ascii="Calibri" w:cs="Calibri" w:eastAsia="Calibri" w:hAnsi="Calibri"/>
          <w:sz w:val="20"/>
          <w:szCs w:val="20"/>
          <w:color w:val="auto"/>
        </w:rPr>
        <w:t>. The Sponsor Guarantor and its employees shall not:</w:t>
      </w:r>
    </w:p>
    <w:p>
      <w:pPr>
        <w:spacing w:after="0" w:line="160" w:lineRule="exact"/>
        <w:rPr>
          <w:rFonts w:ascii="Calibri" w:cs="Calibri" w:eastAsia="Calibri" w:hAnsi="Calibri"/>
          <w:sz w:val="20"/>
          <w:szCs w:val="20"/>
          <w:color w:val="auto"/>
        </w:rPr>
      </w:pPr>
    </w:p>
    <w:p>
      <w:pPr>
        <w:ind w:left="3240" w:hanging="640"/>
        <w:spacing w:after="0"/>
        <w:tabs>
          <w:tab w:leader="none" w:pos="3240" w:val="left"/>
        </w:tabs>
        <w:numPr>
          <w:ilvl w:val="1"/>
          <w:numId w:val="731"/>
        </w:numPr>
        <w:rPr>
          <w:rFonts w:ascii="Calibri" w:cs="Calibri" w:eastAsia="Calibri" w:hAnsi="Calibri"/>
          <w:sz w:val="20"/>
          <w:szCs w:val="20"/>
          <w:color w:val="auto"/>
        </w:rPr>
      </w:pPr>
      <w:r>
        <w:rPr>
          <w:rFonts w:ascii="Calibri" w:cs="Calibri" w:eastAsia="Calibri" w:hAnsi="Calibri"/>
          <w:sz w:val="20"/>
          <w:szCs w:val="20"/>
          <w:color w:val="auto"/>
        </w:rPr>
        <w:t>engage in severe forms of trafcking in persons (as defned in the TVPA at 22 U.S.C. § 7102);</w:t>
      </w:r>
    </w:p>
    <w:p>
      <w:pPr>
        <w:spacing w:after="0" w:line="174" w:lineRule="exact"/>
        <w:rPr>
          <w:rFonts w:ascii="Calibri" w:cs="Calibri" w:eastAsia="Calibri" w:hAnsi="Calibri"/>
          <w:sz w:val="20"/>
          <w:szCs w:val="20"/>
          <w:color w:val="auto"/>
        </w:rPr>
      </w:pPr>
    </w:p>
    <w:p>
      <w:pPr>
        <w:ind w:left="3240" w:hanging="640"/>
        <w:spacing w:after="0"/>
        <w:tabs>
          <w:tab w:leader="none" w:pos="3240" w:val="left"/>
        </w:tabs>
        <w:numPr>
          <w:ilvl w:val="1"/>
          <w:numId w:val="731"/>
        </w:numPr>
        <w:rPr>
          <w:rFonts w:ascii="Calibri" w:cs="Calibri" w:eastAsia="Calibri" w:hAnsi="Calibri"/>
          <w:sz w:val="20"/>
          <w:szCs w:val="20"/>
          <w:color w:val="auto"/>
        </w:rPr>
      </w:pPr>
      <w:r>
        <w:rPr>
          <w:rFonts w:ascii="Calibri" w:cs="Calibri" w:eastAsia="Calibri" w:hAnsi="Calibri"/>
          <w:sz w:val="20"/>
          <w:szCs w:val="20"/>
          <w:color w:val="auto"/>
        </w:rPr>
        <w:t>procure a commercial sex act (as defned in the TVPA at 22 U.S.C. § 7102); or</w:t>
      </w:r>
    </w:p>
    <w:p>
      <w:pPr>
        <w:spacing w:after="0" w:line="160" w:lineRule="exact"/>
        <w:rPr>
          <w:rFonts w:ascii="Calibri" w:cs="Calibri" w:eastAsia="Calibri" w:hAnsi="Calibri"/>
          <w:sz w:val="20"/>
          <w:szCs w:val="20"/>
          <w:color w:val="auto"/>
        </w:rPr>
      </w:pPr>
    </w:p>
    <w:p>
      <w:pPr>
        <w:ind w:left="3260" w:hanging="660"/>
        <w:spacing w:after="0"/>
        <w:tabs>
          <w:tab w:leader="none" w:pos="3260" w:val="left"/>
        </w:tabs>
        <w:numPr>
          <w:ilvl w:val="1"/>
          <w:numId w:val="731"/>
        </w:numPr>
        <w:rPr>
          <w:rFonts w:ascii="Calibri" w:cs="Calibri" w:eastAsia="Calibri" w:hAnsi="Calibri"/>
          <w:sz w:val="20"/>
          <w:szCs w:val="20"/>
          <w:color w:val="auto"/>
        </w:rPr>
      </w:pPr>
      <w:r>
        <w:rPr>
          <w:rFonts w:ascii="Calibri" w:cs="Calibri" w:eastAsia="Calibri" w:hAnsi="Calibri"/>
          <w:sz w:val="20"/>
          <w:szCs w:val="20"/>
          <w:color w:val="auto"/>
        </w:rPr>
        <w:t>use forced labor in the performance of the Award.</w:t>
      </w:r>
    </w:p>
    <w:p>
      <w:pPr>
        <w:spacing w:after="0" w:line="184"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12.2. </w:t>
      </w:r>
      <w:r>
        <w:rPr>
          <w:rFonts w:ascii="Calibri" w:cs="Calibri" w:eastAsia="Calibri" w:hAnsi="Calibri"/>
          <w:sz w:val="20"/>
          <w:szCs w:val="20"/>
          <w:b w:val="1"/>
          <w:bCs w:val="1"/>
          <w:color w:val="auto"/>
        </w:rPr>
        <w:t>Afrmatve Covenants during the Upside Sharing Term</w:t>
      </w:r>
      <w:r>
        <w:rPr>
          <w:rFonts w:ascii="Calibri" w:cs="Calibri" w:eastAsia="Calibri" w:hAnsi="Calibri"/>
          <w:sz w:val="20"/>
          <w:szCs w:val="20"/>
          <w:color w:val="auto"/>
        </w:rPr>
        <w:t>. The Sponsor Guarantor covenants and agrees that during the applicable Upside Sharing Term, unless the Department waives compliance in writng:</w:t>
      </w:r>
    </w:p>
    <w:p>
      <w:pPr>
        <w:spacing w:after="0" w:line="172" w:lineRule="exact"/>
        <w:rPr>
          <w:sz w:val="20"/>
          <w:szCs w:val="20"/>
          <w:color w:val="auto"/>
        </w:rPr>
      </w:pPr>
    </w:p>
    <w:p>
      <w:pPr>
        <w:jc w:val="both"/>
        <w:ind w:firstLine="648"/>
        <w:spacing w:after="0" w:line="209" w:lineRule="auto"/>
        <w:rPr>
          <w:sz w:val="20"/>
          <w:szCs w:val="20"/>
          <w:color w:val="auto"/>
        </w:rPr>
      </w:pPr>
      <w:r>
        <w:rPr>
          <w:rFonts w:ascii="Calibri" w:cs="Calibri" w:eastAsia="Calibri" w:hAnsi="Calibri"/>
          <w:sz w:val="20"/>
          <w:szCs w:val="20"/>
          <w:color w:val="auto"/>
        </w:rPr>
        <w:t xml:space="preserve">Secton 12.2.1. </w:t>
      </w:r>
      <w:r>
        <w:rPr>
          <w:rFonts w:ascii="Calibri" w:cs="Calibri" w:eastAsia="Calibri" w:hAnsi="Calibri"/>
          <w:sz w:val="20"/>
          <w:szCs w:val="20"/>
          <w:b w:val="1"/>
          <w:bCs w:val="1"/>
          <w:color w:val="auto"/>
        </w:rPr>
        <w:t>Books, Records.</w:t>
      </w:r>
      <w:r>
        <w:rPr>
          <w:rFonts w:ascii="Calibri" w:cs="Calibri" w:eastAsia="Calibri" w:hAnsi="Calibri"/>
          <w:sz w:val="20"/>
          <w:szCs w:val="20"/>
          <w:color w:val="auto"/>
        </w:rPr>
        <w:t xml:space="preserve"> The Sponsor Guarantor shall keep proper records and books of account in which full, true and correct entries in accordance with the Applicable Accountng Requirements and all Applicable Laws in all material respects are made in respect of all dealing and transactons relatng to the Project-related business and actvites of the Sponsor Guarantor.</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 xml:space="preserve">Secton 12.2.2. </w:t>
      </w:r>
      <w:r>
        <w:rPr>
          <w:rFonts w:ascii="Calibri" w:cs="Calibri" w:eastAsia="Calibri" w:hAnsi="Calibri"/>
          <w:sz w:val="20"/>
          <w:szCs w:val="20"/>
          <w:b w:val="1"/>
          <w:bCs w:val="1"/>
          <w:color w:val="auto"/>
        </w:rPr>
        <w:t>Maintenance of Existence</w:t>
      </w:r>
      <w:r>
        <w:rPr>
          <w:rFonts w:ascii="Calibri" w:cs="Calibri" w:eastAsia="Calibri" w:hAnsi="Calibri"/>
          <w:sz w:val="20"/>
          <w:szCs w:val="20"/>
          <w:color w:val="auto"/>
        </w:rPr>
        <w:t>. The Sponsor Guarantor shall preserve and maintain:</w:t>
      </w:r>
    </w:p>
    <w:p>
      <w:pPr>
        <w:spacing w:after="0" w:line="201" w:lineRule="exact"/>
        <w:rPr>
          <w:sz w:val="20"/>
          <w:szCs w:val="20"/>
          <w:color w:val="auto"/>
        </w:rPr>
      </w:pPr>
    </w:p>
    <w:p>
      <w:pPr>
        <w:ind w:left="2600" w:hanging="648"/>
        <w:spacing w:after="0"/>
        <w:tabs>
          <w:tab w:leader="none" w:pos="2600" w:val="left"/>
        </w:tabs>
        <w:numPr>
          <w:ilvl w:val="0"/>
          <w:numId w:val="732"/>
        </w:numPr>
        <w:rPr>
          <w:rFonts w:ascii="Calibri" w:cs="Calibri" w:eastAsia="Calibri" w:hAnsi="Calibri"/>
          <w:sz w:val="20"/>
          <w:szCs w:val="20"/>
          <w:color w:val="auto"/>
        </w:rPr>
      </w:pPr>
      <w:r>
        <w:rPr>
          <w:rFonts w:ascii="Calibri" w:cs="Calibri" w:eastAsia="Calibri" w:hAnsi="Calibri"/>
          <w:sz w:val="20"/>
          <w:szCs w:val="20"/>
          <w:color w:val="auto"/>
        </w:rPr>
        <w:t>its legal existence and corporate status; and</w:t>
      </w:r>
    </w:p>
    <w:p>
      <w:pPr>
        <w:spacing w:after="0" w:line="147" w:lineRule="exact"/>
        <w:rPr>
          <w:rFonts w:ascii="Calibri" w:cs="Calibri" w:eastAsia="Calibri" w:hAnsi="Calibri"/>
          <w:sz w:val="20"/>
          <w:szCs w:val="20"/>
          <w:color w:val="auto"/>
        </w:rPr>
      </w:pPr>
    </w:p>
    <w:p>
      <w:pPr>
        <w:ind w:left="2600" w:hanging="648"/>
        <w:spacing w:after="0"/>
        <w:tabs>
          <w:tab w:leader="none" w:pos="2600" w:val="left"/>
        </w:tabs>
        <w:numPr>
          <w:ilvl w:val="0"/>
          <w:numId w:val="732"/>
        </w:numPr>
        <w:rPr>
          <w:rFonts w:ascii="Calibri" w:cs="Calibri" w:eastAsia="Calibri" w:hAnsi="Calibri"/>
          <w:sz w:val="20"/>
          <w:szCs w:val="20"/>
          <w:color w:val="auto"/>
        </w:rPr>
      </w:pPr>
      <w:r>
        <w:rPr>
          <w:rFonts w:ascii="Calibri" w:cs="Calibri" w:eastAsia="Calibri" w:hAnsi="Calibri"/>
          <w:sz w:val="20"/>
          <w:szCs w:val="20"/>
          <w:color w:val="auto"/>
        </w:rPr>
        <w:t>all of its licenses, rights, privileges and franchises material to the conduct of its business or any Project.</w:t>
      </w:r>
    </w:p>
    <w:p>
      <w:pPr>
        <w:spacing w:after="0" w:line="130" w:lineRule="exact"/>
        <w:rPr>
          <w:sz w:val="20"/>
          <w:szCs w:val="20"/>
          <w:color w:val="auto"/>
        </w:rPr>
      </w:pPr>
    </w:p>
    <w:p>
      <w:pPr>
        <w:ind w:firstLine="648"/>
        <w:spacing w:after="0" w:line="214" w:lineRule="auto"/>
        <w:rPr>
          <w:sz w:val="20"/>
          <w:szCs w:val="20"/>
          <w:color w:val="auto"/>
        </w:rPr>
      </w:pPr>
      <w:r>
        <w:rPr>
          <w:rFonts w:ascii="Calibri" w:cs="Calibri" w:eastAsia="Calibri" w:hAnsi="Calibri"/>
          <w:sz w:val="20"/>
          <w:szCs w:val="20"/>
          <w:color w:val="auto"/>
        </w:rPr>
        <w:t xml:space="preserve">Secton 12.2.3. </w:t>
      </w:r>
      <w:r>
        <w:rPr>
          <w:rFonts w:ascii="Calibri" w:cs="Calibri" w:eastAsia="Calibri" w:hAnsi="Calibri"/>
          <w:sz w:val="20"/>
          <w:szCs w:val="20"/>
          <w:b w:val="1"/>
          <w:bCs w:val="1"/>
          <w:color w:val="auto"/>
        </w:rPr>
        <w:t>Sponsor Guarantor’s Accountant.</w:t>
      </w:r>
      <w:r>
        <w:rPr>
          <w:rFonts w:ascii="Calibri" w:cs="Calibri" w:eastAsia="Calibri" w:hAnsi="Calibri"/>
          <w:sz w:val="20"/>
          <w:szCs w:val="20"/>
          <w:color w:val="auto"/>
        </w:rPr>
        <w:t xml:space="preserve"> The Sponsor Guarantor shall maintain the Sponsor Guarantor’s Accountant at all tmes and promptly provide notce to the Department of any change of the Sponsor Guarantor’s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40"/>
          </w:cols>
          <w:pgMar w:left="320" w:top="1384" w:right="339" w:bottom="1440" w:gutter="0" w:footer="0" w:header="0"/>
        </w:sectPr>
      </w:pPr>
    </w:p>
    <w:bookmarkStart w:id="558" w:name="page559"/>
    <w:bookmarkEnd w:id="558"/>
    <w:p>
      <w:pPr>
        <w:jc w:val="both"/>
        <w:ind w:right="20" w:firstLine="648"/>
        <w:spacing w:after="0" w:line="205" w:lineRule="auto"/>
        <w:rPr>
          <w:sz w:val="20"/>
          <w:szCs w:val="20"/>
          <w:color w:val="auto"/>
        </w:rPr>
      </w:pPr>
      <w:r>
        <w:rPr>
          <w:rFonts w:ascii="Calibri" w:cs="Calibri" w:eastAsia="Calibri" w:hAnsi="Calibri"/>
          <w:sz w:val="20"/>
          <w:szCs w:val="20"/>
          <w:color w:val="auto"/>
        </w:rPr>
        <w:t xml:space="preserve">Secton 12.2.4. </w:t>
      </w:r>
      <w:r>
        <w:rPr>
          <w:rFonts w:ascii="Calibri" w:cs="Calibri" w:eastAsia="Calibri" w:hAnsi="Calibri"/>
          <w:sz w:val="20"/>
          <w:szCs w:val="20"/>
          <w:b w:val="1"/>
          <w:bCs w:val="1"/>
          <w:color w:val="auto"/>
        </w:rPr>
        <w:t>Closeout Procedure</w:t>
      </w:r>
      <w:r>
        <w:rPr>
          <w:rFonts w:ascii="Calibri" w:cs="Calibri" w:eastAsia="Calibri" w:hAnsi="Calibri"/>
          <w:sz w:val="20"/>
          <w:szCs w:val="20"/>
          <w:color w:val="auto"/>
        </w:rPr>
        <w:t>. The Sponsor Guarantor will cooperate with the Department to complete the Sponsor Guarantor’s fnal reports, reconcile all accountng maters, enable the Department to complete its fnal reports and otherwise perform reasonable tasks as requested by the Department to close out the Award at the expiraton of the applicable Period of Performance.</w:t>
      </w:r>
    </w:p>
    <w:p>
      <w:pPr>
        <w:spacing w:after="0" w:line="175"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NEGATIVE COVENANTS</w:t>
      </w:r>
    </w:p>
    <w:p>
      <w:pPr>
        <w:spacing w:after="0" w:line="211"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The Sponsor Guarantor covenants and agrees that during the applicable Period of Performance, unless the Department waives compliance in writng:</w:t>
      </w:r>
    </w:p>
    <w:p>
      <w:pPr>
        <w:spacing w:after="0" w:line="185" w:lineRule="exact"/>
        <w:rPr>
          <w:sz w:val="20"/>
          <w:szCs w:val="20"/>
          <w:color w:val="auto"/>
        </w:rPr>
      </w:pPr>
    </w:p>
    <w:p>
      <w:pPr>
        <w:jc w:val="both"/>
        <w:ind w:firstLine="648"/>
        <w:spacing w:after="0" w:line="214" w:lineRule="auto"/>
        <w:rPr>
          <w:sz w:val="20"/>
          <w:szCs w:val="20"/>
          <w:color w:val="auto"/>
        </w:rPr>
      </w:pPr>
      <w:r>
        <w:rPr>
          <w:rFonts w:ascii="Calibri" w:cs="Calibri" w:eastAsia="Calibri" w:hAnsi="Calibri"/>
          <w:sz w:val="20"/>
          <w:szCs w:val="20"/>
          <w:color w:val="auto"/>
        </w:rPr>
        <w:t xml:space="preserve">Secton 13.1. </w:t>
      </w:r>
      <w:r>
        <w:rPr>
          <w:rFonts w:ascii="Calibri" w:cs="Calibri" w:eastAsia="Calibri" w:hAnsi="Calibri"/>
          <w:sz w:val="20"/>
          <w:szCs w:val="20"/>
          <w:b w:val="1"/>
          <w:bCs w:val="1"/>
          <w:color w:val="auto"/>
        </w:rPr>
        <w:t>Prohibited Persons; Foreign Enttes of Concern</w:t>
      </w:r>
      <w:r>
        <w:rPr>
          <w:rFonts w:ascii="Calibri" w:cs="Calibri" w:eastAsia="Calibri" w:hAnsi="Calibri"/>
          <w:sz w:val="20"/>
          <w:szCs w:val="20"/>
          <w:color w:val="auto"/>
        </w:rPr>
        <w:t>. Each Recipient Party shall not become (whether through a transfer or otherwise) a Prohibited Person or a Foreign Entty of Concern.</w:t>
      </w:r>
    </w:p>
    <w:p>
      <w:pPr>
        <w:spacing w:after="0" w:line="95"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13.2.</w:t>
      </w:r>
      <w:r>
        <w:rPr>
          <w:sz w:val="20"/>
          <w:szCs w:val="20"/>
          <w:color w:val="auto"/>
        </w:rPr>
        <w:tab/>
      </w:r>
      <w:r>
        <w:rPr>
          <w:rFonts w:ascii="Calibri" w:cs="Calibri" w:eastAsia="Calibri" w:hAnsi="Calibri"/>
          <w:sz w:val="20"/>
          <w:szCs w:val="20"/>
          <w:b w:val="1"/>
          <w:bCs w:val="1"/>
          <w:color w:val="auto"/>
        </w:rPr>
        <w:t>[Reserved]</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13.3. </w:t>
      </w:r>
      <w:r>
        <w:rPr>
          <w:rFonts w:ascii="Calibri" w:cs="Calibri" w:eastAsia="Calibri" w:hAnsi="Calibri"/>
          <w:sz w:val="20"/>
          <w:szCs w:val="20"/>
          <w:b w:val="1"/>
          <w:bCs w:val="1"/>
          <w:color w:val="auto"/>
        </w:rPr>
        <w:t>Debarment Regulatons</w:t>
      </w:r>
      <w:r>
        <w:rPr>
          <w:rFonts w:ascii="Calibri" w:cs="Calibri" w:eastAsia="Calibri" w:hAnsi="Calibri"/>
          <w:sz w:val="20"/>
          <w:szCs w:val="20"/>
          <w:color w:val="auto"/>
        </w:rPr>
        <w:t>. The Sponsor Guarantor shall not fail to comply with any or all Debarment Regulatons in a manner which results in the Sponsor Guarantor being debarred, suspended, declared ineligible or voluntarily excluded from partcipaton in procurement or non-procurement transactons with any United States federal government department or agency pursuant to any Debarment Regulatons.</w:t>
      </w:r>
    </w:p>
    <w:p>
      <w:pPr>
        <w:spacing w:after="0" w:line="96"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13.4.</w:t>
      </w:r>
      <w:r>
        <w:rPr>
          <w:sz w:val="20"/>
          <w:szCs w:val="20"/>
          <w:color w:val="auto"/>
        </w:rPr>
        <w:tab/>
      </w:r>
      <w:r>
        <w:rPr>
          <w:rFonts w:ascii="Calibri" w:cs="Calibri" w:eastAsia="Calibri" w:hAnsi="Calibri"/>
          <w:sz w:val="20"/>
          <w:szCs w:val="20"/>
          <w:b w:val="1"/>
          <w:bCs w:val="1"/>
          <w:color w:val="auto"/>
        </w:rPr>
        <w:t>Merger; Dispositon; Sharing of Assets; Transfer</w:t>
      </w:r>
      <w:r>
        <w:rPr>
          <w:rFonts w:ascii="Calibri" w:cs="Calibri" w:eastAsia="Calibri" w:hAnsi="Calibri"/>
          <w:sz w:val="20"/>
          <w:szCs w:val="20"/>
          <w:color w:val="auto"/>
        </w:rPr>
        <w:t>.</w:t>
      </w:r>
    </w:p>
    <w:p>
      <w:pPr>
        <w:spacing w:after="0" w:line="184" w:lineRule="exact"/>
        <w:rPr>
          <w:sz w:val="20"/>
          <w:szCs w:val="20"/>
          <w:color w:val="auto"/>
        </w:rPr>
      </w:pPr>
    </w:p>
    <w:p>
      <w:pPr>
        <w:jc w:val="both"/>
        <w:ind w:firstLine="1952"/>
        <w:spacing w:after="0" w:line="205" w:lineRule="auto"/>
        <w:tabs>
          <w:tab w:leader="none" w:pos="2596" w:val="left"/>
        </w:tabs>
        <w:numPr>
          <w:ilvl w:val="0"/>
          <w:numId w:val="733"/>
        </w:numPr>
        <w:rPr>
          <w:rFonts w:ascii="Calibri" w:cs="Calibri" w:eastAsia="Calibri" w:hAnsi="Calibri"/>
          <w:sz w:val="20"/>
          <w:szCs w:val="20"/>
          <w:color w:val="auto"/>
        </w:rPr>
      </w:pPr>
      <w:r>
        <w:rPr>
          <w:rFonts w:ascii="Calibri" w:cs="Calibri" w:eastAsia="Calibri" w:hAnsi="Calibri"/>
          <w:sz w:val="20"/>
          <w:szCs w:val="20"/>
          <w:color w:val="auto"/>
        </w:rPr>
        <w:t>The Sponsor Guarantor may not consolidate with or merge with or into, or sell, assign, convey, transfer, lease or otherwise dispose of all or substantally all of the propertes, rights and assets of the Sponsor Guarantor and the Recipients, taken as a whole, to any Person, in a single transacton or in a series of related transactons, unless:</w:t>
      </w:r>
    </w:p>
    <w:p>
      <w:pPr>
        <w:spacing w:after="0" w:line="184" w:lineRule="exact"/>
        <w:rPr>
          <w:rFonts w:ascii="Calibri" w:cs="Calibri" w:eastAsia="Calibri" w:hAnsi="Calibri"/>
          <w:sz w:val="20"/>
          <w:szCs w:val="20"/>
          <w:color w:val="auto"/>
        </w:rPr>
      </w:pPr>
    </w:p>
    <w:p>
      <w:pPr>
        <w:jc w:val="both"/>
        <w:ind w:firstLine="2600"/>
        <w:spacing w:after="0" w:line="199" w:lineRule="auto"/>
        <w:tabs>
          <w:tab w:leader="none" w:pos="3234" w:val="left"/>
        </w:tabs>
        <w:numPr>
          <w:ilvl w:val="1"/>
          <w:numId w:val="733"/>
        </w:numPr>
        <w:rPr>
          <w:rFonts w:ascii="Calibri" w:cs="Calibri" w:eastAsia="Calibri" w:hAnsi="Calibri"/>
          <w:sz w:val="20"/>
          <w:szCs w:val="20"/>
          <w:color w:val="auto"/>
        </w:rPr>
      </w:pPr>
      <w:r>
        <w:rPr>
          <w:rFonts w:ascii="Calibri" w:cs="Calibri" w:eastAsia="Calibri" w:hAnsi="Calibri"/>
          <w:sz w:val="20"/>
          <w:szCs w:val="20"/>
          <w:color w:val="auto"/>
        </w:rPr>
        <w:t>either (A) the Person formed by or surviving such consolidaton or merger is the Sponsor Guarantor or (B) the Person (if other than the Sponsor Guarantor) formed by such consolidaton or into which the Sponsor Guarantor is merged or the Person which acquires by conveyance or transfer, or which leases, all or substantally all of the propertes, rights and assets of the Sponsor Guarantor (the “</w:t>
      </w:r>
      <w:r>
        <w:rPr>
          <w:rFonts w:ascii="Calibri" w:cs="Calibri" w:eastAsia="Calibri" w:hAnsi="Calibri"/>
          <w:sz w:val="20"/>
          <w:szCs w:val="20"/>
          <w:b w:val="1"/>
          <w:bCs w:val="1"/>
          <w:color w:val="auto"/>
        </w:rPr>
        <w:t>Successor Company</w:t>
      </w:r>
      <w:r>
        <w:rPr>
          <w:rFonts w:ascii="Calibri" w:cs="Calibri" w:eastAsia="Calibri" w:hAnsi="Calibri"/>
          <w:sz w:val="20"/>
          <w:szCs w:val="20"/>
          <w:color w:val="auto"/>
        </w:rPr>
        <w:t>”), is an entty organized under the laws of the United States of America, any State thereof or the District of Columbia; provided that such Successor Company shall provide such informaton reasonably requested by the Department for purposes of compliance with applicable “know your customer” rules and regulatons;</w:t>
      </w:r>
    </w:p>
    <w:p>
      <w:pPr>
        <w:spacing w:after="0" w:line="189" w:lineRule="exact"/>
        <w:rPr>
          <w:rFonts w:ascii="Calibri" w:cs="Calibri" w:eastAsia="Calibri" w:hAnsi="Calibri"/>
          <w:sz w:val="20"/>
          <w:szCs w:val="20"/>
          <w:color w:val="auto"/>
        </w:rPr>
      </w:pPr>
    </w:p>
    <w:p>
      <w:pPr>
        <w:jc w:val="both"/>
        <w:ind w:firstLine="2600"/>
        <w:spacing w:after="0"/>
        <w:tabs>
          <w:tab w:leader="none" w:pos="3240" w:val="left"/>
        </w:tabs>
        <w:numPr>
          <w:ilvl w:val="1"/>
          <w:numId w:val="733"/>
        </w:numPr>
        <w:rPr>
          <w:rFonts w:ascii="Calibri" w:cs="Calibri" w:eastAsia="Calibri" w:hAnsi="Calibri"/>
          <w:sz w:val="20"/>
          <w:szCs w:val="20"/>
          <w:color w:val="auto"/>
        </w:rPr>
      </w:pPr>
      <w:r>
        <w:rPr>
          <w:rFonts w:ascii="Calibri" w:cs="Calibri" w:eastAsia="Calibri" w:hAnsi="Calibri"/>
          <w:sz w:val="20"/>
          <w:szCs w:val="20"/>
          <w:color w:val="auto"/>
        </w:rPr>
        <w:t>in any such transacton in which there is a Successor Company, the Successor Company expressly assumes the Guaranteed Obligatons pursuant to joinder agreements or other documents reasonably satsfactory to the Department; and</w:t>
      </w:r>
    </w:p>
    <w:p>
      <w:pPr>
        <w:spacing w:after="0" w:line="304" w:lineRule="exact"/>
        <w:rPr>
          <w:rFonts w:ascii="Calibri" w:cs="Calibri" w:eastAsia="Calibri" w:hAnsi="Calibri"/>
          <w:sz w:val="20"/>
          <w:szCs w:val="20"/>
          <w:color w:val="auto"/>
        </w:rPr>
      </w:pPr>
    </w:p>
    <w:p>
      <w:pPr>
        <w:ind w:left="3260" w:hanging="660"/>
        <w:spacing w:after="0"/>
        <w:tabs>
          <w:tab w:leader="none" w:pos="3260" w:val="left"/>
        </w:tabs>
        <w:numPr>
          <w:ilvl w:val="1"/>
          <w:numId w:val="733"/>
        </w:numPr>
        <w:rPr>
          <w:rFonts w:ascii="Calibri" w:cs="Calibri" w:eastAsia="Calibri" w:hAnsi="Calibri"/>
          <w:sz w:val="20"/>
          <w:szCs w:val="20"/>
          <w:color w:val="auto"/>
        </w:rPr>
      </w:pPr>
      <w:r>
        <w:rPr>
          <w:rFonts w:ascii="Calibri" w:cs="Calibri" w:eastAsia="Calibri" w:hAnsi="Calibri"/>
          <w:sz w:val="20"/>
          <w:szCs w:val="20"/>
          <w:color w:val="auto"/>
        </w:rPr>
        <w:t>immediately afer giving efect to the transacton, no Event of Default and no Default shall have</w:t>
      </w:r>
    </w:p>
    <w:p>
      <w:pPr>
        <w:spacing w:after="0" w:line="193" w:lineRule="auto"/>
        <w:rPr>
          <w:rFonts w:ascii="Calibri" w:cs="Calibri" w:eastAsia="Calibri" w:hAnsi="Calibri"/>
          <w:sz w:val="20"/>
          <w:szCs w:val="20"/>
          <w:color w:val="auto"/>
        </w:rPr>
      </w:pPr>
      <w:r>
        <w:rPr>
          <w:rFonts w:ascii="Calibri" w:cs="Calibri" w:eastAsia="Calibri" w:hAnsi="Calibri"/>
          <w:sz w:val="20"/>
          <w:szCs w:val="20"/>
          <w:color w:val="auto"/>
        </w:rPr>
        <w:t>occurred and be contnuing.</w:t>
      </w:r>
    </w:p>
    <w:p>
      <w:pPr>
        <w:spacing w:after="0" w:line="21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This Secton 13.4(a) shall not apply to a merger of the Sponsor Guarantor with an Afliate solely for the purpose of reincorporatng the Sponsor Guarantor in another jurisdicton in the United States of America, any State thereof or the District of Columbia.</w:t>
      </w:r>
    </w:p>
    <w:p>
      <w:pPr>
        <w:spacing w:after="0" w:line="200" w:lineRule="exact"/>
        <w:rPr>
          <w:sz w:val="20"/>
          <w:szCs w:val="20"/>
          <w:color w:val="auto"/>
        </w:rPr>
      </w:pPr>
    </w:p>
    <w:p>
      <w:pPr>
        <w:spacing w:after="0" w:line="216" w:lineRule="exact"/>
        <w:rPr>
          <w:sz w:val="20"/>
          <w:szCs w:val="20"/>
          <w:color w:val="auto"/>
        </w:rPr>
      </w:pPr>
    </w:p>
    <w:p>
      <w:pPr>
        <w:jc w:val="both"/>
        <w:ind w:firstLine="1952"/>
        <w:spacing w:after="0" w:line="199" w:lineRule="auto"/>
        <w:tabs>
          <w:tab w:leader="none" w:pos="2592" w:val="left"/>
        </w:tabs>
        <w:numPr>
          <w:ilvl w:val="0"/>
          <w:numId w:val="734"/>
        </w:numPr>
        <w:rPr>
          <w:rFonts w:ascii="Calibri" w:cs="Calibri" w:eastAsia="Calibri" w:hAnsi="Calibri"/>
          <w:sz w:val="20"/>
          <w:szCs w:val="20"/>
          <w:color w:val="auto"/>
        </w:rPr>
      </w:pPr>
      <w:r>
        <w:rPr>
          <w:rFonts w:ascii="Calibri" w:cs="Calibri" w:eastAsia="Calibri" w:hAnsi="Calibri"/>
          <w:sz w:val="20"/>
          <w:szCs w:val="20"/>
          <w:color w:val="auto"/>
        </w:rPr>
        <w:t>Upon any consolidaton of the Sponsor Guarantor with, or merger of the Sponsor Guarantor into, any other Person or any sale, assignment, conveyance, transfer, lease or other dispositon of all or substantally all the propertes, rights and assets of the Sponsor Guarantor to a Successor Company in accordance with the conditons described in Secton 13.4(a) (</w:t>
      </w:r>
      <w:r>
        <w:rPr>
          <w:rFonts w:ascii="Calibri" w:cs="Calibri" w:eastAsia="Calibri" w:hAnsi="Calibri"/>
          <w:sz w:val="20"/>
          <w:szCs w:val="20"/>
          <w:b w:val="1"/>
          <w:bCs w:val="1"/>
          <w:color w:val="auto"/>
        </w:rPr>
        <w:t>Merger;</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Dispositon; Sharing of Assets; Transfer</w:t>
      </w:r>
      <w:r>
        <w:rPr>
          <w:rFonts w:ascii="Calibri" w:cs="Calibri" w:eastAsia="Calibri" w:hAnsi="Calibri"/>
          <w:sz w:val="20"/>
          <w:szCs w:val="20"/>
          <w:color w:val="auto"/>
        </w:rPr>
        <w:t>), the Successor Company shall succeed to and be substtuted for, and may exercise every right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power of, the Sponsor Guarantor under this Agreement with the same efect as if such Successor Company had been named as the Sponsor Guarantor and thereafer, except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240"/>
          </w:cols>
          <w:pgMar w:left="320" w:top="1384" w:right="339" w:bottom="1440" w:gutter="0" w:footer="0" w:header="0"/>
        </w:sectPr>
      </w:pPr>
    </w:p>
    <w:bookmarkStart w:id="559" w:name="page560"/>
    <w:bookmarkEnd w:id="559"/>
    <w:p>
      <w:pPr>
        <w:spacing w:after="0"/>
        <w:rPr>
          <w:sz w:val="20"/>
          <w:szCs w:val="20"/>
          <w:color w:val="auto"/>
        </w:rPr>
      </w:pPr>
      <w:r>
        <w:rPr>
          <w:rFonts w:ascii="Calibri" w:cs="Calibri" w:eastAsia="Calibri" w:hAnsi="Calibri"/>
          <w:sz w:val="20"/>
          <w:szCs w:val="20"/>
          <w:color w:val="auto"/>
        </w:rPr>
        <w:t>of a lease, the predecessor Person shall be relieved of all obligatons and covenants under this Agreement.</w:t>
      </w:r>
    </w:p>
    <w:p>
      <w:pPr>
        <w:spacing w:after="0" w:line="174"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b w:val="1"/>
          <w:bCs w:val="1"/>
          <w:color w:val="auto"/>
        </w:rPr>
        <w:t>Artcle 14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NET OF TAX</w:t>
      </w:r>
    </w:p>
    <w:p>
      <w:pPr>
        <w:spacing w:after="0" w:line="211"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The Sponsor Guarantor understands and agrees that the Department is an agency or instrumentality of the United States and that all payments hereunder are payable, and shall in all cases be paid, free and clear of all Taxes. If the Sponsor Guarantor shall be required by Applicable Law to withhold or deduct any tax from or in respect of any sum payable hereunder to the Department, (a) the sum payable shall be increased as may be necessary so that afer making all such required deductons, the Department receives an amount equal to the sum it would have received had no such deductons been made; (b) the Sponsor Guarantor shall make such deductons and (c) the Sponsor Guarantor shall pay the full amount deducted to the relevant taxaton authority or other authority in accordance with Applicable Law.</w:t>
      </w:r>
    </w:p>
    <w:p>
      <w:pPr>
        <w:spacing w:after="0" w:line="3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REINSTATEMENT</w:t>
      </w:r>
    </w:p>
    <w:p>
      <w:pPr>
        <w:spacing w:after="0" w:line="211"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Notwithstanding the provisions of Artcle 16 (</w:t>
      </w:r>
      <w:r>
        <w:rPr>
          <w:rFonts w:ascii="Calibri" w:cs="Calibri" w:eastAsia="Calibri" w:hAnsi="Calibri"/>
          <w:sz w:val="20"/>
          <w:szCs w:val="20"/>
          <w:b w:val="1"/>
          <w:bCs w:val="1"/>
          <w:color w:val="auto"/>
        </w:rPr>
        <w:t>Terminaton</w:t>
      </w:r>
      <w:r>
        <w:rPr>
          <w:rFonts w:ascii="Calibri" w:cs="Calibri" w:eastAsia="Calibri" w:hAnsi="Calibri"/>
          <w:sz w:val="20"/>
          <w:szCs w:val="20"/>
          <w:color w:val="auto"/>
        </w:rPr>
        <w:t>), this Agreement shall contnue to be efectve or be reinstated, as the case may be, if at any tme payment or performance of the Guaranteed Obligatons, or any part thereof, is, pursuant to Applicable Law or Governmental Judgment, rescinded, or reduced in amount or must otherwise be restored or returned by the Department. In the event that any payment or any part thereof is so rescinded, reduced, restored, or returned, such Guaranteed Obligatons shall be reinstated and deemed reduced only by such amount paid and not so rescinded, reduced, restored, or returned, and this Agreement shall remain in full force and efect untl the indefeasible payment and discharge in full of such Guaranteed Obligatons.</w:t>
      </w:r>
    </w:p>
    <w:p>
      <w:pPr>
        <w:spacing w:after="0" w:line="175"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16</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TERMINATION</w:t>
      </w:r>
    </w:p>
    <w:p>
      <w:pPr>
        <w:spacing w:after="0" w:line="171" w:lineRule="exact"/>
        <w:rPr>
          <w:sz w:val="20"/>
          <w:szCs w:val="20"/>
          <w:color w:val="auto"/>
        </w:rPr>
      </w:pPr>
    </w:p>
    <w:p>
      <w:pPr>
        <w:ind w:firstLine="1952"/>
        <w:spacing w:after="0" w:line="214" w:lineRule="auto"/>
        <w:tabs>
          <w:tab w:leader="none" w:pos="2596" w:val="left"/>
        </w:tabs>
        <w:numPr>
          <w:ilvl w:val="0"/>
          <w:numId w:val="735"/>
        </w:numPr>
        <w:rPr>
          <w:rFonts w:ascii="Calibri" w:cs="Calibri" w:eastAsia="Calibri" w:hAnsi="Calibri"/>
          <w:sz w:val="20"/>
          <w:szCs w:val="20"/>
          <w:color w:val="auto"/>
        </w:rPr>
      </w:pPr>
      <w:r>
        <w:rPr>
          <w:rFonts w:ascii="Calibri" w:cs="Calibri" w:eastAsia="Calibri" w:hAnsi="Calibri"/>
          <w:sz w:val="20"/>
          <w:szCs w:val="20"/>
          <w:color w:val="auto"/>
        </w:rPr>
        <w:t>This Agreement and the obligatons of the Sponsor Guarantor hereunder shall terminate (other than the provisions hereof that by their express terms survive such terminaton) on the Terminaton Date.</w:t>
      </w:r>
    </w:p>
    <w:p>
      <w:pPr>
        <w:spacing w:after="0" w:line="185"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735"/>
        </w:numPr>
        <w:rPr>
          <w:rFonts w:ascii="Calibri" w:cs="Calibri" w:eastAsia="Calibri" w:hAnsi="Calibri"/>
          <w:sz w:val="20"/>
          <w:szCs w:val="20"/>
          <w:color w:val="auto"/>
        </w:rPr>
      </w:pPr>
      <w:r>
        <w:rPr>
          <w:rFonts w:ascii="Calibri" w:cs="Calibri" w:eastAsia="Calibri" w:hAnsi="Calibri"/>
          <w:sz w:val="20"/>
          <w:szCs w:val="20"/>
          <w:color w:val="auto"/>
        </w:rPr>
        <w:t>In connecton with any terminaton or release pursuant to Artcle 16(a) (</w:t>
      </w:r>
      <w:r>
        <w:rPr>
          <w:rFonts w:ascii="Calibri" w:cs="Calibri" w:eastAsia="Calibri" w:hAnsi="Calibri"/>
          <w:sz w:val="20"/>
          <w:szCs w:val="20"/>
          <w:b w:val="1"/>
          <w:bCs w:val="1"/>
          <w:color w:val="auto"/>
        </w:rPr>
        <w:t>Terminaton</w:t>
      </w:r>
      <w:r>
        <w:rPr>
          <w:rFonts w:ascii="Calibri" w:cs="Calibri" w:eastAsia="Calibri" w:hAnsi="Calibri"/>
          <w:sz w:val="20"/>
          <w:szCs w:val="20"/>
          <w:color w:val="auto"/>
        </w:rPr>
        <w:t>), the Department shall execute and deliver to the Sponsor Guarantor, at the Sponsor Guarantor’s expense, all documents that the Sponsor Guarantor shall reasonably request to evidence such terminaton or release. Any executon and delivery of documents pursuant to this Artcle 16 (</w:t>
      </w:r>
      <w:r>
        <w:rPr>
          <w:rFonts w:ascii="Calibri" w:cs="Calibri" w:eastAsia="Calibri" w:hAnsi="Calibri"/>
          <w:sz w:val="20"/>
          <w:szCs w:val="20"/>
          <w:b w:val="1"/>
          <w:bCs w:val="1"/>
          <w:color w:val="auto"/>
        </w:rPr>
        <w:t>Terminaton</w:t>
      </w:r>
      <w:r>
        <w:rPr>
          <w:rFonts w:ascii="Calibri" w:cs="Calibri" w:eastAsia="Calibri" w:hAnsi="Calibri"/>
          <w:sz w:val="20"/>
          <w:szCs w:val="20"/>
          <w:color w:val="auto"/>
        </w:rPr>
        <w:t>) shall be without recourse to or warranty by the Department.</w:t>
      </w:r>
    </w:p>
    <w:p>
      <w:pPr>
        <w:spacing w:after="0" w:line="163"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17</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71" w:lineRule="exact"/>
        <w:rPr>
          <w:sz w:val="20"/>
          <w:szCs w:val="20"/>
          <w:color w:val="auto"/>
        </w:rPr>
      </w:pPr>
    </w:p>
    <w:p>
      <w:pPr>
        <w:jc w:val="both"/>
        <w:ind w:firstLine="648"/>
        <w:spacing w:after="0" w:line="207" w:lineRule="auto"/>
        <w:rPr>
          <w:sz w:val="20"/>
          <w:szCs w:val="20"/>
          <w:color w:val="auto"/>
        </w:rPr>
      </w:pPr>
      <w:r>
        <w:rPr>
          <w:rFonts w:ascii="Calibri" w:cs="Calibri" w:eastAsia="Calibri" w:hAnsi="Calibri"/>
          <w:sz w:val="20"/>
          <w:szCs w:val="20"/>
          <w:color w:val="auto"/>
        </w:rPr>
        <w:t xml:space="preserve">Secton 17.1.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 Except as otherwise set forth in Secton 17.2 (</w:t>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 any communicatons, including any notces, between or among the Partes to this Agreement shall be provided using the addresses listed below. All notces or other communicatons required or permited to be given under this Agreement shall be in writng and shall be considered as properly given:</w:t>
      </w:r>
    </w:p>
    <w:p>
      <w:pPr>
        <w:ind w:left="280" w:hanging="272"/>
        <w:spacing w:after="0" w:line="193" w:lineRule="auto"/>
        <w:tabs>
          <w:tab w:leader="none" w:pos="280" w:val="left"/>
        </w:tabs>
        <w:numPr>
          <w:ilvl w:val="0"/>
          <w:numId w:val="736"/>
        </w:numPr>
        <w:rPr>
          <w:rFonts w:ascii="Calibri" w:cs="Calibri" w:eastAsia="Calibri" w:hAnsi="Calibri"/>
          <w:sz w:val="20"/>
          <w:szCs w:val="20"/>
          <w:color w:val="auto"/>
        </w:rPr>
      </w:pPr>
      <w:r>
        <w:rPr>
          <w:rFonts w:ascii="Calibri" w:cs="Calibri" w:eastAsia="Calibri" w:hAnsi="Calibri"/>
          <w:sz w:val="20"/>
          <w:szCs w:val="20"/>
          <w:color w:val="auto"/>
        </w:rPr>
        <w:t>if delivered in person; (b) if sent by overnight delivery service for domestc delivery or internatonal courier for internatonal delivery;</w:t>
      </w:r>
    </w:p>
    <w:p>
      <w:pPr>
        <w:ind w:left="260" w:hanging="252"/>
        <w:spacing w:after="0" w:line="199" w:lineRule="auto"/>
        <w:tabs>
          <w:tab w:leader="none" w:pos="260" w:val="left"/>
        </w:tabs>
        <w:numPr>
          <w:ilvl w:val="0"/>
          <w:numId w:val="737"/>
        </w:numPr>
        <w:rPr>
          <w:rFonts w:ascii="Calibri" w:cs="Calibri" w:eastAsia="Calibri" w:hAnsi="Calibri"/>
          <w:sz w:val="20"/>
          <w:szCs w:val="20"/>
          <w:color w:val="auto"/>
        </w:rPr>
      </w:pPr>
      <w:r>
        <w:rPr>
          <w:rFonts w:ascii="Calibri" w:cs="Calibri" w:eastAsia="Calibri" w:hAnsi="Calibri"/>
          <w:sz w:val="20"/>
          <w:szCs w:val="20"/>
          <w:color w:val="auto"/>
        </w:rPr>
        <w:t>in the event that overnight delivery service or internatonal courier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1240"/>
          </w:cols>
          <w:pgMar w:left="320" w:top="1374" w:right="339" w:bottom="1440" w:gutter="0" w:footer="0" w:header="0"/>
        </w:sectPr>
      </w:pPr>
    </w:p>
    <w:bookmarkStart w:id="560" w:name="page561"/>
    <w:bookmarkEnd w:id="560"/>
    <w:p>
      <w:pPr>
        <w:jc w:val="both"/>
        <w:spacing w:after="0" w:line="228" w:lineRule="auto"/>
        <w:rPr>
          <w:sz w:val="20"/>
          <w:szCs w:val="20"/>
          <w:color w:val="auto"/>
        </w:rPr>
      </w:pPr>
      <w:r>
        <w:rPr>
          <w:rFonts w:ascii="Calibri" w:cs="Calibri" w:eastAsia="Calibri" w:hAnsi="Calibri"/>
          <w:sz w:val="20"/>
          <w:szCs w:val="20"/>
          <w:color w:val="auto"/>
        </w:rPr>
        <w:t>is not readily available, if mailed by frst class mail (or airmail for internatonal delivery), postage prepaid, registered or certfed with return receipt requested; (d) if sent by facsimile or telecopy with transmission verifed; or (e) if transmited by electronic mail, to the electronic mail address set forth below. Notce so given shall be efectve upon delivery to the addressee, except that communicaton or notce so transmited by facsimile or telecopy or other direct writen electronic means shall be deemed to have been validly and efectvely given on the day (if a Business Day and, if not, on the following Business Day) on which it is validly transmited if transmited before 5:00 p.m. ET, and if transmited afer that tme, on the next following Business Day. Any Party has the right to change its address for notce under this Agreement to any other locaton by giving prior writen notce to the other Partes in the manner set forth hereinabove.</w:t>
      </w:r>
    </w:p>
    <w:p>
      <w:pPr>
        <w:spacing w:after="0" w:line="18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For the Sponsor Guarantor:</w:t>
      </w:r>
    </w:p>
    <w:p>
      <w:pPr>
        <w:spacing w:after="0" w:line="215"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MICRON TECHNOLOGY, INC.</w:t>
      </w:r>
    </w:p>
    <w:p>
      <w:pPr>
        <w:ind w:left="1300"/>
        <w:spacing w:after="0" w:line="225" w:lineRule="auto"/>
        <w:rPr>
          <w:sz w:val="20"/>
          <w:szCs w:val="20"/>
          <w:color w:val="auto"/>
        </w:rPr>
      </w:pPr>
      <w:r>
        <w:rPr>
          <w:rFonts w:ascii="Calibri" w:cs="Calibri" w:eastAsia="Calibri" w:hAnsi="Calibri"/>
          <w:sz w:val="20"/>
          <w:szCs w:val="20"/>
          <w:color w:val="auto"/>
        </w:rPr>
        <w:t>8000 South Federal Way</w:t>
      </w:r>
    </w:p>
    <w:p>
      <w:pPr>
        <w:ind w:left="1300"/>
        <w:spacing w:after="0"/>
        <w:rPr>
          <w:sz w:val="20"/>
          <w:szCs w:val="20"/>
          <w:color w:val="auto"/>
        </w:rPr>
      </w:pPr>
      <w:r>
        <w:rPr>
          <w:rFonts w:ascii="Calibri" w:cs="Calibri" w:eastAsia="Calibri" w:hAnsi="Calibri"/>
          <w:sz w:val="20"/>
          <w:szCs w:val="20"/>
          <w:color w:val="auto"/>
        </w:rPr>
        <w:t>Boise, ID, 89716-9632</w:t>
      </w:r>
    </w:p>
    <w:p>
      <w:pPr>
        <w:spacing w:after="0" w:line="8" w:lineRule="exact"/>
        <w:rPr>
          <w:sz w:val="20"/>
          <w:szCs w:val="20"/>
          <w:color w:val="auto"/>
        </w:rPr>
      </w:pPr>
    </w:p>
    <w:p>
      <w:pPr>
        <w:ind w:left="1300" w:right="3060"/>
        <w:spacing w:after="0" w:line="228" w:lineRule="auto"/>
        <w:rPr>
          <w:sz w:val="20"/>
          <w:szCs w:val="20"/>
          <w:color w:val="auto"/>
        </w:rPr>
      </w:pPr>
      <w:r>
        <w:rPr>
          <w:rFonts w:ascii="Calibri" w:cs="Calibri" w:eastAsia="Calibri" w:hAnsi="Calibri"/>
          <w:sz w:val="20"/>
          <w:szCs w:val="20"/>
          <w:color w:val="auto"/>
        </w:rPr>
        <w:t>Atenton (copies to all): Scot Gatzemeier, Jef Binford, Mike Myers, Jessica Sekovski Email (send to all):</w:t>
      </w:r>
    </w:p>
    <w:p>
      <w:pPr>
        <w:spacing w:after="0" w:line="21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For the Department:</w:t>
      </w:r>
    </w:p>
    <w:p>
      <w:pPr>
        <w:spacing w:after="0" w:line="201" w:lineRule="exact"/>
        <w:rPr>
          <w:sz w:val="20"/>
          <w:szCs w:val="20"/>
          <w:color w:val="auto"/>
        </w:rPr>
      </w:pPr>
    </w:p>
    <w:p>
      <w:pPr>
        <w:ind w:left="1300"/>
        <w:spacing w:after="0"/>
        <w:rPr>
          <w:sz w:val="20"/>
          <w:szCs w:val="20"/>
          <w:color w:val="auto"/>
        </w:rPr>
      </w:pPr>
      <w:r>
        <w:rPr>
          <w:rFonts w:ascii="Calibri" w:cs="Calibri" w:eastAsia="Calibri" w:hAnsi="Calibri"/>
          <w:sz w:val="20"/>
          <w:szCs w:val="20"/>
          <w:color w:val="auto"/>
        </w:rPr>
        <w:t>UNITED STATES DEPARTMENT OF COMMERCE</w:t>
      </w:r>
    </w:p>
    <w:p>
      <w:pPr>
        <w:ind w:left="1300"/>
        <w:spacing w:after="0" w:line="238" w:lineRule="auto"/>
        <w:rPr>
          <w:sz w:val="20"/>
          <w:szCs w:val="20"/>
          <w:color w:val="auto"/>
        </w:rPr>
      </w:pPr>
      <w:r>
        <w:rPr>
          <w:rFonts w:ascii="Calibri" w:cs="Calibri" w:eastAsia="Calibri" w:hAnsi="Calibri"/>
          <w:sz w:val="20"/>
          <w:szCs w:val="20"/>
          <w:color w:val="auto"/>
        </w:rPr>
        <w:t>Herbert C. Hoover Building, Suite 48002</w:t>
      </w:r>
    </w:p>
    <w:p>
      <w:pPr>
        <w:ind w:left="1300"/>
        <w:spacing w:after="0"/>
        <w:rPr>
          <w:sz w:val="20"/>
          <w:szCs w:val="20"/>
          <w:color w:val="auto"/>
        </w:rPr>
      </w:pPr>
      <w:r>
        <w:rPr>
          <w:rFonts w:ascii="Calibri" w:cs="Calibri" w:eastAsia="Calibri" w:hAnsi="Calibri"/>
          <w:sz w:val="20"/>
          <w:szCs w:val="20"/>
          <w:color w:val="auto"/>
        </w:rPr>
        <w:t>1401 Consttuton Avenue NW</w:t>
      </w:r>
    </w:p>
    <w:p>
      <w:pPr>
        <w:ind w:left="1300"/>
        <w:spacing w:after="0" w:line="225" w:lineRule="auto"/>
        <w:rPr>
          <w:sz w:val="20"/>
          <w:szCs w:val="20"/>
          <w:color w:val="auto"/>
        </w:rPr>
      </w:pPr>
      <w:r>
        <w:rPr>
          <w:rFonts w:ascii="Calibri" w:cs="Calibri" w:eastAsia="Calibri" w:hAnsi="Calibri"/>
          <w:sz w:val="20"/>
          <w:szCs w:val="20"/>
          <w:color w:val="auto"/>
        </w:rPr>
        <w:t>Washington, DC 20230</w:t>
      </w:r>
    </w:p>
    <w:p>
      <w:pPr>
        <w:ind w:left="1300"/>
        <w:spacing w:after="0"/>
        <w:rPr>
          <w:sz w:val="20"/>
          <w:szCs w:val="20"/>
          <w:color w:val="auto"/>
        </w:rPr>
      </w:pPr>
      <w:r>
        <w:rPr>
          <w:rFonts w:ascii="Calibri" w:cs="Calibri" w:eastAsia="Calibri" w:hAnsi="Calibri"/>
          <w:sz w:val="20"/>
          <w:szCs w:val="20"/>
          <w:color w:val="auto"/>
        </w:rPr>
        <w:t>Email:</w:t>
      </w:r>
    </w:p>
    <w:p>
      <w:pPr>
        <w:spacing w:after="0" w:line="201"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17.2.</w:t>
      </w:r>
      <w:r>
        <w:rPr>
          <w:sz w:val="20"/>
          <w:szCs w:val="20"/>
          <w:color w:val="auto"/>
        </w:rPr>
        <w:tab/>
      </w:r>
      <w:r>
        <w:rPr>
          <w:rFonts w:ascii="Calibri" w:cs="Calibri" w:eastAsia="Calibri" w:hAnsi="Calibri"/>
          <w:sz w:val="20"/>
          <w:szCs w:val="20"/>
          <w:b w:val="1"/>
          <w:bCs w:val="1"/>
          <w:color w:val="auto"/>
        </w:rPr>
        <w:t>Use of Websites</w:t>
      </w:r>
      <w:r>
        <w:rPr>
          <w:rFonts w:ascii="Calibri" w:cs="Calibri" w:eastAsia="Calibri" w:hAnsi="Calibri"/>
          <w:sz w:val="20"/>
          <w:szCs w:val="20"/>
          <w:color w:val="auto"/>
        </w:rPr>
        <w:t>.</w:t>
      </w:r>
    </w:p>
    <w:p>
      <w:pPr>
        <w:spacing w:after="0" w:line="117" w:lineRule="exact"/>
        <w:rPr>
          <w:sz w:val="20"/>
          <w:szCs w:val="20"/>
          <w:color w:val="auto"/>
        </w:rPr>
      </w:pPr>
    </w:p>
    <w:p>
      <w:pPr>
        <w:jc w:val="both"/>
        <w:ind w:firstLine="1952"/>
        <w:spacing w:after="0" w:line="213" w:lineRule="auto"/>
        <w:tabs>
          <w:tab w:leader="none" w:pos="2596" w:val="left"/>
        </w:tabs>
        <w:numPr>
          <w:ilvl w:val="0"/>
          <w:numId w:val="738"/>
        </w:numPr>
        <w:rPr>
          <w:rFonts w:ascii="Calibri" w:cs="Calibri" w:eastAsia="Calibri" w:hAnsi="Calibri"/>
          <w:sz w:val="20"/>
          <w:szCs w:val="20"/>
          <w:color w:val="auto"/>
        </w:rPr>
      </w:pPr>
      <w:r>
        <w:rPr>
          <w:rFonts w:ascii="Calibri" w:cs="Calibri" w:eastAsia="Calibri" w:hAnsi="Calibri"/>
          <w:sz w:val="20"/>
          <w:szCs w:val="20"/>
          <w:color w:val="auto"/>
        </w:rPr>
        <w:t xml:space="preserve">The Sponsor Guarantor hereby agrees that it shall provide to the Department all informaton, documents and other materials that it is obligated to furnish to the Department pursuant to this Agreement,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all notces, requests, fnancial statements, fnancial and other reports, certfcates and other informaton materials, but excluding (i) any such communicaton that relates to service of process; (ii) any notce, certfcate or other document required under the terms of this Agreement to be sent in a specifc format or via a specifc method; or (iii) any notfcatons, certfcatons or additonal informaton submited pursuant to the Guardrail Provisions (all such non-excluded communicatons being referred to herein collectvely as “</w:t>
      </w:r>
      <w:r>
        <w:rPr>
          <w:rFonts w:ascii="Calibri" w:cs="Calibri" w:eastAsia="Calibri" w:hAnsi="Calibri"/>
          <w:sz w:val="20"/>
          <w:szCs w:val="20"/>
          <w:b w:val="1"/>
          <w:bCs w:val="1"/>
          <w:color w:val="auto"/>
        </w:rPr>
        <w:t>Communicatons</w:t>
      </w:r>
      <w:r>
        <w:rPr>
          <w:rFonts w:ascii="Calibri" w:cs="Calibri" w:eastAsia="Calibri" w:hAnsi="Calibri"/>
          <w:sz w:val="20"/>
          <w:szCs w:val="20"/>
          <w:color w:val="auto"/>
        </w:rPr>
        <w:t>”), by postng the Communicatons, in an electronic/sof medium in a format acceptable to the Department and using procedures acceptable to the Department, on Salesforce or a substantally similar electronic transmission system used by the Department and which is notfed in writng to the Sponsor Guarantor (the “</w:t>
      </w:r>
      <w:r>
        <w:rPr>
          <w:rFonts w:ascii="Calibri" w:cs="Calibri" w:eastAsia="Calibri" w:hAnsi="Calibri"/>
          <w:sz w:val="20"/>
          <w:szCs w:val="20"/>
          <w:b w:val="1"/>
          <w:bCs w:val="1"/>
          <w:color w:val="auto"/>
        </w:rPr>
        <w:t>Platorm</w:t>
      </w:r>
      <w:r>
        <w:rPr>
          <w:rFonts w:ascii="Calibri" w:cs="Calibri" w:eastAsia="Calibri" w:hAnsi="Calibri"/>
          <w:sz w:val="20"/>
          <w:szCs w:val="20"/>
          <w:color w:val="auto"/>
        </w:rPr>
        <w:t>”). In additon, the Sponsor Guarantor agrees to contnue to provide the Communicatons to the Department in any other manner specifed in this Agreement, but only to the extent requested by the Department. The Sponsor Guarantor further agrees that the Department may make the Communicatons available to the other Persons via the Platorm. If, at any point, the Platorm is not available, the Sponsor Guarantor shall provide Communicatons to the Department pursuant to Secton 17.1 (</w:t>
      </w:r>
      <w:r>
        <w:rPr>
          <w:rFonts w:ascii="Calibri" w:cs="Calibri" w:eastAsia="Calibri" w:hAnsi="Calibri"/>
          <w:sz w:val="20"/>
          <w:szCs w:val="20"/>
          <w:b w:val="1"/>
          <w:bCs w:val="1"/>
          <w:color w:val="auto"/>
        </w:rPr>
        <w:t>Addresses</w:t>
      </w:r>
      <w:r>
        <w:rPr>
          <w:rFonts w:ascii="Calibri" w:cs="Calibri" w:eastAsia="Calibri" w:hAnsi="Calibri"/>
          <w:sz w:val="20"/>
          <w:szCs w:val="20"/>
          <w:color w:val="auto"/>
        </w:rPr>
        <w:t>).</w:t>
      </w:r>
    </w:p>
    <w:p>
      <w:pPr>
        <w:spacing w:after="0" w:line="180"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738"/>
        </w:numPr>
        <w:rPr>
          <w:rFonts w:ascii="Calibri" w:cs="Calibri" w:eastAsia="Calibri" w:hAnsi="Calibri"/>
          <w:sz w:val="20"/>
          <w:szCs w:val="20"/>
          <w:color w:val="auto"/>
        </w:rPr>
      </w:pPr>
      <w:r>
        <w:rPr>
          <w:rFonts w:ascii="Calibri" w:cs="Calibri" w:eastAsia="Calibri" w:hAnsi="Calibri"/>
          <w:sz w:val="20"/>
          <w:szCs w:val="20"/>
          <w:color w:val="auto"/>
        </w:rPr>
        <w:t>The Department may, but is not obligated to, furnish all notces, requests, demands, informaton or other communicaton (other than service of process) to the Sponsor Guarantor under this Agreement by postng them on the Platorm. Nothing herein shall prejudice the right of the Department to give any notce, request, demand, informaton or other communicaton pursuant to this Agreement in any other manner specifed in this Agreement.</w:t>
      </w:r>
    </w:p>
    <w:p>
      <w:pPr>
        <w:spacing w:after="0" w:line="186"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738"/>
        </w:numPr>
        <w:rPr>
          <w:rFonts w:ascii="Calibri" w:cs="Calibri" w:eastAsia="Calibri" w:hAnsi="Calibri"/>
          <w:sz w:val="20"/>
          <w:szCs w:val="20"/>
          <w:color w:val="auto"/>
        </w:rPr>
      </w:pPr>
      <w:r>
        <w:rPr>
          <w:rFonts w:ascii="Calibri" w:cs="Calibri" w:eastAsia="Calibri" w:hAnsi="Calibri"/>
          <w:sz w:val="20"/>
          <w:szCs w:val="20"/>
          <w:color w:val="auto"/>
        </w:rPr>
        <w:t>Any communicaton or document as specifed in paragraph (a) or (b) above made or delivered by one Party to another shall be efectve only when actually made available in readable form on the Platorm.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17</w:t>
      </w:r>
    </w:p>
    <w:p>
      <w:pPr>
        <w:sectPr>
          <w:pgSz w:w="11900" w:h="16838" w:orient="portrait"/>
          <w:cols w:equalWidth="0" w:num="1">
            <w:col w:w="11240"/>
          </w:cols>
          <w:pgMar w:left="320" w:top="1384" w:right="339" w:bottom="1440" w:gutter="0" w:footer="0" w:header="0"/>
        </w:sectPr>
      </w:pPr>
    </w:p>
    <w:bookmarkStart w:id="561" w:name="page562"/>
    <w:bookmarkEnd w:id="561"/>
    <w:p>
      <w:pPr>
        <w:ind w:left="2600" w:hanging="648"/>
        <w:spacing w:after="0"/>
        <w:tabs>
          <w:tab w:leader="none" w:pos="2600" w:val="left"/>
        </w:tabs>
        <w:numPr>
          <w:ilvl w:val="0"/>
          <w:numId w:val="739"/>
        </w:numPr>
        <w:rPr>
          <w:rFonts w:ascii="Calibri" w:cs="Calibri" w:eastAsia="Calibri" w:hAnsi="Calibri"/>
          <w:sz w:val="20"/>
          <w:szCs w:val="20"/>
          <w:color w:val="auto"/>
        </w:rPr>
      </w:pPr>
      <w:r>
        <w:rPr>
          <w:rFonts w:ascii="Calibri" w:cs="Calibri" w:eastAsia="Calibri" w:hAnsi="Calibri"/>
          <w:sz w:val="20"/>
          <w:szCs w:val="20"/>
          <w:color w:val="auto"/>
        </w:rPr>
        <w:t>Any communicaton or document which becomes efectve, in accordance with paragraph (c) above, afer</w:t>
      </w:r>
    </w:p>
    <w:p>
      <w:pPr>
        <w:ind w:right="20"/>
        <w:spacing w:after="0" w:line="192" w:lineRule="auto"/>
        <w:rPr>
          <w:rFonts w:ascii="Calibri" w:cs="Calibri" w:eastAsia="Calibri" w:hAnsi="Calibri"/>
          <w:sz w:val="20"/>
          <w:szCs w:val="20"/>
          <w:color w:val="auto"/>
        </w:rPr>
      </w:pPr>
      <w:r>
        <w:rPr>
          <w:rFonts w:ascii="Calibri" w:cs="Calibri" w:eastAsia="Calibri" w:hAnsi="Calibri"/>
          <w:sz w:val="20"/>
          <w:szCs w:val="20"/>
          <w:color w:val="auto"/>
        </w:rPr>
        <w:t>5:00 p.m. in the place in which the Party to whom the relevant communicaton or document is made available has its address for the purpose of this Agreement shall be deemed only to become efectve on the following day.</w:t>
      </w:r>
    </w:p>
    <w:p>
      <w:pPr>
        <w:spacing w:after="0" w:line="185"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17.3. </w:t>
      </w:r>
      <w:r>
        <w:rPr>
          <w:rFonts w:ascii="Calibri" w:cs="Calibri" w:eastAsia="Calibri" w:hAnsi="Calibri"/>
          <w:sz w:val="20"/>
          <w:szCs w:val="20"/>
          <w:b w:val="1"/>
          <w:bCs w:val="1"/>
          <w:color w:val="auto"/>
        </w:rPr>
        <w:t>Counterparts; Electronic Signatures</w:t>
      </w:r>
      <w:r>
        <w:rPr>
          <w:rFonts w:ascii="Calibri" w:cs="Calibri" w:eastAsia="Calibri" w:hAnsi="Calibri"/>
          <w:sz w:val="20"/>
          <w:szCs w:val="20"/>
          <w:color w:val="auto"/>
        </w:rPr>
        <w:t>. This Agreement may be executed in one or more duplicate counterparts and when executed by all of the Partes shall consttute a single binding agreement. The delivery of an executed counterpart of this Agreement by electronic means, including by facsimile or by portable document format (PDF) atachment to email, shall be as efectve as delivery of an original executed counterpart of this Agreement. Except to the extent that Applicable Law would prohibit the same, make the same unenforceable, or afrmatvely require a manually executed counterpart signature: (a) the delivery of an executed counterpart of a signature page of this Agreement by fax, emailed .pdf, or any other electronic means approved by the Department in writng (which may be via email) that reproduces an image of the actual executed signature page shall be as efectve as the delivery of a manually executed counterpart of this Agreement; (b) the delivery of an executed counterpart of a signature page of this Agreement by fax, emailed .pdf, or any other electronic delivery means approved by the Department in writng (which may be via email) that contains a DocuSign signature or, in the case of the Department’s signature, a digital signature associated with a Personal Identty Verifcaton card, or any other electronic signature means approved by the Department in writng (which may be via email) shall be as efectve as the delivery of a manually executed counterpart of this Agreement; and (c) if agreed by the Department in writng (which may be via email) with respect to this Agreement, the delivery of an executed counterpart of a signature page of this Agreement by electronic means that types in the signatory to a document as a “conformed signature” from an email address approved by the Department in writng (which may be via email) shall be as efectve as the delivery of a manually executed counterpart of this Agreement. In furtherance of the foregoing, the words “executon,” “signed,” “signature,” “delivery,” and words of like import in or relatng to any document to be signed in connecton with this Agreement and the transactons contemplated hereby or thereby shall be deemed to include Electronic Signatures, deliveries or the keeping of records in electronic form, each of which shall be of the same legal efect, validity or enforceability as a manually executed signature, physical delivery thereof, or the use of a paper-based recordkeeping system, as the case may be, to the extent and as provided for in any Applicable Law, including the Federal Electronic Signatures in Global and Natonal Commerce Act, the New York State Electronic Signatures and Records Act, or any other similar state laws based on the Uniform Electronic Transactons Act.</w:t>
      </w:r>
    </w:p>
    <w:p>
      <w:pPr>
        <w:spacing w:after="0" w:line="184"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17.4. </w:t>
      </w:r>
      <w:r>
        <w:rPr>
          <w:rFonts w:ascii="Calibri" w:cs="Calibri" w:eastAsia="Calibri" w:hAnsi="Calibri"/>
          <w:sz w:val="20"/>
          <w:szCs w:val="20"/>
          <w:b w:val="1"/>
          <w:bCs w:val="1"/>
          <w:color w:val="auto"/>
        </w:rPr>
        <w:t>No Strict Constructon</w:t>
      </w:r>
      <w:r>
        <w:rPr>
          <w:rFonts w:ascii="Calibri" w:cs="Calibri" w:eastAsia="Calibri" w:hAnsi="Calibri"/>
          <w:sz w:val="20"/>
          <w:szCs w:val="20"/>
          <w:color w:val="auto"/>
        </w:rPr>
        <w:t>. The Partes hereto have partcipated jointly in the negotaton and drafing of this Agreement. In the event that an ambiguity or a queston of intent or interpretaton arises, this Agreement shall be construed as if drafed jointly by the Partes hereto and no presumpton or burden of proof shall arise favoring or disfavoring any Party by virtue of the authorship of any provisions of this Agreement.</w:t>
      </w:r>
    </w:p>
    <w:p>
      <w:pPr>
        <w:spacing w:after="0" w:line="187"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17.5. </w:t>
      </w:r>
      <w:r>
        <w:rPr>
          <w:rFonts w:ascii="Calibri" w:cs="Calibri" w:eastAsia="Calibri" w:hAnsi="Calibri"/>
          <w:sz w:val="20"/>
          <w:szCs w:val="20"/>
          <w:b w:val="1"/>
          <w:bCs w:val="1"/>
          <w:color w:val="auto"/>
        </w:rPr>
        <w:t>Severability</w:t>
      </w:r>
      <w:r>
        <w:rPr>
          <w:rFonts w:ascii="Calibri" w:cs="Calibri" w:eastAsia="Calibri" w:hAnsi="Calibri"/>
          <w:sz w:val="20"/>
          <w:szCs w:val="20"/>
          <w:color w:val="auto"/>
        </w:rPr>
        <w:t>. In case any one or more of the provisions contained in this Agreement should be invalid, illegal, or unenforceable in any respect, the validity, legality, and enforceability of the remaining provisions shall not in any way be afected or impaired thereby, and the Partes hereto shall engage the Partes to this Agreement to enter into good faith negotatons to replace the invalid, illegal, or unenforceable provision with a provision as similar in its terms and purpose to such illegal, invalid, or unenforceable provision as may be possible and be legal, valid, and enforceable.</w:t>
      </w:r>
    </w:p>
    <w:p>
      <w:pPr>
        <w:spacing w:after="0" w:line="164"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17.6.</w:t>
      </w:r>
      <w:r>
        <w:rPr>
          <w:sz w:val="20"/>
          <w:szCs w:val="20"/>
          <w:color w:val="auto"/>
        </w:rPr>
        <w:tab/>
      </w:r>
      <w:r>
        <w:rPr>
          <w:rFonts w:ascii="Calibri" w:cs="Calibri" w:eastAsia="Calibri" w:hAnsi="Calibri"/>
          <w:sz w:val="19"/>
          <w:szCs w:val="19"/>
          <w:b w:val="1"/>
          <w:bCs w:val="1"/>
          <w:color w:val="auto"/>
        </w:rPr>
        <w:t>Survival</w:t>
      </w:r>
      <w:r>
        <w:rPr>
          <w:rFonts w:ascii="Calibri" w:cs="Calibri" w:eastAsia="Calibri" w:hAnsi="Calibri"/>
          <w:sz w:val="19"/>
          <w:szCs w:val="19"/>
          <w:color w:val="auto"/>
        </w:rPr>
        <w:t>.</w:t>
      </w:r>
    </w:p>
    <w:p>
      <w:pPr>
        <w:spacing w:after="0" w:line="184" w:lineRule="exact"/>
        <w:rPr>
          <w:sz w:val="20"/>
          <w:szCs w:val="20"/>
          <w:color w:val="auto"/>
        </w:rPr>
      </w:pPr>
    </w:p>
    <w:p>
      <w:pPr>
        <w:jc w:val="both"/>
        <w:ind w:firstLine="1952"/>
        <w:spacing w:after="0" w:line="233" w:lineRule="auto"/>
        <w:tabs>
          <w:tab w:leader="none" w:pos="2596" w:val="left"/>
        </w:tabs>
        <w:numPr>
          <w:ilvl w:val="0"/>
          <w:numId w:val="740"/>
        </w:numPr>
        <w:rPr>
          <w:rFonts w:ascii="Calibri" w:cs="Calibri" w:eastAsia="Calibri" w:hAnsi="Calibri"/>
          <w:sz w:val="20"/>
          <w:szCs w:val="20"/>
          <w:color w:val="auto"/>
        </w:rPr>
      </w:pPr>
      <w:r>
        <w:rPr>
          <w:rFonts w:ascii="Calibri" w:cs="Calibri" w:eastAsia="Calibri" w:hAnsi="Calibri"/>
          <w:sz w:val="20"/>
          <w:szCs w:val="20"/>
          <w:color w:val="auto"/>
        </w:rPr>
        <w:t>All representatons and warrantes made by the Sponsor Guarantor in this Agreement or other documents delivered in connecton therewith shall be considered to have been relied upon the Department and shall survive the executon and delivery of each DFA and the other Financing Documents, the occurrence of each Award Date, the executon of the Funding Obligatons and each Terminaton Date, regardless of any investgaton made by the Department or on its behalf and notwithstanding that the Department may have had notce or knowledge of any Event of Default or Potental Event of Default at the tme of any Disbursement, and shall contnue in full force and efect untl this Agreement shall terminate (or thereafer to the extent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18</w:t>
      </w:r>
    </w:p>
    <w:p>
      <w:pPr>
        <w:sectPr>
          <w:pgSz w:w="11900" w:h="16838" w:orient="portrait"/>
          <w:cols w:equalWidth="0" w:num="1">
            <w:col w:w="11240"/>
          </w:cols>
          <w:pgMar w:left="320" w:top="1374" w:right="339" w:bottom="1440" w:gutter="0" w:footer="0" w:header="0"/>
        </w:sectPr>
      </w:pPr>
    </w:p>
    <w:bookmarkStart w:id="562" w:name="page563"/>
    <w:bookmarkEnd w:id="562"/>
    <w:p>
      <w:pPr>
        <w:jc w:val="both"/>
        <w:ind w:firstLine="1952"/>
        <w:spacing w:after="0" w:line="228" w:lineRule="auto"/>
        <w:tabs>
          <w:tab w:leader="none" w:pos="2592" w:val="left"/>
        </w:tabs>
        <w:numPr>
          <w:ilvl w:val="0"/>
          <w:numId w:val="741"/>
        </w:numPr>
        <w:rPr>
          <w:rFonts w:ascii="Calibri" w:cs="Calibri" w:eastAsia="Calibri" w:hAnsi="Calibri"/>
          <w:sz w:val="20"/>
          <w:szCs w:val="20"/>
          <w:color w:val="auto"/>
        </w:rPr>
      </w:pPr>
      <w:r>
        <w:rPr>
          <w:rFonts w:ascii="Calibri" w:cs="Calibri" w:eastAsia="Calibri" w:hAnsi="Calibri"/>
          <w:sz w:val="20"/>
          <w:szCs w:val="20"/>
          <w:color w:val="auto"/>
        </w:rPr>
        <w:t>The provisions of (i) Artcle 14 (</w:t>
      </w:r>
      <w:r>
        <w:rPr>
          <w:rFonts w:ascii="Calibri" w:cs="Calibri" w:eastAsia="Calibri" w:hAnsi="Calibri"/>
          <w:sz w:val="20"/>
          <w:szCs w:val="20"/>
          <w:b w:val="1"/>
          <w:bCs w:val="1"/>
          <w:color w:val="auto"/>
        </w:rPr>
        <w:t>Net of Tax</w:t>
      </w:r>
      <w:r>
        <w:rPr>
          <w:rFonts w:ascii="Calibri" w:cs="Calibri" w:eastAsia="Calibri" w:hAnsi="Calibri"/>
          <w:sz w:val="20"/>
          <w:szCs w:val="20"/>
          <w:color w:val="auto"/>
        </w:rPr>
        <w:t>), Secton 17.9 (</w:t>
      </w:r>
      <w:r>
        <w:rPr>
          <w:rFonts w:ascii="Calibri" w:cs="Calibri" w:eastAsia="Calibri" w:hAnsi="Calibri"/>
          <w:sz w:val="20"/>
          <w:szCs w:val="20"/>
          <w:b w:val="1"/>
          <w:bCs w:val="1"/>
          <w:color w:val="auto"/>
        </w:rPr>
        <w:t>Costs and Expenses</w:t>
      </w:r>
      <w:r>
        <w:rPr>
          <w:rFonts w:ascii="Calibri" w:cs="Calibri" w:eastAsia="Calibri" w:hAnsi="Calibri"/>
          <w:sz w:val="20"/>
          <w:szCs w:val="20"/>
          <w:color w:val="auto"/>
        </w:rPr>
        <w:t>), Secton 17.10 (</w:t>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 Secton 17.11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Secton 17.12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Secton 17.13 (</w:t>
      </w:r>
      <w:r>
        <w:rPr>
          <w:rFonts w:ascii="Calibri" w:cs="Calibri" w:eastAsia="Calibri" w:hAnsi="Calibri"/>
          <w:sz w:val="20"/>
          <w:szCs w:val="20"/>
          <w:b w:val="1"/>
          <w:bCs w:val="1"/>
          <w:color w:val="auto"/>
        </w:rPr>
        <w:t>Consent to Jurisdicton</w:t>
      </w:r>
      <w:r>
        <w:rPr>
          <w:rFonts w:ascii="Calibri" w:cs="Calibri" w:eastAsia="Calibri" w:hAnsi="Calibri"/>
          <w:sz w:val="20"/>
          <w:szCs w:val="20"/>
          <w:color w:val="auto"/>
        </w:rPr>
        <w:t>) and Artcle 15 (</w:t>
      </w:r>
      <w:r>
        <w:rPr>
          <w:rFonts w:ascii="Calibri" w:cs="Calibri" w:eastAsia="Calibri" w:hAnsi="Calibri"/>
          <w:sz w:val="20"/>
          <w:szCs w:val="20"/>
          <w:b w:val="1"/>
          <w:bCs w:val="1"/>
          <w:color w:val="auto"/>
        </w:rPr>
        <w:t>Reinstatement</w:t>
      </w:r>
      <w:r>
        <w:rPr>
          <w:rFonts w:ascii="Calibri" w:cs="Calibri" w:eastAsia="Calibri" w:hAnsi="Calibri"/>
          <w:sz w:val="20"/>
          <w:szCs w:val="20"/>
          <w:color w:val="auto"/>
        </w:rPr>
        <w:t>); and (ii) the Guardrail Provisions (excluding Secton 2 (</w:t>
      </w:r>
      <w:r>
        <w:rPr>
          <w:rFonts w:ascii="Calibri" w:cs="Calibri" w:eastAsia="Calibri" w:hAnsi="Calibri"/>
          <w:sz w:val="20"/>
          <w:szCs w:val="20"/>
          <w:i w:val="1"/>
          <w:iCs w:val="1"/>
          <w:color w:val="auto"/>
        </w:rPr>
        <w:t>Prohibiton on Certain Joint Research or Technology</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Licensing</w:t>
      </w:r>
      <w:r>
        <w:rPr>
          <w:rFonts w:ascii="Calibri" w:cs="Calibri" w:eastAsia="Calibri" w:hAnsi="Calibri"/>
          <w:sz w:val="20"/>
          <w:szCs w:val="20"/>
          <w:color w:val="auto"/>
        </w:rPr>
        <w:t>) of each DFA and Secton 7(d) (</w:t>
      </w:r>
      <w:r>
        <w:rPr>
          <w:rFonts w:ascii="Calibri" w:cs="Calibri" w:eastAsia="Calibri" w:hAnsi="Calibri"/>
          <w:sz w:val="20"/>
          <w:szCs w:val="20"/>
          <w:i w:val="1"/>
          <w:iCs w:val="1"/>
          <w:color w:val="auto"/>
        </w:rPr>
        <w:t>Remedies, Mitgaton and Clawbacks</w:t>
      </w:r>
      <w:r>
        <w:rPr>
          <w:rFonts w:ascii="Calibri" w:cs="Calibri" w:eastAsia="Calibri" w:hAnsi="Calibri"/>
          <w:sz w:val="20"/>
          <w:szCs w:val="20"/>
          <w:color w:val="auto"/>
        </w:rPr>
        <w:t>) thereof and all other provisions hereof and defnitons set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 xml:space="preserve">forth herein required to give efect thereto, including, </w:t>
      </w:r>
      <w:r>
        <w:rPr>
          <w:rFonts w:ascii="Calibri" w:cs="Calibri" w:eastAsia="Calibri" w:hAnsi="Calibri"/>
          <w:sz w:val="20"/>
          <w:szCs w:val="20"/>
          <w:i w:val="1"/>
          <w:iCs w:val="1"/>
          <w:color w:val="auto"/>
        </w:rPr>
        <w:t>inter alia</w:t>
      </w:r>
      <w:r>
        <w:rPr>
          <w:rFonts w:ascii="Calibri" w:cs="Calibri" w:eastAsia="Calibri" w:hAnsi="Calibri"/>
          <w:sz w:val="20"/>
          <w:szCs w:val="20"/>
          <w:color w:val="auto"/>
        </w:rPr>
        <w:t>, Secton 17.8 (</w:t>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 shall survive and remain in full force and efect regardless of the consummaton of the transactons contemplated hereby, the payment in full of the Department Obligatons, the expiraton or terminaton of any Award, or the terminaton of this Agreement or any provision hereof on the Terminaton Date.</w:t>
      </w:r>
    </w:p>
    <w:p>
      <w:pPr>
        <w:spacing w:after="0" w:line="162"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17.7.</w:t>
      </w:r>
      <w:r>
        <w:rPr>
          <w:sz w:val="20"/>
          <w:szCs w:val="20"/>
          <w:color w:val="auto"/>
        </w:rPr>
        <w:tab/>
      </w:r>
      <w:r>
        <w:rPr>
          <w:rFonts w:ascii="Calibri" w:cs="Calibri" w:eastAsia="Calibri" w:hAnsi="Calibri"/>
          <w:sz w:val="20"/>
          <w:szCs w:val="20"/>
          <w:b w:val="1"/>
          <w:bCs w:val="1"/>
          <w:color w:val="auto"/>
        </w:rPr>
        <w:t>Successors and Assigns</w:t>
      </w:r>
      <w:r>
        <w:rPr>
          <w:rFonts w:ascii="Calibri" w:cs="Calibri" w:eastAsia="Calibri" w:hAnsi="Calibri"/>
          <w:sz w:val="20"/>
          <w:szCs w:val="20"/>
          <w:color w:val="auto"/>
        </w:rPr>
        <w:t>.</w:t>
      </w:r>
    </w:p>
    <w:p>
      <w:pPr>
        <w:spacing w:after="0" w:line="184" w:lineRule="exact"/>
        <w:rPr>
          <w:sz w:val="20"/>
          <w:szCs w:val="20"/>
          <w:color w:val="auto"/>
        </w:rPr>
      </w:pPr>
    </w:p>
    <w:p>
      <w:pPr>
        <w:ind w:firstLine="1952"/>
        <w:spacing w:after="0" w:line="214" w:lineRule="auto"/>
        <w:tabs>
          <w:tab w:leader="none" w:pos="2596" w:val="left"/>
        </w:tabs>
        <w:numPr>
          <w:ilvl w:val="0"/>
          <w:numId w:val="742"/>
        </w:numPr>
        <w:rPr>
          <w:rFonts w:ascii="Calibri" w:cs="Calibri" w:eastAsia="Calibri" w:hAnsi="Calibri"/>
          <w:sz w:val="20"/>
          <w:szCs w:val="20"/>
          <w:color w:val="auto"/>
        </w:rPr>
      </w:pPr>
      <w:r>
        <w:rPr>
          <w:rFonts w:ascii="Calibri" w:cs="Calibri" w:eastAsia="Calibri" w:hAnsi="Calibri"/>
          <w:sz w:val="20"/>
          <w:szCs w:val="20"/>
          <w:color w:val="auto"/>
        </w:rPr>
        <w:t>The provisions of this Agreement shall be binding upon and inure to the beneft of the Partes to this Agreement and their respectve successors and permited assigns.</w:t>
      </w:r>
    </w:p>
    <w:p>
      <w:pPr>
        <w:spacing w:after="0" w:line="172" w:lineRule="exact"/>
        <w:rPr>
          <w:rFonts w:ascii="Calibri" w:cs="Calibri" w:eastAsia="Calibri" w:hAnsi="Calibri"/>
          <w:sz w:val="20"/>
          <w:szCs w:val="20"/>
          <w:color w:val="auto"/>
        </w:rPr>
      </w:pPr>
    </w:p>
    <w:p>
      <w:pPr>
        <w:ind w:firstLine="1952"/>
        <w:spacing w:after="0" w:line="214" w:lineRule="auto"/>
        <w:tabs>
          <w:tab w:leader="none" w:pos="2592" w:val="left"/>
        </w:tabs>
        <w:numPr>
          <w:ilvl w:val="0"/>
          <w:numId w:val="742"/>
        </w:numPr>
        <w:rPr>
          <w:rFonts w:ascii="Calibri" w:cs="Calibri" w:eastAsia="Calibri" w:hAnsi="Calibri"/>
          <w:sz w:val="20"/>
          <w:szCs w:val="20"/>
          <w:color w:val="auto"/>
        </w:rPr>
      </w:pPr>
      <w:r>
        <w:rPr>
          <w:rFonts w:ascii="Calibri" w:cs="Calibri" w:eastAsia="Calibri" w:hAnsi="Calibri"/>
          <w:sz w:val="20"/>
          <w:szCs w:val="20"/>
          <w:color w:val="auto"/>
        </w:rPr>
        <w:t>The Sponsor Guarantor shall not assign or otherwise transfer any of its rights or obligatons under this Agreement without the prior writen consent of the Department.</w:t>
      </w:r>
    </w:p>
    <w:p>
      <w:pPr>
        <w:spacing w:after="0" w:line="176" w:lineRule="exact"/>
        <w:rPr>
          <w:sz w:val="20"/>
          <w:szCs w:val="20"/>
          <w:color w:val="auto"/>
        </w:rPr>
      </w:pPr>
    </w:p>
    <w:p>
      <w:pPr>
        <w:ind w:left="660"/>
        <w:spacing w:after="0"/>
        <w:tabs>
          <w:tab w:leader="none" w:pos="1960" w:val="left"/>
        </w:tabs>
        <w:rPr>
          <w:sz w:val="20"/>
          <w:szCs w:val="20"/>
          <w:color w:val="auto"/>
        </w:rPr>
      </w:pPr>
      <w:r>
        <w:rPr>
          <w:rFonts w:ascii="Calibri" w:cs="Calibri" w:eastAsia="Calibri" w:hAnsi="Calibri"/>
          <w:sz w:val="20"/>
          <w:szCs w:val="20"/>
          <w:color w:val="auto"/>
        </w:rPr>
        <w:t>Secton 17.8.</w:t>
      </w:r>
      <w:r>
        <w:rPr>
          <w:sz w:val="20"/>
          <w:szCs w:val="20"/>
          <w:color w:val="auto"/>
        </w:rPr>
        <w:tab/>
      </w:r>
      <w:r>
        <w:rPr>
          <w:rFonts w:ascii="Calibri" w:cs="Calibri" w:eastAsia="Calibri" w:hAnsi="Calibri"/>
          <w:sz w:val="20"/>
          <w:szCs w:val="20"/>
          <w:b w:val="1"/>
          <w:bCs w:val="1"/>
          <w:color w:val="auto"/>
        </w:rPr>
        <w:t>Waiver and Amendment</w:t>
      </w:r>
      <w:r>
        <w:rPr>
          <w:rFonts w:ascii="Calibri" w:cs="Calibri" w:eastAsia="Calibri" w:hAnsi="Calibri"/>
          <w:sz w:val="20"/>
          <w:szCs w:val="20"/>
          <w:color w:val="auto"/>
        </w:rPr>
        <w:t>.</w:t>
      </w:r>
    </w:p>
    <w:p>
      <w:pPr>
        <w:spacing w:after="0" w:line="171" w:lineRule="exact"/>
        <w:rPr>
          <w:sz w:val="20"/>
          <w:szCs w:val="20"/>
          <w:color w:val="auto"/>
        </w:rPr>
      </w:pPr>
    </w:p>
    <w:p>
      <w:pPr>
        <w:jc w:val="both"/>
        <w:ind w:firstLine="1952"/>
        <w:spacing w:after="0" w:line="209" w:lineRule="auto"/>
        <w:tabs>
          <w:tab w:leader="none" w:pos="2596" w:val="left"/>
        </w:tabs>
        <w:numPr>
          <w:ilvl w:val="0"/>
          <w:numId w:val="743"/>
        </w:numPr>
        <w:rPr>
          <w:rFonts w:ascii="Calibri" w:cs="Calibri" w:eastAsia="Calibri" w:hAnsi="Calibri"/>
          <w:sz w:val="20"/>
          <w:szCs w:val="20"/>
          <w:color w:val="auto"/>
        </w:rPr>
      </w:pPr>
      <w:r>
        <w:rPr>
          <w:rFonts w:ascii="Calibri" w:cs="Calibri" w:eastAsia="Calibri" w:hAnsi="Calibri"/>
          <w:sz w:val="20"/>
          <w:szCs w:val="20"/>
          <w:color w:val="auto"/>
        </w:rPr>
        <w:t>No failure or delay by the Department in exercising any right, power or remedy shall operate as a waiver thereof or otherwise impair any rights, powers, or remedies of the Department. No single or partal exercise of any such right, power, or remedy shall preclude any other or further exercise thereof or the exercise of any other legal right, power, or remedy.</w:t>
      </w:r>
    </w:p>
    <w:p>
      <w:pPr>
        <w:spacing w:after="0" w:line="172" w:lineRule="exact"/>
        <w:rPr>
          <w:rFonts w:ascii="Calibri" w:cs="Calibri" w:eastAsia="Calibri" w:hAnsi="Calibri"/>
          <w:sz w:val="20"/>
          <w:szCs w:val="20"/>
          <w:color w:val="auto"/>
        </w:rPr>
      </w:pPr>
    </w:p>
    <w:p>
      <w:pPr>
        <w:jc w:val="both"/>
        <w:ind w:firstLine="1952"/>
        <w:spacing w:after="0" w:line="203" w:lineRule="auto"/>
        <w:tabs>
          <w:tab w:leader="none" w:pos="2592" w:val="left"/>
        </w:tabs>
        <w:numPr>
          <w:ilvl w:val="0"/>
          <w:numId w:val="743"/>
        </w:numPr>
        <w:rPr>
          <w:rFonts w:ascii="Calibri" w:cs="Calibri" w:eastAsia="Calibri" w:hAnsi="Calibri"/>
          <w:sz w:val="20"/>
          <w:szCs w:val="20"/>
          <w:color w:val="auto"/>
        </w:rPr>
      </w:pPr>
      <w:r>
        <w:rPr>
          <w:rFonts w:ascii="Calibri" w:cs="Calibri" w:eastAsia="Calibri" w:hAnsi="Calibri"/>
          <w:sz w:val="20"/>
          <w:szCs w:val="20"/>
          <w:color w:val="auto"/>
        </w:rPr>
        <w:t>The rights, powers or remedies provided for herein are, to the extent permited by Applicable Law, cumulatve and are not exclusive of any other rights, powers or remedies provided by law or in any other Financing Document. The asserton or employment of any right, power or remedy hereunder, or otherwise, shall not prevent the concurrent asserton of any other right, power or remedy.</w:t>
      </w:r>
    </w:p>
    <w:p>
      <w:pPr>
        <w:spacing w:after="0" w:line="186" w:lineRule="exact"/>
        <w:rPr>
          <w:rFonts w:ascii="Calibri" w:cs="Calibri" w:eastAsia="Calibri" w:hAnsi="Calibri"/>
          <w:sz w:val="20"/>
          <w:szCs w:val="20"/>
          <w:color w:val="auto"/>
        </w:rPr>
      </w:pPr>
    </w:p>
    <w:p>
      <w:pPr>
        <w:jc w:val="both"/>
        <w:ind w:firstLine="1952"/>
        <w:spacing w:after="0" w:line="205" w:lineRule="auto"/>
        <w:tabs>
          <w:tab w:leader="none" w:pos="2584" w:val="left"/>
        </w:tabs>
        <w:numPr>
          <w:ilvl w:val="0"/>
          <w:numId w:val="743"/>
        </w:numPr>
        <w:rPr>
          <w:rFonts w:ascii="Calibri" w:cs="Calibri" w:eastAsia="Calibri" w:hAnsi="Calibri"/>
          <w:sz w:val="20"/>
          <w:szCs w:val="20"/>
          <w:color w:val="auto"/>
        </w:rPr>
      </w:pPr>
      <w:r>
        <w:rPr>
          <w:rFonts w:ascii="Calibri" w:cs="Calibri" w:eastAsia="Calibri" w:hAnsi="Calibri"/>
          <w:sz w:val="20"/>
          <w:szCs w:val="20"/>
          <w:color w:val="auto"/>
        </w:rPr>
        <w:t>Except as otherwise expressly provided herein, neither this Agreement nor any provision hereof may be amended, waived, discharged, or terminated unless such amendment, waiver, discharge, or terminaton is in writng and executed by the Sponsor Guarantor and the Department.</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17.9. </w:t>
      </w:r>
      <w:r>
        <w:rPr>
          <w:rFonts w:ascii="Calibri" w:cs="Calibri" w:eastAsia="Calibri" w:hAnsi="Calibri"/>
          <w:sz w:val="20"/>
          <w:szCs w:val="20"/>
          <w:b w:val="1"/>
          <w:bCs w:val="1"/>
          <w:color w:val="auto"/>
        </w:rPr>
        <w:t>Costs and Expenses</w:t>
      </w:r>
      <w:r>
        <w:rPr>
          <w:rFonts w:ascii="Calibri" w:cs="Calibri" w:eastAsia="Calibri" w:hAnsi="Calibri"/>
          <w:sz w:val="20"/>
          <w:szCs w:val="20"/>
          <w:color w:val="auto"/>
        </w:rPr>
        <w:t>. The Sponsor Guarantor shall, whether or not the transactons contemplated by this Agreement or the other Financing Documents are consummated, pay or reimburse, without duplicaton, all reasonable, documented fees, out-of-pocket costs and expenses of the Department (including all commissions, charges, costs and expenses for the conversion of currencies and all other fees, costs, charges and expenses, including all Periodic Expenses of any Consultant) paid or incurred in connecton with (a) the due diligence of the Recipient Partes and the Projects; and (b) the negotaton, review, preparaton and recording of this Agreement, the other Financing Documents and any other documents and instruments related to this Agreement or thereto (including legal opinions) incurred prior to executon of this Agreement.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17.10.</w:t>
      </w:r>
      <w:r>
        <w:rPr>
          <w:sz w:val="20"/>
          <w:szCs w:val="20"/>
          <w:color w:val="auto"/>
        </w:rPr>
        <w:tab/>
      </w:r>
      <w:r>
        <w:rPr>
          <w:rFonts w:ascii="Calibri" w:cs="Calibri" w:eastAsia="Calibri" w:hAnsi="Calibri"/>
          <w:sz w:val="20"/>
          <w:szCs w:val="20"/>
          <w:b w:val="1"/>
          <w:bCs w:val="1"/>
          <w:color w:val="auto"/>
        </w:rPr>
        <w:t>Indemnifcaton</w:t>
      </w:r>
      <w:r>
        <w:rPr>
          <w:rFonts w:ascii="Calibri" w:cs="Calibri" w:eastAsia="Calibri" w:hAnsi="Calibri"/>
          <w:sz w:val="20"/>
          <w:szCs w:val="20"/>
          <w:color w:val="auto"/>
        </w:rPr>
        <w:t>.</w:t>
      </w:r>
    </w:p>
    <w:p>
      <w:pPr>
        <w:spacing w:after="0" w:line="211" w:lineRule="exact"/>
        <w:rPr>
          <w:sz w:val="20"/>
          <w:szCs w:val="20"/>
          <w:color w:val="auto"/>
        </w:rPr>
      </w:pPr>
    </w:p>
    <w:p>
      <w:pPr>
        <w:jc w:val="both"/>
        <w:ind w:firstLine="1952"/>
        <w:spacing w:after="0" w:line="234" w:lineRule="auto"/>
        <w:tabs>
          <w:tab w:leader="none" w:pos="2596" w:val="left"/>
        </w:tabs>
        <w:numPr>
          <w:ilvl w:val="0"/>
          <w:numId w:val="744"/>
        </w:numPr>
        <w:rPr>
          <w:rFonts w:ascii="Calibri" w:cs="Calibri" w:eastAsia="Calibri" w:hAnsi="Calibri"/>
          <w:sz w:val="20"/>
          <w:szCs w:val="20"/>
          <w:color w:val="auto"/>
        </w:rPr>
      </w:pPr>
      <w:r>
        <w:rPr>
          <w:rFonts w:ascii="Calibri" w:cs="Calibri" w:eastAsia="Calibri" w:hAnsi="Calibri"/>
          <w:sz w:val="20"/>
          <w:szCs w:val="20"/>
          <w:color w:val="auto"/>
        </w:rPr>
        <w:t>The Sponsor Guarantor shall indemnify the Department and each of its ofcers, employees, atorneys and agents (each, an “</w:t>
      </w:r>
      <w:r>
        <w:rPr>
          <w:rFonts w:ascii="Calibri" w:cs="Calibri" w:eastAsia="Calibri" w:hAnsi="Calibri"/>
          <w:sz w:val="20"/>
          <w:szCs w:val="20"/>
          <w:b w:val="1"/>
          <w:bCs w:val="1"/>
          <w:color w:val="auto"/>
        </w:rPr>
        <w:t>Indemnifed Liability</w:t>
      </w:r>
      <w:r>
        <w:rPr>
          <w:rFonts w:ascii="Calibri" w:cs="Calibri" w:eastAsia="Calibri" w:hAnsi="Calibri"/>
          <w:sz w:val="20"/>
          <w:szCs w:val="20"/>
          <w:color w:val="auto"/>
        </w:rPr>
        <w:t>”) from and against any liabilites, obligatons, losses, damages, penaltes, claims, judgments,</w:t>
      </w:r>
    </w:p>
    <w:p>
      <w:pPr>
        <w:spacing w:after="0" w:line="23" w:lineRule="exact"/>
        <w:rPr>
          <w:rFonts w:ascii="Calibri" w:cs="Calibri" w:eastAsia="Calibri" w:hAnsi="Calibri"/>
          <w:sz w:val="20"/>
          <w:szCs w:val="20"/>
          <w:color w:val="auto"/>
        </w:rPr>
      </w:pPr>
    </w:p>
    <w:p>
      <w:pPr>
        <w:jc w:val="both"/>
        <w:spacing w:after="0"/>
        <w:rPr>
          <w:rFonts w:ascii="Calibri" w:cs="Calibri" w:eastAsia="Calibri" w:hAnsi="Calibri"/>
          <w:sz w:val="20"/>
          <w:szCs w:val="20"/>
          <w:color w:val="auto"/>
        </w:rPr>
      </w:pPr>
      <w:r>
        <w:rPr>
          <w:rFonts w:ascii="Calibri" w:cs="Calibri" w:eastAsia="Calibri" w:hAnsi="Calibri"/>
          <w:sz w:val="20"/>
          <w:szCs w:val="20"/>
          <w:color w:val="auto"/>
        </w:rPr>
        <w:t>lawsuits, costs and expenses (other than atorneys’ costs and fees) (each, an “</w:t>
      </w:r>
      <w:r>
        <w:rPr>
          <w:rFonts w:ascii="Calibri" w:cs="Calibri" w:eastAsia="Calibri" w:hAnsi="Calibri"/>
          <w:sz w:val="20"/>
          <w:szCs w:val="20"/>
          <w:b w:val="1"/>
          <w:bCs w:val="1"/>
          <w:color w:val="auto"/>
        </w:rPr>
        <w:t>Indemnifed Party</w:t>
      </w:r>
      <w:r>
        <w:rPr>
          <w:rFonts w:ascii="Calibri" w:cs="Calibri" w:eastAsia="Calibri" w:hAnsi="Calibri"/>
          <w:sz w:val="20"/>
          <w:szCs w:val="20"/>
          <w:color w:val="auto"/>
        </w:rPr>
        <w:t>”) for which an Indemnifed Party may become responsible because of a claim asserted by a third party related to any Award, the use of Disbursements, this Agreement, any Financing Document, or any Project; provided, that the Sponsor Guarantor shall not have any indemnifcaton obligaton hereunder if the third Party’s claim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19</w:t>
      </w:r>
    </w:p>
    <w:p>
      <w:pPr>
        <w:sectPr>
          <w:pgSz w:w="11900" w:h="16838" w:orient="portrait"/>
          <w:cols w:equalWidth="0" w:num="1">
            <w:col w:w="11240"/>
          </w:cols>
          <w:pgMar w:left="320" w:top="1384" w:right="339" w:bottom="1440" w:gutter="0" w:footer="0" w:header="0"/>
        </w:sectPr>
      </w:pPr>
    </w:p>
    <w:bookmarkStart w:id="563" w:name="page564"/>
    <w:bookmarkEnd w:id="563"/>
    <w:p>
      <w:pPr>
        <w:spacing w:after="0" w:line="234" w:lineRule="auto"/>
        <w:rPr>
          <w:sz w:val="20"/>
          <w:szCs w:val="20"/>
          <w:color w:val="auto"/>
        </w:rPr>
      </w:pPr>
      <w:r>
        <w:rPr>
          <w:rFonts w:ascii="Calibri" w:cs="Calibri" w:eastAsia="Calibri" w:hAnsi="Calibri"/>
          <w:sz w:val="20"/>
          <w:szCs w:val="20"/>
          <w:color w:val="auto"/>
        </w:rPr>
        <w:t>solely on the conduct of the Department (and no other Party) or arises from the bad faith, gross negligence or willful misconduct of any Indemnifed Party (as determined pursuant to a fnal, Non-Appealable judgment by a court of competent jurisdicton).</w:t>
      </w:r>
    </w:p>
    <w:p>
      <w:pPr>
        <w:spacing w:after="0" w:line="149" w:lineRule="exact"/>
        <w:rPr>
          <w:sz w:val="20"/>
          <w:szCs w:val="20"/>
          <w:color w:val="auto"/>
        </w:rPr>
      </w:pPr>
    </w:p>
    <w:p>
      <w:pPr>
        <w:ind w:left="2600" w:hanging="648"/>
        <w:spacing w:after="0"/>
        <w:tabs>
          <w:tab w:leader="none" w:pos="2600" w:val="left"/>
        </w:tabs>
        <w:numPr>
          <w:ilvl w:val="0"/>
          <w:numId w:val="745"/>
        </w:numPr>
        <w:rPr>
          <w:rFonts w:ascii="Calibri" w:cs="Calibri" w:eastAsia="Calibri" w:hAnsi="Calibri"/>
          <w:sz w:val="20"/>
          <w:szCs w:val="20"/>
          <w:color w:val="auto"/>
        </w:rPr>
      </w:pPr>
      <w:r>
        <w:rPr>
          <w:rFonts w:ascii="Calibri" w:cs="Calibri" w:eastAsia="Calibri" w:hAnsi="Calibri"/>
          <w:sz w:val="20"/>
          <w:szCs w:val="20"/>
          <w:color w:val="auto"/>
        </w:rPr>
        <w:t>An Indemnifed Party shall give tmely notce to the Sponsor Guarantor of any acton for which</w:t>
      </w:r>
    </w:p>
    <w:p>
      <w:pPr>
        <w:spacing w:after="0" w:line="22" w:lineRule="exact"/>
        <w:rPr>
          <w:rFonts w:ascii="Calibri" w:cs="Calibri" w:eastAsia="Calibri" w:hAnsi="Calibri"/>
          <w:sz w:val="20"/>
          <w:szCs w:val="20"/>
          <w:color w:val="auto"/>
        </w:rPr>
      </w:pPr>
    </w:p>
    <w:p>
      <w:pPr>
        <w:spacing w:after="0" w:line="234" w:lineRule="auto"/>
        <w:rPr>
          <w:rFonts w:ascii="Calibri" w:cs="Calibri" w:eastAsia="Calibri" w:hAnsi="Calibri"/>
          <w:sz w:val="20"/>
          <w:szCs w:val="20"/>
          <w:color w:val="auto"/>
        </w:rPr>
      </w:pPr>
      <w:r>
        <w:rPr>
          <w:rFonts w:ascii="Calibri" w:cs="Calibri" w:eastAsia="Calibri" w:hAnsi="Calibri"/>
          <w:sz w:val="20"/>
          <w:szCs w:val="20"/>
          <w:color w:val="auto"/>
        </w:rPr>
        <w:t>indemnifcaton hereunder may be sought; provided that any failure to give such notce shall not release the Sponsor Guarantor from any of its indemnifcaton obligatons hereunder.</w:t>
      </w:r>
    </w:p>
    <w:p>
      <w:pPr>
        <w:spacing w:after="0" w:line="158" w:lineRule="exact"/>
        <w:rPr>
          <w:rFonts w:ascii="Calibri" w:cs="Calibri" w:eastAsia="Calibri" w:hAnsi="Calibri"/>
          <w:sz w:val="20"/>
          <w:szCs w:val="20"/>
          <w:color w:val="auto"/>
        </w:rPr>
      </w:pPr>
    </w:p>
    <w:p>
      <w:pPr>
        <w:jc w:val="both"/>
        <w:ind w:firstLine="1952"/>
        <w:spacing w:after="0" w:line="234" w:lineRule="auto"/>
        <w:tabs>
          <w:tab w:leader="none" w:pos="2584" w:val="left"/>
        </w:tabs>
        <w:numPr>
          <w:ilvl w:val="0"/>
          <w:numId w:val="745"/>
        </w:numPr>
        <w:rPr>
          <w:rFonts w:ascii="Calibri" w:cs="Calibri" w:eastAsia="Calibri" w:hAnsi="Calibri"/>
          <w:sz w:val="20"/>
          <w:szCs w:val="20"/>
          <w:color w:val="auto"/>
        </w:rPr>
      </w:pPr>
      <w:r>
        <w:rPr>
          <w:rFonts w:ascii="Calibri" w:cs="Calibri" w:eastAsia="Calibri" w:hAnsi="Calibri"/>
          <w:sz w:val="20"/>
          <w:szCs w:val="20"/>
          <w:color w:val="auto"/>
        </w:rPr>
        <w:t>The Sponsor Guarantor agrees that the Department has sole authority regarding the conduct of any litgaton brought against any Indemnifed Party and the Sponsor Guarantor agrees that the decisions of the Department regarding any</w:t>
      </w:r>
    </w:p>
    <w:p>
      <w:pPr>
        <w:spacing w:after="0" w:line="23" w:lineRule="exact"/>
        <w:rPr>
          <w:rFonts w:ascii="Calibri" w:cs="Calibri" w:eastAsia="Calibri" w:hAnsi="Calibri"/>
          <w:sz w:val="20"/>
          <w:szCs w:val="20"/>
          <w:color w:val="auto"/>
        </w:rPr>
      </w:pPr>
    </w:p>
    <w:p>
      <w:pPr>
        <w:jc w:val="both"/>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such litgaton, trial or setlement shall not relieve the Sponsor Guarantor of its indemnifcaton obligatons hereunder. The Department agrees that it will advise the Sponsor Guarantor regarding the conduct of any such litgaton and that the Sponsor Guarantor shall be given the opportunity at its own cost and expense to advise the Department of its views regarding such litgaton, including any</w:t>
      </w:r>
    </w:p>
    <w:p>
      <w:pPr>
        <w:spacing w:after="0" w:line="22" w:lineRule="exact"/>
        <w:rPr>
          <w:rFonts w:ascii="Calibri" w:cs="Calibri" w:eastAsia="Calibri" w:hAnsi="Calibri"/>
          <w:sz w:val="20"/>
          <w:szCs w:val="20"/>
          <w:color w:val="auto"/>
        </w:rPr>
      </w:pPr>
    </w:p>
    <w:p>
      <w:pPr>
        <w:jc w:val="both"/>
        <w:spacing w:after="0"/>
        <w:rPr>
          <w:rFonts w:ascii="Calibri" w:cs="Calibri" w:eastAsia="Calibri" w:hAnsi="Calibri"/>
          <w:sz w:val="20"/>
          <w:szCs w:val="20"/>
          <w:color w:val="auto"/>
        </w:rPr>
      </w:pPr>
      <w:r>
        <w:rPr>
          <w:rFonts w:ascii="Calibri" w:cs="Calibri" w:eastAsia="Calibri" w:hAnsi="Calibri"/>
          <w:sz w:val="20"/>
          <w:szCs w:val="20"/>
          <w:color w:val="auto"/>
        </w:rPr>
        <w:t>setlement related thereto. The Department agrees that it will not compromise or setle any Indemnifed Liability, untl it has advised the Sponsor Guarantor, as provided above, and has been authorized by the government ofcial with authority to approve setlements pursuant to applicable rules. No provision herein shall restrict, modify or otherwise afect the authority of the United States to setle or compromise any claim according to Applicable Law.</w:t>
      </w:r>
    </w:p>
    <w:p>
      <w:pPr>
        <w:spacing w:after="0" w:line="157" w:lineRule="exact"/>
        <w:rPr>
          <w:rFonts w:ascii="Calibri" w:cs="Calibri" w:eastAsia="Calibri" w:hAnsi="Calibri"/>
          <w:sz w:val="20"/>
          <w:szCs w:val="20"/>
          <w:color w:val="auto"/>
        </w:rPr>
      </w:pPr>
    </w:p>
    <w:p>
      <w:pPr>
        <w:ind w:firstLine="1952"/>
        <w:spacing w:after="0" w:line="234" w:lineRule="auto"/>
        <w:tabs>
          <w:tab w:leader="none" w:pos="2592" w:val="left"/>
        </w:tabs>
        <w:numPr>
          <w:ilvl w:val="0"/>
          <w:numId w:val="745"/>
        </w:numPr>
        <w:rPr>
          <w:rFonts w:ascii="Calibri" w:cs="Calibri" w:eastAsia="Calibri" w:hAnsi="Calibri"/>
          <w:sz w:val="20"/>
          <w:szCs w:val="20"/>
          <w:color w:val="auto"/>
        </w:rPr>
      </w:pPr>
      <w:r>
        <w:rPr>
          <w:rFonts w:ascii="Calibri" w:cs="Calibri" w:eastAsia="Calibri" w:hAnsi="Calibri"/>
          <w:sz w:val="20"/>
          <w:szCs w:val="20"/>
          <w:color w:val="auto"/>
        </w:rPr>
        <w:t>All sums paid and costs incurred by any Indemnifed Party with respect to any mater indemnifed hereunder shall be immediately due and payable by the Sponsor Guarantor.</w:t>
      </w:r>
    </w:p>
    <w:p>
      <w:pPr>
        <w:spacing w:after="0" w:line="131" w:lineRule="exact"/>
        <w:rPr>
          <w:sz w:val="20"/>
          <w:szCs w:val="20"/>
          <w:color w:val="auto"/>
        </w:rPr>
      </w:pPr>
    </w:p>
    <w:p>
      <w:pPr>
        <w:jc w:val="both"/>
        <w:ind w:firstLine="648"/>
        <w:spacing w:after="0" w:line="202" w:lineRule="auto"/>
        <w:rPr>
          <w:sz w:val="20"/>
          <w:szCs w:val="20"/>
          <w:color w:val="auto"/>
        </w:rPr>
      </w:pPr>
      <w:r>
        <w:rPr>
          <w:rFonts w:ascii="Calibri" w:cs="Calibri" w:eastAsia="Calibri" w:hAnsi="Calibri"/>
          <w:sz w:val="20"/>
          <w:szCs w:val="20"/>
          <w:color w:val="auto"/>
        </w:rPr>
        <w:t xml:space="preserve">Secton 17.11. </w:t>
      </w: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This Agreement and the rights and obligatons of the Partes hereunder shall be governed by, and construed and interpreted in accordance with, the federal law of the United States. To the extent that federal law does not specify the appropriate rule of decision for a partcular mater at issue, it is the intenton and agreement of the Partes that the law of the State of New York (without giving efect to its confict of laws principles (except Secton 5-1401 of the New York General Obligatons Law)) shall be adopted as the governing federal rule of decision.</w:t>
      </w:r>
    </w:p>
    <w:p>
      <w:pPr>
        <w:spacing w:after="0" w:line="17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17.12. </w:t>
      </w:r>
      <w:r>
        <w:rPr>
          <w:rFonts w:ascii="Calibri" w:cs="Calibri" w:eastAsia="Calibri" w:hAnsi="Calibri"/>
          <w:sz w:val="20"/>
          <w:szCs w:val="20"/>
          <w:b w:val="1"/>
          <w:bCs w:val="1"/>
          <w:color w:val="auto"/>
        </w:rPr>
        <w:t>Waiver of Jury Trial</w:t>
      </w:r>
      <w:r>
        <w:rPr>
          <w:rFonts w:ascii="Calibri" w:cs="Calibri" w:eastAsia="Calibri" w:hAnsi="Calibri"/>
          <w:sz w:val="20"/>
          <w:szCs w:val="20"/>
          <w:color w:val="auto"/>
        </w:rPr>
        <w:t>. EACH OF THE PARTIES TO THIS AGREEMENT HEREBY KNOWINGLY, VOLUNTARILY, INTENTIONALLY, AND IRREVOCABLY WAIVES ANY RIGHTS IT MAY HAVE TO A TRIAL BY JURY IN RESPECT OF ANY DISPUTE BASED HEREON, OR ARISING OUT OF, UNDER, OR IN CONNECTION WITH, THIS AGREEMENT, OR ANY COURSE OF CONDUCT, COURSE OF DEALING, STATEMENTS (WHETHER VERBAL OR WRITTEN), OR ACTIONS OF THE RECIPIENT. THIS PROVISION IS A MATERIAL INDUCEMENT FOR EACH PARTY TO ENTER INTO THIS AGREEMENT AND THE OTHER FINANCING DOCUMENTS. EACH OF THE PARTIES REPRESENTS THAT IT HAS DISCUSSED THIS WAIVER OF RIGHT TO JURY WITH ITS COUNSEL, UNDERSTANDS THE RAMIFICATIONS OF SUCH WAIVER, AND KNOWINGLY AND VOLUNTARILY AGREES TO THIS WAIVER.</w:t>
      </w:r>
    </w:p>
    <w:p>
      <w:pPr>
        <w:spacing w:after="0" w:line="190" w:lineRule="exact"/>
        <w:rPr>
          <w:sz w:val="20"/>
          <w:szCs w:val="20"/>
          <w:color w:val="auto"/>
        </w:rPr>
      </w:pPr>
    </w:p>
    <w:p>
      <w:pPr>
        <w:jc w:val="both"/>
        <w:ind w:right="20" w:firstLine="648"/>
        <w:spacing w:after="0" w:line="208" w:lineRule="auto"/>
        <w:rPr>
          <w:sz w:val="20"/>
          <w:szCs w:val="20"/>
          <w:color w:val="auto"/>
        </w:rPr>
      </w:pPr>
      <w:r>
        <w:rPr>
          <w:rFonts w:ascii="Calibri" w:cs="Calibri" w:eastAsia="Calibri" w:hAnsi="Calibri"/>
          <w:sz w:val="20"/>
          <w:szCs w:val="20"/>
          <w:color w:val="auto"/>
        </w:rPr>
        <w:t xml:space="preserve">Secton 17.13. </w:t>
      </w:r>
      <w:r>
        <w:rPr>
          <w:rFonts w:ascii="Calibri" w:cs="Calibri" w:eastAsia="Calibri" w:hAnsi="Calibri"/>
          <w:sz w:val="20"/>
          <w:szCs w:val="20"/>
          <w:b w:val="1"/>
          <w:bCs w:val="1"/>
          <w:color w:val="auto"/>
        </w:rPr>
        <w:t>Consent to Jurisdicton</w:t>
      </w:r>
      <w:r>
        <w:rPr>
          <w:rFonts w:ascii="Calibri" w:cs="Calibri" w:eastAsia="Calibri" w:hAnsi="Calibri"/>
          <w:sz w:val="20"/>
          <w:szCs w:val="20"/>
          <w:color w:val="auto"/>
        </w:rPr>
        <w:t>. By executon and delivery of this Agreement, the Sponsor Guarantor irrevocably and unconditonally:</w:t>
      </w:r>
    </w:p>
    <w:p>
      <w:pPr>
        <w:spacing w:after="0" w:line="184" w:lineRule="exact"/>
        <w:rPr>
          <w:sz w:val="20"/>
          <w:szCs w:val="20"/>
          <w:color w:val="auto"/>
        </w:rPr>
      </w:pPr>
    </w:p>
    <w:p>
      <w:pPr>
        <w:jc w:val="both"/>
        <w:ind w:firstLine="1952"/>
        <w:spacing w:after="0" w:line="202" w:lineRule="auto"/>
        <w:tabs>
          <w:tab w:leader="none" w:pos="2596" w:val="left"/>
        </w:tabs>
        <w:numPr>
          <w:ilvl w:val="0"/>
          <w:numId w:val="746"/>
        </w:numPr>
        <w:rPr>
          <w:rFonts w:ascii="Calibri" w:cs="Calibri" w:eastAsia="Calibri" w:hAnsi="Calibri"/>
          <w:sz w:val="20"/>
          <w:szCs w:val="20"/>
          <w:color w:val="auto"/>
        </w:rPr>
      </w:pPr>
      <w:r>
        <w:rPr>
          <w:rFonts w:ascii="Calibri" w:cs="Calibri" w:eastAsia="Calibri" w:hAnsi="Calibri"/>
          <w:sz w:val="20"/>
          <w:szCs w:val="20"/>
          <w:color w:val="auto"/>
        </w:rPr>
        <w:t>submits for itself and its property in any legal acton or proceeding against it arising out of or in connecton with this Agreement or any other Financing Document, or for recogniton and enforcement of any judgment in respect thereof, to the non-exclusive general jurisdicton of (i) the courts of the United States in or for the District of Columbia; (ii) the courts of the United States in and for the Southern District of New York; (iii) any other federal court of competent jurisdicton in any other jurisdicton where it or any of its property may be found; and (iv) appellate courts from any of the foregoing;</w:t>
      </w:r>
    </w:p>
    <w:p>
      <w:pPr>
        <w:spacing w:after="0" w:line="174" w:lineRule="exact"/>
        <w:rPr>
          <w:rFonts w:ascii="Calibri" w:cs="Calibri" w:eastAsia="Calibri" w:hAnsi="Calibri"/>
          <w:sz w:val="20"/>
          <w:szCs w:val="20"/>
          <w:color w:val="auto"/>
        </w:rPr>
      </w:pPr>
    </w:p>
    <w:p>
      <w:pPr>
        <w:ind w:right="20" w:firstLine="1952"/>
        <w:spacing w:after="0" w:line="214" w:lineRule="auto"/>
        <w:tabs>
          <w:tab w:leader="none" w:pos="2592" w:val="left"/>
        </w:tabs>
        <w:numPr>
          <w:ilvl w:val="0"/>
          <w:numId w:val="746"/>
        </w:numPr>
        <w:rPr>
          <w:rFonts w:ascii="Calibri" w:cs="Calibri" w:eastAsia="Calibri" w:hAnsi="Calibri"/>
          <w:sz w:val="20"/>
          <w:szCs w:val="20"/>
          <w:color w:val="auto"/>
        </w:rPr>
      </w:pPr>
      <w:r>
        <w:rPr>
          <w:rFonts w:ascii="Calibri" w:cs="Calibri" w:eastAsia="Calibri" w:hAnsi="Calibri"/>
          <w:sz w:val="20"/>
          <w:szCs w:val="20"/>
          <w:color w:val="auto"/>
        </w:rPr>
        <w:t>consents that any such acton or proceeding may be brought in or removed to such courts, and waives any objecton, or right to stay or dismiss any acton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20</w:t>
      </w:r>
    </w:p>
    <w:p>
      <w:pPr>
        <w:sectPr>
          <w:pgSz w:w="11900" w:h="16838" w:orient="portrait"/>
          <w:cols w:equalWidth="0" w:num="1">
            <w:col w:w="11240"/>
          </w:cols>
          <w:pgMar w:left="320" w:top="1411" w:right="339" w:bottom="1440" w:gutter="0" w:footer="0" w:header="0"/>
        </w:sectPr>
      </w:pPr>
    </w:p>
    <w:bookmarkStart w:id="564" w:name="page565"/>
    <w:bookmarkEnd w:id="564"/>
    <w:p>
      <w:pPr>
        <w:ind w:right="20"/>
        <w:spacing w:after="0" w:line="214" w:lineRule="auto"/>
        <w:rPr>
          <w:sz w:val="20"/>
          <w:szCs w:val="20"/>
          <w:color w:val="auto"/>
        </w:rPr>
      </w:pPr>
      <w:r>
        <w:rPr>
          <w:rFonts w:ascii="Calibri" w:cs="Calibri" w:eastAsia="Calibri" w:hAnsi="Calibri"/>
          <w:sz w:val="20"/>
          <w:szCs w:val="20"/>
          <w:color w:val="auto"/>
        </w:rPr>
        <w:t>that it may now or hereafer have to the venue of any such acton or proceeding in any such court or that such acton or proceeding was brought in an inconvenient court and agrees not to plead or claim the same;</w:t>
      </w:r>
    </w:p>
    <w:p>
      <w:pPr>
        <w:spacing w:after="0" w:line="172" w:lineRule="exact"/>
        <w:rPr>
          <w:sz w:val="20"/>
          <w:szCs w:val="20"/>
          <w:color w:val="auto"/>
        </w:rPr>
      </w:pPr>
    </w:p>
    <w:p>
      <w:pPr>
        <w:jc w:val="both"/>
        <w:ind w:firstLine="1952"/>
        <w:spacing w:after="0" w:line="202" w:lineRule="auto"/>
        <w:tabs>
          <w:tab w:leader="none" w:pos="2584" w:val="left"/>
        </w:tabs>
        <w:numPr>
          <w:ilvl w:val="0"/>
          <w:numId w:val="747"/>
        </w:numPr>
        <w:rPr>
          <w:rFonts w:ascii="Calibri" w:cs="Calibri" w:eastAsia="Calibri" w:hAnsi="Calibri"/>
          <w:sz w:val="20"/>
          <w:szCs w:val="20"/>
          <w:color w:val="auto"/>
        </w:rPr>
      </w:pPr>
      <w:r>
        <w:rPr>
          <w:rFonts w:ascii="Calibri" w:cs="Calibri" w:eastAsia="Calibri" w:hAnsi="Calibri"/>
          <w:sz w:val="20"/>
          <w:szCs w:val="20"/>
          <w:color w:val="auto"/>
        </w:rPr>
        <w:t>agrees that nothing herein shall (i) afect the right of the Department to efect service of process in any other manner permited by law; or (ii) limit the right of the Department to commence proceedings against or otherwise sue the Sponsor Guarantor or any other Person in any other court of competent jurisdicton nor shall the commencement of proceedings in any one or more jurisdictons preclude the commencement of proceedings in any other jurisdicton (whether concurrently or not) if, and to the extent, permited by the Applicable Laws; and</w:t>
      </w:r>
    </w:p>
    <w:p>
      <w:pPr>
        <w:spacing w:after="0" w:line="187" w:lineRule="exact"/>
        <w:rPr>
          <w:rFonts w:ascii="Calibri" w:cs="Calibri" w:eastAsia="Calibri" w:hAnsi="Calibri"/>
          <w:sz w:val="20"/>
          <w:szCs w:val="20"/>
          <w:color w:val="auto"/>
        </w:rPr>
      </w:pPr>
    </w:p>
    <w:p>
      <w:pPr>
        <w:jc w:val="both"/>
        <w:ind w:firstLine="1952"/>
        <w:spacing w:after="0" w:line="205" w:lineRule="auto"/>
        <w:tabs>
          <w:tab w:leader="none" w:pos="2592" w:val="left"/>
        </w:tabs>
        <w:numPr>
          <w:ilvl w:val="0"/>
          <w:numId w:val="747"/>
        </w:numPr>
        <w:rPr>
          <w:rFonts w:ascii="Calibri" w:cs="Calibri" w:eastAsia="Calibri" w:hAnsi="Calibri"/>
          <w:sz w:val="20"/>
          <w:szCs w:val="20"/>
          <w:color w:val="auto"/>
        </w:rPr>
      </w:pPr>
      <w:r>
        <w:rPr>
          <w:rFonts w:ascii="Calibri" w:cs="Calibri" w:eastAsia="Calibri" w:hAnsi="Calibri"/>
          <w:sz w:val="20"/>
          <w:szCs w:val="20"/>
          <w:color w:val="auto"/>
        </w:rPr>
        <w:t>agrees that judgment against it in any such acton or proceeding shall be conclusive and may be enforced in any other jurisdicton within or outside the U.S. by suit on the judgment or otherwise as provided by law, a certfed or exemplifed copy of which judgment shall be conclusive evidence of the fact and amount of the Sponsor Guarantor’s obligaton.</w:t>
      </w:r>
    </w:p>
    <w:p>
      <w:pPr>
        <w:spacing w:after="0" w:line="184" w:lineRule="exact"/>
        <w:rPr>
          <w:sz w:val="20"/>
          <w:szCs w:val="20"/>
          <w:color w:val="auto"/>
        </w:rPr>
      </w:pPr>
    </w:p>
    <w:p>
      <w:pPr>
        <w:jc w:val="both"/>
        <w:ind w:firstLine="648"/>
        <w:spacing w:after="0" w:line="226" w:lineRule="auto"/>
        <w:rPr>
          <w:sz w:val="20"/>
          <w:szCs w:val="20"/>
          <w:color w:val="auto"/>
        </w:rPr>
      </w:pPr>
      <w:r>
        <w:rPr>
          <w:rFonts w:ascii="Calibri" w:cs="Calibri" w:eastAsia="Calibri" w:hAnsi="Calibri"/>
          <w:sz w:val="20"/>
          <w:szCs w:val="20"/>
          <w:color w:val="auto"/>
        </w:rPr>
        <w:t xml:space="preserve">Secton 17.14. </w:t>
      </w:r>
      <w:r>
        <w:rPr>
          <w:rFonts w:ascii="Calibri" w:cs="Calibri" w:eastAsia="Calibri" w:hAnsi="Calibri"/>
          <w:sz w:val="20"/>
          <w:szCs w:val="20"/>
          <w:b w:val="1"/>
          <w:bCs w:val="1"/>
          <w:color w:val="auto"/>
        </w:rPr>
        <w:t>Dispute Resoluton Secton</w:t>
      </w:r>
      <w:r>
        <w:rPr>
          <w:rFonts w:ascii="Calibri" w:cs="Calibri" w:eastAsia="Calibri" w:hAnsi="Calibri"/>
          <w:sz w:val="20"/>
          <w:szCs w:val="20"/>
          <w:color w:val="auto"/>
        </w:rPr>
        <w:t>. The provisions set forth in Secton 10.12 (</w:t>
      </w:r>
      <w:r>
        <w:rPr>
          <w:rFonts w:ascii="Calibri" w:cs="Calibri" w:eastAsia="Calibri" w:hAnsi="Calibri"/>
          <w:sz w:val="20"/>
          <w:szCs w:val="20"/>
          <w:i w:val="1"/>
          <w:iCs w:val="1"/>
          <w:color w:val="auto"/>
        </w:rPr>
        <w:t>Dispute Resoluton</w:t>
      </w:r>
      <w:r>
        <w:rPr>
          <w:rFonts w:ascii="Calibri" w:cs="Calibri" w:eastAsia="Calibri" w:hAnsi="Calibri"/>
          <w:sz w:val="20"/>
          <w:szCs w:val="20"/>
          <w:color w:val="auto"/>
        </w:rPr>
        <w:t xml:space="preserve">) of each DFA are hereby incorporated by reference into this Agreement, </w:t>
      </w:r>
      <w:r>
        <w:rPr>
          <w:rFonts w:ascii="Calibri" w:cs="Calibri" w:eastAsia="Calibri" w:hAnsi="Calibri"/>
          <w:sz w:val="20"/>
          <w:szCs w:val="20"/>
          <w:b w:val="1"/>
          <w:bCs w:val="1"/>
          <w:i w:val="1"/>
          <w:iCs w:val="1"/>
          <w:color w:val="auto"/>
        </w:rPr>
        <w:t>mutats mutandis</w:t>
      </w:r>
      <w:r>
        <w:rPr>
          <w:rFonts w:ascii="Calibri" w:cs="Calibri" w:eastAsia="Calibri" w:hAnsi="Calibri"/>
          <w:sz w:val="20"/>
          <w:szCs w:val="20"/>
          <w:color w:val="auto"/>
        </w:rPr>
        <w:t>, as if set out in full herein; provided that no Party shall have the right to raise any Dispute concerning a queston of fact or law that has previously been raised (or in relaton to which a substantally similar mater has already been raised) in connecton with a previously raised Dispute under any DFA or any other Award Document; provided, further, that nothing in this Secton 17.14 (</w:t>
      </w:r>
      <w:r>
        <w:rPr>
          <w:rFonts w:ascii="Calibri" w:cs="Calibri" w:eastAsia="Calibri" w:hAnsi="Calibri"/>
          <w:sz w:val="20"/>
          <w:szCs w:val="20"/>
          <w:b w:val="1"/>
          <w:bCs w:val="1"/>
          <w:color w:val="auto"/>
        </w:rPr>
        <w:t>Dispute Resoluton</w:t>
      </w:r>
      <w:r>
        <w:rPr>
          <w:rFonts w:ascii="Calibri" w:cs="Calibri" w:eastAsia="Calibri" w:hAnsi="Calibri"/>
          <w:sz w:val="20"/>
          <w:szCs w:val="20"/>
          <w:color w:val="auto"/>
        </w:rPr>
        <w:t>) shall, or shall be deemed to limit, amend, or otherwise modify the terms of the guarantee and waiver of defenses set forth in Artcle 2 (</w:t>
      </w:r>
      <w:r>
        <w:rPr>
          <w:rFonts w:ascii="Calibri" w:cs="Calibri" w:eastAsia="Calibri" w:hAnsi="Calibri"/>
          <w:sz w:val="20"/>
          <w:szCs w:val="20"/>
          <w:b w:val="1"/>
          <w:bCs w:val="1"/>
          <w:color w:val="auto"/>
        </w:rPr>
        <w:t>Guarantee</w:t>
      </w:r>
      <w:r>
        <w:rPr>
          <w:rFonts w:ascii="Calibri" w:cs="Calibri" w:eastAsia="Calibri" w:hAnsi="Calibri"/>
          <w:sz w:val="20"/>
          <w:szCs w:val="20"/>
          <w:color w:val="auto"/>
        </w:rPr>
        <w:t>), Artcle 3 (</w:t>
      </w:r>
      <w:r>
        <w:rPr>
          <w:rFonts w:ascii="Calibri" w:cs="Calibri" w:eastAsia="Calibri" w:hAnsi="Calibri"/>
          <w:sz w:val="20"/>
          <w:szCs w:val="20"/>
          <w:b w:val="1"/>
          <w:bCs w:val="1"/>
          <w:color w:val="auto"/>
        </w:rPr>
        <w:t>Guaranteed Obligatons Not Waived</w:t>
      </w:r>
      <w:r>
        <w:rPr>
          <w:rFonts w:ascii="Calibri" w:cs="Calibri" w:eastAsia="Calibri" w:hAnsi="Calibri"/>
          <w:sz w:val="20"/>
          <w:szCs w:val="20"/>
          <w:color w:val="auto"/>
        </w:rPr>
        <w:t>), Artcle 4 (</w:t>
      </w:r>
      <w:r>
        <w:rPr>
          <w:rFonts w:ascii="Calibri" w:cs="Calibri" w:eastAsia="Calibri" w:hAnsi="Calibri"/>
          <w:sz w:val="20"/>
          <w:szCs w:val="20"/>
          <w:b w:val="1"/>
          <w:bCs w:val="1"/>
          <w:color w:val="auto"/>
        </w:rPr>
        <w:t>Guarantee of Payment</w:t>
      </w:r>
      <w:r>
        <w:rPr>
          <w:rFonts w:ascii="Calibri" w:cs="Calibri" w:eastAsia="Calibri" w:hAnsi="Calibri"/>
          <w:sz w:val="20"/>
          <w:szCs w:val="20"/>
          <w:color w:val="auto"/>
        </w:rPr>
        <w:t>), Artcle 5 (</w:t>
      </w:r>
      <w:r>
        <w:rPr>
          <w:rFonts w:ascii="Calibri" w:cs="Calibri" w:eastAsia="Calibri" w:hAnsi="Calibri"/>
          <w:sz w:val="20"/>
          <w:szCs w:val="20"/>
          <w:b w:val="1"/>
          <w:bCs w:val="1"/>
          <w:color w:val="auto"/>
        </w:rPr>
        <w:t>No Discharge or Diminishment of Guarantee</w:t>
      </w:r>
      <w:r>
        <w:rPr>
          <w:rFonts w:ascii="Calibri" w:cs="Calibri" w:eastAsia="Calibri" w:hAnsi="Calibri"/>
          <w:sz w:val="20"/>
          <w:szCs w:val="20"/>
          <w:color w:val="auto"/>
        </w:rPr>
        <w:t>) and Artcle 6 (</w:t>
      </w:r>
      <w:r>
        <w:rPr>
          <w:rFonts w:ascii="Calibri" w:cs="Calibri" w:eastAsia="Calibri" w:hAnsi="Calibri"/>
          <w:sz w:val="20"/>
          <w:szCs w:val="20"/>
          <w:b w:val="1"/>
          <w:bCs w:val="1"/>
          <w:color w:val="auto"/>
        </w:rPr>
        <w:t>Defenses Waived</w:t>
      </w:r>
      <w:r>
        <w:rPr>
          <w:rFonts w:ascii="Calibri" w:cs="Calibri" w:eastAsia="Calibri" w:hAnsi="Calibri"/>
          <w:sz w:val="20"/>
          <w:szCs w:val="20"/>
          <w:color w:val="auto"/>
        </w:rPr>
        <w:t>) of this Agreement.</w:t>
      </w:r>
    </w:p>
    <w:p>
      <w:pPr>
        <w:spacing w:after="0" w:line="186" w:lineRule="exact"/>
        <w:rPr>
          <w:sz w:val="20"/>
          <w:szCs w:val="20"/>
          <w:color w:val="auto"/>
        </w:rPr>
      </w:pPr>
    </w:p>
    <w:p>
      <w:pPr>
        <w:jc w:val="both"/>
        <w:ind w:firstLine="648"/>
        <w:spacing w:after="0" w:line="205" w:lineRule="auto"/>
        <w:rPr>
          <w:sz w:val="20"/>
          <w:szCs w:val="20"/>
          <w:color w:val="auto"/>
        </w:rPr>
      </w:pPr>
      <w:r>
        <w:rPr>
          <w:rFonts w:ascii="Calibri" w:cs="Calibri" w:eastAsia="Calibri" w:hAnsi="Calibri"/>
          <w:sz w:val="20"/>
          <w:szCs w:val="20"/>
          <w:color w:val="auto"/>
        </w:rPr>
        <w:t xml:space="preserve">Secton 17.15. </w:t>
      </w:r>
      <w:r>
        <w:rPr>
          <w:rFonts w:ascii="Calibri" w:cs="Calibri" w:eastAsia="Calibri" w:hAnsi="Calibri"/>
          <w:sz w:val="20"/>
          <w:szCs w:val="20"/>
          <w:b w:val="1"/>
          <w:bCs w:val="1"/>
          <w:color w:val="auto"/>
        </w:rPr>
        <w:t>Benefts of Agreement</w:t>
      </w:r>
      <w:r>
        <w:rPr>
          <w:rFonts w:ascii="Calibri" w:cs="Calibri" w:eastAsia="Calibri" w:hAnsi="Calibri"/>
          <w:sz w:val="20"/>
          <w:szCs w:val="20"/>
          <w:color w:val="auto"/>
        </w:rPr>
        <w:t>. Nothing in this Agreement or any other Financing Document, express or implied, shall give to any Person, other than the Partes hereto and thereto and their successors and permited assigns hereunder or thereunder, any beneft or any legal or equitable right or remedy under this Agreement or any other Financing Document.</w:t>
      </w:r>
    </w:p>
    <w:p>
      <w:pPr>
        <w:spacing w:after="0" w:line="184" w:lineRule="exact"/>
        <w:rPr>
          <w:sz w:val="20"/>
          <w:szCs w:val="20"/>
          <w:color w:val="auto"/>
        </w:rPr>
      </w:pPr>
    </w:p>
    <w:p>
      <w:pPr>
        <w:jc w:val="both"/>
        <w:ind w:firstLine="648"/>
        <w:spacing w:after="0" w:line="199" w:lineRule="auto"/>
        <w:rPr>
          <w:sz w:val="20"/>
          <w:szCs w:val="20"/>
          <w:color w:val="auto"/>
        </w:rPr>
      </w:pPr>
      <w:r>
        <w:rPr>
          <w:rFonts w:ascii="Calibri" w:cs="Calibri" w:eastAsia="Calibri" w:hAnsi="Calibri"/>
          <w:sz w:val="20"/>
          <w:szCs w:val="20"/>
          <w:color w:val="auto"/>
        </w:rPr>
        <w:t xml:space="preserve">Secton 17.16. </w:t>
      </w:r>
      <w:r>
        <w:rPr>
          <w:rFonts w:ascii="Calibri" w:cs="Calibri" w:eastAsia="Calibri" w:hAnsi="Calibri"/>
          <w:sz w:val="20"/>
          <w:szCs w:val="20"/>
          <w:b w:val="1"/>
          <w:bCs w:val="1"/>
          <w:color w:val="auto"/>
        </w:rPr>
        <w:t>Limitaton on Liability</w:t>
      </w:r>
      <w:r>
        <w:rPr>
          <w:rFonts w:ascii="Calibri" w:cs="Calibri" w:eastAsia="Calibri" w:hAnsi="Calibri"/>
          <w:sz w:val="20"/>
          <w:szCs w:val="20"/>
          <w:color w:val="auto"/>
        </w:rPr>
        <w:t xml:space="preserve"> . No claim shall be made by the Sponsor Guarantor against the Department or any of its Afliates, directors, employees, atorneys, or agents, including the Consultants, for any special, indirect, consequental, or punitve damages (whether or not the claim therefor is based on contract, tort or duty imposed by law), in connecton with, arising out of or in any way related to the transactons contemplated by this Agreement or the other Financing Documents or any act or omission or event occurring in connecton therewith; and the Sponsor Guarantor hereby waives, releases, and agrees not to sue upon any such claim for any such damages, whether or not accrued, and whether or not known or suspected to exist in its favor.</w:t>
      </w:r>
    </w:p>
    <w:p>
      <w:pPr>
        <w:spacing w:after="0" w:line="189" w:lineRule="exact"/>
        <w:rPr>
          <w:sz w:val="20"/>
          <w:szCs w:val="20"/>
          <w:color w:val="auto"/>
        </w:rPr>
      </w:pPr>
    </w:p>
    <w:p>
      <w:pPr>
        <w:jc w:val="both"/>
        <w:ind w:firstLine="648"/>
        <w:spacing w:after="0" w:line="203" w:lineRule="auto"/>
        <w:rPr>
          <w:sz w:val="20"/>
          <w:szCs w:val="20"/>
          <w:color w:val="auto"/>
        </w:rPr>
      </w:pPr>
      <w:r>
        <w:rPr>
          <w:rFonts w:ascii="Calibri" w:cs="Calibri" w:eastAsia="Calibri" w:hAnsi="Calibri"/>
          <w:sz w:val="20"/>
          <w:szCs w:val="20"/>
          <w:color w:val="auto"/>
        </w:rPr>
        <w:t xml:space="preserve">Secton 17.17. </w:t>
      </w:r>
      <w:r>
        <w:rPr>
          <w:rFonts w:ascii="Calibri" w:cs="Calibri" w:eastAsia="Calibri" w:hAnsi="Calibri"/>
          <w:sz w:val="20"/>
          <w:szCs w:val="20"/>
          <w:b w:val="1"/>
          <w:bCs w:val="1"/>
          <w:color w:val="auto"/>
        </w:rPr>
        <w:t>Entre Agreement</w:t>
      </w:r>
      <w:r>
        <w:rPr>
          <w:rFonts w:ascii="Calibri" w:cs="Calibri" w:eastAsia="Calibri" w:hAnsi="Calibri"/>
          <w:sz w:val="20"/>
          <w:szCs w:val="20"/>
          <w:color w:val="auto"/>
        </w:rPr>
        <w:t>. This Agreement, including any agreement, document, or instrument atached to this Agreement or referred to herein, integrates all the terms and conditons mentoned herein or incidental to this Agreement and supersedes all prior drafs, discussions, term sheets, commitments, negotatons, agreements, and understandings, oral or writen, of the Partes in respect to the subject mater of this Agreement.</w:t>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Remainder of page lef blank intentonally; signatures follow.</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21</w:t>
      </w:r>
    </w:p>
    <w:p>
      <w:pPr>
        <w:sectPr>
          <w:pgSz w:w="11900" w:h="16838" w:orient="portrait"/>
          <w:cols w:equalWidth="0" w:num="1">
            <w:col w:w="11240"/>
          </w:cols>
          <w:pgMar w:left="320" w:top="1384" w:right="339" w:bottom="1440" w:gutter="0" w:footer="0" w:header="0"/>
        </w:sectPr>
      </w:pPr>
    </w:p>
    <w:bookmarkStart w:id="565" w:name="page566"/>
    <w:bookmarkEnd w:id="565"/>
    <w:p>
      <w:pPr>
        <w:ind w:firstLine="648"/>
        <w:spacing w:after="0" w:line="234" w:lineRule="auto"/>
        <w:rPr>
          <w:sz w:val="20"/>
          <w:szCs w:val="20"/>
          <w:color w:val="auto"/>
        </w:rPr>
      </w:pPr>
      <w:r>
        <w:rPr>
          <w:rFonts w:ascii="Calibri" w:cs="Calibri" w:eastAsia="Calibri" w:hAnsi="Calibri"/>
          <w:sz w:val="20"/>
          <w:szCs w:val="20"/>
          <w:color w:val="auto"/>
        </w:rPr>
        <w:t>IN WITNESS WHEREOF, intending to be legally bound, each Party hereto has caused this Agreement to be duly executed as of the date frst above writen.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Calibri" w:cs="Calibri" w:eastAsia="Calibri" w:hAnsi="Calibri"/>
          <w:sz w:val="20"/>
          <w:szCs w:val="20"/>
          <w:color w:val="auto"/>
        </w:rPr>
        <w:t>MICRON TECHNOLOGY, INC.,</w:t>
      </w:r>
    </w:p>
    <w:p>
      <w:pPr>
        <w:ind w:left="3820"/>
        <w:spacing w:after="0" w:line="238" w:lineRule="auto"/>
        <w:rPr>
          <w:sz w:val="20"/>
          <w:szCs w:val="20"/>
          <w:color w:val="auto"/>
        </w:rPr>
      </w:pPr>
      <w:r>
        <w:rPr>
          <w:rFonts w:ascii="Calibri" w:cs="Calibri" w:eastAsia="Calibri" w:hAnsi="Calibri"/>
          <w:sz w:val="20"/>
          <w:szCs w:val="20"/>
          <w:color w:val="auto"/>
        </w:rPr>
        <w:t>as a Sponsor Guarantor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20"/>
        <w:spacing w:after="0"/>
        <w:tabs>
          <w:tab w:leader="none" w:pos="4280" w:val="left"/>
        </w:tabs>
        <w:rPr>
          <w:sz w:val="20"/>
          <w:szCs w:val="20"/>
          <w:color w:val="auto"/>
        </w:rPr>
      </w:pP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u w:val="single" w:color="auto"/>
          <w:color w:val="auto"/>
        </w:rPr>
        <w:t>/s/Scot Gatzemeier</w:t>
      </w:r>
    </w:p>
    <w:p>
      <w:pPr>
        <w:ind w:left="3820"/>
        <w:spacing w:after="0" w:line="238" w:lineRule="auto"/>
        <w:tabs>
          <w:tab w:leader="none" w:pos="4520" w:val="left"/>
        </w:tabs>
        <w:rPr>
          <w:sz w:val="20"/>
          <w:szCs w:val="20"/>
          <w:color w:val="auto"/>
        </w:rPr>
      </w:pPr>
      <w:r>
        <w:rPr>
          <w:rFonts w:ascii="Calibri" w:cs="Calibri" w:eastAsia="Calibri" w:hAnsi="Calibri"/>
          <w:sz w:val="20"/>
          <w:szCs w:val="20"/>
          <w:color w:val="auto"/>
        </w:rPr>
        <w:t>Name:</w:t>
        <w:tab/>
        <w:t>Scot Gatzemeier</w:t>
      </w:r>
    </w:p>
    <w:p>
      <w:pPr>
        <w:ind w:left="3820"/>
        <w:spacing w:after="0"/>
        <w:tabs>
          <w:tab w:leader="none" w:pos="4400" w:val="left"/>
        </w:tabs>
        <w:rPr>
          <w:sz w:val="20"/>
          <w:szCs w:val="20"/>
          <w:color w:val="auto"/>
        </w:rPr>
      </w:pPr>
      <w:r>
        <w:rPr>
          <w:rFonts w:ascii="Calibri" w:cs="Calibri" w:eastAsia="Calibri" w:hAnsi="Calibri"/>
          <w:sz w:val="20"/>
          <w:szCs w:val="20"/>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20" w:right="260"/>
        <w:spacing w:after="0" w:line="234" w:lineRule="auto"/>
        <w:rPr>
          <w:sz w:val="20"/>
          <w:szCs w:val="20"/>
          <w:color w:val="auto"/>
        </w:rPr>
      </w:pPr>
      <w:r>
        <w:rPr>
          <w:rFonts w:ascii="Calibri" w:cs="Calibri" w:eastAsia="Calibri" w:hAnsi="Calibri"/>
          <w:sz w:val="20"/>
          <w:szCs w:val="20"/>
          <w:color w:val="auto"/>
        </w:rPr>
        <w:t>UNITED STATES DEPARTMENT OF COMMERCE, an agency of the Federal Government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tabs>
          <w:tab w:leader="none" w:pos="4280" w:val="left"/>
        </w:tabs>
        <w:rPr>
          <w:sz w:val="20"/>
          <w:szCs w:val="20"/>
          <w:color w:val="auto"/>
        </w:rPr>
      </w:pP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u w:val="single" w:color="auto"/>
          <w:color w:val="auto"/>
        </w:rPr>
        <w:t>/s/Michael Schmidt</w:t>
      </w:r>
    </w:p>
    <w:p>
      <w:pPr>
        <w:ind w:left="3820"/>
        <w:spacing w:after="0" w:line="238" w:lineRule="auto"/>
        <w:tabs>
          <w:tab w:leader="none" w:pos="4520" w:val="left"/>
        </w:tabs>
        <w:rPr>
          <w:sz w:val="20"/>
          <w:szCs w:val="20"/>
          <w:color w:val="auto"/>
        </w:rPr>
      </w:pPr>
      <w:r>
        <w:rPr>
          <w:rFonts w:ascii="Calibri" w:cs="Calibri" w:eastAsia="Calibri" w:hAnsi="Calibri"/>
          <w:sz w:val="20"/>
          <w:szCs w:val="20"/>
          <w:color w:val="auto"/>
        </w:rPr>
        <w:t>Name:</w:t>
        <w:tab/>
        <w:t>Michael Schmidt</w:t>
      </w:r>
    </w:p>
    <w:p>
      <w:pPr>
        <w:ind w:left="3820"/>
        <w:spacing w:after="0"/>
        <w:tabs>
          <w:tab w:leader="none" w:pos="4400" w:val="left"/>
        </w:tabs>
        <w:rPr>
          <w:sz w:val="20"/>
          <w:szCs w:val="20"/>
          <w:color w:val="auto"/>
        </w:rPr>
      </w:pPr>
      <w:r>
        <w:rPr>
          <w:rFonts w:ascii="Calibri" w:cs="Calibri" w:eastAsia="Calibri" w:hAnsi="Calibri"/>
          <w:sz w:val="20"/>
          <w:szCs w:val="20"/>
          <w:color w:val="auto"/>
        </w:rPr>
        <w:t>Title:</w:t>
        <w:tab/>
        <w:t>Director, CHIPS Program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i w:val="1"/>
          <w:iCs w:val="1"/>
          <w:color w:val="auto"/>
        </w:rPr>
        <w:t>NY &amp; ID Projects</w:t>
      </w:r>
    </w:p>
    <w:p>
      <w:pPr>
        <w:spacing w:after="0" w:line="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i w:val="1"/>
          <w:iCs w:val="1"/>
          <w:color w:val="auto"/>
        </w:rPr>
        <w:t>Signature page to Sponsor Guarantee Agreement</w:t>
      </w:r>
    </w:p>
    <w:p>
      <w:pPr>
        <w:sectPr>
          <w:pgSz w:w="11900" w:h="16838" w:orient="portrait"/>
          <w:cols w:equalWidth="0" w:num="1">
            <w:col w:w="11240"/>
          </w:cols>
          <w:pgMar w:left="320" w:top="1384" w:right="339"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20"/>
          <w:szCs w:val="20"/>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709295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MICRON TECHNOLOGY, INC.,</w:t>
      </w:r>
    </w:p>
    <w:p>
      <w:pPr>
        <w:spacing w:after="0" w:line="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as Borrower</w:t>
      </w: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Dated as of March 12, 2025</w:t>
      </w:r>
    </w:p>
    <w:p>
      <w:pPr>
        <w:spacing w:after="0" w:line="200" w:lineRule="exact"/>
        <w:rPr>
          <w:sz w:val="20"/>
          <w:szCs w:val="20"/>
          <w:color w:val="auto"/>
        </w:rPr>
      </w:pPr>
    </w:p>
    <w:p>
      <w:pPr>
        <w:spacing w:after="0" w:line="25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HSBC SECURITIES (USA) INC.</w:t>
      </w:r>
    </w:p>
    <w:p>
      <w:pPr>
        <w:spacing w:after="0" w:line="2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as Sole Bookrunner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HSBC SECURITIES (USA)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BNP PARIBAS, CREDIT AGRICOLE CORPORATE AND INVESTMENT BANK, DBS BANK LTD.,</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MIZUHO BANK, LTD, MUFG BANK, LTD., TRUIST SECURITIES, INC.</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as Lead Arrangers</w:t>
      </w:r>
    </w:p>
    <w:p>
      <w:pPr>
        <w:sectPr>
          <w:pgSz w:w="11900" w:h="16838" w:orient="portrait"/>
          <w:cols w:equalWidth="0" w:num="1">
            <w:col w:w="10940"/>
          </w:cols>
          <w:pgMar w:left="620" w:top="115" w:right="33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TABLE OF CONTENTS</w:t>
            </w:r>
          </w:p>
        </w:tc>
      </w:tr>
      <w:tr>
        <w:trPr>
          <w:trHeight w:val="486"/>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20" w:type="dxa"/>
            <w:vAlign w:val="bottom"/>
          </w:tcPr>
          <w:p>
            <w:pPr>
              <w:ind w:left="424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399"/>
        </w:trPr>
        <w:tc>
          <w:tcPr>
            <w:tcW w:w="2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b w:val="1"/>
                <w:bCs w:val="1"/>
                <w:color w:val="0000FF"/>
                <w:w w:val="97"/>
              </w:rPr>
              <w:t>SECTION 1 DEFINITIONS</w:t>
            </w:r>
          </w:p>
        </w:tc>
        <w:tc>
          <w:tcPr>
            <w:tcW w:w="8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31"/>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12"/>
          </w:tcPr>
          <w:p>
            <w:pPr>
              <w:ind w:left="60"/>
              <w:spacing w:after="0"/>
              <w:rPr>
                <w:sz w:val="20"/>
                <w:szCs w:val="20"/>
                <w:color w:val="auto"/>
              </w:rPr>
            </w:pPr>
            <w:r>
              <w:rPr>
                <w:rFonts w:ascii="Times New Roman" w:cs="Times New Roman" w:eastAsia="Times New Roman" w:hAnsi="Times New Roman"/>
                <w:sz w:val="20"/>
                <w:szCs w:val="20"/>
                <w:color w:val="0000FF"/>
              </w:rPr>
              <w:t>Defined Terms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gridSpan w:val="20"/>
          </w:tcPr>
          <w:p>
            <w:pPr>
              <w:ind w:left="60"/>
              <w:spacing w:after="0" w:line="223" w:lineRule="exact"/>
              <w:rPr>
                <w:sz w:val="20"/>
                <w:szCs w:val="20"/>
                <w:color w:val="auto"/>
              </w:rPr>
            </w:pPr>
            <w:r>
              <w:rPr>
                <w:rFonts w:ascii="Times New Roman" w:cs="Times New Roman" w:eastAsia="Times New Roman" w:hAnsi="Times New Roman"/>
                <w:sz w:val="20"/>
                <w:szCs w:val="20"/>
                <w:color w:val="0000FF"/>
                <w:w w:val="99"/>
              </w:rPr>
              <w:t>Other Definitional Provisions</w:t>
            </w:r>
          </w:p>
        </w:tc>
        <w:tc>
          <w:tcPr>
            <w:tcW w:w="38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18"/>
          </w:tcPr>
          <w:p>
            <w:pPr>
              <w:ind w:left="60"/>
              <w:spacing w:after="0"/>
              <w:rPr>
                <w:sz w:val="20"/>
                <w:szCs w:val="20"/>
                <w:color w:val="auto"/>
              </w:rPr>
            </w:pPr>
            <w:r>
              <w:rPr>
                <w:rFonts w:ascii="Times New Roman" w:cs="Times New Roman" w:eastAsia="Times New Roman" w:hAnsi="Times New Roman"/>
                <w:sz w:val="20"/>
                <w:szCs w:val="20"/>
                <w:color w:val="0000FF"/>
              </w:rPr>
              <w:t xml:space="preserve">Delivery of Notices  </w:t>
            </w:r>
            <w:r>
              <w:rPr>
                <w:rFonts w:ascii="Times New Roman" w:cs="Times New Roman" w:eastAsia="Times New Roman" w:hAnsi="Times New Roman"/>
                <w:sz w:val="20"/>
                <w:szCs w:val="20"/>
                <w:color w:val="000000"/>
              </w:rPr>
              <w:t>33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1.</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Divisions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9"/>
              </w:rPr>
              <w:t>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31"/>
        </w:trPr>
        <w:tc>
          <w:tcPr>
            <w:tcW w:w="2480" w:type="dxa"/>
            <w:vAlign w:val="bottom"/>
            <w:gridSpan w:val="16"/>
          </w:tcPr>
          <w:p>
            <w:pPr>
              <w:spacing w:after="0"/>
              <w:rPr>
                <w:sz w:val="20"/>
                <w:szCs w:val="20"/>
                <w:color w:val="auto"/>
              </w:rPr>
            </w:pPr>
            <w:r>
              <w:rPr>
                <w:rFonts w:ascii="Times New Roman" w:cs="Times New Roman" w:eastAsia="Times New Roman" w:hAnsi="Times New Roman"/>
                <w:sz w:val="20"/>
                <w:szCs w:val="20"/>
                <w:b w:val="1"/>
                <w:bCs w:val="1"/>
                <w:color w:val="0000FF"/>
                <w:w w:val="99"/>
              </w:rPr>
              <w:t>SECTION 2 THE CREDITS</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33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31"/>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18"/>
          </w:tcPr>
          <w:p>
            <w:pPr>
              <w:ind w:left="60"/>
              <w:spacing w:after="0"/>
              <w:rPr>
                <w:sz w:val="20"/>
                <w:szCs w:val="20"/>
                <w:color w:val="auto"/>
              </w:rPr>
            </w:pPr>
            <w:r>
              <w:rPr>
                <w:rFonts w:ascii="Times New Roman" w:cs="Times New Roman" w:eastAsia="Times New Roman" w:hAnsi="Times New Roman"/>
                <w:sz w:val="20"/>
                <w:szCs w:val="20"/>
                <w:color w:val="0000FF"/>
              </w:rPr>
              <w:t>Revolving Commitments</w:t>
            </w:r>
          </w:p>
        </w:tc>
        <w:tc>
          <w:tcPr>
            <w:tcW w:w="38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89"/>
              </w:rPr>
              <w:t>33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gridSpan w:val="24"/>
          </w:tcPr>
          <w:p>
            <w:pPr>
              <w:ind w:left="60"/>
              <w:spacing w:after="0" w:line="223" w:lineRule="exact"/>
              <w:rPr>
                <w:sz w:val="20"/>
                <w:szCs w:val="20"/>
                <w:color w:val="auto"/>
              </w:rPr>
            </w:pPr>
            <w:r>
              <w:rPr>
                <w:rFonts w:ascii="Times New Roman" w:cs="Times New Roman" w:eastAsia="Times New Roman" w:hAnsi="Times New Roman"/>
                <w:sz w:val="20"/>
                <w:szCs w:val="20"/>
                <w:color w:val="0000FF"/>
              </w:rPr>
              <w:t>Revolving Loans and Borrowing</w:t>
            </w:r>
          </w:p>
        </w:tc>
        <w:tc>
          <w:tcPr>
            <w:tcW w:w="34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gridSpan w:val="27"/>
          </w:tcPr>
          <w:p>
            <w:pPr>
              <w:ind w:left="60"/>
              <w:spacing w:after="0"/>
              <w:rPr>
                <w:sz w:val="20"/>
                <w:szCs w:val="20"/>
                <w:color w:val="auto"/>
              </w:rPr>
            </w:pPr>
            <w:r>
              <w:rPr>
                <w:rFonts w:ascii="Times New Roman" w:cs="Times New Roman" w:eastAsia="Times New Roman" w:hAnsi="Times New Roman"/>
                <w:sz w:val="20"/>
                <w:szCs w:val="20"/>
                <w:color w:val="0000FF"/>
              </w:rPr>
              <w:t xml:space="preserve">Requests for Revolving Borrowings  </w:t>
            </w:r>
            <w:r>
              <w:rPr>
                <w:rFonts w:ascii="Times New Roman" w:cs="Times New Roman" w:eastAsia="Times New Roman" w:hAnsi="Times New Roman"/>
                <w:sz w:val="20"/>
                <w:szCs w:val="20"/>
                <w:color w:val="000000"/>
              </w:rPr>
              <w:t>34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0000FF"/>
              </w:rPr>
              <w:t>Documentary Credits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gridSpan w:val="24"/>
          </w:tcPr>
          <w:p>
            <w:pPr>
              <w:ind w:left="60"/>
              <w:spacing w:after="0" w:line="223" w:lineRule="exact"/>
              <w:rPr>
                <w:sz w:val="20"/>
                <w:szCs w:val="20"/>
                <w:color w:val="auto"/>
              </w:rPr>
            </w:pPr>
            <w:r>
              <w:rPr>
                <w:rFonts w:ascii="Times New Roman" w:cs="Times New Roman" w:eastAsia="Times New Roman" w:hAnsi="Times New Roman"/>
                <w:sz w:val="20"/>
                <w:szCs w:val="20"/>
                <w:color w:val="0000FF"/>
                <w:w w:val="99"/>
              </w:rPr>
              <w:t>Funding of Revolving Borrowings</w:t>
            </w:r>
          </w:p>
        </w:tc>
        <w:tc>
          <w:tcPr>
            <w:tcW w:w="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60" w:type="dxa"/>
            <w:vAlign w:val="bottom"/>
            <w:gridSpan w:val="34"/>
          </w:tcPr>
          <w:p>
            <w:pPr>
              <w:ind w:left="60"/>
              <w:spacing w:after="0"/>
              <w:rPr>
                <w:sz w:val="20"/>
                <w:szCs w:val="20"/>
                <w:color w:val="auto"/>
              </w:rPr>
            </w:pPr>
            <w:r>
              <w:rPr>
                <w:rFonts w:ascii="Times New Roman" w:cs="Times New Roman" w:eastAsia="Times New Roman" w:hAnsi="Times New Roman"/>
                <w:sz w:val="20"/>
                <w:szCs w:val="20"/>
                <w:color w:val="0000FF"/>
              </w:rPr>
              <w:t xml:space="preserve">Termination and Reduction of Revolving Commitments  </w:t>
            </w:r>
            <w:r>
              <w:rPr>
                <w:rFonts w:ascii="Times New Roman" w:cs="Times New Roman" w:eastAsia="Times New Roman" w:hAnsi="Times New Roman"/>
                <w:sz w:val="20"/>
                <w:szCs w:val="20"/>
                <w:color w:val="000000"/>
              </w:rPr>
              <w:t>39</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40" w:type="dxa"/>
            <w:vAlign w:val="bottom"/>
            <w:gridSpan w:val="27"/>
          </w:tcPr>
          <w:p>
            <w:pPr>
              <w:ind w:left="60"/>
              <w:spacing w:after="0" w:line="223" w:lineRule="exact"/>
              <w:rPr>
                <w:sz w:val="20"/>
                <w:szCs w:val="20"/>
                <w:color w:val="auto"/>
              </w:rPr>
            </w:pPr>
            <w:r>
              <w:rPr>
                <w:rFonts w:ascii="Times New Roman" w:cs="Times New Roman" w:eastAsia="Times New Roman" w:hAnsi="Times New Roman"/>
                <w:sz w:val="20"/>
                <w:szCs w:val="20"/>
                <w:color w:val="0000FF"/>
              </w:rPr>
              <w:t>Repayment of Loans; Evidence of Debt</w:t>
            </w:r>
          </w:p>
        </w:tc>
        <w:tc>
          <w:tcPr>
            <w:tcW w:w="460" w:type="dxa"/>
            <w:vAlign w:val="bottom"/>
            <w:gridSpan w:val="2"/>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Interest Rates and Payment Dates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2.</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Computation of Interest and Fees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0000FF"/>
              </w:rPr>
              <w:t>Benchmark Replacement Setting</w:t>
            </w:r>
          </w:p>
        </w:tc>
        <w:tc>
          <w:tcPr>
            <w:tcW w:w="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1040" w:type="dxa"/>
            <w:vAlign w:val="bottom"/>
            <w:gridSpan w:val="3"/>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2.</w:t>
            </w:r>
            <w:r>
              <w:rPr>
                <w:rFonts w:ascii="Times New Roman" w:cs="Times New Roman" w:eastAsia="Times New Roman" w:hAnsi="Times New Roman"/>
                <w:sz w:val="20"/>
                <w:szCs w:val="20"/>
                <w:u w:val="single" w:color="auto"/>
                <w:color w:val="0000FF"/>
                <w:w w:val="84"/>
              </w:rPr>
              <w:t>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15"/>
          </w:tcPr>
          <w:p>
            <w:pPr>
              <w:ind w:left="80"/>
              <w:spacing w:after="0"/>
              <w:rPr>
                <w:sz w:val="20"/>
                <w:szCs w:val="20"/>
                <w:color w:val="auto"/>
              </w:rPr>
            </w:pPr>
            <w:r>
              <w:rPr>
                <w:rFonts w:ascii="Times New Roman" w:cs="Times New Roman" w:eastAsia="Times New Roman" w:hAnsi="Times New Roman"/>
                <w:sz w:val="20"/>
                <w:szCs w:val="20"/>
                <w:color w:val="0000FF"/>
              </w:rPr>
              <w:t>Prepayment of Loans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25"/>
          </w:tcPr>
          <w:p>
            <w:pPr>
              <w:spacing w:after="0" w:line="223" w:lineRule="exact"/>
              <w:rPr>
                <w:sz w:val="20"/>
                <w:szCs w:val="20"/>
                <w:color w:val="auto"/>
              </w:rPr>
            </w:pPr>
            <w:r>
              <w:rPr>
                <w:rFonts w:ascii="Times New Roman" w:cs="Times New Roman" w:eastAsia="Times New Roman" w:hAnsi="Times New Roman"/>
                <w:sz w:val="20"/>
                <w:szCs w:val="20"/>
                <w:color w:val="0000FF"/>
              </w:rPr>
              <w:t>Conversion and Continuation Options</w:t>
            </w:r>
          </w:p>
        </w:tc>
        <w:tc>
          <w:tcPr>
            <w:tcW w:w="460" w:type="dxa"/>
            <w:vAlign w:val="bottom"/>
            <w:gridSpan w:val="2"/>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w w:val="99"/>
              </w:rPr>
              <w:t>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Limitations on SOFR Tranches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240" w:type="dxa"/>
            <w:vAlign w:val="bottom"/>
            <w:gridSpan w:val="27"/>
          </w:tcPr>
          <w:p>
            <w:pPr>
              <w:jc w:val="right"/>
              <w:ind w:right="340"/>
              <w:spacing w:after="0" w:line="223"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14.</w:t>
            </w:r>
            <w:r>
              <w:rPr>
                <w:rFonts w:ascii="Times New Roman" w:cs="Times New Roman" w:eastAsia="Times New Roman" w:hAnsi="Times New Roman"/>
                <w:sz w:val="20"/>
                <w:szCs w:val="20"/>
                <w:color w:val="0000FF"/>
              </w:rPr>
              <w:t xml:space="preserve">  Pro Rata Treatment, etc.  </w:t>
            </w:r>
            <w:r>
              <w:rPr>
                <w:rFonts w:ascii="Times New Roman" w:cs="Times New Roman" w:eastAsia="Times New Roman" w:hAnsi="Times New Roman"/>
                <w:sz w:val="20"/>
                <w:szCs w:val="20"/>
                <w:color w:val="000000"/>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w w:val="98"/>
              </w:rPr>
              <w:t>Requirements of Law</w:t>
            </w:r>
          </w:p>
        </w:tc>
        <w:tc>
          <w:tcPr>
            <w:tcW w:w="52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rPr>
              <w:t>44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Taxes</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6"/>
          </w:tcPr>
          <w:p>
            <w:pPr>
              <w:spacing w:after="0" w:line="223" w:lineRule="exact"/>
              <w:rPr>
                <w:sz w:val="20"/>
                <w:szCs w:val="20"/>
                <w:color w:val="auto"/>
              </w:rPr>
            </w:pPr>
            <w:r>
              <w:rPr>
                <w:rFonts w:ascii="Times New Roman" w:cs="Times New Roman" w:eastAsia="Times New Roman" w:hAnsi="Times New Roman"/>
                <w:sz w:val="20"/>
                <w:szCs w:val="20"/>
                <w:color w:val="0000FF"/>
              </w:rPr>
              <w:t>Indemnity</w:t>
            </w:r>
          </w:p>
        </w:tc>
        <w:tc>
          <w:tcPr>
            <w:tcW w:w="380" w:type="dxa"/>
            <w:vAlign w:val="bottom"/>
            <w:gridSpan w:val="4"/>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Change of Lending Office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49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000FF"/>
              </w:rPr>
              <w:t>Fees</w:t>
            </w:r>
          </w:p>
        </w:tc>
        <w:tc>
          <w:tcPr>
            <w:tcW w:w="30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Nature of Fees</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89"/>
              </w:rPr>
              <w:t>50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Incremental Revolving Facilities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16"/>
          </w:tcPr>
          <w:p>
            <w:pPr>
              <w:spacing w:after="0" w:line="223" w:lineRule="exact"/>
              <w:rPr>
                <w:sz w:val="20"/>
                <w:szCs w:val="20"/>
                <w:color w:val="auto"/>
              </w:rPr>
            </w:pPr>
            <w:r>
              <w:rPr>
                <w:rFonts w:ascii="Times New Roman" w:cs="Times New Roman" w:eastAsia="Times New Roman" w:hAnsi="Times New Roman"/>
                <w:sz w:val="20"/>
                <w:szCs w:val="20"/>
                <w:color w:val="0000FF"/>
              </w:rPr>
              <w:t>Replacement of Lenders</w:t>
            </w:r>
          </w:p>
        </w:tc>
        <w:tc>
          <w:tcPr>
            <w:tcW w:w="380" w:type="dxa"/>
            <w:vAlign w:val="bottom"/>
            <w:gridSpan w:val="3"/>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9"/>
              </w:rPr>
              <w:t>Extensions of Commitments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8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14"/>
          </w:tcPr>
          <w:p>
            <w:pPr>
              <w:spacing w:after="0" w:line="223" w:lineRule="exact"/>
              <w:rPr>
                <w:sz w:val="20"/>
                <w:szCs w:val="20"/>
                <w:color w:val="auto"/>
              </w:rPr>
            </w:pPr>
            <w:r>
              <w:rPr>
                <w:rFonts w:ascii="Times New Roman" w:cs="Times New Roman" w:eastAsia="Times New Roman" w:hAnsi="Times New Roman"/>
                <w:sz w:val="20"/>
                <w:szCs w:val="20"/>
                <w:color w:val="0000FF"/>
              </w:rPr>
              <w:t>Defaulting Lenders</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71"/>
              </w:rPr>
              <w:t>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9"/>
              </w:rPr>
              <w:t>Sustainability Adjustments..</w:t>
            </w: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45"/>
        </w:trPr>
        <w:tc>
          <w:tcPr>
            <w:tcW w:w="502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0000FF"/>
              </w:rPr>
              <w:t>SECTION 3 REPRESENTATIONS AND WARRANTIES</w:t>
            </w:r>
          </w:p>
        </w:tc>
        <w:tc>
          <w:tcPr>
            <w:tcW w:w="54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56</w:t>
            </w: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18"/>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20" w:type="dxa"/>
            <w:vAlign w:val="bottom"/>
            <w:tcBorders>
              <w:top w:val="single" w:sz="8" w:color="0000FF"/>
            </w:tcBorders>
            <w:gridSpan w:val="24"/>
          </w:tcPr>
          <w:p>
            <w:pPr>
              <w:ind w:left="60"/>
              <w:spacing w:after="0"/>
              <w:rPr>
                <w:sz w:val="20"/>
                <w:szCs w:val="20"/>
                <w:color w:val="auto"/>
              </w:rPr>
            </w:pPr>
            <w:r>
              <w:rPr>
                <w:rFonts w:ascii="Times New Roman" w:cs="Times New Roman" w:eastAsia="Times New Roman" w:hAnsi="Times New Roman"/>
                <w:sz w:val="20"/>
                <w:szCs w:val="20"/>
                <w:color w:val="0000FF"/>
              </w:rPr>
              <w:t>Existence; Compliance with Law</w:t>
            </w:r>
          </w:p>
        </w:tc>
        <w:tc>
          <w:tcPr>
            <w:tcW w:w="340" w:type="dxa"/>
            <w:vAlign w:val="bottom"/>
            <w:tcBorders>
              <w:top w:val="single" w:sz="8" w:color="0000FF"/>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56</w:t>
            </w: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31"/>
          </w:tcPr>
          <w:p>
            <w:pPr>
              <w:ind w:left="60"/>
              <w:spacing w:after="0"/>
              <w:rPr>
                <w:sz w:val="20"/>
                <w:szCs w:val="20"/>
                <w:color w:val="auto"/>
              </w:rPr>
            </w:pPr>
            <w:r>
              <w:rPr>
                <w:rFonts w:ascii="Times New Roman" w:cs="Times New Roman" w:eastAsia="Times New Roman" w:hAnsi="Times New Roman"/>
                <w:sz w:val="20"/>
                <w:szCs w:val="20"/>
                <w:color w:val="0000FF"/>
                <w:w w:val="99"/>
              </w:rPr>
              <w:t>Power; Authorizations; Enforceable Obligations</w:t>
            </w:r>
          </w:p>
        </w:tc>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56</w:t>
            </w: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16"/>
          </w:tcPr>
          <w:p>
            <w:pPr>
              <w:ind w:left="60"/>
              <w:spacing w:after="0" w:line="223" w:lineRule="exact"/>
              <w:rPr>
                <w:sz w:val="20"/>
                <w:szCs w:val="20"/>
                <w:color w:val="auto"/>
              </w:rPr>
            </w:pPr>
            <w:r>
              <w:rPr>
                <w:rFonts w:ascii="Times New Roman" w:cs="Times New Roman" w:eastAsia="Times New Roman" w:hAnsi="Times New Roman"/>
                <w:sz w:val="20"/>
                <w:szCs w:val="20"/>
                <w:color w:val="0000FF"/>
              </w:rPr>
              <w:t xml:space="preserve">No Legal Bar  </w:t>
            </w:r>
            <w:r>
              <w:rPr>
                <w:rFonts w:ascii="Times New Roman" w:cs="Times New Roman" w:eastAsia="Times New Roman" w:hAnsi="Times New Roman"/>
                <w:sz w:val="20"/>
                <w:szCs w:val="20"/>
                <w:color w:val="000000"/>
              </w:rPr>
              <w:t>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18"/>
          </w:tcPr>
          <w:p>
            <w:pPr>
              <w:ind w:left="60"/>
              <w:spacing w:after="0"/>
              <w:rPr>
                <w:sz w:val="20"/>
                <w:szCs w:val="20"/>
                <w:color w:val="auto"/>
              </w:rPr>
            </w:pPr>
            <w:r>
              <w:rPr>
                <w:rFonts w:ascii="Times New Roman" w:cs="Times New Roman" w:eastAsia="Times New Roman" w:hAnsi="Times New Roman"/>
                <w:sz w:val="20"/>
                <w:szCs w:val="20"/>
                <w:color w:val="0000FF"/>
              </w:rPr>
              <w:t>Accuracy of Information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57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gridSpan w:val="20"/>
          </w:tcPr>
          <w:p>
            <w:pPr>
              <w:ind w:left="60"/>
              <w:spacing w:after="0"/>
              <w:rPr>
                <w:sz w:val="20"/>
                <w:szCs w:val="20"/>
                <w:color w:val="auto"/>
              </w:rPr>
            </w:pPr>
            <w:r>
              <w:rPr>
                <w:rFonts w:ascii="Times New Roman" w:cs="Times New Roman" w:eastAsia="Times New Roman" w:hAnsi="Times New Roman"/>
                <w:sz w:val="20"/>
                <w:szCs w:val="20"/>
                <w:color w:val="0000FF"/>
              </w:rPr>
              <w:t>No Material Adverse Effect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16"/>
          </w:tcPr>
          <w:p>
            <w:pPr>
              <w:ind w:left="60"/>
              <w:spacing w:after="0" w:line="223" w:lineRule="exact"/>
              <w:rPr>
                <w:sz w:val="20"/>
                <w:szCs w:val="20"/>
                <w:color w:val="auto"/>
              </w:rPr>
            </w:pPr>
            <w:r>
              <w:rPr>
                <w:rFonts w:ascii="Times New Roman" w:cs="Times New Roman" w:eastAsia="Times New Roman" w:hAnsi="Times New Roman"/>
                <w:sz w:val="20"/>
                <w:szCs w:val="20"/>
                <w:color w:val="0000FF"/>
              </w:rPr>
              <w:t>Title to Assets; Liens</w:t>
            </w:r>
          </w:p>
        </w:tc>
        <w:tc>
          <w:tcPr>
            <w:tcW w:w="36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0000FF"/>
              </w:rPr>
              <w:t>Intellectual Property</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71"/>
              </w:rPr>
              <w:t>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12"/>
          </w:tcPr>
          <w:p>
            <w:pPr>
              <w:ind w:left="60"/>
              <w:spacing w:after="0" w:line="223" w:lineRule="exact"/>
              <w:rPr>
                <w:sz w:val="20"/>
                <w:szCs w:val="20"/>
                <w:color w:val="auto"/>
              </w:rPr>
            </w:pPr>
            <w:r>
              <w:rPr>
                <w:rFonts w:ascii="Times New Roman" w:cs="Times New Roman" w:eastAsia="Times New Roman" w:hAnsi="Times New Roman"/>
                <w:sz w:val="20"/>
                <w:szCs w:val="20"/>
                <w:color w:val="0000FF"/>
              </w:rPr>
              <w:t>Use of Proceeds</w:t>
            </w:r>
          </w:p>
        </w:tc>
        <w:tc>
          <w:tcPr>
            <w:tcW w:w="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3.</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Litigation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6"/>
        </w:trPr>
        <w:tc>
          <w:tcPr>
            <w:tcW w:w="10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0000FF"/>
                <w:w w:val="99"/>
              </w:rPr>
              <w:t>3.</w:t>
            </w:r>
            <w:r>
              <w:rPr>
                <w:rFonts w:ascii="Times New Roman" w:cs="Times New Roman" w:eastAsia="Times New Roman" w:hAnsi="Times New Roman"/>
                <w:sz w:val="20"/>
                <w:szCs w:val="20"/>
                <w:u w:val="single" w:color="auto"/>
                <w:color w:val="0000FF"/>
                <w:w w:val="99"/>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8"/>
              </w:rPr>
              <w:t>Federal Reserve Regulations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3.</w:t>
            </w:r>
            <w:r>
              <w:rPr>
                <w:rFonts w:ascii="Times New Roman" w:cs="Times New Roman" w:eastAsia="Times New Roman" w:hAnsi="Times New Roman"/>
                <w:sz w:val="20"/>
                <w:szCs w:val="20"/>
                <w:u w:val="single" w:color="auto"/>
                <w:color w:val="0000FF"/>
                <w:w w:val="84"/>
              </w:rPr>
              <w:t>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7"/>
          </w:tcPr>
          <w:p>
            <w:pPr>
              <w:ind w:left="80"/>
              <w:spacing w:after="0" w:line="223" w:lineRule="exact"/>
              <w:rPr>
                <w:sz w:val="20"/>
                <w:szCs w:val="20"/>
                <w:color w:val="auto"/>
              </w:rPr>
            </w:pPr>
            <w:r>
              <w:rPr>
                <w:rFonts w:ascii="Times New Roman" w:cs="Times New Roman" w:eastAsia="Times New Roman" w:hAnsi="Times New Roman"/>
                <w:sz w:val="20"/>
                <w:szCs w:val="20"/>
                <w:color w:val="0000FF"/>
              </w:rPr>
              <w:t>Solvency</w:t>
            </w:r>
          </w:p>
        </w:tc>
        <w:tc>
          <w:tcPr>
            <w:tcW w:w="3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40"/>
          </w:cols>
          <w:pgMar w:left="320" w:top="1394" w:right="339" w:bottom="1440" w:gutter="0" w:footer="0" w:header="0"/>
          <w:type w:val="continuous"/>
        </w:sectPr>
      </w:pPr>
    </w:p>
    <w:bookmarkStart w:id="568" w:name="page569"/>
    <w:bookmarkEnd w:id="568"/>
    <w:tbl>
      <w:tblPr>
        <w:tblLayout w:type="fixed"/>
        <w:tblInd w:w="66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12.</w:t>
            </w: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rPr>
              <w:t>Taxes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13.</w:t>
            </w: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0000FF"/>
                <w:w w:val="93"/>
              </w:rPr>
              <w:t>ERISA</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14.</w:t>
            </w:r>
          </w:p>
        </w:tc>
        <w:tc>
          <w:tcPr>
            <w:tcW w:w="3820" w:type="dxa"/>
            <w:vAlign w:val="bottom"/>
            <w:gridSpan w:val="11"/>
          </w:tcPr>
          <w:p>
            <w:pPr>
              <w:ind w:left="180"/>
              <w:spacing w:after="0" w:line="223" w:lineRule="exact"/>
              <w:rPr>
                <w:sz w:val="20"/>
                <w:szCs w:val="20"/>
                <w:color w:val="auto"/>
              </w:rPr>
            </w:pPr>
            <w:r>
              <w:rPr>
                <w:rFonts w:ascii="Times New Roman" w:cs="Times New Roman" w:eastAsia="Times New Roman" w:hAnsi="Times New Roman"/>
                <w:sz w:val="20"/>
                <w:szCs w:val="20"/>
                <w:color w:val="0000FF"/>
              </w:rPr>
              <w:t>Environmental Matters; Hazardous Material</w:t>
            </w:r>
          </w:p>
        </w:tc>
        <w:tc>
          <w:tcPr>
            <w:tcW w:w="3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w:t>
            </w: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15.</w:t>
            </w:r>
          </w:p>
        </w:tc>
        <w:tc>
          <w:tcPr>
            <w:tcW w:w="382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0000FF"/>
                <w:w w:val="99"/>
              </w:rPr>
              <w:t>Investment Company Act; Other Regulations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16.</w:t>
            </w:r>
          </w:p>
        </w:tc>
        <w:tc>
          <w:tcPr>
            <w:tcW w:w="14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0000FF"/>
              </w:rPr>
              <w:t>Labor Matters</w:t>
            </w:r>
          </w:p>
        </w:tc>
        <w:tc>
          <w:tcPr>
            <w:tcW w:w="1140" w:type="dxa"/>
            <w:vAlign w:val="bottom"/>
          </w:tcPr>
          <w:p>
            <w:pPr>
              <w:jc w:val="right"/>
              <w:ind w:right="781"/>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17.</w:t>
            </w:r>
          </w:p>
        </w:tc>
        <w:tc>
          <w:tcPr>
            <w:tcW w:w="382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0000FF"/>
              </w:rPr>
              <w:t xml:space="preserve">Anti-Corruption Laws and Sanctions  </w:t>
            </w:r>
            <w:r>
              <w:rPr>
                <w:rFonts w:ascii="Times New Roman" w:cs="Times New Roman" w:eastAsia="Times New Roman" w:hAnsi="Times New Roman"/>
                <w:sz w:val="20"/>
                <w:szCs w:val="20"/>
                <w:color w:val="000000"/>
              </w:rPr>
              <w:t>59</w:t>
            </w:r>
          </w:p>
        </w:tc>
        <w:tc>
          <w:tcPr>
            <w:tcW w:w="34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18.</w:t>
            </w:r>
          </w:p>
        </w:tc>
        <w:tc>
          <w:tcPr>
            <w:tcW w:w="382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0000FF"/>
              </w:rPr>
              <w:t xml:space="preserve">Affected Financial Institutions  </w:t>
            </w:r>
            <w:r>
              <w:rPr>
                <w:rFonts w:ascii="Times New Roman" w:cs="Times New Roman" w:eastAsia="Times New Roman" w:hAnsi="Times New Roman"/>
                <w:sz w:val="20"/>
                <w:szCs w:val="20"/>
                <w:color w:val="000000"/>
              </w:rPr>
              <w:t>59</w:t>
            </w:r>
          </w:p>
        </w:tc>
        <w:tc>
          <w:tcPr>
            <w:tcW w:w="34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19.</w:t>
            </w:r>
          </w:p>
        </w:tc>
        <w:tc>
          <w:tcPr>
            <w:tcW w:w="1440" w:type="dxa"/>
            <w:vAlign w:val="bottom"/>
            <w:gridSpan w:val="6"/>
          </w:tcPr>
          <w:p>
            <w:pPr>
              <w:ind w:left="180"/>
              <w:spacing w:after="0" w:line="223" w:lineRule="exact"/>
              <w:rPr>
                <w:sz w:val="20"/>
                <w:szCs w:val="20"/>
                <w:color w:val="auto"/>
              </w:rPr>
            </w:pPr>
            <w:r>
              <w:rPr>
                <w:rFonts w:ascii="Times New Roman" w:cs="Times New Roman" w:eastAsia="Times New Roman" w:hAnsi="Times New Roman"/>
                <w:sz w:val="20"/>
                <w:szCs w:val="20"/>
                <w:color w:val="0000FF"/>
              </w:rPr>
              <w:t xml:space="preserve">Disclosure  </w:t>
            </w:r>
            <w:r>
              <w:rPr>
                <w:rFonts w:ascii="Times New Roman" w:cs="Times New Roman" w:eastAsia="Times New Roman" w:hAnsi="Times New Roman"/>
                <w:sz w:val="20"/>
                <w:szCs w:val="20"/>
                <w:color w:val="000000"/>
              </w:rPr>
              <w:t>59</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4"/>
              </w:rPr>
              <w:t>3.</w:t>
            </w:r>
            <w:r>
              <w:rPr>
                <w:rFonts w:ascii="Times New Roman" w:cs="Times New Roman" w:eastAsia="Times New Roman" w:hAnsi="Times New Roman"/>
                <w:sz w:val="20"/>
                <w:szCs w:val="20"/>
                <w:u w:val="single" w:color="auto"/>
                <w:color w:val="0000FF"/>
                <w:w w:val="94"/>
              </w:rPr>
              <w:t>20.</w:t>
            </w:r>
          </w:p>
        </w:tc>
        <w:tc>
          <w:tcPr>
            <w:tcW w:w="14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0000FF"/>
              </w:rPr>
              <w:t>ERISA Event</w:t>
            </w:r>
          </w:p>
        </w:tc>
        <w:tc>
          <w:tcPr>
            <w:tcW w:w="11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w w:val="99"/>
              </w:rPr>
              <w:t>59</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560" w:type="dxa"/>
            <w:vAlign w:val="bottom"/>
            <w:gridSpan w:val="31"/>
          </w:tcPr>
          <w:p>
            <w:pPr>
              <w:jc w:val="center"/>
              <w:ind w:right="280"/>
              <w:spacing w:after="0"/>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21.</w:t>
            </w:r>
            <w:r>
              <w:rPr>
                <w:rFonts w:ascii="Times New Roman" w:cs="Times New Roman" w:eastAsia="Times New Roman" w:hAnsi="Times New Roman"/>
                <w:sz w:val="20"/>
                <w:szCs w:val="20"/>
                <w:color w:val="0000FF"/>
              </w:rPr>
              <w:t xml:space="preserve">  Outbound Investment Rules..  </w:t>
            </w:r>
            <w:r>
              <w:rPr>
                <w:rFonts w:ascii="Times New Roman" w:cs="Times New Roman" w:eastAsia="Times New Roman" w:hAnsi="Times New Roman"/>
                <w:sz w:val="20"/>
                <w:szCs w:val="20"/>
                <w:color w:val="000000"/>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4"/>
        </w:trPr>
        <w:tc>
          <w:tcPr>
            <w:tcW w:w="4220" w:type="dxa"/>
            <w:vAlign w:val="bottom"/>
            <w:gridSpan w:val="32"/>
          </w:tcPr>
          <w:p>
            <w:pPr>
              <w:spacing w:after="0"/>
              <w:rPr>
                <w:sz w:val="20"/>
                <w:szCs w:val="20"/>
                <w:color w:val="auto"/>
              </w:rPr>
            </w:pPr>
            <w:r>
              <w:rPr>
                <w:rFonts w:ascii="Times New Roman" w:cs="Times New Roman" w:eastAsia="Times New Roman" w:hAnsi="Times New Roman"/>
                <w:sz w:val="20"/>
                <w:szCs w:val="20"/>
                <w:b w:val="1"/>
                <w:bCs w:val="1"/>
                <w:color w:val="0000FF"/>
              </w:rPr>
              <w:t xml:space="preserve">SECTION 4 CONDITIONS PRECEDENT  </w:t>
            </w:r>
            <w:r>
              <w:rPr>
                <w:rFonts w:ascii="Times New Roman" w:cs="Times New Roman" w:eastAsia="Times New Roman" w:hAnsi="Times New Roman"/>
                <w:sz w:val="20"/>
                <w:szCs w:val="20"/>
                <w:b w:val="1"/>
                <w:bCs w:val="1"/>
                <w:color w:val="000000"/>
              </w:rPr>
              <w:t>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4.</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560" w:type="dxa"/>
            <w:vAlign w:val="bottom"/>
            <w:tcBorders>
              <w:top w:val="single" w:sz="8" w:color="0000FF"/>
            </w:tcBorders>
            <w:gridSpan w:val="23"/>
          </w:tcPr>
          <w:p>
            <w:pPr>
              <w:ind w:left="100"/>
              <w:spacing w:after="0"/>
              <w:rPr>
                <w:sz w:val="20"/>
                <w:szCs w:val="20"/>
                <w:color w:val="auto"/>
              </w:rPr>
            </w:pPr>
            <w:r>
              <w:rPr>
                <w:rFonts w:ascii="Times New Roman" w:cs="Times New Roman" w:eastAsia="Times New Roman" w:hAnsi="Times New Roman"/>
                <w:sz w:val="20"/>
                <w:szCs w:val="20"/>
                <w:color w:val="0000FF"/>
                <w:w w:val="98"/>
              </w:rPr>
              <w:t>Conditions to the Closing Date</w:t>
            </w:r>
          </w:p>
        </w:tc>
        <w:tc>
          <w:tcPr>
            <w:tcW w:w="80" w:type="dxa"/>
            <w:vAlign w:val="bottom"/>
            <w:tcBorders>
              <w:top w:val="single" w:sz="8" w:color="0000FF"/>
            </w:tcBorders>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4.</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19"/>
                <w:szCs w:val="19"/>
                <w:color w:val="auto"/>
              </w:rPr>
            </w:pPr>
          </w:p>
        </w:tc>
        <w:tc>
          <w:tcPr>
            <w:tcW w:w="1680" w:type="dxa"/>
            <w:vAlign w:val="bottom"/>
            <w:gridSpan w:val="12"/>
          </w:tcPr>
          <w:p>
            <w:pPr>
              <w:ind w:left="100"/>
              <w:spacing w:after="0" w:line="223" w:lineRule="exact"/>
              <w:rPr>
                <w:sz w:val="20"/>
                <w:szCs w:val="20"/>
                <w:color w:val="auto"/>
              </w:rPr>
            </w:pPr>
            <w:r>
              <w:rPr>
                <w:rFonts w:ascii="Times New Roman" w:cs="Times New Roman" w:eastAsia="Times New Roman" w:hAnsi="Times New Roman"/>
                <w:sz w:val="20"/>
                <w:szCs w:val="20"/>
                <w:color w:val="0000FF"/>
              </w:rPr>
              <w:t>Each Credit Event</w:t>
            </w:r>
          </w:p>
        </w:tc>
        <w:tc>
          <w:tcPr>
            <w:tcW w:w="2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4"/>
        </w:trPr>
        <w:tc>
          <w:tcPr>
            <w:tcW w:w="388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0000FF"/>
              </w:rPr>
              <w:t>SECTION 5 AFFIRMATIVE COVENANTS</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gridSpan w:val="16"/>
          </w:tcPr>
          <w:p>
            <w:pPr>
              <w:ind w:left="100"/>
              <w:spacing w:after="0"/>
              <w:rPr>
                <w:sz w:val="20"/>
                <w:szCs w:val="20"/>
                <w:color w:val="auto"/>
              </w:rPr>
            </w:pPr>
            <w:r>
              <w:rPr>
                <w:rFonts w:ascii="Times New Roman" w:cs="Times New Roman" w:eastAsia="Times New Roman" w:hAnsi="Times New Roman"/>
                <w:sz w:val="20"/>
                <w:szCs w:val="20"/>
                <w:color w:val="0000FF"/>
                <w:w w:val="98"/>
              </w:rPr>
              <w:t>Financial Statements, etc</w:t>
            </w:r>
          </w:p>
        </w:tc>
        <w:tc>
          <w:tcPr>
            <w:tcW w:w="420" w:type="dxa"/>
            <w:vAlign w:val="bottom"/>
            <w:tcBorders>
              <w:top w:val="single" w:sz="8" w:color="0000FF"/>
            </w:tcBorders>
            <w:gridSpan w:val="6"/>
          </w:tcPr>
          <w:p>
            <w:pPr>
              <w:jc w:val="right"/>
              <w:ind w:right="40"/>
              <w:spacing w:after="0"/>
              <w:rPr>
                <w:sz w:val="20"/>
                <w:szCs w:val="20"/>
                <w:color w:val="auto"/>
              </w:rPr>
            </w:pPr>
            <w:r>
              <w:rPr>
                <w:rFonts w:ascii="Times New Roman" w:cs="Times New Roman" w:eastAsia="Times New Roman" w:hAnsi="Times New Roman"/>
                <w:sz w:val="20"/>
                <w:szCs w:val="20"/>
                <w:color w:val="auto"/>
              </w:rPr>
              <w:t>61</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2840" w:type="dxa"/>
            <w:vAlign w:val="bottom"/>
            <w:gridSpan w:val="26"/>
          </w:tcPr>
          <w:p>
            <w:pPr>
              <w:ind w:left="100"/>
              <w:spacing w:after="0"/>
              <w:rPr>
                <w:sz w:val="20"/>
                <w:szCs w:val="20"/>
                <w:color w:val="auto"/>
              </w:rPr>
            </w:pPr>
            <w:r>
              <w:rPr>
                <w:rFonts w:ascii="Times New Roman" w:cs="Times New Roman" w:eastAsia="Times New Roman" w:hAnsi="Times New Roman"/>
                <w:sz w:val="20"/>
                <w:szCs w:val="20"/>
                <w:color w:val="0000FF"/>
                <w:w w:val="98"/>
              </w:rPr>
              <w:t>Compliance Certificate; Reporting</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232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0000FF"/>
              </w:rPr>
              <w:t>Maintenance of Existence</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19"/>
                <w:szCs w:val="19"/>
                <w:color w:val="auto"/>
              </w:rPr>
            </w:pPr>
          </w:p>
        </w:tc>
        <w:tc>
          <w:tcPr>
            <w:tcW w:w="2320" w:type="dxa"/>
            <w:vAlign w:val="bottom"/>
            <w:gridSpan w:val="19"/>
          </w:tcPr>
          <w:p>
            <w:pPr>
              <w:ind w:left="100"/>
              <w:spacing w:after="0" w:line="223" w:lineRule="exact"/>
              <w:rPr>
                <w:sz w:val="20"/>
                <w:szCs w:val="20"/>
                <w:color w:val="auto"/>
              </w:rPr>
            </w:pPr>
            <w:r>
              <w:rPr>
                <w:rFonts w:ascii="Times New Roman" w:cs="Times New Roman" w:eastAsia="Times New Roman" w:hAnsi="Times New Roman"/>
                <w:sz w:val="20"/>
                <w:szCs w:val="20"/>
                <w:color w:val="0000FF"/>
              </w:rPr>
              <w:t>Maintenance of Insurance</w:t>
            </w:r>
          </w:p>
        </w:tc>
        <w:tc>
          <w:tcPr>
            <w:tcW w:w="2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3500" w:type="dxa"/>
            <w:vAlign w:val="bottom"/>
            <w:gridSpan w:val="32"/>
          </w:tcPr>
          <w:p>
            <w:pPr>
              <w:ind w:left="100"/>
              <w:spacing w:after="0"/>
              <w:rPr>
                <w:sz w:val="20"/>
                <w:szCs w:val="20"/>
                <w:color w:val="auto"/>
              </w:rPr>
            </w:pPr>
            <w:r>
              <w:rPr>
                <w:rFonts w:ascii="Times New Roman" w:cs="Times New Roman" w:eastAsia="Times New Roman" w:hAnsi="Times New Roman"/>
                <w:sz w:val="20"/>
                <w:szCs w:val="20"/>
                <w:color w:val="0000FF"/>
                <w:w w:val="99"/>
              </w:rPr>
              <w:t>Use of Proceeds and Documentary Credits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w:t>
            </w: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2100" w:type="dxa"/>
            <w:vAlign w:val="bottom"/>
            <w:gridSpan w:val="16"/>
          </w:tcPr>
          <w:p>
            <w:pPr>
              <w:ind w:left="100"/>
              <w:spacing w:after="0" w:line="223" w:lineRule="exact"/>
              <w:rPr>
                <w:sz w:val="20"/>
                <w:szCs w:val="20"/>
                <w:color w:val="auto"/>
              </w:rPr>
            </w:pPr>
            <w:r>
              <w:rPr>
                <w:rFonts w:ascii="Times New Roman" w:cs="Times New Roman" w:eastAsia="Times New Roman" w:hAnsi="Times New Roman"/>
                <w:sz w:val="20"/>
                <w:szCs w:val="20"/>
                <w:color w:val="0000FF"/>
              </w:rPr>
              <w:t>Compliance with Laws</w:t>
            </w:r>
          </w:p>
        </w:tc>
        <w:tc>
          <w:tcPr>
            <w:tcW w:w="2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5.</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232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0000FF"/>
                <w:w w:val="99"/>
              </w:rPr>
              <w:t>Designation of Subsidiaries</w:t>
            </w:r>
          </w:p>
        </w:tc>
        <w:tc>
          <w:tcPr>
            <w:tcW w:w="4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3600" w:type="dxa"/>
            <w:vAlign w:val="bottom"/>
            <w:gridSpan w:val="26"/>
          </w:tcPr>
          <w:p>
            <w:pPr>
              <w:spacing w:after="0"/>
              <w:rPr>
                <w:sz w:val="20"/>
                <w:szCs w:val="20"/>
                <w:color w:val="auto"/>
              </w:rPr>
            </w:pPr>
            <w:r>
              <w:rPr>
                <w:rFonts w:ascii="Times New Roman" w:cs="Times New Roman" w:eastAsia="Times New Roman" w:hAnsi="Times New Roman"/>
                <w:sz w:val="20"/>
                <w:szCs w:val="20"/>
                <w:b w:val="1"/>
                <w:bCs w:val="1"/>
                <w:color w:val="0000FF"/>
              </w:rPr>
              <w:t>SECTION 6 NEGATIVE COVENANTS</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62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2320" w:type="dxa"/>
            <w:vAlign w:val="bottom"/>
            <w:tcBorders>
              <w:top w:val="single" w:sz="8" w:color="0000FF"/>
            </w:tcBorders>
            <w:gridSpan w:val="19"/>
          </w:tcPr>
          <w:p>
            <w:pPr>
              <w:ind w:left="100"/>
              <w:spacing w:after="0"/>
              <w:rPr>
                <w:sz w:val="20"/>
                <w:szCs w:val="20"/>
                <w:color w:val="auto"/>
              </w:rPr>
            </w:pPr>
            <w:r>
              <w:rPr>
                <w:rFonts w:ascii="Times New Roman" w:cs="Times New Roman" w:eastAsia="Times New Roman" w:hAnsi="Times New Roman"/>
                <w:sz w:val="20"/>
                <w:szCs w:val="20"/>
                <w:color w:val="0000FF"/>
              </w:rPr>
              <w:t>Limitation on Indebtedness</w:t>
            </w:r>
          </w:p>
        </w:tc>
        <w:tc>
          <w:tcPr>
            <w:tcW w:w="60" w:type="dxa"/>
            <w:vAlign w:val="bottom"/>
            <w:tcBorders>
              <w:top w:val="single" w:sz="8" w:color="0000FF"/>
            </w:tcBorders>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1680" w:type="dxa"/>
            <w:vAlign w:val="bottom"/>
            <w:gridSpan w:val="12"/>
          </w:tcPr>
          <w:p>
            <w:pPr>
              <w:ind w:left="100"/>
              <w:spacing w:after="0"/>
              <w:rPr>
                <w:sz w:val="20"/>
                <w:szCs w:val="20"/>
                <w:color w:val="auto"/>
              </w:rPr>
            </w:pPr>
            <w:r>
              <w:rPr>
                <w:rFonts w:ascii="Times New Roman" w:cs="Times New Roman" w:eastAsia="Times New Roman" w:hAnsi="Times New Roman"/>
                <w:sz w:val="20"/>
                <w:szCs w:val="20"/>
                <w:color w:val="0000FF"/>
                <w:w w:val="98"/>
              </w:rPr>
              <w:t>Limitation on Liens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3500" w:type="dxa"/>
            <w:vAlign w:val="bottom"/>
            <w:gridSpan w:val="32"/>
          </w:tcPr>
          <w:p>
            <w:pPr>
              <w:ind w:left="100"/>
              <w:spacing w:after="0" w:line="223" w:lineRule="exact"/>
              <w:rPr>
                <w:sz w:val="20"/>
                <w:szCs w:val="20"/>
                <w:color w:val="auto"/>
              </w:rPr>
            </w:pPr>
            <w:r>
              <w:rPr>
                <w:rFonts w:ascii="Times New Roman" w:cs="Times New Roman" w:eastAsia="Times New Roman" w:hAnsi="Times New Roman"/>
                <w:sz w:val="20"/>
                <w:szCs w:val="20"/>
                <w:color w:val="0000FF"/>
              </w:rPr>
              <w:t>Merger, Consolidation, or Sale of Assets</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392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0000FF"/>
              </w:rPr>
              <w:t>Limitation on Sale and Leaseback Transactions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19"/>
                <w:szCs w:val="19"/>
                <w:color w:val="auto"/>
              </w:rPr>
            </w:pPr>
          </w:p>
        </w:tc>
        <w:tc>
          <w:tcPr>
            <w:tcW w:w="3180" w:type="dxa"/>
            <w:vAlign w:val="bottom"/>
            <w:gridSpan w:val="29"/>
          </w:tcPr>
          <w:p>
            <w:pPr>
              <w:ind w:left="100"/>
              <w:spacing w:after="0" w:line="223" w:lineRule="exact"/>
              <w:rPr>
                <w:sz w:val="20"/>
                <w:szCs w:val="20"/>
                <w:color w:val="auto"/>
              </w:rPr>
            </w:pPr>
            <w:r>
              <w:rPr>
                <w:rFonts w:ascii="Times New Roman" w:cs="Times New Roman" w:eastAsia="Times New Roman" w:hAnsi="Times New Roman"/>
                <w:sz w:val="20"/>
                <w:szCs w:val="20"/>
                <w:color w:val="0000FF"/>
              </w:rPr>
              <w:t>Anti-Corruption Laws and Sanctions</w:t>
            </w:r>
          </w:p>
        </w:tc>
        <w:tc>
          <w:tcPr>
            <w:tcW w:w="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99"/>
              </w:rPr>
              <w:t>66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1680" w:type="dxa"/>
            <w:vAlign w:val="bottom"/>
            <w:gridSpan w:val="12"/>
          </w:tcPr>
          <w:p>
            <w:pPr>
              <w:ind w:left="100"/>
              <w:spacing w:after="0"/>
              <w:rPr>
                <w:sz w:val="20"/>
                <w:szCs w:val="20"/>
                <w:color w:val="auto"/>
              </w:rPr>
            </w:pPr>
            <w:r>
              <w:rPr>
                <w:rFonts w:ascii="Times New Roman" w:cs="Times New Roman" w:eastAsia="Times New Roman" w:hAnsi="Times New Roman"/>
                <w:sz w:val="20"/>
                <w:szCs w:val="20"/>
                <w:color w:val="0000FF"/>
                <w:w w:val="99"/>
              </w:rPr>
              <w:t>Financial Covenant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6.</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256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0000FF"/>
              </w:rPr>
              <w:t>Outbound Investment Rules..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3360" w:type="dxa"/>
            <w:vAlign w:val="bottom"/>
            <w:gridSpan w:val="22"/>
          </w:tcPr>
          <w:p>
            <w:pPr>
              <w:spacing w:after="0"/>
              <w:rPr>
                <w:sz w:val="20"/>
                <w:szCs w:val="20"/>
                <w:color w:val="auto"/>
              </w:rPr>
            </w:pPr>
            <w:r>
              <w:rPr>
                <w:rFonts w:ascii="Times New Roman" w:cs="Times New Roman" w:eastAsia="Times New Roman" w:hAnsi="Times New Roman"/>
                <w:sz w:val="20"/>
                <w:szCs w:val="20"/>
                <w:b w:val="1"/>
                <w:bCs w:val="1"/>
                <w:color w:val="0000FF"/>
              </w:rPr>
              <w:t>SECTION 7 EVENTS OF DEFAULT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66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960" w:type="dxa"/>
            <w:vAlign w:val="bottom"/>
            <w:tcBorders>
              <w:top w:val="single" w:sz="8" w:color="0000FF"/>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7.</w:t>
            </w:r>
            <w:r>
              <w:rPr>
                <w:rFonts w:ascii="Times New Roman" w:cs="Times New Roman" w:eastAsia="Times New Roman" w:hAnsi="Times New Roman"/>
                <w:sz w:val="20"/>
                <w:szCs w:val="20"/>
                <w:u w:val="single" w:color="auto"/>
                <w:color w:val="0000FF"/>
                <w:w w:val="93"/>
              </w:rPr>
              <w:t>1.</w:t>
            </w:r>
          </w:p>
        </w:tc>
        <w:tc>
          <w:tcPr>
            <w:tcW w:w="8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12"/>
          </w:tcPr>
          <w:p>
            <w:pPr>
              <w:ind w:left="100"/>
              <w:spacing w:after="0"/>
              <w:rPr>
                <w:sz w:val="20"/>
                <w:szCs w:val="20"/>
                <w:color w:val="auto"/>
              </w:rPr>
            </w:pPr>
            <w:r>
              <w:rPr>
                <w:rFonts w:ascii="Times New Roman" w:cs="Times New Roman" w:eastAsia="Times New Roman" w:hAnsi="Times New Roman"/>
                <w:sz w:val="20"/>
                <w:szCs w:val="20"/>
                <w:color w:val="0000FF"/>
              </w:rPr>
              <w:t>Events of Default</w:t>
            </w:r>
          </w:p>
        </w:tc>
        <w:tc>
          <w:tcPr>
            <w:tcW w:w="260" w:type="dxa"/>
            <w:vAlign w:val="bottom"/>
            <w:tcBorders>
              <w:top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89"/>
              </w:rPr>
              <w:t>66</w:t>
            </w: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b w:val="1"/>
                <w:bCs w:val="1"/>
                <w:color w:val="0000FF"/>
                <w:w w:val="98"/>
              </w:rPr>
              <w:t>SECTION 8 THE AGENTS</w:t>
            </w:r>
          </w:p>
        </w:tc>
        <w:tc>
          <w:tcPr>
            <w:tcW w:w="60" w:type="dxa"/>
            <w:vAlign w:val="bottom"/>
            <w:gridSpan w:val="2"/>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69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11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0000FF"/>
                <w:w w:val="96"/>
              </w:rPr>
              <w:t>Appointment</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232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0000FF"/>
              </w:rPr>
              <w:t xml:space="preserve">Delegation of Duties  </w:t>
            </w:r>
            <w:r>
              <w:rPr>
                <w:rFonts w:ascii="Times New Roman" w:cs="Times New Roman" w:eastAsia="Times New Roman" w:hAnsi="Times New Roman"/>
                <w:sz w:val="20"/>
                <w:szCs w:val="20"/>
                <w:color w:val="000000"/>
              </w:rPr>
              <w:t>69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19"/>
                <w:szCs w:val="19"/>
                <w:color w:val="auto"/>
              </w:rPr>
            </w:pPr>
          </w:p>
        </w:tc>
        <w:tc>
          <w:tcPr>
            <w:tcW w:w="2100" w:type="dxa"/>
            <w:vAlign w:val="bottom"/>
            <w:gridSpan w:val="16"/>
          </w:tcPr>
          <w:p>
            <w:pPr>
              <w:ind w:left="100"/>
              <w:spacing w:after="0" w:line="223" w:lineRule="exact"/>
              <w:rPr>
                <w:sz w:val="20"/>
                <w:szCs w:val="20"/>
                <w:color w:val="auto"/>
              </w:rPr>
            </w:pPr>
            <w:r>
              <w:rPr>
                <w:rFonts w:ascii="Times New Roman" w:cs="Times New Roman" w:eastAsia="Times New Roman" w:hAnsi="Times New Roman"/>
                <w:sz w:val="20"/>
                <w:szCs w:val="20"/>
                <w:color w:val="0000FF"/>
              </w:rPr>
              <w:t>Exculpatory Provisions</w:t>
            </w:r>
          </w:p>
        </w:tc>
        <w:tc>
          <w:tcPr>
            <w:tcW w:w="2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20"/>
                <w:szCs w:val="20"/>
                <w:color w:val="auto"/>
              </w:rPr>
            </w:pPr>
          </w:p>
        </w:tc>
        <w:tc>
          <w:tcPr>
            <w:tcW w:w="318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0000FF"/>
              </w:rPr>
              <w:t>Reliance by the Administrative Agent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19"/>
                <w:szCs w:val="19"/>
                <w:color w:val="auto"/>
              </w:rPr>
            </w:pPr>
          </w:p>
        </w:tc>
        <w:tc>
          <w:tcPr>
            <w:tcW w:w="1680" w:type="dxa"/>
            <w:vAlign w:val="bottom"/>
            <w:gridSpan w:val="12"/>
          </w:tcPr>
          <w:p>
            <w:pPr>
              <w:ind w:left="100"/>
              <w:spacing w:after="0" w:line="223" w:lineRule="exact"/>
              <w:rPr>
                <w:sz w:val="20"/>
                <w:szCs w:val="20"/>
                <w:color w:val="auto"/>
              </w:rPr>
            </w:pPr>
            <w:r>
              <w:rPr>
                <w:rFonts w:ascii="Times New Roman" w:cs="Times New Roman" w:eastAsia="Times New Roman" w:hAnsi="Times New Roman"/>
                <w:sz w:val="20"/>
                <w:szCs w:val="20"/>
                <w:color w:val="0000FF"/>
              </w:rPr>
              <w:t>Notice of Default</w:t>
            </w:r>
          </w:p>
        </w:tc>
        <w:tc>
          <w:tcPr>
            <w:tcW w:w="2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89"/>
              </w:rPr>
              <w:t>70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160" w:type="dxa"/>
            <w:vAlign w:val="bottom"/>
            <w:gridSpan w:val="14"/>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20"/>
                <w:szCs w:val="20"/>
                <w:color w:val="auto"/>
              </w:rPr>
            </w:pPr>
          </w:p>
        </w:tc>
        <w:tc>
          <w:tcPr>
            <w:tcW w:w="392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0000FF"/>
              </w:rPr>
              <w:t>Non-Reliance on the Agent and Other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14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0000FF"/>
              </w:rPr>
              <w:t>Indemnification</w:t>
            </w:r>
          </w:p>
        </w:tc>
        <w:tc>
          <w:tcPr>
            <w:tcW w:w="54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19"/>
                <w:szCs w:val="19"/>
                <w:color w:val="auto"/>
              </w:rPr>
            </w:pPr>
          </w:p>
        </w:tc>
        <w:tc>
          <w:tcPr>
            <w:tcW w:w="2840" w:type="dxa"/>
            <w:vAlign w:val="bottom"/>
            <w:gridSpan w:val="26"/>
          </w:tcPr>
          <w:p>
            <w:pPr>
              <w:ind w:left="100"/>
              <w:spacing w:after="0" w:line="223" w:lineRule="exact"/>
              <w:rPr>
                <w:sz w:val="20"/>
                <w:szCs w:val="20"/>
                <w:color w:val="auto"/>
              </w:rPr>
            </w:pPr>
            <w:r>
              <w:rPr>
                <w:rFonts w:ascii="Times New Roman" w:cs="Times New Roman" w:eastAsia="Times New Roman" w:hAnsi="Times New Roman"/>
                <w:sz w:val="20"/>
                <w:szCs w:val="20"/>
                <w:color w:val="0000FF"/>
              </w:rPr>
              <w:t>Agent in its Individual Capacity</w:t>
            </w:r>
          </w:p>
        </w:tc>
        <w:tc>
          <w:tcPr>
            <w:tcW w:w="26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89"/>
              </w:rPr>
              <w:t>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8.</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20"/>
                <w:szCs w:val="20"/>
                <w:color w:val="auto"/>
              </w:rPr>
            </w:pPr>
          </w:p>
        </w:tc>
        <w:tc>
          <w:tcPr>
            <w:tcW w:w="2840" w:type="dxa"/>
            <w:vAlign w:val="bottom"/>
            <w:gridSpan w:val="26"/>
          </w:tcPr>
          <w:p>
            <w:pPr>
              <w:ind w:left="100"/>
              <w:spacing w:after="0"/>
              <w:rPr>
                <w:sz w:val="20"/>
                <w:szCs w:val="20"/>
                <w:color w:val="auto"/>
              </w:rPr>
            </w:pPr>
            <w:r>
              <w:rPr>
                <w:rFonts w:ascii="Times New Roman" w:cs="Times New Roman" w:eastAsia="Times New Roman" w:hAnsi="Times New Roman"/>
                <w:sz w:val="20"/>
                <w:szCs w:val="20"/>
                <w:color w:val="0000FF"/>
              </w:rPr>
              <w:t>Successor Administrative Agent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000FF"/>
              </w:rPr>
              <w:t>[Reserved]</w:t>
            </w:r>
          </w:p>
        </w:tc>
        <w:tc>
          <w:tcPr>
            <w:tcW w:w="34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72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20"/>
                <w:szCs w:val="20"/>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Payments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Other Terms.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139"/>
          </w:cols>
          <w:pgMar w:left="320" w:top="1394" w:right="1440" w:bottom="1440" w:gutter="0" w:footer="0" w:header="0"/>
          <w:type w:val="continuous"/>
        </w:sectPr>
      </w:pPr>
    </w:p>
    <w:bookmarkStart w:id="569" w:name="page570"/>
    <w:bookmarkEnd w:id="569"/>
    <w:tbl>
      <w:tblPr>
        <w:tblLayout w:type="fixed"/>
        <w:tblInd w:w="0" w:type="dxa"/>
        <w:tblCellMar>
          <w:top w:w="0" w:type="dxa"/>
          <w:left w:w="0" w:type="dxa"/>
          <w:bottom w:w="0" w:type="dxa"/>
          <w:right w:w="0" w:type="dxa"/>
        </w:tblCellMar>
      </w:tblPr>
      <w:tr>
        <w:trPr>
          <w:trHeight w:val="230"/>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000FF"/>
              </w:rPr>
              <w:t>Enforcement by the Administrative Agent</w:t>
            </w:r>
          </w:p>
        </w:tc>
        <w:tc>
          <w:tcPr>
            <w:tcW w:w="2580" w:type="dxa"/>
            <w:vAlign w:val="bottom"/>
          </w:tcPr>
          <w:p>
            <w:pPr>
              <w:jc w:val="right"/>
              <w:ind w:right="2201"/>
              <w:spacing w:after="0"/>
              <w:rPr>
                <w:sz w:val="20"/>
                <w:szCs w:val="20"/>
                <w:color w:val="auto"/>
              </w:rPr>
            </w:pPr>
            <w:r>
              <w:rPr>
                <w:rFonts w:ascii="Times New Roman" w:cs="Times New Roman" w:eastAsia="Times New Roman" w:hAnsi="Times New Roman"/>
                <w:sz w:val="20"/>
                <w:szCs w:val="20"/>
                <w:color w:val="auto"/>
              </w:rPr>
              <w:t>74</w:t>
            </w: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000FF"/>
                <w:w w:val="97"/>
              </w:rPr>
              <w:t>Withholding Tax</w:t>
            </w:r>
          </w:p>
        </w:tc>
        <w:tc>
          <w:tcPr>
            <w:tcW w:w="500" w:type="dxa"/>
            <w:vAlign w:val="bottom"/>
            <w:gridSpan w:val="5"/>
          </w:tcPr>
          <w:p>
            <w:pPr>
              <w:jc w:val="right"/>
              <w:ind w:right="41"/>
              <w:spacing w:after="0"/>
              <w:rPr>
                <w:sz w:val="20"/>
                <w:szCs w:val="20"/>
                <w:color w:val="auto"/>
              </w:rPr>
            </w:pPr>
            <w:r>
              <w:rPr>
                <w:rFonts w:ascii="Times New Roman" w:cs="Times New Roman" w:eastAsia="Times New Roman" w:hAnsi="Times New Roman"/>
                <w:sz w:val="20"/>
                <w:szCs w:val="20"/>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8.</w:t>
            </w:r>
            <w:r>
              <w:rPr>
                <w:rFonts w:ascii="Times New Roman" w:cs="Times New Roman" w:eastAsia="Times New Roman" w:hAnsi="Times New Roman"/>
                <w:sz w:val="20"/>
                <w:szCs w:val="20"/>
                <w:u w:val="single" w:color="auto"/>
                <w:color w:val="0000FF"/>
                <w:w w:val="84"/>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20"/>
          </w:tcPr>
          <w:p>
            <w:pPr>
              <w:ind w:left="20"/>
              <w:spacing w:after="0" w:line="223" w:lineRule="exact"/>
              <w:rPr>
                <w:sz w:val="20"/>
                <w:szCs w:val="20"/>
                <w:color w:val="auto"/>
              </w:rPr>
            </w:pPr>
            <w:r>
              <w:rPr>
                <w:rFonts w:ascii="Times New Roman" w:cs="Times New Roman" w:eastAsia="Times New Roman" w:hAnsi="Times New Roman"/>
                <w:sz w:val="20"/>
                <w:szCs w:val="20"/>
                <w:color w:val="0000FF"/>
              </w:rPr>
              <w:t xml:space="preserve">Certain ERISA Matters  </w:t>
            </w:r>
            <w:r>
              <w:rPr>
                <w:rFonts w:ascii="Times New Roman" w:cs="Times New Roman" w:eastAsia="Times New Roman" w:hAnsi="Times New Roman"/>
                <w:sz w:val="20"/>
                <w:szCs w:val="20"/>
                <w:color w:val="000000"/>
              </w:rPr>
              <w:t>75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2800" w:type="dxa"/>
            <w:vAlign w:val="bottom"/>
            <w:tcBorders>
              <w:bottom w:val="single" w:sz="8" w:color="0000FF"/>
            </w:tcBorders>
            <w:gridSpan w:val="14"/>
          </w:tcPr>
          <w:p>
            <w:pPr>
              <w:jc w:val="right"/>
              <w:spacing w:after="0"/>
              <w:rPr>
                <w:sz w:val="20"/>
                <w:szCs w:val="20"/>
                <w:color w:val="auto"/>
              </w:rPr>
            </w:pPr>
            <w:r>
              <w:rPr>
                <w:rFonts w:ascii="Times New Roman" w:cs="Times New Roman" w:eastAsia="Times New Roman" w:hAnsi="Times New Roman"/>
                <w:sz w:val="20"/>
                <w:szCs w:val="20"/>
                <w:b w:val="1"/>
                <w:bCs w:val="1"/>
                <w:color w:val="0000FF"/>
                <w:w w:val="98"/>
              </w:rPr>
              <w:t>SECTION 9 MISCELLANEOUS</w:t>
            </w:r>
          </w:p>
        </w:tc>
        <w:tc>
          <w:tcPr>
            <w:tcW w:w="100" w:type="dxa"/>
            <w:vAlign w:val="bottom"/>
            <w:gridSpan w:val="2"/>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76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8"/>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1.</w:t>
            </w:r>
          </w:p>
        </w:tc>
        <w:tc>
          <w:tcPr>
            <w:tcW w:w="80" w:type="dxa"/>
            <w:vAlign w:val="bottom"/>
          </w:tcPr>
          <w:p>
            <w:pPr>
              <w:spacing w:after="0"/>
              <w:rPr>
                <w:sz w:val="24"/>
                <w:szCs w:val="24"/>
                <w:color w:val="auto"/>
              </w:rPr>
            </w:pPr>
          </w:p>
        </w:tc>
        <w:tc>
          <w:tcPr>
            <w:tcW w:w="234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0000FF"/>
              </w:rPr>
              <w:t>Amendments and Waivers</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2.</w:t>
            </w:r>
          </w:p>
        </w:tc>
        <w:tc>
          <w:tcPr>
            <w:tcW w:w="80" w:type="dxa"/>
            <w:vAlign w:val="bottom"/>
          </w:tcPr>
          <w:p>
            <w:pPr>
              <w:spacing w:after="0"/>
              <w:rPr>
                <w:sz w:val="20"/>
                <w:szCs w:val="20"/>
                <w:color w:val="auto"/>
              </w:rPr>
            </w:pPr>
          </w:p>
        </w:tc>
        <w:tc>
          <w:tcPr>
            <w:tcW w:w="11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0000FF"/>
              </w:rPr>
              <w:t xml:space="preserve">Notices  </w:t>
            </w:r>
            <w:r>
              <w:rPr>
                <w:rFonts w:ascii="Times New Roman" w:cs="Times New Roman" w:eastAsia="Times New Roman" w:hAnsi="Times New Roman"/>
                <w:sz w:val="20"/>
                <w:szCs w:val="20"/>
                <w:color w:val="000000"/>
              </w:rPr>
              <w:t>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3.</w:t>
            </w:r>
          </w:p>
        </w:tc>
        <w:tc>
          <w:tcPr>
            <w:tcW w:w="80" w:type="dxa"/>
            <w:vAlign w:val="bottom"/>
          </w:tcPr>
          <w:p>
            <w:pPr>
              <w:spacing w:after="0"/>
              <w:rPr>
                <w:sz w:val="20"/>
                <w:szCs w:val="20"/>
                <w:color w:val="auto"/>
              </w:rPr>
            </w:pPr>
          </w:p>
        </w:tc>
        <w:tc>
          <w:tcPr>
            <w:tcW w:w="364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0000FF"/>
              </w:rPr>
              <w:t xml:space="preserve">No Waiver; Cumulative Remedies  </w:t>
            </w:r>
            <w:r>
              <w:rPr>
                <w:rFonts w:ascii="Times New Roman" w:cs="Times New Roman" w:eastAsia="Times New Roman" w:hAnsi="Times New Roman"/>
                <w:sz w:val="20"/>
                <w:szCs w:val="20"/>
                <w:color w:val="000000"/>
              </w:rPr>
              <w:t>79</w:t>
            </w: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4.</w:t>
            </w:r>
          </w:p>
        </w:tc>
        <w:tc>
          <w:tcPr>
            <w:tcW w:w="80" w:type="dxa"/>
            <w:vAlign w:val="bottom"/>
          </w:tcPr>
          <w:p>
            <w:pPr>
              <w:spacing w:after="0"/>
              <w:rPr>
                <w:sz w:val="19"/>
                <w:szCs w:val="19"/>
                <w:color w:val="auto"/>
              </w:rPr>
            </w:pPr>
          </w:p>
        </w:tc>
        <w:tc>
          <w:tcPr>
            <w:tcW w:w="3640" w:type="dxa"/>
            <w:vAlign w:val="bottom"/>
            <w:gridSpan w:val="24"/>
          </w:tcPr>
          <w:p>
            <w:pPr>
              <w:ind w:left="100"/>
              <w:spacing w:after="0" w:line="223" w:lineRule="exact"/>
              <w:rPr>
                <w:sz w:val="20"/>
                <w:szCs w:val="20"/>
                <w:color w:val="auto"/>
              </w:rPr>
            </w:pPr>
            <w:r>
              <w:rPr>
                <w:rFonts w:ascii="Times New Roman" w:cs="Times New Roman" w:eastAsia="Times New Roman" w:hAnsi="Times New Roman"/>
                <w:sz w:val="20"/>
                <w:szCs w:val="20"/>
                <w:color w:val="0000FF"/>
              </w:rPr>
              <w:t>Survival of Representations and Warranties</w:t>
            </w:r>
          </w:p>
        </w:tc>
        <w:tc>
          <w:tcPr>
            <w:tcW w:w="2580" w:type="dxa"/>
            <w:vAlign w:val="bottom"/>
          </w:tcPr>
          <w:p>
            <w:pPr>
              <w:jc w:val="right"/>
              <w:ind w:right="2201"/>
              <w:spacing w:after="0" w:line="223" w:lineRule="exact"/>
              <w:rPr>
                <w:sz w:val="20"/>
                <w:szCs w:val="20"/>
                <w:color w:val="auto"/>
              </w:rPr>
            </w:pPr>
            <w:r>
              <w:rPr>
                <w:rFonts w:ascii="Times New Roman" w:cs="Times New Roman" w:eastAsia="Times New Roman" w:hAnsi="Times New Roman"/>
                <w:sz w:val="20"/>
                <w:szCs w:val="20"/>
                <w:color w:val="auto"/>
              </w:rPr>
              <w:t>79</w:t>
            </w: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5.</w:t>
            </w:r>
          </w:p>
        </w:tc>
        <w:tc>
          <w:tcPr>
            <w:tcW w:w="80" w:type="dxa"/>
            <w:vAlign w:val="bottom"/>
          </w:tcPr>
          <w:p>
            <w:pPr>
              <w:spacing w:after="0"/>
              <w:rPr>
                <w:sz w:val="20"/>
                <w:szCs w:val="20"/>
                <w:color w:val="auto"/>
              </w:rPr>
            </w:pPr>
          </w:p>
        </w:tc>
        <w:tc>
          <w:tcPr>
            <w:tcW w:w="186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0000FF"/>
              </w:rPr>
              <w:t>Payment of Expenses</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6.</w:t>
            </w:r>
          </w:p>
        </w:tc>
        <w:tc>
          <w:tcPr>
            <w:tcW w:w="80" w:type="dxa"/>
            <w:vAlign w:val="bottom"/>
          </w:tcPr>
          <w:p>
            <w:pPr>
              <w:spacing w:after="0"/>
              <w:rPr>
                <w:sz w:val="19"/>
                <w:szCs w:val="19"/>
                <w:color w:val="auto"/>
              </w:rPr>
            </w:pPr>
          </w:p>
        </w:tc>
        <w:tc>
          <w:tcPr>
            <w:tcW w:w="3180" w:type="dxa"/>
            <w:vAlign w:val="bottom"/>
            <w:gridSpan w:val="22"/>
          </w:tcPr>
          <w:p>
            <w:pPr>
              <w:ind w:left="100"/>
              <w:spacing w:after="0" w:line="223" w:lineRule="exact"/>
              <w:rPr>
                <w:sz w:val="20"/>
                <w:szCs w:val="20"/>
                <w:color w:val="auto"/>
              </w:rPr>
            </w:pPr>
            <w:r>
              <w:rPr>
                <w:rFonts w:ascii="Times New Roman" w:cs="Times New Roman" w:eastAsia="Times New Roman" w:hAnsi="Times New Roman"/>
                <w:sz w:val="20"/>
                <w:szCs w:val="20"/>
                <w:color w:val="0000FF"/>
                <w:w w:val="98"/>
              </w:rPr>
              <w:t>Successors and Assigns; Participations</w:t>
            </w:r>
          </w:p>
        </w:tc>
        <w:tc>
          <w:tcPr>
            <w:tcW w:w="4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80</w:t>
            </w: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7.</w:t>
            </w:r>
          </w:p>
        </w:tc>
        <w:tc>
          <w:tcPr>
            <w:tcW w:w="80" w:type="dxa"/>
            <w:vAlign w:val="bottom"/>
          </w:tcPr>
          <w:p>
            <w:pPr>
              <w:spacing w:after="0"/>
              <w:rPr>
                <w:sz w:val="20"/>
                <w:szCs w:val="20"/>
                <w:color w:val="auto"/>
              </w:rPr>
            </w:pPr>
          </w:p>
        </w:tc>
        <w:tc>
          <w:tcPr>
            <w:tcW w:w="186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0000FF"/>
              </w:rPr>
              <w:t>Adjustments; Setoff</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8.</w:t>
            </w:r>
          </w:p>
        </w:tc>
        <w:tc>
          <w:tcPr>
            <w:tcW w:w="80" w:type="dxa"/>
            <w:vAlign w:val="bottom"/>
          </w:tcPr>
          <w:p>
            <w:pPr>
              <w:spacing w:after="0"/>
              <w:rPr>
                <w:sz w:val="20"/>
                <w:szCs w:val="20"/>
                <w:color w:val="auto"/>
              </w:rPr>
            </w:pPr>
          </w:p>
        </w:tc>
        <w:tc>
          <w:tcPr>
            <w:tcW w:w="11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0000FF"/>
              </w:rPr>
              <w:t>Counterparts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000FF"/>
                <w:w w:val="93"/>
              </w:rPr>
              <w:t>9.</w:t>
            </w:r>
            <w:r>
              <w:rPr>
                <w:rFonts w:ascii="Times New Roman" w:cs="Times New Roman" w:eastAsia="Times New Roman" w:hAnsi="Times New Roman"/>
                <w:sz w:val="20"/>
                <w:szCs w:val="20"/>
                <w:u w:val="single" w:color="auto"/>
                <w:color w:val="0000FF"/>
                <w:w w:val="93"/>
              </w:rPr>
              <w:t>9.</w:t>
            </w:r>
          </w:p>
        </w:tc>
        <w:tc>
          <w:tcPr>
            <w:tcW w:w="80" w:type="dxa"/>
            <w:vAlign w:val="bottom"/>
          </w:tcPr>
          <w:p>
            <w:pPr>
              <w:spacing w:after="0"/>
              <w:rPr>
                <w:sz w:val="19"/>
                <w:szCs w:val="19"/>
                <w:color w:val="auto"/>
              </w:rPr>
            </w:pPr>
          </w:p>
        </w:tc>
        <w:tc>
          <w:tcPr>
            <w:tcW w:w="1180" w:type="dxa"/>
            <w:vAlign w:val="bottom"/>
            <w:gridSpan w:val="6"/>
          </w:tcPr>
          <w:p>
            <w:pPr>
              <w:ind w:left="100"/>
              <w:spacing w:after="0" w:line="223" w:lineRule="exact"/>
              <w:rPr>
                <w:sz w:val="20"/>
                <w:szCs w:val="20"/>
                <w:color w:val="auto"/>
              </w:rPr>
            </w:pPr>
            <w:r>
              <w:rPr>
                <w:rFonts w:ascii="Times New Roman" w:cs="Times New Roman" w:eastAsia="Times New Roman" w:hAnsi="Times New Roman"/>
                <w:sz w:val="20"/>
                <w:szCs w:val="20"/>
                <w:color w:val="0000FF"/>
              </w:rPr>
              <w:t>Severability</w:t>
            </w:r>
          </w:p>
        </w:tc>
        <w:tc>
          <w:tcPr>
            <w:tcW w:w="36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Integration</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11.</w:t>
            </w:r>
          </w:p>
        </w:tc>
        <w:tc>
          <w:tcPr>
            <w:tcW w:w="100" w:type="dxa"/>
            <w:vAlign w:val="bottom"/>
          </w:tcPr>
          <w:p>
            <w:pPr>
              <w:spacing w:after="0"/>
              <w:rPr>
                <w:sz w:val="19"/>
                <w:szCs w:val="19"/>
                <w:color w:val="auto"/>
              </w:rPr>
            </w:pPr>
          </w:p>
        </w:tc>
        <w:tc>
          <w:tcPr>
            <w:tcW w:w="1760" w:type="dxa"/>
            <w:vAlign w:val="bottom"/>
            <w:gridSpan w:val="12"/>
          </w:tcPr>
          <w:p>
            <w:pPr>
              <w:ind w:left="80"/>
              <w:spacing w:after="0" w:line="223" w:lineRule="exact"/>
              <w:rPr>
                <w:sz w:val="20"/>
                <w:szCs w:val="20"/>
                <w:color w:val="auto"/>
              </w:rPr>
            </w:pPr>
            <w:r>
              <w:rPr>
                <w:rFonts w:ascii="Times New Roman" w:cs="Times New Roman" w:eastAsia="Times New Roman" w:hAnsi="Times New Roman"/>
                <w:sz w:val="20"/>
                <w:szCs w:val="20"/>
                <w:color w:val="0000FF"/>
                <w:w w:val="97"/>
              </w:rPr>
              <w:t>GOVERNING LAW</w:t>
            </w:r>
          </w:p>
        </w:tc>
        <w:tc>
          <w:tcPr>
            <w:tcW w:w="46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000FF"/>
                <w:w w:val="99"/>
              </w:rPr>
              <w:t>Submission To Jurisdiction; Waivers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0000FF"/>
              </w:rPr>
              <w:t>Acknowledgements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20"/>
          </w:tcPr>
          <w:p>
            <w:pPr>
              <w:ind w:left="20"/>
              <w:spacing w:after="0" w:line="223" w:lineRule="exact"/>
              <w:rPr>
                <w:sz w:val="20"/>
                <w:szCs w:val="20"/>
                <w:color w:val="auto"/>
              </w:rPr>
            </w:pPr>
            <w:r>
              <w:rPr>
                <w:rFonts w:ascii="Times New Roman" w:cs="Times New Roman" w:eastAsia="Times New Roman" w:hAnsi="Times New Roman"/>
                <w:sz w:val="20"/>
                <w:szCs w:val="20"/>
                <w:color w:val="0000FF"/>
              </w:rPr>
              <w:t>Guarantors; Release of Guarantors.</w:t>
            </w:r>
          </w:p>
        </w:tc>
        <w:tc>
          <w:tcPr>
            <w:tcW w:w="340" w:type="dxa"/>
            <w:vAlign w:val="bottom"/>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89"/>
              </w:rPr>
              <w:t>86</w:t>
            </w: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1040" w:type="dxa"/>
            <w:vAlign w:val="bottom"/>
            <w:gridSpan w:val="3"/>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000FF"/>
              </w:rPr>
              <w:t>Confidentiality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20"/>
          </w:tcPr>
          <w:p>
            <w:pPr>
              <w:ind w:left="20"/>
              <w:spacing w:after="0" w:line="223" w:lineRule="exact"/>
              <w:rPr>
                <w:sz w:val="20"/>
                <w:szCs w:val="20"/>
                <w:color w:val="auto"/>
              </w:rPr>
            </w:pPr>
            <w:r>
              <w:rPr>
                <w:rFonts w:ascii="Times New Roman" w:cs="Times New Roman" w:eastAsia="Times New Roman" w:hAnsi="Times New Roman"/>
                <w:sz w:val="20"/>
                <w:szCs w:val="20"/>
                <w:color w:val="0000FF"/>
              </w:rPr>
              <w:t xml:space="preserve">WAIVERS OF JURY TRIAL  </w:t>
            </w:r>
            <w:r>
              <w:rPr>
                <w:rFonts w:ascii="Times New Roman" w:cs="Times New Roman" w:eastAsia="Times New Roman" w:hAnsi="Times New Roman"/>
                <w:sz w:val="20"/>
                <w:szCs w:val="20"/>
                <w:color w:val="000000"/>
              </w:rPr>
              <w:t>88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Patriot Act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11"/>
          </w:tcPr>
          <w:p>
            <w:pPr>
              <w:ind w:left="20"/>
              <w:spacing w:after="0" w:line="223" w:lineRule="exact"/>
              <w:rPr>
                <w:sz w:val="20"/>
                <w:szCs w:val="20"/>
                <w:color w:val="auto"/>
              </w:rPr>
            </w:pPr>
            <w:r>
              <w:rPr>
                <w:rFonts w:ascii="Times New Roman" w:cs="Times New Roman" w:eastAsia="Times New Roman" w:hAnsi="Times New Roman"/>
                <w:sz w:val="20"/>
                <w:szCs w:val="20"/>
                <w:color w:val="0000FF"/>
              </w:rPr>
              <w:t>No Fiduciary Duty</w:t>
            </w:r>
          </w:p>
        </w:tc>
        <w:tc>
          <w:tcPr>
            <w:tcW w:w="30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99"/>
              </w:rPr>
              <w:t>88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20" w:type="dxa"/>
            <w:vAlign w:val="bottom"/>
            <w:gridSpan w:val="24"/>
          </w:tcPr>
          <w:p>
            <w:pPr>
              <w:ind w:left="20"/>
              <w:spacing w:after="0"/>
              <w:rPr>
                <w:sz w:val="20"/>
                <w:szCs w:val="20"/>
                <w:color w:val="auto"/>
              </w:rPr>
            </w:pPr>
            <w:r>
              <w:rPr>
                <w:rFonts w:ascii="Times New Roman" w:cs="Times New Roman" w:eastAsia="Times New Roman" w:hAnsi="Times New Roman"/>
                <w:sz w:val="20"/>
                <w:szCs w:val="20"/>
                <w:color w:val="0000FF"/>
                <w:w w:val="99"/>
              </w:rPr>
              <w:t xml:space="preserve">Acknowledgement and Consent to Bail-In of Affected Financial Institutions  </w:t>
            </w:r>
            <w:r>
              <w:rPr>
                <w:rFonts w:ascii="Times New Roman" w:cs="Times New Roman" w:eastAsia="Times New Roman" w:hAnsi="Times New Roman"/>
                <w:sz w:val="20"/>
                <w:szCs w:val="20"/>
                <w:color w:val="000000"/>
                <w:w w:val="99"/>
              </w:rPr>
              <w:t>89</w:t>
            </w: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15"/>
          </w:tcPr>
          <w:p>
            <w:pPr>
              <w:ind w:left="20"/>
              <w:spacing w:after="0"/>
              <w:rPr>
                <w:sz w:val="20"/>
                <w:szCs w:val="20"/>
                <w:color w:val="auto"/>
              </w:rPr>
            </w:pPr>
            <w:r>
              <w:rPr>
                <w:rFonts w:ascii="Times New Roman" w:cs="Times New Roman" w:eastAsia="Times New Roman" w:hAnsi="Times New Roman"/>
                <w:sz w:val="20"/>
                <w:szCs w:val="20"/>
                <w:color w:val="0000FF"/>
              </w:rPr>
              <w:t>Interest Rate Limitations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104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0"/>
                <w:szCs w:val="20"/>
                <w:color w:val="0000FF"/>
                <w:w w:val="84"/>
              </w:rPr>
              <w:t>9.</w:t>
            </w:r>
            <w:r>
              <w:rPr>
                <w:rFonts w:ascii="Times New Roman" w:cs="Times New Roman" w:eastAsia="Times New Roman" w:hAnsi="Times New Roman"/>
                <w:sz w:val="20"/>
                <w:szCs w:val="20"/>
                <w:u w:val="single" w:color="auto"/>
                <w:color w:val="0000FF"/>
                <w:w w:val="84"/>
              </w:rPr>
              <w:t>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15"/>
          </w:tcPr>
          <w:p>
            <w:pPr>
              <w:ind w:left="20"/>
              <w:spacing w:after="0" w:line="223" w:lineRule="exact"/>
              <w:rPr>
                <w:sz w:val="20"/>
                <w:szCs w:val="20"/>
                <w:color w:val="auto"/>
              </w:rPr>
            </w:pPr>
            <w:r>
              <w:rPr>
                <w:rFonts w:ascii="Times New Roman" w:cs="Times New Roman" w:eastAsia="Times New Roman" w:hAnsi="Times New Roman"/>
                <w:sz w:val="20"/>
                <w:szCs w:val="20"/>
                <w:color w:val="0000FF"/>
                <w:w w:val="98"/>
              </w:rPr>
              <w:t>Existing Credit Agreement</w:t>
            </w:r>
          </w:p>
        </w:tc>
        <w:tc>
          <w:tcPr>
            <w:tcW w:w="4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112" w:lineRule="exact"/>
        <w:rPr>
          <w:sz w:val="20"/>
          <w:szCs w:val="20"/>
          <w:color w:val="auto"/>
        </w:rPr>
      </w:pPr>
    </w:p>
    <w:p>
      <w:pPr>
        <w:ind w:left="340"/>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1.1</w:t>
      </w:r>
      <w:r>
        <w:rPr>
          <w:sz w:val="20"/>
          <w:szCs w:val="20"/>
          <w:color w:val="auto"/>
        </w:rPr>
        <w:tab/>
      </w:r>
      <w:r>
        <w:rPr>
          <w:rFonts w:ascii="Times New Roman" w:cs="Times New Roman" w:eastAsia="Times New Roman" w:hAnsi="Times New Roman"/>
          <w:sz w:val="19"/>
          <w:szCs w:val="19"/>
          <w:color w:val="auto"/>
        </w:rPr>
        <w:t>Revolving Commitment Amounts</w:t>
      </w:r>
    </w:p>
    <w:p>
      <w:pPr>
        <w:spacing w:after="0" w:line="28" w:lineRule="exact"/>
        <w:rPr>
          <w:sz w:val="20"/>
          <w:szCs w:val="20"/>
          <w:color w:val="auto"/>
        </w:rPr>
      </w:pPr>
    </w:p>
    <w:p>
      <w:pPr>
        <w:ind w:left="340"/>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1.2</w:t>
      </w:r>
      <w:r>
        <w:rPr>
          <w:sz w:val="20"/>
          <w:szCs w:val="20"/>
          <w:color w:val="auto"/>
        </w:rPr>
        <w:tab/>
      </w:r>
      <w:r>
        <w:rPr>
          <w:rFonts w:ascii="Times New Roman" w:cs="Times New Roman" w:eastAsia="Times New Roman" w:hAnsi="Times New Roman"/>
          <w:sz w:val="19"/>
          <w:szCs w:val="19"/>
          <w:color w:val="auto"/>
        </w:rPr>
        <w:t>Unrestricted Subsidiaries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12"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Closing Certificate for the Borrower</w:t>
      </w:r>
    </w:p>
    <w:p>
      <w:pPr>
        <w:spacing w:after="0" w:line="28"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Borrowing Request</w:t>
      </w:r>
    </w:p>
    <w:p>
      <w:pPr>
        <w:spacing w:after="0" w:line="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6" w:lineRule="exact"/>
        <w:rPr>
          <w:sz w:val="20"/>
          <w:szCs w:val="20"/>
          <w:color w:val="auto"/>
        </w:rPr>
      </w:pPr>
    </w:p>
    <w:p>
      <w:pPr>
        <w:ind w:left="340"/>
        <w:spacing w:after="0"/>
        <w:tabs>
          <w:tab w:leader="none" w:pos="134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Assignment and Acceptance</w:t>
      </w:r>
    </w:p>
    <w:p>
      <w:pPr>
        <w:spacing w:after="0" w:line="13" w:lineRule="exact"/>
        <w:rPr>
          <w:sz w:val="20"/>
          <w:szCs w:val="20"/>
          <w:color w:val="auto"/>
        </w:rPr>
      </w:pPr>
    </w:p>
    <w:p>
      <w:pPr>
        <w:ind w:left="1500" w:right="30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E-1</w:t>
        <w:tab/>
        <w:t>Form of United States Tax Compliance Certificate (For Non-U.S. Lenders That Are Not Partnerships For U.S. Federal Income Tax Purposes)</w:t>
      </w:r>
    </w:p>
    <w:p>
      <w:pPr>
        <w:spacing w:after="0" w:line="1" w:lineRule="exact"/>
        <w:rPr>
          <w:sz w:val="20"/>
          <w:szCs w:val="20"/>
          <w:color w:val="auto"/>
        </w:rPr>
      </w:pPr>
    </w:p>
    <w:p>
      <w:pPr>
        <w:ind w:left="150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E-2</w:t>
        <w:tab/>
        <w:t>Form of United States Tax Compliance Certificate (For Non-U.S. Lenders That Are Partnerships For U.S. Federal Income Tax Purposes)</w:t>
      </w:r>
    </w:p>
    <w:p>
      <w:pPr>
        <w:spacing w:after="0" w:line="1" w:lineRule="exact"/>
        <w:rPr>
          <w:sz w:val="20"/>
          <w:szCs w:val="20"/>
          <w:color w:val="auto"/>
        </w:rPr>
      </w:pPr>
    </w:p>
    <w:p>
      <w:pPr>
        <w:ind w:left="1500" w:hanging="1943"/>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Exhibit E-3</w:t>
        <w:tab/>
        <w:t>Form of United States Tax Compliance Certificate (For Non-U.S. Participants That Are Not Partnerships For U.S. Federal Income Tax Purposes)</w:t>
      </w:r>
    </w:p>
    <w:p>
      <w:pPr>
        <w:ind w:left="1500" w:right="340" w:hanging="1943"/>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Exhibit E-4</w:t>
        <w:tab/>
        <w:t>Form of United States Tax Compliance Certificate (For Non-U.S. Participants That Are Partnerships For U.S. Federal Income Tax Purposes)</w:t>
      </w:r>
    </w:p>
    <w:p>
      <w:pPr>
        <w:spacing w:after="0" w:line="1" w:lineRule="exact"/>
        <w:rPr>
          <w:sz w:val="20"/>
          <w:szCs w:val="20"/>
          <w:color w:val="auto"/>
        </w:rPr>
      </w:pPr>
    </w:p>
    <w:p>
      <w:pPr>
        <w:ind w:left="340"/>
        <w:spacing w:after="0"/>
        <w:tabs>
          <w:tab w:leader="none" w:pos="130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Notice of Continuation/Conversion</w:t>
      </w:r>
    </w:p>
    <w:p>
      <w:pPr>
        <w:spacing w:after="0" w:line="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Form of Acceptance and Prepayment Notice</w:t>
      </w:r>
    </w:p>
    <w:p>
      <w:pPr>
        <w:sectPr>
          <w:pgSz w:w="11900" w:h="16838" w:orient="portrait"/>
          <w:cols w:equalWidth="0" w:num="1">
            <w:col w:w="11160"/>
          </w:cols>
          <w:pgMar w:left="320" w:top="139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160"/>
          </w:cols>
          <w:pgMar w:left="320" w:top="1394" w:right="419" w:bottom="1440" w:gutter="0" w:footer="0" w:header="0"/>
          <w:type w:val="continuous"/>
        </w:sectPr>
      </w:pPr>
    </w:p>
    <w:bookmarkStart w:id="570" w:name="page571"/>
    <w:bookmarkEnd w:id="570"/>
    <w:p>
      <w:pPr>
        <w:spacing w:after="0" w:line="200" w:lineRule="exact"/>
        <w:rPr>
          <w:sz w:val="20"/>
          <w:szCs w:val="20"/>
          <w:color w:val="auto"/>
        </w:rPr>
      </w:pPr>
    </w:p>
    <w:p>
      <w:pPr>
        <w:spacing w:after="0" w:line="2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auto"/>
        </w:rPr>
        <w:t>THIS CREDIT AGREEMENT, dated as of March 12, 2025, among MICRON TECHNOLOGY,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HSBC BANK USA, NATIONAL ASSOCIATION (“</w:t>
      </w:r>
      <w:r>
        <w:rPr>
          <w:rFonts w:ascii="Times New Roman" w:cs="Times New Roman" w:eastAsia="Times New Roman" w:hAnsi="Times New Roman"/>
          <w:sz w:val="20"/>
          <w:szCs w:val="20"/>
          <w:u w:val="single" w:color="auto"/>
          <w:color w:val="auto"/>
        </w:rPr>
        <w:t>HSBC</w:t>
      </w:r>
      <w:r>
        <w:rPr>
          <w:rFonts w:ascii="Times New Roman" w:cs="Times New Roman" w:eastAsia="Times New Roman" w:hAnsi="Times New Roman"/>
          <w:sz w:val="20"/>
          <w:szCs w:val="20"/>
          <w:color w:val="auto"/>
        </w:rPr>
        <w:t>”), as administrative agent (in such capacity and including any successors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other agents party hereto and each of the financial institutions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80" w:firstLine="648"/>
        <w:spacing w:after="0" w:line="283" w:lineRule="auto"/>
        <w:rPr>
          <w:sz w:val="20"/>
          <w:szCs w:val="20"/>
          <w:color w:val="auto"/>
        </w:rPr>
      </w:pPr>
      <w:r>
        <w:rPr>
          <w:rFonts w:ascii="Times New Roman" w:cs="Times New Roman" w:eastAsia="Times New Roman" w:hAnsi="Times New Roman"/>
          <w:sz w:val="20"/>
          <w:szCs w:val="20"/>
          <w:color w:val="auto"/>
        </w:rPr>
        <w:t>WHEREAS, the Borrower intends to use the Loans (as defined below) to refinance amounts outstanding under the Existing Credit Agreement and for general corporate purposes.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hereby agree as follows:</w:t>
      </w:r>
    </w:p>
    <w:p>
      <w:pPr>
        <w:spacing w:after="0" w:line="19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Section 1</w:t>
      </w:r>
    </w:p>
    <w:p>
      <w:pPr>
        <w:ind w:left="51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shall have the meanings specified below:</w:t>
      </w:r>
    </w:p>
    <w:p>
      <w:pPr>
        <w:spacing w:after="0" w:line="20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for purposes of any calculation, the rate per annum equal to (a) Term SOFR for such calculation plus (b) the Term SOFR Adjustment; provided that if Adjusted Term SOFR as so determined shall ever be less than the Floor, then Adjusted Term SOFR shall be deemed to be equal to the Floor for purposes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the meaning set forth in the preamble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the meaning set forth in the preamble to this Agreement.</w:t>
      </w:r>
    </w:p>
    <w:p>
      <w:pPr>
        <w:spacing w:after="0" w:line="229"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this Credit Agreement, as the same may be amended, restated, amended and restated, supplemented or otherwise modified from time to time.</w:t>
      </w:r>
    </w:p>
    <w:p>
      <w:pPr>
        <w:spacing w:after="0" w:line="14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w:t>
      </w:r>
    </w:p>
    <w:p>
      <w:pPr>
        <w:spacing w:after="0" w:line="28"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Subsidiaries from time to time concerning or relating to bribery or corruption, including, without limitation, the Foreign Corrupt Practices Act of 1977, as amended.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with respect to the Revolving Loans, for any day, with respect to any SOFR Loan or any Base Rate Loan, as the case may be, the applicable rate per annum set forth below under the caption “Adjusted Term SOFR Spread” or “Base Rate Spread”, as the case may be, corresponding to the applicable Corporate Ratings from the Rating Agencies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3" w:lineRule="exact"/>
        <w:rPr>
          <w:sz w:val="20"/>
          <w:szCs w:val="20"/>
          <w:color w:val="auto"/>
        </w:rPr>
      </w:pPr>
    </w:p>
    <w:tbl>
      <w:tblPr>
        <w:tblLayout w:type="fixed"/>
        <w:tblInd w:w="1670" w:type="dxa"/>
        <w:tblCellMar>
          <w:top w:w="0" w:type="dxa"/>
          <w:left w:w="0" w:type="dxa"/>
          <w:bottom w:w="0" w:type="dxa"/>
          <w:right w:w="0" w:type="dxa"/>
        </w:tblCellMar>
      </w:tblPr>
      <w:tr>
        <w:trPr>
          <w:trHeight w:val="207"/>
        </w:trPr>
        <w:tc>
          <w:tcPr>
            <w:tcW w:w="126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Pricing Level:</w:t>
            </w: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right w:val="single" w:sz="8" w:color="auto"/>
            </w:tcBorders>
            <w:gridSpan w:val="2"/>
            <w:vMerge w:val="restart"/>
          </w:tcPr>
          <w:p>
            <w:pPr>
              <w:jc w:val="center"/>
              <w:ind w:right="41"/>
              <w:spacing w:after="0"/>
              <w:rPr>
                <w:sz w:val="20"/>
                <w:szCs w:val="20"/>
                <w:color w:val="auto"/>
              </w:rPr>
            </w:pPr>
            <w:r>
              <w:rPr>
                <w:rFonts w:ascii="Times New Roman" w:cs="Times New Roman" w:eastAsia="Times New Roman" w:hAnsi="Times New Roman"/>
                <w:sz w:val="20"/>
                <w:szCs w:val="20"/>
                <w:color w:val="auto"/>
                <w:w w:val="98"/>
              </w:rPr>
              <w:t>Corporate Ratings:</w:t>
            </w:r>
          </w:p>
        </w:tc>
        <w:tc>
          <w:tcPr>
            <w:tcW w:w="166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6"/>
              </w:rPr>
              <w:t>Adjusted Term</w:t>
            </w:r>
          </w:p>
        </w:tc>
        <w:tc>
          <w:tcPr>
            <w:tcW w:w="126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Base Rate</w:t>
            </w:r>
          </w:p>
        </w:tc>
        <w:tc>
          <w:tcPr>
            <w:tcW w:w="0" w:type="dxa"/>
            <w:vAlign w:val="bottom"/>
          </w:tcPr>
          <w:p>
            <w:pPr>
              <w:spacing w:after="0"/>
              <w:rPr>
                <w:sz w:val="1"/>
                <w:szCs w:val="1"/>
                <w:color w:val="auto"/>
              </w:rPr>
            </w:pPr>
          </w:p>
        </w:tc>
      </w:tr>
      <w:tr>
        <w:trPr>
          <w:trHeight w:val="252"/>
        </w:trPr>
        <w:tc>
          <w:tcPr>
            <w:tcW w:w="12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gridSpan w:val="2"/>
            <w:vMerge w:val="continue"/>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SOFR Spread</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Spread</w:t>
            </w: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Level 1</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8"/>
              </w:rPr>
              <w:t>≥ A- / A3 / A-</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0.875%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0.000%</w:t>
            </w:r>
          </w:p>
        </w:tc>
        <w:tc>
          <w:tcPr>
            <w:tcW w:w="0" w:type="dxa"/>
            <w:vAlign w:val="bottom"/>
          </w:tcPr>
          <w:p>
            <w:pPr>
              <w:spacing w:after="0"/>
              <w:rPr>
                <w:sz w:val="1"/>
                <w:szCs w:val="1"/>
                <w:color w:val="auto"/>
              </w:rPr>
            </w:pPr>
          </w:p>
        </w:tc>
      </w:tr>
      <w:tr>
        <w:trPr>
          <w:trHeight w:val="187"/>
        </w:trPr>
        <w:tc>
          <w:tcPr>
            <w:tcW w:w="12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right w:val="single" w:sz="8" w:color="auto"/>
            </w:tcBorders>
          </w:tcPr>
          <w:p>
            <w:pPr>
              <w:jc w:val="center"/>
              <w:ind w:right="61"/>
              <w:spacing w:after="0" w:line="186" w:lineRule="exact"/>
              <w:rPr>
                <w:sz w:val="20"/>
                <w:szCs w:val="20"/>
                <w:color w:val="auto"/>
              </w:rPr>
            </w:pPr>
            <w:r>
              <w:rPr>
                <w:rFonts w:ascii="Times New Roman" w:cs="Times New Roman" w:eastAsia="Times New Roman" w:hAnsi="Times New Roman"/>
                <w:sz w:val="20"/>
                <w:szCs w:val="20"/>
                <w:color w:val="auto"/>
                <w:w w:val="99"/>
              </w:rPr>
              <w:t>BBB+ / Baa1 /</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0.000%</w:t>
            </w:r>
          </w:p>
        </w:tc>
        <w:tc>
          <w:tcPr>
            <w:tcW w:w="0" w:type="dxa"/>
            <w:vAlign w:val="bottom"/>
          </w:tcPr>
          <w:p>
            <w:pPr>
              <w:spacing w:after="0"/>
              <w:rPr>
                <w:sz w:val="1"/>
                <w:szCs w:val="1"/>
                <w:color w:val="auto"/>
              </w:rPr>
            </w:pPr>
          </w:p>
        </w:tc>
      </w:tr>
      <w:tr>
        <w:trPr>
          <w:trHeight w:val="150"/>
        </w:trPr>
        <w:tc>
          <w:tcPr>
            <w:tcW w:w="126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right w:val="single" w:sz="8" w:color="auto"/>
            </w:tcBorders>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w w:val="97"/>
              </w:rPr>
              <w:t>BBB+</w:t>
            </w:r>
          </w:p>
        </w:tc>
        <w:tc>
          <w:tcPr>
            <w:tcW w:w="1660" w:type="dxa"/>
            <w:vAlign w:val="bottom"/>
            <w:tcBorders>
              <w:right w:val="single" w:sz="8" w:color="auto"/>
            </w:tcBorders>
            <w:vMerge w:val="continue"/>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vMerge w:val="continue"/>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Level 3</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20"/>
                <w:szCs w:val="20"/>
                <w:color w:val="auto"/>
                <w:w w:val="98"/>
              </w:rPr>
              <w:t>BBB / Baa2 / BBB</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0.125%</w:t>
            </w: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Level 4</w:t>
            </w:r>
          </w:p>
        </w:tc>
        <w:tc>
          <w:tcPr>
            <w:tcW w:w="18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BBB- / Baa3 / BBB-</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0"/>
              </w:rPr>
              <w:t>&lt;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BB+ / Ba1 / BB+</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1.500%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71"/>
        </w:trPr>
        <w:tc>
          <w:tcPr>
            <w:tcW w:w="12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vMerge w:val="continue"/>
          </w:tcPr>
          <w:p>
            <w:pPr>
              <w:spacing w:after="0"/>
              <w:rPr>
                <w:sz w:val="6"/>
                <w:szCs w:val="6"/>
                <w:color w:val="auto"/>
              </w:rPr>
            </w:pPr>
          </w:p>
        </w:tc>
        <w:tc>
          <w:tcPr>
            <w:tcW w:w="166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For purposes of the foregoing, (i) if only one Corporate Rating is in effect, the Applicable Margin shall be determined by reference to such available Corporate Rating, (ii)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6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Each change in the Applicable Margin shall apply during the period commencing on the effective date of such change and ending on the date immediately preceding the effective date of the next Corporate Rating change.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Communication</w:t>
      </w:r>
      <w:r>
        <w:rPr>
          <w:rFonts w:ascii="Times New Roman" w:cs="Times New Roman" w:eastAsia="Times New Roman" w:hAnsi="Times New Roman"/>
          <w:sz w:val="20"/>
          <w:szCs w:val="20"/>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9.6(b)(ii)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each of the Lead Arrangers.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9.6(b)(i)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7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an assignment and acceptance entered into by a Lender and an Assignee and accepted by the Administrative Agent to the extent required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7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in connection with a sale and lease-back transaction the lesser of: (1) the fair value of the assets subject to such transaction, as determined in good faith by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72" w:name="page573"/>
    <w:bookmarkEnd w:id="572"/>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the period from and including the Closing Date to but excluding the earlier of the Revolving Maturity Date and the date of termination of the Revolving Commitments.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w:t>
      </w:r>
    </w:p>
    <w:p>
      <w:pPr>
        <w:spacing w:after="0" w:line="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the United States Bankruptcy Code, codified as Title 11, U.S. Code §101-1330, as amended.</w:t>
      </w:r>
    </w:p>
    <w:p>
      <w:pPr>
        <w:spacing w:after="0" w:line="2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for any day, a rate per annum equal to the greatest of (a) the Prime Rate in effect on such day, (b) the NYFRB Rate in effect on such day plus ½ of 1% and (c) Adjusted Term SOFR for a one month Interest Period on such day plus 1%. Any change in the Base Rate due to a change in the Prime Rate, the NYFRB Rate or the Adjusted Term SOFR shall be effective from and including the effective date of such change in the Prime Rate, the NYFRB Rate or the Adjusted Term SOFR , respectively. If the Base Rate is being used as an alternate rate of interest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Loans the rate of interest applicable to which is based upon the Base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Revolving Borrowing</w:t>
      </w:r>
      <w:r>
        <w:rPr>
          <w:rFonts w:ascii="Times New Roman" w:cs="Times New Roman" w:eastAsia="Times New Roman" w:hAnsi="Times New Roman"/>
          <w:sz w:val="20"/>
          <w:szCs w:val="20"/>
          <w:color w:val="auto"/>
        </w:rPr>
        <w:t>”: a Borrowing of Revolving Loans that are Base Rate Loans.</w:t>
      </w:r>
    </w:p>
    <w:p>
      <w:pPr>
        <w:spacing w:after="0" w:line="229" w:lineRule="exact"/>
        <w:rPr>
          <w:sz w:val="20"/>
          <w:szCs w:val="20"/>
          <w:color w:val="auto"/>
        </w:rPr>
      </w:pPr>
    </w:p>
    <w:p>
      <w:pPr>
        <w:jc w:val="both"/>
        <w:ind w:right="16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initially, the Term SOFR Reference Rate; provided that if a Benchmark Transition Event and the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2" w:right="339" w:bottom="1440" w:gutter="0" w:footer="0" w:header="0"/>
        </w:sectPr>
      </w:pPr>
    </w:p>
    <w:bookmarkStart w:id="573" w:name="page574"/>
    <w:bookmarkEnd w:id="57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for any Available Tenor, the first alternative set forth in the order below that can be determined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for the applicable Benchmark Replacement Date:</w:t>
      </w:r>
    </w:p>
    <w:p>
      <w:pPr>
        <w:spacing w:after="0" w:line="200" w:lineRule="exact"/>
        <w:rPr>
          <w:sz w:val="20"/>
          <w:szCs w:val="20"/>
          <w:color w:val="auto"/>
        </w:rPr>
      </w:pPr>
    </w:p>
    <w:p>
      <w:pPr>
        <w:ind w:left="940" w:hanging="284"/>
        <w:spacing w:after="0"/>
        <w:tabs>
          <w:tab w:leader="none" w:pos="940" w:val="left"/>
        </w:tabs>
        <w:numPr>
          <w:ilvl w:val="0"/>
          <w:numId w:val="7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Daily Simple SOFR and (b) the related Benchmark Replacement Adjustment;</w:t>
      </w:r>
    </w:p>
    <w:p>
      <w:pPr>
        <w:spacing w:after="0" w:line="229" w:lineRule="exact"/>
        <w:rPr>
          <w:rFonts w:ascii="Times New Roman" w:cs="Times New Roman" w:eastAsia="Times New Roman" w:hAnsi="Times New Roman"/>
          <w:sz w:val="20"/>
          <w:szCs w:val="20"/>
          <w:color w:val="auto"/>
        </w:rPr>
      </w:pPr>
    </w:p>
    <w:p>
      <w:pPr>
        <w:ind w:right="120" w:firstLine="656"/>
        <w:spacing w:after="0" w:line="253" w:lineRule="auto"/>
        <w:tabs>
          <w:tab w:leader="none" w:pos="928" w:val="left"/>
        </w:tabs>
        <w:numPr>
          <w:ilvl w:val="0"/>
          <w:numId w:val="7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92"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with respect to any replacement of the then current Benchmark with an Unadjusted Benchmark Replacement for any applicable Interest Period and Available Tenor for any setting of such Unadjusted Benchmark Replacement:</w:t>
      </w:r>
    </w:p>
    <w:p>
      <w:pPr>
        <w:spacing w:after="0" w:line="124" w:lineRule="exact"/>
        <w:rPr>
          <w:sz w:val="20"/>
          <w:szCs w:val="20"/>
          <w:color w:val="auto"/>
        </w:rPr>
      </w:pPr>
    </w:p>
    <w:p>
      <w:pPr>
        <w:ind w:right="20" w:firstLine="656"/>
        <w:spacing w:after="0" w:line="283" w:lineRule="auto"/>
        <w:tabs>
          <w:tab w:leader="none" w:pos="928" w:val="left"/>
        </w:tabs>
        <w:numPr>
          <w:ilvl w:val="0"/>
          <w:numId w:val="7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 (1) of the definition of “Benchmark Replacement,” the first alternative set forth in the order below that can be determined by the Administrative Agent:</w:t>
      </w:r>
    </w:p>
    <w:p>
      <w:pPr>
        <w:spacing w:after="0" w:line="146" w:lineRule="exact"/>
        <w:rPr>
          <w:sz w:val="20"/>
          <w:szCs w:val="20"/>
          <w:color w:val="auto"/>
        </w:rPr>
      </w:pPr>
    </w:p>
    <w:p>
      <w:pPr>
        <w:ind w:right="160" w:firstLine="656"/>
        <w:spacing w:after="0" w:line="258" w:lineRule="auto"/>
        <w:tabs>
          <w:tab w:leader="none" w:pos="1065" w:val="left"/>
        </w:tabs>
        <w:numPr>
          <w:ilvl w:val="0"/>
          <w:numId w:val="7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5" w:lineRule="exact"/>
        <w:rPr>
          <w:rFonts w:ascii="Times New Roman" w:cs="Times New Roman" w:eastAsia="Times New Roman" w:hAnsi="Times New Roman"/>
          <w:sz w:val="20"/>
          <w:szCs w:val="20"/>
          <w:color w:val="auto"/>
        </w:rPr>
      </w:pPr>
    </w:p>
    <w:p>
      <w:pPr>
        <w:ind w:right="560" w:firstLine="656"/>
        <w:spacing w:after="0" w:line="281" w:lineRule="auto"/>
        <w:tabs>
          <w:tab w:leader="none" w:pos="1077" w:val="left"/>
        </w:tabs>
        <w:numPr>
          <w:ilvl w:val="0"/>
          <w:numId w:val="7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1" w:lineRule="exact"/>
        <w:rPr>
          <w:sz w:val="20"/>
          <w:szCs w:val="20"/>
          <w:color w:val="auto"/>
        </w:rPr>
      </w:pPr>
    </w:p>
    <w:p>
      <w:pPr>
        <w:ind w:right="100" w:firstLine="656"/>
        <w:spacing w:after="0" w:line="253" w:lineRule="auto"/>
        <w:tabs>
          <w:tab w:leader="none" w:pos="1126" w:val="left"/>
        </w:tabs>
        <w:numPr>
          <w:ilvl w:val="0"/>
          <w:numId w:val="7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 (2)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80" w:lineRule="exact"/>
        <w:rPr>
          <w:sz w:val="20"/>
          <w:szCs w:val="20"/>
          <w:color w:val="auto"/>
        </w:rPr>
      </w:pPr>
    </w:p>
    <w:p>
      <w:pPr>
        <w:ind w:right="280" w:firstLine="648"/>
        <w:spacing w:after="0" w:line="31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412" w:right="379" w:bottom="1440" w:gutter="0" w:footer="0" w:header="0"/>
        </w:sectPr>
      </w:pPr>
    </w:p>
    <w:bookmarkStart w:id="574" w:name="page575"/>
    <w:bookmarkEnd w:id="574"/>
    <w:p>
      <w:pPr>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with respect to any Benchmark Replacement and/or any SOFR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243" w:lineRule="exact"/>
        <w:rPr>
          <w:sz w:val="20"/>
          <w:szCs w:val="20"/>
          <w:color w:val="auto"/>
        </w:rPr>
      </w:pPr>
    </w:p>
    <w:p>
      <w:pPr>
        <w:ind w:left="340" w:right="600" w:firstLine="640"/>
        <w:spacing w:after="0" w:line="268" w:lineRule="auto"/>
        <w:tabs>
          <w:tab w:leader="none" w:pos="1300" w:val="left"/>
        </w:tabs>
        <w:numPr>
          <w:ilvl w:val="0"/>
          <w:numId w:val="7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1" w:lineRule="exact"/>
        <w:rPr>
          <w:rFonts w:ascii="Times New Roman" w:cs="Times New Roman" w:eastAsia="Times New Roman" w:hAnsi="Times New Roman"/>
          <w:sz w:val="20"/>
          <w:szCs w:val="20"/>
          <w:color w:val="auto"/>
        </w:rPr>
      </w:pPr>
    </w:p>
    <w:p>
      <w:pPr>
        <w:ind w:left="340" w:right="80" w:firstLine="640"/>
        <w:spacing w:after="0" w:line="283" w:lineRule="auto"/>
        <w:tabs>
          <w:tab w:leader="none" w:pos="1300" w:val="left"/>
        </w:tabs>
        <w:numPr>
          <w:ilvl w:val="0"/>
          <w:numId w:val="7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date of the public statement or publication of information referenced therein;</w:t>
      </w:r>
    </w:p>
    <w:p>
      <w:pPr>
        <w:spacing w:after="0" w:line="200" w:lineRule="exact"/>
        <w:rPr>
          <w:sz w:val="20"/>
          <w:szCs w:val="20"/>
          <w:color w:val="auto"/>
        </w:rPr>
      </w:pPr>
    </w:p>
    <w:p>
      <w:pPr>
        <w:ind w:left="340" w:right="100"/>
        <w:spacing w:after="0" w:line="264"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99"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with respect to any Benchmark, the occurrence of one or more of the following events with respect to the then-current Benchmark:</w:t>
      </w:r>
    </w:p>
    <w:p>
      <w:pPr>
        <w:spacing w:after="0" w:line="186" w:lineRule="exact"/>
        <w:rPr>
          <w:sz w:val="20"/>
          <w:szCs w:val="20"/>
          <w:color w:val="auto"/>
        </w:rPr>
      </w:pPr>
    </w:p>
    <w:p>
      <w:pPr>
        <w:ind w:left="340" w:right="40" w:firstLine="640"/>
        <w:spacing w:after="0" w:line="286" w:lineRule="auto"/>
        <w:tabs>
          <w:tab w:leader="none" w:pos="1300" w:val="left"/>
        </w:tabs>
        <w:numPr>
          <w:ilvl w:val="0"/>
          <w:numId w:val="7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Times New Roman" w:cs="Times New Roman" w:eastAsia="Times New Roman" w:hAnsi="Times New Roman"/>
          <w:sz w:val="19"/>
          <w:szCs w:val="19"/>
          <w:color w:val="auto"/>
        </w:rPr>
      </w:pPr>
    </w:p>
    <w:p>
      <w:pPr>
        <w:ind w:left="340" w:right="40" w:firstLine="640"/>
        <w:spacing w:after="0" w:line="275" w:lineRule="auto"/>
        <w:tabs>
          <w:tab w:leader="none" w:pos="1300" w:val="left"/>
        </w:tabs>
        <w:numPr>
          <w:ilvl w:val="0"/>
          <w:numId w:val="7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the Term SOFR Administrator, an insolvency official with jurisdiction over the administrator for such Benchmark (or such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2" w:right="339" w:bottom="1440" w:gutter="0" w:footer="0" w:header="0"/>
        </w:sectPr>
      </w:pPr>
    </w:p>
    <w:bookmarkStart w:id="575" w:name="page576"/>
    <w:bookmarkEnd w:id="575"/>
    <w:p>
      <w:pPr>
        <w:ind w:left="340" w:right="60"/>
        <w:spacing w:after="0" w:line="281" w:lineRule="auto"/>
        <w:rPr>
          <w:sz w:val="20"/>
          <w:szCs w:val="20"/>
          <w:color w:val="auto"/>
        </w:rPr>
      </w:pPr>
      <w:r>
        <w:rPr>
          <w:rFonts w:ascii="Times New Roman" w:cs="Times New Roman" w:eastAsia="Times New Roman" w:hAnsi="Times New Roman"/>
          <w:sz w:val="19"/>
          <w:szCs w:val="19"/>
          <w:color w:val="auto"/>
        </w:rPr>
        <w:t>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6" w:lineRule="exact"/>
        <w:rPr>
          <w:sz w:val="20"/>
          <w:szCs w:val="20"/>
          <w:color w:val="auto"/>
        </w:rPr>
      </w:pPr>
    </w:p>
    <w:p>
      <w:pPr>
        <w:ind w:left="340" w:right="20" w:firstLine="640"/>
        <w:spacing w:after="0" w:line="268" w:lineRule="auto"/>
        <w:tabs>
          <w:tab w:leader="none" w:pos="1300" w:val="left"/>
        </w:tabs>
        <w:numPr>
          <w:ilvl w:val="0"/>
          <w:numId w:val="7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15" w:lineRule="exact"/>
        <w:rPr>
          <w:sz w:val="20"/>
          <w:szCs w:val="20"/>
          <w:color w:val="auto"/>
        </w:rPr>
      </w:pPr>
    </w:p>
    <w:p>
      <w:pPr>
        <w:ind w:left="340" w:right="80"/>
        <w:spacing w:after="0" w:line="268"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9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a certification regarding beneficial ownership as required by the Beneficial Ownership Regulation.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31 C.F.R. § 1010.230.</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the board of directors of the Borrower or any committee thereof duly authorized to act on behalf of such board.</w:t>
      </w:r>
    </w:p>
    <w:p>
      <w:pPr>
        <w:spacing w:after="0" w:line="241"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Governors</w:t>
      </w:r>
      <w:r>
        <w:rPr>
          <w:rFonts w:ascii="Times New Roman" w:cs="Times New Roman" w:eastAsia="Times New Roman" w:hAnsi="Times New Roman"/>
          <w:sz w:val="20"/>
          <w:szCs w:val="20"/>
          <w:color w:val="auto"/>
        </w:rPr>
        <w:t>”: the Board of Governors of the Federal Reserve System of the United States or any Governmental Authority which succeeds to the powers and functions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meaning set forth in the preamble to this Agreement.</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Loans of the same Type, made, converted or continued on the same date and, in the case of SOFR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26" w:right="359" w:bottom="1440" w:gutter="0" w:footer="0" w:header="0"/>
        </w:sectPr>
      </w:pPr>
    </w:p>
    <w:bookmarkStart w:id="576" w:name="page577"/>
    <w:bookmarkEnd w:id="576"/>
    <w:p>
      <w:pPr>
        <w:ind w:right="4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the Business Day specified in a Borrowing Request as a date on which the Borrower requests the making of Loans hereunder.</w:t>
      </w:r>
    </w:p>
    <w:p>
      <w:pPr>
        <w:spacing w:after="0" w:line="146"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a request by the Borrower for a Borrowing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approved by the Administrative Agent.</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any day other than a Legal Holiday; provided that, in addition to the foregoing, a Business Day shall be, in relation to a Loan referencing the Adjusted Term SOFR any interest rate settings, fundings, disbursements, settlements or payments of any such Loans referencing the Adjusted Term SOFR or any other dealings of such Loans referencing the Adjusted Term SOFR Rate, any such day that is a U.S. Government Securities Business Day.</w:t>
      </w:r>
    </w:p>
    <w:p>
      <w:pPr>
        <w:spacing w:after="0" w:line="18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w:t>
      </w:r>
    </w:p>
    <w:p>
      <w:pPr>
        <w:spacing w:after="0" w:line="7" w:lineRule="exact"/>
        <w:rPr>
          <w:sz w:val="20"/>
          <w:szCs w:val="20"/>
          <w:color w:val="auto"/>
        </w:rPr>
      </w:pPr>
    </w:p>
    <w:p>
      <w:pPr>
        <w:ind w:right="680" w:firstLine="8"/>
        <w:spacing w:after="0" w:line="267" w:lineRule="auto"/>
        <w:tabs>
          <w:tab w:leader="none" w:pos="341" w:val="left"/>
        </w:tabs>
        <w:numPr>
          <w:ilvl w:val="0"/>
          <w:numId w:val="7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following that transaction no “person” or “group” (other than a holding company satisfying the requirements of this sentence) is the beneficial owner, directly or indirectly, of more than 50% of the Voting Stock of such holding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any charge, expense, cost, accrual or reserve of any kind.</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Loans made pursuant to Commitments with a like maturity date, and when used in reference to Lenders refers to Lenders making the same Class of Loans.</w:t>
      </w:r>
    </w:p>
    <w:p>
      <w:pPr>
        <w:spacing w:after="0" w:line="154"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the date on which the conditions precedent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have been satisfied or waived, which date is March 12, 2025.</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with respect to any Lender, each Revolving Commitment or Incremental Revolving Commitment, if any,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12" w:right="359" w:bottom="1440" w:gutter="0" w:footer="0" w:header="0"/>
        </w:sectPr>
      </w:pPr>
    </w:p>
    <w:bookmarkStart w:id="577" w:name="page578"/>
    <w:bookmarkEnd w:id="577"/>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Percentage</w:t>
      </w:r>
      <w:r>
        <w:rPr>
          <w:rFonts w:ascii="Times New Roman" w:cs="Times New Roman" w:eastAsia="Times New Roman" w:hAnsi="Times New Roman"/>
          <w:sz w:val="20"/>
          <w:szCs w:val="20"/>
          <w:color w:val="auto"/>
        </w:rPr>
        <w:t>”: the applicable rate per annum set forth below under the caption “Commitment Fee Percentage” corresponding to the Corporate Ratings from the Rating Agencies applicable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10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Pricing</w:t>
            </w:r>
          </w:p>
        </w:tc>
        <w:tc>
          <w:tcPr>
            <w:tcW w:w="240" w:type="dxa"/>
            <w:vAlign w:val="bottom"/>
          </w:tcPr>
          <w:p>
            <w:pPr>
              <w:spacing w:after="0"/>
              <w:rPr>
                <w:sz w:val="19"/>
                <w:szCs w:val="19"/>
                <w:color w:val="auto"/>
              </w:rPr>
            </w:pPr>
          </w:p>
        </w:tc>
        <w:tc>
          <w:tcPr>
            <w:tcW w:w="186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20"/>
                <w:szCs w:val="20"/>
                <w:color w:val="auto"/>
                <w:w w:val="98"/>
              </w:rPr>
              <w:t>Corporate Ratings:</w:t>
            </w:r>
          </w:p>
        </w:tc>
        <w:tc>
          <w:tcPr>
            <w:tcW w:w="21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Commitment Fee</w:t>
            </w:r>
          </w:p>
        </w:tc>
        <w:tc>
          <w:tcPr>
            <w:tcW w:w="0" w:type="dxa"/>
            <w:vAlign w:val="bottom"/>
          </w:tcPr>
          <w:p>
            <w:pPr>
              <w:spacing w:after="0"/>
              <w:rPr>
                <w:sz w:val="1"/>
                <w:szCs w:val="1"/>
                <w:color w:val="auto"/>
              </w:rPr>
            </w:pPr>
          </w:p>
        </w:tc>
      </w:tr>
      <w:tr>
        <w:trPr>
          <w:trHeight w:val="252"/>
        </w:trPr>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Level:</w:t>
            </w: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vMerge w:val="continue"/>
          </w:tcPr>
          <w:p>
            <w:pPr>
              <w:spacing w:after="0"/>
              <w:rPr>
                <w:sz w:val="21"/>
                <w:szCs w:val="21"/>
                <w:color w:val="auto"/>
              </w:rPr>
            </w:pPr>
          </w:p>
        </w:tc>
        <w:tc>
          <w:tcPr>
            <w:tcW w:w="21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Percentage</w:t>
            </w:r>
          </w:p>
        </w:tc>
        <w:tc>
          <w:tcPr>
            <w:tcW w:w="0" w:type="dxa"/>
            <w:vAlign w:val="bottom"/>
          </w:tcPr>
          <w:p>
            <w:pPr>
              <w:spacing w:after="0"/>
              <w:rPr>
                <w:sz w:val="1"/>
                <w:szCs w:val="1"/>
                <w:color w:val="auto"/>
              </w:rPr>
            </w:pPr>
          </w:p>
        </w:tc>
      </w:tr>
      <w:tr>
        <w:trPr>
          <w:trHeight w:val="241"/>
        </w:trPr>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Level 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rPr>
              <w:t>≥ A- / A3 / A-</w:t>
            </w:r>
          </w:p>
        </w:tc>
        <w:tc>
          <w:tcPr>
            <w:tcW w:w="21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rPr>
              <w:t>0.075%</w:t>
            </w:r>
          </w:p>
        </w:tc>
        <w:tc>
          <w:tcPr>
            <w:tcW w:w="0" w:type="dxa"/>
            <w:vAlign w:val="bottom"/>
          </w:tcPr>
          <w:p>
            <w:pPr>
              <w:spacing w:after="0"/>
              <w:rPr>
                <w:sz w:val="1"/>
                <w:szCs w:val="1"/>
                <w:color w:val="auto"/>
              </w:rPr>
            </w:pPr>
          </w:p>
        </w:tc>
      </w:tr>
      <w:tr>
        <w:trPr>
          <w:trHeight w:val="203"/>
        </w:trPr>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Level 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ind w:right="341"/>
              <w:spacing w:after="0" w:line="203" w:lineRule="exact"/>
              <w:rPr>
                <w:sz w:val="20"/>
                <w:szCs w:val="20"/>
                <w:color w:val="auto"/>
              </w:rPr>
            </w:pPr>
            <w:r>
              <w:rPr>
                <w:rFonts w:ascii="Times New Roman" w:cs="Times New Roman" w:eastAsia="Times New Roman" w:hAnsi="Times New Roman"/>
                <w:sz w:val="20"/>
                <w:szCs w:val="20"/>
                <w:color w:val="auto"/>
                <w:w w:val="99"/>
              </w:rPr>
              <w:t>BBB+ / Baa1 /</w:t>
            </w:r>
          </w:p>
        </w:tc>
        <w:tc>
          <w:tcPr>
            <w:tcW w:w="210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color w:val="auto"/>
              </w:rPr>
              <w:t>0.100%</w:t>
            </w:r>
          </w:p>
        </w:tc>
        <w:tc>
          <w:tcPr>
            <w:tcW w:w="0" w:type="dxa"/>
            <w:vAlign w:val="bottom"/>
          </w:tcPr>
          <w:p>
            <w:pPr>
              <w:spacing w:after="0"/>
              <w:rPr>
                <w:sz w:val="1"/>
                <w:szCs w:val="1"/>
                <w:color w:val="auto"/>
              </w:rPr>
            </w:pPr>
          </w:p>
        </w:tc>
      </w:tr>
      <w:tr>
        <w:trPr>
          <w:trHeight w:val="150"/>
        </w:trPr>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vMerge w:val="restart"/>
          </w:tcPr>
          <w:p>
            <w:pPr>
              <w:jc w:val="center"/>
              <w:ind w:right="381"/>
              <w:spacing w:after="0"/>
              <w:rPr>
                <w:sz w:val="20"/>
                <w:szCs w:val="20"/>
                <w:color w:val="auto"/>
              </w:rPr>
            </w:pPr>
            <w:r>
              <w:rPr>
                <w:rFonts w:ascii="Times New Roman" w:cs="Times New Roman" w:eastAsia="Times New Roman" w:hAnsi="Times New Roman"/>
                <w:sz w:val="20"/>
                <w:szCs w:val="20"/>
                <w:color w:val="auto"/>
                <w:w w:val="97"/>
              </w:rPr>
              <w:t>BBB+</w:t>
            </w: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Level 3</w:t>
            </w:r>
          </w:p>
        </w:tc>
        <w:tc>
          <w:tcPr>
            <w:tcW w:w="240" w:type="dxa"/>
            <w:vAlign w:val="bottom"/>
          </w:tcPr>
          <w:p>
            <w:pPr>
              <w:spacing w:after="0"/>
              <w:rPr>
                <w:sz w:val="22"/>
                <w:szCs w:val="22"/>
                <w:color w:val="auto"/>
              </w:rPr>
            </w:pPr>
          </w:p>
        </w:tc>
        <w:tc>
          <w:tcPr>
            <w:tcW w:w="1860" w:type="dxa"/>
            <w:vAlign w:val="bottom"/>
            <w:gridSpan w:val="2"/>
          </w:tcPr>
          <w:p>
            <w:pPr>
              <w:jc w:val="center"/>
              <w:ind w:right="221"/>
              <w:spacing w:after="0"/>
              <w:rPr>
                <w:sz w:val="20"/>
                <w:szCs w:val="20"/>
                <w:color w:val="auto"/>
              </w:rPr>
            </w:pPr>
            <w:r>
              <w:rPr>
                <w:rFonts w:ascii="Times New Roman" w:cs="Times New Roman" w:eastAsia="Times New Roman" w:hAnsi="Times New Roman"/>
                <w:sz w:val="20"/>
                <w:szCs w:val="20"/>
                <w:color w:val="auto"/>
                <w:w w:val="98"/>
              </w:rPr>
              <w:t>BBB / Baa2 / BBB</w:t>
            </w:r>
          </w:p>
        </w:tc>
        <w:tc>
          <w:tcPr>
            <w:tcW w:w="21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rPr>
              <w:t>0.125%</w:t>
            </w:r>
          </w:p>
        </w:tc>
        <w:tc>
          <w:tcPr>
            <w:tcW w:w="0" w:type="dxa"/>
            <w:vAlign w:val="bottom"/>
          </w:tcPr>
          <w:p>
            <w:pPr>
              <w:spacing w:after="0"/>
              <w:rPr>
                <w:sz w:val="1"/>
                <w:szCs w:val="1"/>
                <w:color w:val="auto"/>
              </w:rPr>
            </w:pPr>
          </w:p>
        </w:tc>
      </w:tr>
      <w:tr>
        <w:trPr>
          <w:trHeight w:val="258"/>
        </w:trPr>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Level 4</w:t>
            </w: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BBB- / Baa3 / BBB-</w:t>
            </w:r>
          </w:p>
        </w:tc>
        <w:tc>
          <w:tcPr>
            <w:tcW w:w="21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rPr>
              <w:t>0.150%</w:t>
            </w:r>
          </w:p>
        </w:tc>
        <w:tc>
          <w:tcPr>
            <w:tcW w:w="0" w:type="dxa"/>
            <w:vAlign w:val="bottom"/>
          </w:tcPr>
          <w:p>
            <w:pPr>
              <w:spacing w:after="0"/>
              <w:rPr>
                <w:sz w:val="1"/>
                <w:szCs w:val="1"/>
                <w:color w:val="auto"/>
              </w:rPr>
            </w:pPr>
          </w:p>
        </w:tc>
      </w:tr>
      <w:tr>
        <w:trPr>
          <w:trHeight w:val="237"/>
        </w:trPr>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Level 5</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88"/>
              </w:rPr>
              <w:t>&lt;</w:t>
            </w:r>
          </w:p>
        </w:tc>
        <w:tc>
          <w:tcPr>
            <w:tcW w:w="1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BB+ / Ba1 / BB+</w:t>
            </w:r>
          </w:p>
        </w:tc>
        <w:tc>
          <w:tcPr>
            <w:tcW w:w="210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color w:val="auto"/>
              </w:rPr>
              <w:t>0.225%</w:t>
            </w:r>
          </w:p>
        </w:tc>
        <w:tc>
          <w:tcPr>
            <w:tcW w:w="0" w:type="dxa"/>
            <w:vAlign w:val="bottom"/>
          </w:tcPr>
          <w:p>
            <w:pPr>
              <w:spacing w:after="0"/>
              <w:rPr>
                <w:sz w:val="1"/>
                <w:szCs w:val="1"/>
                <w:color w:val="auto"/>
              </w:rPr>
            </w:pPr>
          </w:p>
        </w:tc>
      </w:tr>
      <w:tr>
        <w:trPr>
          <w:trHeight w:val="67"/>
        </w:trPr>
        <w:tc>
          <w:tcPr>
            <w:tcW w:w="10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For purposes of the foregoing, (i) if only one Corporate Rating is in effect, the Commitment Fee Percentage shall be determined by reference to such available Corporate Rating, (i) if two or three Corporate Ratings are in effect, the Commitment Fee Percentage shall be determined by reference to the highest of the two or three, as applicable, Corporate Ratings unless the other Corporate Rating(s) are more than one notch lower than the highest Corporate Rating, in which case, the Commitment Fee Percentage shall be one notch lower than such highest Corporate Rating; (iii) if no Corporate Rating is in effect, the Commitment Fee Percentage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6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change in the Commitment Fee Percentage shall apply during the period commencing on the effective date of such change and ending on the date immediately preceding the effective date of the next Corporate Rating change.</w:t>
      </w:r>
    </w:p>
    <w:p>
      <w:pPr>
        <w:spacing w:after="0" w:line="13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Commonly Controlled Entity</w:t>
      </w:r>
      <w:r>
        <w:rPr>
          <w:rFonts w:ascii="Times New Roman" w:cs="Times New Roman" w:eastAsia="Times New Roman" w:hAnsi="Times New Roman"/>
          <w:sz w:val="20"/>
          <w:szCs w:val="20"/>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a compliance certificate to be delivered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2" w:right="339" w:bottom="1440" w:gutter="0" w:footer="0" w:header="0"/>
        </w:sectPr>
      </w:pPr>
    </w:p>
    <w:bookmarkStart w:id="578" w:name="page579"/>
    <w:bookmarkEnd w:id="578"/>
    <w:p>
      <w:pPr>
        <w:ind w:right="40"/>
        <w:spacing w:after="0" w:line="253" w:lineRule="auto"/>
        <w:rPr>
          <w:sz w:val="20"/>
          <w:szCs w:val="20"/>
          <w:color w:val="auto"/>
        </w:rPr>
      </w:pPr>
      <w:r>
        <w:rPr>
          <w:rFonts w:ascii="Times New Roman" w:cs="Times New Roman" w:eastAsia="Times New Roman" w:hAnsi="Times New Roman"/>
          <w:sz w:val="20"/>
          <w:szCs w:val="20"/>
          <w:color w:val="auto"/>
        </w:rPr>
        <w:t>such Measurement Period), the following amounts (or, to the 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7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9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Income Tax Expense</w:t>
      </w:r>
      <w:r>
        <w:rPr>
          <w:rFonts w:ascii="Times New Roman" w:cs="Times New Roman" w:eastAsia="Times New Roman" w:hAnsi="Times New Roman"/>
          <w:sz w:val="20"/>
          <w:szCs w:val="20"/>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 (b) interest income of such Person and its Consolidated Subsidiaries for such period determined on a consolidated basis in accordance with GAAP.</w:t>
      </w:r>
    </w:p>
    <w:p>
      <w:pPr>
        <w:spacing w:after="0" w:line="177"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with respect to any Person, for any period, the consolidated net income (or loss) of such Person and its Consolidated Subsidiaries, after deduction of net income (or loss)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2" w:right="339" w:bottom="1440" w:gutter="0" w:footer="0" w:header="0"/>
        </w:sectPr>
      </w:pPr>
    </w:p>
    <w:bookmarkStart w:id="579" w:name="page580"/>
    <w:bookmarkEnd w:id="579"/>
    <w:p>
      <w:pPr>
        <w:ind w:right="20"/>
        <w:spacing w:after="0" w:line="263" w:lineRule="auto"/>
        <w:rPr>
          <w:sz w:val="20"/>
          <w:szCs w:val="20"/>
          <w:color w:val="auto"/>
        </w:rPr>
      </w:pPr>
      <w:r>
        <w:rPr>
          <w:rFonts w:ascii="Times New Roman" w:cs="Times New Roman" w:eastAsia="Times New Roman" w:hAnsi="Times New Roman"/>
          <w:sz w:val="19"/>
          <w:szCs w:val="19"/>
          <w:color w:val="auto"/>
        </w:rPr>
        <w:t>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w:t>
      </w:r>
    </w:p>
    <w:p>
      <w:pPr>
        <w:spacing w:after="0" w:line="4" w:lineRule="exact"/>
        <w:rPr>
          <w:sz w:val="20"/>
          <w:szCs w:val="20"/>
          <w:color w:val="auto"/>
        </w:rPr>
      </w:pPr>
    </w:p>
    <w:p>
      <w:pPr>
        <w:ind w:firstLine="8"/>
        <w:spacing w:after="0" w:line="248" w:lineRule="auto"/>
        <w:tabs>
          <w:tab w:leader="none" w:pos="280" w:val="left"/>
        </w:tabs>
        <w:numPr>
          <w:ilvl w:val="0"/>
          <w:numId w:val="7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198"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Tangible Assets</w:t>
      </w:r>
      <w:r>
        <w:rPr>
          <w:rFonts w:ascii="Times New Roman" w:cs="Times New Roman" w:eastAsia="Times New Roman" w:hAnsi="Times New Roman"/>
          <w:sz w:val="20"/>
          <w:szCs w:val="20"/>
          <w:color w:val="auto"/>
        </w:rPr>
        <w:t>”: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Non-cash Charges</w:t>
      </w:r>
      <w:r>
        <w:rPr>
          <w:rFonts w:ascii="Times New Roman" w:cs="Times New Roman" w:eastAsia="Times New Roman" w:hAnsi="Times New Roman"/>
          <w:sz w:val="20"/>
          <w:szCs w:val="20"/>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92"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Subsidiaries</w:t>
      </w:r>
      <w:r>
        <w:rPr>
          <w:rFonts w:ascii="Times New Roman" w:cs="Times New Roman" w:eastAsia="Times New Roman" w:hAnsi="Times New Roman"/>
          <w:sz w:val="20"/>
          <w:szCs w:val="20"/>
          <w:color w:val="auto"/>
        </w:rPr>
        <w:t>”: as of any date of determination and with respect to any Person, those Subsidiaries of that Person whose financial data is, in accordance with GAAP, reflected in that Person’s consolidated financial statements.</w:t>
      </w:r>
    </w:p>
    <w:p>
      <w:pPr>
        <w:spacing w:after="0" w:line="173"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412" w:right="359" w:bottom="1440" w:gutter="0" w:footer="0" w:header="0"/>
        </w:sectPr>
      </w:pPr>
    </w:p>
    <w:bookmarkStart w:id="580" w:name="page581"/>
    <w:bookmarkEnd w:id="580"/>
    <w:p>
      <w:pPr>
        <w:ind w:right="30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72" w:lineRule="exact"/>
        <w:rPr>
          <w:sz w:val="20"/>
          <w:szCs w:val="20"/>
          <w:color w:val="auto"/>
        </w:rPr>
      </w:pPr>
    </w:p>
    <w:p>
      <w:pPr>
        <w:ind w:right="60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Licenses</w:t>
      </w:r>
      <w:r>
        <w:rPr>
          <w:rFonts w:ascii="Times New Roman" w:cs="Times New Roman" w:eastAsia="Times New Roman" w:hAnsi="Times New Roman"/>
          <w:sz w:val="20"/>
          <w:szCs w:val="20"/>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61"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Rating</w:t>
      </w:r>
      <w:r>
        <w:rPr>
          <w:rFonts w:ascii="Times New Roman" w:cs="Times New Roman" w:eastAsia="Times New Roman" w:hAnsi="Times New Roman"/>
          <w:sz w:val="20"/>
          <w:szCs w:val="20"/>
          <w:color w:val="auto"/>
        </w:rPr>
        <w:t>”: the Borrower’s “corporate rating” or “corporate family rating” from S&amp;P or Moody’s or Fitch, respectively, including any successor term for such rating adopted by such rating agency.</w:t>
      </w:r>
    </w:p>
    <w:p>
      <w:pPr>
        <w:spacing w:after="0" w:line="146"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DC Disbursement</w:t>
      </w:r>
      <w:r>
        <w:rPr>
          <w:rFonts w:ascii="Times New Roman" w:cs="Times New Roman" w:eastAsia="Times New Roman" w:hAnsi="Times New Roman"/>
          <w:sz w:val="20"/>
          <w:szCs w:val="20"/>
          <w:color w:val="auto"/>
        </w:rPr>
        <w:t>”: a payment made by an Issuing Bank pursuant to a Documentary Credit.</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DC Exposure</w:t>
      </w:r>
      <w:r>
        <w:rPr>
          <w:rFonts w:ascii="Times New Roman" w:cs="Times New Roman" w:eastAsia="Times New Roman" w:hAnsi="Times New Roman"/>
          <w:sz w:val="20"/>
          <w:szCs w:val="20"/>
          <w:color w:val="auto"/>
        </w:rPr>
        <w:t xml:space="preserve">”: at any time, the sum of (a) the aggregate undrawn and unexpired amount of all outstanding Documentary Credits at such time plus (b) the aggregate amount of all DC Disbursements that have not yet been reimbursed by or on behalf of the Borrower at such time. The DC Exposure of any Lender at any time shall be its Revolving Loan Percentage of the DC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Section 2.24 when a Defaulting Lender shall exist, the DC Exposure of any Lender shall be adjusted to give effect to any reallocation effected pursuant to Section 2.24.</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DC Obligations</w:t>
      </w:r>
      <w:r>
        <w:rPr>
          <w:rFonts w:ascii="Times New Roman" w:cs="Times New Roman" w:eastAsia="Times New Roman" w:hAnsi="Times New Roman"/>
          <w:sz w:val="20"/>
          <w:szCs w:val="20"/>
          <w:color w:val="auto"/>
        </w:rPr>
        <w:t xml:space="preserve">”: at any time, an amount equal to the sum of (a) the aggregate then undrawn and unexpired amount of the then outstanding Documentary Credits and (b) the aggregate amount of drawings under Documentary Credits that have not then been reimbursed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right="4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whether or not any requirement for the giving of notice, the expiration of applicable cure or grace periods, or both, has been satisfied.</w:t>
      </w:r>
    </w:p>
    <w:p>
      <w:pPr>
        <w:spacing w:after="0" w:line="17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to (i) fund all or any portion of its Loans within one Business Day of the date such Loans were required to be funded hereunder unless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1412" w:right="439" w:bottom="1440" w:gutter="0" w:footer="0" w:header="0"/>
        </w:sectPr>
      </w:pPr>
    </w:p>
    <w:bookmarkStart w:id="581" w:name="page582"/>
    <w:bookmarkEnd w:id="581"/>
    <w:p>
      <w:pPr>
        <w:spacing w:after="0" w:line="263" w:lineRule="auto"/>
        <w:rPr>
          <w:sz w:val="20"/>
          <w:szCs w:val="20"/>
          <w:color w:val="auto"/>
        </w:rPr>
      </w:pPr>
      <w:r>
        <w:rPr>
          <w:rFonts w:ascii="Times New Roman" w:cs="Times New Roman" w:eastAsia="Times New Roman" w:hAnsi="Times New Roman"/>
          <w:sz w:val="19"/>
          <w:szCs w:val="19"/>
          <w:color w:val="auto"/>
        </w:rPr>
        <w:t>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 upon delivery of written notice of such determination to the Borrower and each Lender.</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Documentary Credit</w:t>
      </w:r>
      <w:r>
        <w:rPr>
          <w:rFonts w:ascii="Times New Roman" w:cs="Times New Roman" w:eastAsia="Times New Roman" w:hAnsi="Times New Roman"/>
          <w:sz w:val="20"/>
          <w:szCs w:val="20"/>
          <w:color w:val="auto"/>
        </w:rPr>
        <w:t>”: any letter of credit or bank guarantee issued pursuant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dollars in lawful currency of the United States.</w:t>
      </w:r>
    </w:p>
    <w:p>
      <w:pPr>
        <w:spacing w:after="0" w:line="216"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16"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Engagement Letter</w:t>
      </w:r>
      <w:r>
        <w:rPr>
          <w:rFonts w:ascii="Times New Roman" w:cs="Times New Roman" w:eastAsia="Times New Roman" w:hAnsi="Times New Roman"/>
          <w:sz w:val="19"/>
          <w:szCs w:val="19"/>
          <w:color w:val="auto"/>
        </w:rPr>
        <w:t>”: that certain engagement letter dated February 13, 2025 among the Borrower and HSBC Securities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12" w:right="379" w:bottom="1440" w:gutter="0" w:footer="0" w:header="0"/>
        </w:sectPr>
      </w:pPr>
    </w:p>
    <w:bookmarkStart w:id="582" w:name="page583"/>
    <w:bookmarkEnd w:id="582"/>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72" w:lineRule="exact"/>
        <w:rPr>
          <w:sz w:val="20"/>
          <w:szCs w:val="20"/>
          <w:color w:val="auto"/>
        </w:rPr>
      </w:pPr>
    </w:p>
    <w:p>
      <w:pPr>
        <w:ind w:righ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all Capital Stock and all warrants or options with respect to, or other rights to purchase, Capital Stock, but excluding Indebtedness convertible into or exchangeable for equity.</w:t>
      </w:r>
    </w:p>
    <w:p>
      <w:pPr>
        <w:spacing w:after="0" w:line="160"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Employee Retirement Income Security Act of 1974, as amended from time to time, and the regulations promulgated and rulings issued thereunder.</w:t>
      </w:r>
    </w:p>
    <w:p>
      <w:pPr>
        <w:spacing w:after="0" w:line="17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(a) any Reportable Event with respect to a Plan;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Commonly Controlled Entities of any liability under Title IV of ERISA with respect to the termination of any Plan; (e) the receipt by the Borrower or any Commonly Controlled Entity from the PBGC or a plan administrator of any notice relating to an intention to terminate any Plan or Plans or to appoint a trustee to administer any Plan; (f) the incurrence by the Borrower or any of its Commonly Controlled Entity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to which the Borrower or any Commonly Controlled Entity has any liability is, or is expected to be, Insolvent.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2.25.</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2.25.</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2.25.</w:t>
      </w:r>
    </w:p>
    <w:p>
      <w:pPr>
        <w:spacing w:after="0" w:line="216"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59"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Securities Exchange Act of 1934, as amended, or any successor statute or statutes thereto.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those Taxes referenced in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2.16(a)(v)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12" w:right="359" w:bottom="1440" w:gutter="0" w:footer="0" w:header="0"/>
        </w:sectPr>
      </w:pPr>
    </w:p>
    <w:bookmarkStart w:id="583" w:name="page584"/>
    <w:bookmarkEnd w:id="583"/>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Credit Agreement, dated as of May 14, 2021 (as amended by that certain Amendment No. 1 to Credit Agreement, dated as of March 27, 2023 and that certain Amendment No. 2 to Credit Agreement, dated as of June 7, 2023) among the Borrower, the lenders party thereto from time to time and HSBC Bank USA, National Association, as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Commitments</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that certain fee letter, dated as of February 13, 2025, among the Borrower, HSBC Securities (USA) Inc. and HSBC Bank USA, National Association.</w:t>
      </w:r>
    </w:p>
    <w:p>
      <w:pPr>
        <w:spacing w:after="0" w:line="146"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collectively, the fees pursuant to the Engagement Letter, Fee Letter and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fees referred to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and any other fees payable by any Loan Party pursuant to this Agreement or any other Loan Document.</w:t>
      </w:r>
    </w:p>
    <w:p>
      <w:pPr>
        <w:spacing w:after="0" w:line="14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the benchmark rate floor, if any, provided in this Agreement initially (as of the execution of this Agreement, the modification, amendment or renewal of this Agreement or otherwise) with respect to Adjusted Term SOFR. For the avoidance of doubt, the initial Floor for Adjusted Term SOFR shall be 0.00%.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the Chief Financial Officer, Principal Accounting Officer, Controller or Treasurer of the Borrower.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Fitch, Inc. and any successor to its rating agency business.</w:t>
      </w:r>
    </w:p>
    <w:p>
      <w:pPr>
        <w:spacing w:after="0" w:line="216"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with respect to any Person, any Subsidiary of such Person other than one that is organized or existing under the laws of the United States, any state thereof or the District of Columbia.</w:t>
      </w:r>
    </w:p>
    <w:p>
      <w:pPr>
        <w:spacing w:after="0" w:line="146"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60"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generally accepted accounting principles in the United States set forth in the statements and pronouncements of the Financial Accounting Standards Board or in such other statements by such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1412" w:right="43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20"/>
          <w:szCs w:val="20"/>
          <w:color w:val="auto"/>
        </w:rPr>
        <w:t>as have been approved by a significant segment of the accounting profession, which are in effect as of the date of determination.</w:t>
      </w:r>
    </w:p>
    <w:p>
      <w:pPr>
        <w:spacing w:after="0" w:line="229"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xml:space="preserve">”: any obligation, contingent or otherwise, of any Person directly or indirectly guaranteeing any Indebtedness of any 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96" w:lineRule="exact"/>
        <w:rPr>
          <w:sz w:val="20"/>
          <w:szCs w:val="20"/>
          <w:color w:val="auto"/>
        </w:rPr>
      </w:pPr>
    </w:p>
    <w:p>
      <w:pPr>
        <w:ind w:right="260" w:firstLine="656"/>
        <w:spacing w:after="0" w:line="261" w:lineRule="auto"/>
        <w:tabs>
          <w:tab w:leader="none" w:pos="1284" w:val="left"/>
        </w:tabs>
        <w:numPr>
          <w:ilvl w:val="0"/>
          <w:numId w:val="7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a Lender with an Incremental Revolving Commitment.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Loans made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0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xml:space="preserve">”: with respect to any Lender, the commitment of such Lender, established pursuant to an Incremental Amendment and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to make Revolving Loans hereunder, expressed as an amount representing the maximum aggregate amount of such Lender’s Revolving Extensions of Credit under such Incremental Amendment.</w:t>
      </w:r>
    </w:p>
    <w:p>
      <w:pPr>
        <w:spacing w:after="0" w:line="161" w:lineRule="exact"/>
        <w:rPr>
          <w:sz w:val="20"/>
          <w:szCs w:val="20"/>
          <w:color w:val="auto"/>
        </w:rPr>
      </w:pPr>
    </w:p>
    <w:p>
      <w:pPr>
        <w:ind w:right="5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an incremental portion of the Revolving Commitments established hereunder pursuant to an Incremental Amendment providing for Incremental Revolving Commitments.</w:t>
      </w:r>
    </w:p>
    <w:p>
      <w:pPr>
        <w:spacing w:after="0" w:line="146" w:lineRule="exact"/>
        <w:rPr>
          <w:sz w:val="20"/>
          <w:szCs w:val="20"/>
          <w:color w:val="auto"/>
        </w:rPr>
      </w:pPr>
    </w:p>
    <w:p>
      <w:pPr>
        <w:ind w:right="120" w:firstLine="19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20" w:top="1412" w:right="359" w:bottom="1440" w:gutter="0" w:footer="0" w:header="0"/>
        </w:sectPr>
      </w:pPr>
    </w:p>
    <w:bookmarkStart w:id="585" w:name="page586"/>
    <w:bookmarkEnd w:id="585"/>
    <w:p>
      <w:pPr>
        <w:ind w:left="660"/>
        <w:spacing w:after="0"/>
        <w:rPr>
          <w:sz w:val="20"/>
          <w:szCs w:val="20"/>
          <w:color w:val="auto"/>
        </w:rPr>
      </w:pPr>
      <w:r>
        <w:rPr>
          <w:rFonts w:ascii="Times New Roman" w:cs="Times New Roman" w:eastAsia="Times New Roman" w:hAnsi="Times New Roman"/>
          <w:sz w:val="20"/>
          <w:szCs w:val="20"/>
          <w:color w:val="auto"/>
        </w:rPr>
        <w:t>The amount of any Indebtedness outstanding as of any date will be:</w:t>
      </w:r>
    </w:p>
    <w:p>
      <w:pPr>
        <w:spacing w:after="0" w:line="197" w:lineRule="exact"/>
        <w:rPr>
          <w:sz w:val="20"/>
          <w:szCs w:val="20"/>
          <w:color w:val="auto"/>
        </w:rPr>
      </w:pPr>
    </w:p>
    <w:p>
      <w:pPr>
        <w:ind w:left="1940" w:hanging="636"/>
        <w:spacing w:after="0"/>
        <w:tabs>
          <w:tab w:leader="none" w:pos="1940" w:val="left"/>
        </w:tabs>
        <w:numPr>
          <w:ilvl w:val="0"/>
          <w:numId w:val="7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accreted value of the Indebtedness, in the case of any Indebtedness that does not require the current payment of</w:t>
      </w:r>
    </w:p>
    <w:p>
      <w:pPr>
        <w:ind w:left="660"/>
        <w:spacing w:after="0"/>
        <w:rPr>
          <w:sz w:val="20"/>
          <w:szCs w:val="20"/>
          <w:color w:val="auto"/>
        </w:rPr>
      </w:pPr>
      <w:r>
        <w:rPr>
          <w:rFonts w:ascii="Times New Roman" w:cs="Times New Roman" w:eastAsia="Times New Roman" w:hAnsi="Times New Roman"/>
          <w:sz w:val="20"/>
          <w:szCs w:val="20"/>
          <w:color w:val="auto"/>
        </w:rPr>
        <w:t>interest;</w:t>
      </w:r>
    </w:p>
    <w:p>
      <w:pPr>
        <w:spacing w:after="0" w:line="167" w:lineRule="exact"/>
        <w:rPr>
          <w:sz w:val="20"/>
          <w:szCs w:val="20"/>
          <w:color w:val="auto"/>
        </w:rPr>
      </w:pPr>
    </w:p>
    <w:p>
      <w:pPr>
        <w:ind w:left="1940" w:hanging="636"/>
        <w:spacing w:after="0"/>
        <w:tabs>
          <w:tab w:leader="none" w:pos="1940" w:val="left"/>
        </w:tabs>
        <w:numPr>
          <w:ilvl w:val="0"/>
          <w:numId w:val="7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principal amount of the Indebtedness, in the case of any other Indebtedness;</w:t>
      </w:r>
    </w:p>
    <w:p>
      <w:pPr>
        <w:spacing w:after="0" w:line="188" w:lineRule="exact"/>
        <w:rPr>
          <w:rFonts w:ascii="Times New Roman" w:cs="Times New Roman" w:eastAsia="Times New Roman" w:hAnsi="Times New Roman"/>
          <w:sz w:val="20"/>
          <w:szCs w:val="20"/>
          <w:color w:val="010000"/>
        </w:rPr>
      </w:pPr>
    </w:p>
    <w:p>
      <w:pPr>
        <w:ind w:left="660" w:right="100" w:firstLine="644"/>
        <w:spacing w:after="0" w:line="237" w:lineRule="auto"/>
        <w:tabs>
          <w:tab w:leader="none" w:pos="1944" w:val="left"/>
        </w:tabs>
        <w:numPr>
          <w:ilvl w:val="0"/>
          <w:numId w:val="7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62" w:lineRule="exact"/>
        <w:rPr>
          <w:rFonts w:ascii="Times New Roman" w:cs="Times New Roman" w:eastAsia="Times New Roman" w:hAnsi="Times New Roman"/>
          <w:sz w:val="19"/>
          <w:szCs w:val="19"/>
          <w:color w:val="010000"/>
        </w:rPr>
      </w:pPr>
    </w:p>
    <w:p>
      <w:pPr>
        <w:ind w:left="660" w:right="20" w:firstLine="644"/>
        <w:spacing w:after="0" w:line="222" w:lineRule="auto"/>
        <w:tabs>
          <w:tab w:leader="none" w:pos="1944" w:val="left"/>
        </w:tabs>
        <w:numPr>
          <w:ilvl w:val="0"/>
          <w:numId w:val="7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respect of any Indebtedness of another Person Guaranteed by the specified Person or one or more of such Persons, the lesser of: (a) 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pacing w:after="0" w:line="148" w:lineRule="exact"/>
        <w:rPr>
          <w:rFonts w:ascii="Times New Roman" w:cs="Times New Roman" w:eastAsia="Times New Roman" w:hAnsi="Times New Roman"/>
          <w:sz w:val="20"/>
          <w:szCs w:val="20"/>
          <w:color w:val="010000"/>
        </w:rPr>
      </w:pPr>
    </w:p>
    <w:p>
      <w:pPr>
        <w:ind w:left="660" w:right="260" w:firstLine="644"/>
        <w:spacing w:after="0" w:line="226" w:lineRule="auto"/>
        <w:tabs>
          <w:tab w:leader="none" w:pos="1944" w:val="left"/>
        </w:tabs>
        <w:numPr>
          <w:ilvl w:val="0"/>
          <w:numId w:val="7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the definition of Permitted Liens or the inclusion of Attributable Debt in any calculation of Indebtedness shall not create any implication that any such obligations constitute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w:t>
      </w:r>
      <w:r>
        <w:rPr>
          <w:rFonts w:ascii="Times New Roman" w:cs="Times New Roman" w:eastAsia="Times New Roman" w:hAnsi="Times New Roman"/>
          <w:sz w:val="20"/>
          <w:szCs w:val="20"/>
          <w:color w:val="auto"/>
        </w:rPr>
        <w:t>”: with respect to any Multiemployer Plan, the condition that such Plan is insolvent within the meaning of Section 4245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Insolvent</w:t>
      </w:r>
      <w:r>
        <w:rPr>
          <w:rFonts w:ascii="Times New Roman" w:cs="Times New Roman" w:eastAsia="Times New Roman" w:hAnsi="Times New Roman"/>
          <w:sz w:val="20"/>
          <w:szCs w:val="20"/>
          <w:color w:val="auto"/>
        </w:rPr>
        <w:t>”: pertaining to a condition of Insolvency.</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12" w:right="359" w:bottom="1440" w:gutter="0" w:footer="0" w:header="0"/>
        </w:sectPr>
      </w:pPr>
    </w:p>
    <w:bookmarkStart w:id="586" w:name="page587"/>
    <w:bookmarkEnd w:id="586"/>
    <w:p>
      <w:pPr>
        <w:ind w:right="3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(a) as to any Base Rate Loan, the last Business Day of each March, June, September and December to occur while such Base Rate Loan is outstanding and the final maturity date of such Base Rate Loan, (b) as to any SOFR Loan having an Interest Period of three months or less, the last day of such Interest Period, (c) as to any SOFR Loan having an Interest Period longer than three months, each day that is three months, or a whole multiple thereof, after the first day of such Interest Period and the last day of such Interest Period and (d) as to any SOFR Loan, the date of any repayment or prepayment made in respect thereof.</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as to any SOFR Loan, each period commencing on the last day of the next preceding Interest Period applicable to such SOFR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78" w:lineRule="exact"/>
        <w:rPr>
          <w:sz w:val="20"/>
          <w:szCs w:val="20"/>
          <w:color w:val="auto"/>
        </w:rPr>
      </w:pPr>
    </w:p>
    <w:p>
      <w:pPr>
        <w:jc w:val="both"/>
        <w:ind w:left="660" w:right="80" w:firstLine="1292"/>
        <w:spacing w:after="0" w:line="226" w:lineRule="auto"/>
        <w:tabs>
          <w:tab w:leader="none" w:pos="2602" w:val="left"/>
        </w:tabs>
        <w:numPr>
          <w:ilvl w:val="0"/>
          <w:numId w:val="7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0"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7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not select an Interest Period that would extend beyond the applicable Revolving Maturity</w:t>
      </w:r>
    </w:p>
    <w:p>
      <w:pPr>
        <w:spacing w:after="0" w:line="6" w:lineRule="exact"/>
        <w:rPr>
          <w:rFonts w:ascii="Times New Roman" w:cs="Times New Roman" w:eastAsia="Times New Roman" w:hAnsi="Times New Roman"/>
          <w:sz w:val="19"/>
          <w:szCs w:val="19"/>
          <w:color w:val="010000"/>
        </w:rPr>
      </w:pPr>
    </w:p>
    <w:p>
      <w:pPr>
        <w:ind w:left="6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Date;</w:t>
      </w:r>
    </w:p>
    <w:p>
      <w:pPr>
        <w:spacing w:after="0" w:line="153" w:lineRule="exact"/>
        <w:rPr>
          <w:rFonts w:ascii="Times New Roman" w:cs="Times New Roman" w:eastAsia="Times New Roman" w:hAnsi="Times New Roman"/>
          <w:sz w:val="19"/>
          <w:szCs w:val="19"/>
          <w:color w:val="010000"/>
        </w:rPr>
      </w:pPr>
    </w:p>
    <w:p>
      <w:pPr>
        <w:ind w:left="660" w:right="160" w:firstLine="1292"/>
        <w:spacing w:after="0" w:line="230" w:lineRule="auto"/>
        <w:tabs>
          <w:tab w:leader="none" w:pos="2604" w:val="left"/>
        </w:tabs>
        <w:numPr>
          <w:ilvl w:val="0"/>
          <w:numId w:val="7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48" w:lineRule="exact"/>
        <w:rPr>
          <w:rFonts w:ascii="Times New Roman" w:cs="Times New Roman" w:eastAsia="Times New Roman" w:hAnsi="Times New Roman"/>
          <w:sz w:val="20"/>
          <w:szCs w:val="20"/>
          <w:color w:val="010000"/>
        </w:rPr>
      </w:pPr>
    </w:p>
    <w:p>
      <w:pPr>
        <w:ind w:left="660" w:right="660" w:firstLine="1292"/>
        <w:spacing w:after="0"/>
        <w:tabs>
          <w:tab w:leader="none" w:pos="2593" w:val="left"/>
        </w:tabs>
        <w:numPr>
          <w:ilvl w:val="0"/>
          <w:numId w:val="7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tenor that has been removed from this definition pursuant to Section 2.10(e) shall be available for specification in any irrevocable notice to the Administrative Agent.</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78"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Debt</w:t>
      </w:r>
      <w:r>
        <w:rPr>
          <w:rFonts w:ascii="Times New Roman" w:cs="Times New Roman" w:eastAsia="Times New Roman" w:hAnsi="Times New Roman"/>
          <w:sz w:val="20"/>
          <w:szCs w:val="20"/>
          <w:color w:val="auto"/>
        </w:rPr>
        <w:t>”: long-term and short-term bonds, bills, notes and other debt obligations with any “investment grade” rating from any of Moody’s, S&amp;P or Fitch.</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HSBC Bank USA, National Association, Bank of America, N.A., BNP Paribas, Credit Agricole Corporate and Investment Bank, DBS Bank Ltd., Mizuho Bank, Ltd, MUFG Bank, LTD., Truist Bank and Wells Fargo Bank, National Association party hereto and each other Lender designated by the Borrower as an “Issuing Bank” hereunder that has agreed to such designation (and is reasonably acceptable to the Administrative Agent), each in its capacity as the issuer of Documentary Credits hereunder, and its successors in such capacity as provided in </w:t>
      </w:r>
      <w:r>
        <w:rPr>
          <w:rFonts w:ascii="Times New Roman" w:cs="Times New Roman" w:eastAsia="Times New Roman" w:hAnsi="Times New Roman"/>
          <w:sz w:val="20"/>
          <w:szCs w:val="20"/>
          <w:u w:val="single" w:color="auto"/>
          <w:color w:val="auto"/>
        </w:rPr>
        <w:t>Section 2.4(i)</w:t>
      </w:r>
      <w:r>
        <w:rPr>
          <w:rFonts w:ascii="Times New Roman" w:cs="Times New Roman" w:eastAsia="Times New Roman" w:hAnsi="Times New Roman"/>
          <w:sz w:val="20"/>
          <w:szCs w:val="20"/>
          <w:color w:val="auto"/>
        </w:rPr>
        <w:t>. Any Issuing Bank may, in its discretion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20"/>
          </w:cols>
          <w:pgMar w:left="320" w:top="1412" w:right="359" w:bottom="1440" w:gutter="0" w:footer="0" w:header="0"/>
        </w:sectPr>
      </w:pPr>
    </w:p>
    <w:bookmarkStart w:id="587" w:name="page588"/>
    <w:bookmarkEnd w:id="587"/>
    <w:p>
      <w:pPr>
        <w:jc w:val="both"/>
        <w:ind w:right="280"/>
        <w:spacing w:after="0" w:line="261" w:lineRule="auto"/>
        <w:rPr>
          <w:sz w:val="20"/>
          <w:szCs w:val="20"/>
          <w:color w:val="auto"/>
        </w:rPr>
      </w:pPr>
      <w:r>
        <w:rPr>
          <w:rFonts w:ascii="Times New Roman" w:cs="Times New Roman" w:eastAsia="Times New Roman" w:hAnsi="Times New Roman"/>
          <w:sz w:val="20"/>
          <w:szCs w:val="20"/>
          <w:color w:val="auto"/>
        </w:rPr>
        <w:t>with notice to the Borrower and the Administrative Agent, arrange for one or more Documentary Credits to be issued by Affiliates of such Issuing Bank, in which case the term “Issuing Bank” shall include any such Affiliate with respect to Documentary Credits issued by such Affiliate.</w:t>
      </w:r>
    </w:p>
    <w:p>
      <w:pPr>
        <w:spacing w:after="0" w:line="181"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with respect to any Person, any partnership, corporation or other entity in which up to and including 50% of the Equity Interests is owned, directly or indirectly, by such Person and/or one or more of its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the meaning assigned to it in Section 2.25.</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HSBC Securities (USA) Inc., Bank of America, N.A., BNP Paribas, Credit Agricole Corporate and Investment Bank, DBS Bank Ltd., Mizuho Bank, Ltd, MUFG Bank, Ltd., Truist Securities, Inc. and Wells Fargo Bank, National Association.</w:t>
      </w:r>
    </w:p>
    <w:p>
      <w:pPr>
        <w:spacing w:after="0" w:line="17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Holiday</w:t>
      </w:r>
      <w:r>
        <w:rPr>
          <w:rFonts w:ascii="Times New Roman" w:cs="Times New Roman" w:eastAsia="Times New Roman" w:hAnsi="Times New Roman"/>
          <w:sz w:val="20"/>
          <w:szCs w:val="20"/>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meaning set forth in the preamble to this Agreement.</w:t>
      </w:r>
    </w:p>
    <w:p>
      <w:pPr>
        <w:spacing w:after="0" w:line="212"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any lien, security interest, mortgage, charge or similar encumbrance,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either (i) any legal or equitable encumbrances deemed to exist by reason of a negative pledge or (ii) an operating lease or a non-exclusive license be deemed to constitute a Lien.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 loan made by a Lender to the Borrower pursuant to this Agreement.</w:t>
      </w:r>
    </w:p>
    <w:p>
      <w:pPr>
        <w:spacing w:after="0" w:line="229"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this Agreement, any Subsidiary Guaranty, any Incremental Amendment, and, after execution and delivery thereof pursuant to the terms of this Agreement, each Note, and any amendment, waiver, supplement or other modification to any of the foregoing.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the Borrower and any Guarantors.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17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Materials of Environmental Concern</w:t>
      </w:r>
      <w:r>
        <w:rPr>
          <w:rFonts w:ascii="Times New Roman" w:cs="Times New Roman" w:eastAsia="Times New Roman" w:hAnsi="Times New Roman"/>
          <w:sz w:val="20"/>
          <w:szCs w:val="20"/>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Incremental Commitment Amount</w:t>
      </w:r>
      <w:r>
        <w:rPr>
          <w:rFonts w:ascii="Times New Roman" w:cs="Times New Roman" w:eastAsia="Times New Roman" w:hAnsi="Times New Roman"/>
          <w:sz w:val="20"/>
          <w:szCs w:val="20"/>
          <w:color w:val="auto"/>
        </w:rPr>
        <w:t>”: $1,500,000,000.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2" w:right="339" w:bottom="1440" w:gutter="0" w:footer="0" w:header="0"/>
        </w:sectPr>
      </w:pPr>
    </w:p>
    <w:bookmarkStart w:id="588" w:name="page589"/>
    <w:bookmarkEnd w:id="588"/>
    <w:p>
      <w:pPr>
        <w:ind w:right="4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at any date of determination, the most recently completed four fiscal quarters of the Borrower for which financial statements have been filed with the SEC.</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Moody’s Investors Service, Inc. and any successor to its rating agency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a Plan that is a multiemployer plan as defined in Section 4001(a)(3) of ERISA.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Non-Excluded Taxes</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collective reference to any promissory note evidencing 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the Federal Reserve Bank of New York.</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165"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DC Exposure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9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79" w:lineRule="exact"/>
        <w:rPr>
          <w:sz w:val="20"/>
          <w:szCs w:val="20"/>
          <w:color w:val="auto"/>
        </w:rPr>
      </w:pPr>
    </w:p>
    <w:p>
      <w:pPr>
        <w:ind w:right="9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for any day, the rate comprised of both overnight federal funds and overnight eurodollar borrowings by U.S.-managed banking offices of depository institutions,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2" w:right="339" w:bottom="1440" w:gutter="0" w:footer="0" w:header="0"/>
        </w:sectPr>
      </w:pPr>
    </w:p>
    <w:bookmarkStart w:id="589" w:name="page590"/>
    <w:bookmarkEnd w:id="589"/>
    <w:p>
      <w:pPr>
        <w:ind w:right="80"/>
        <w:spacing w:after="0" w:line="283" w:lineRule="auto"/>
        <w:rPr>
          <w:sz w:val="20"/>
          <w:szCs w:val="20"/>
          <w:color w:val="auto"/>
        </w:rPr>
      </w:pPr>
      <w:r>
        <w:rPr>
          <w:rFonts w:ascii="Times New Roman" w:cs="Times New Roman" w:eastAsia="Times New Roman" w:hAnsi="Times New Roman"/>
          <w:sz w:val="20"/>
          <w:szCs w:val="20"/>
          <w:color w:val="auto"/>
        </w:rPr>
        <w:t>composite rate shall be determined by the NYFRB as set forth on its public website from time to time, and published on the next succeeding Business Day by the NYFRB as an overnight bank funding rate.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9.6(c)(ii)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58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Patents</w:t>
      </w:r>
      <w:r>
        <w:rPr>
          <w:rFonts w:ascii="Times New Roman" w:cs="Times New Roman" w:eastAsia="Times New Roman" w:hAnsi="Times New Roman"/>
          <w:sz w:val="19"/>
          <w:szCs w:val="19"/>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64"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w:t>
      </w:r>
      <w:r>
        <w:rPr>
          <w:rFonts w:ascii="Times New Roman" w:cs="Times New Roman" w:eastAsia="Times New Roman" w:hAnsi="Times New Roman"/>
          <w:sz w:val="20"/>
          <w:szCs w:val="20"/>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USA Patriot Act, Title III of Pub. L. 107-56, signed into law on October 26, 2001,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the meaning assigned to it in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the Pension Benefit Guaranty Corporation established pursuant to Subtitle A of Title IV of ERISA (or any successor).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the meaning specified in the definition of “Term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1940" w:hanging="636"/>
        <w:spacing w:after="0"/>
        <w:tabs>
          <w:tab w:leader="none" w:pos="1940" w:val="left"/>
        </w:tabs>
        <w:numPr>
          <w:ilvl w:val="0"/>
          <w:numId w:val="7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existing as of the Closing Date or arising thereafter pursuant to related agreements existing as of the Closing</w:t>
      </w:r>
    </w:p>
    <w:p>
      <w:pPr>
        <w:ind w:left="660"/>
        <w:spacing w:after="0"/>
        <w:rPr>
          <w:sz w:val="20"/>
          <w:szCs w:val="20"/>
          <w:color w:val="auto"/>
        </w:rPr>
      </w:pPr>
      <w:r>
        <w:rPr>
          <w:rFonts w:ascii="Times New Roman" w:cs="Times New Roman" w:eastAsia="Times New Roman" w:hAnsi="Times New Roman"/>
          <w:sz w:val="20"/>
          <w:szCs w:val="20"/>
          <w:color w:val="auto"/>
        </w:rPr>
        <w:t>Date;</w:t>
      </w:r>
    </w:p>
    <w:p>
      <w:pPr>
        <w:spacing w:after="0" w:line="153" w:lineRule="exact"/>
        <w:rPr>
          <w:sz w:val="20"/>
          <w:szCs w:val="20"/>
          <w:color w:val="auto"/>
        </w:rPr>
      </w:pPr>
    </w:p>
    <w:p>
      <w:pPr>
        <w:ind w:left="660" w:firstLine="644"/>
        <w:spacing w:after="0" w:line="224" w:lineRule="auto"/>
        <w:tabs>
          <w:tab w:leader="none" w:pos="1944" w:val="left"/>
        </w:tabs>
        <w:numPr>
          <w:ilvl w:val="0"/>
          <w:numId w:val="7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Liens shall be given (or given pursuant to firm commitment financing arrangements obtained within such period) by the time of or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62" w:lineRule="exact"/>
        <w:rPr>
          <w:rFonts w:ascii="Times New Roman" w:cs="Times New Roman" w:eastAsia="Times New Roman" w:hAnsi="Times New Roman"/>
          <w:sz w:val="19"/>
          <w:szCs w:val="19"/>
          <w:color w:val="010000"/>
        </w:rPr>
      </w:pPr>
    </w:p>
    <w:p>
      <w:pPr>
        <w:ind w:left="660" w:firstLine="644"/>
        <w:spacing w:after="0" w:line="216" w:lineRule="auto"/>
        <w:tabs>
          <w:tab w:leader="none" w:pos="1944" w:val="left"/>
        </w:tabs>
        <w:numPr>
          <w:ilvl w:val="0"/>
          <w:numId w:val="7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extend to other assets of the Borrower or its other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00"/>
          </w:cols>
          <w:pgMar w:left="320" w:top="1412" w:right="379" w:bottom="1440" w:gutter="0" w:footer="0" w:header="0"/>
        </w:sectPr>
      </w:pPr>
    </w:p>
    <w:bookmarkStart w:id="590" w:name="page591"/>
    <w:bookmarkEnd w:id="590"/>
    <w:p>
      <w:pPr>
        <w:ind w:left="520" w:right="80" w:firstLine="644"/>
        <w:spacing w:after="0" w:line="215" w:lineRule="auto"/>
        <w:tabs>
          <w:tab w:leader="none" w:pos="1804"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each of the preceding clauses (a) and (b), such Liens do not extend to other assets of the Borrower or its other Restricted Subsidiaries;</w:t>
      </w:r>
    </w:p>
    <w:p>
      <w:pPr>
        <w:spacing w:after="0" w:line="164" w:lineRule="exact"/>
        <w:rPr>
          <w:rFonts w:ascii="Times New Roman" w:cs="Times New Roman" w:eastAsia="Times New Roman" w:hAnsi="Times New Roman"/>
          <w:sz w:val="20"/>
          <w:szCs w:val="20"/>
          <w:color w:val="010000"/>
        </w:rPr>
      </w:pPr>
    </w:p>
    <w:p>
      <w:pPr>
        <w:ind w:left="520" w:right="60" w:firstLine="644"/>
        <w:spacing w:after="0" w:line="226" w:lineRule="auto"/>
        <w:tabs>
          <w:tab w:leader="none" w:pos="1804"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the Borrower or a Restricted Subsidiary of the Borrower;</w:t>
      </w:r>
    </w:p>
    <w:p>
      <w:pPr>
        <w:spacing w:after="0" w:line="175" w:lineRule="exact"/>
        <w:rPr>
          <w:rFonts w:ascii="Times New Roman" w:cs="Times New Roman" w:eastAsia="Times New Roman" w:hAnsi="Times New Roman"/>
          <w:sz w:val="20"/>
          <w:szCs w:val="20"/>
          <w:color w:val="010000"/>
        </w:rPr>
      </w:pPr>
    </w:p>
    <w:p>
      <w:pPr>
        <w:ind w:left="520" w:right="20" w:firstLine="644"/>
        <w:spacing w:after="0" w:line="222" w:lineRule="auto"/>
        <w:tabs>
          <w:tab w:leader="none" w:pos="1804"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61" w:lineRule="exact"/>
        <w:rPr>
          <w:rFonts w:ascii="Times New Roman" w:cs="Times New Roman" w:eastAsia="Times New Roman" w:hAnsi="Times New Roman"/>
          <w:sz w:val="20"/>
          <w:szCs w:val="20"/>
          <w:color w:val="010000"/>
        </w:rPr>
      </w:pPr>
    </w:p>
    <w:p>
      <w:pPr>
        <w:ind w:left="520" w:right="160" w:firstLine="644"/>
        <w:spacing w:after="0" w:line="222" w:lineRule="auto"/>
        <w:tabs>
          <w:tab w:leader="none" w:pos="1804"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48" w:lineRule="exact"/>
        <w:rPr>
          <w:rFonts w:ascii="Times New Roman" w:cs="Times New Roman" w:eastAsia="Times New Roman" w:hAnsi="Times New Roman"/>
          <w:sz w:val="20"/>
          <w:szCs w:val="20"/>
          <w:color w:val="010000"/>
        </w:rPr>
      </w:pPr>
    </w:p>
    <w:p>
      <w:pPr>
        <w:ind w:left="520" w:right="60" w:firstLine="644"/>
        <w:spacing w:after="0" w:line="218" w:lineRule="auto"/>
        <w:tabs>
          <w:tab w:leader="none" w:pos="1804"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0" w:lineRule="exact"/>
        <w:rPr>
          <w:rFonts w:ascii="Times New Roman" w:cs="Times New Roman" w:eastAsia="Times New Roman" w:hAnsi="Times New Roman"/>
          <w:sz w:val="20"/>
          <w:szCs w:val="20"/>
          <w:color w:val="010000"/>
        </w:rPr>
      </w:pPr>
    </w:p>
    <w:p>
      <w:pPr>
        <w:ind w:left="520" w:firstLine="644"/>
        <w:spacing w:after="0" w:line="222" w:lineRule="auto"/>
        <w:tabs>
          <w:tab w:leader="none" w:pos="1808"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1" w:lineRule="exact"/>
        <w:rPr>
          <w:rFonts w:ascii="Times New Roman" w:cs="Times New Roman" w:eastAsia="Times New Roman" w:hAnsi="Times New Roman"/>
          <w:sz w:val="20"/>
          <w:szCs w:val="20"/>
          <w:color w:val="010000"/>
        </w:rPr>
      </w:pPr>
    </w:p>
    <w:p>
      <w:pPr>
        <w:jc w:val="both"/>
        <w:ind w:left="520" w:right="160" w:firstLine="644"/>
        <w:spacing w:after="0" w:line="226" w:lineRule="auto"/>
        <w:tabs>
          <w:tab w:leader="none" w:pos="1801"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60" w:lineRule="exact"/>
        <w:rPr>
          <w:rFonts w:ascii="Times New Roman" w:cs="Times New Roman" w:eastAsia="Times New Roman" w:hAnsi="Times New Roman"/>
          <w:sz w:val="20"/>
          <w:szCs w:val="20"/>
          <w:color w:val="010000"/>
        </w:rPr>
      </w:pPr>
    </w:p>
    <w:p>
      <w:pPr>
        <w:ind w:left="520" w:right="160" w:firstLine="644"/>
        <w:spacing w:after="0" w:line="226" w:lineRule="auto"/>
        <w:tabs>
          <w:tab w:leader="none" w:pos="1808"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0"/>
          <w:numId w:val="7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and consisting of, deposits made by the Borrower to discharge or defease any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80"/>
          </w:cols>
          <w:pgMar w:left="460" w:top="1399" w:right="359" w:bottom="1440" w:gutter="0" w:footer="0" w:header="0"/>
        </w:sectPr>
      </w:pPr>
    </w:p>
    <w:bookmarkStart w:id="591" w:name="page592"/>
    <w:bookmarkEnd w:id="591"/>
    <w:p>
      <w:pPr>
        <w:ind w:left="660" w:right="340" w:firstLine="644"/>
        <w:spacing w:after="0" w:line="226" w:lineRule="auto"/>
        <w:tabs>
          <w:tab w:leader="none" w:pos="1948" w:val="left"/>
        </w:tabs>
        <w:numPr>
          <w:ilvl w:val="0"/>
          <w:numId w:val="7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60" w:lineRule="exact"/>
        <w:rPr>
          <w:rFonts w:ascii="Times New Roman" w:cs="Times New Roman" w:eastAsia="Times New Roman" w:hAnsi="Times New Roman"/>
          <w:sz w:val="20"/>
          <w:szCs w:val="20"/>
          <w:color w:val="010000"/>
        </w:rPr>
      </w:pPr>
    </w:p>
    <w:p>
      <w:pPr>
        <w:ind w:left="660" w:right="180" w:firstLine="644"/>
        <w:spacing w:after="0"/>
        <w:tabs>
          <w:tab w:leader="none" w:pos="1948" w:val="left"/>
        </w:tabs>
        <w:numPr>
          <w:ilvl w:val="0"/>
          <w:numId w:val="7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47" w:lineRule="exact"/>
        <w:rPr>
          <w:rFonts w:ascii="Times New Roman" w:cs="Times New Roman" w:eastAsia="Times New Roman" w:hAnsi="Times New Roman"/>
          <w:sz w:val="20"/>
          <w:szCs w:val="20"/>
          <w:color w:val="010000"/>
        </w:rPr>
      </w:pPr>
    </w:p>
    <w:p>
      <w:pPr>
        <w:ind w:left="660" w:right="260" w:firstLine="644"/>
        <w:spacing w:after="0"/>
        <w:tabs>
          <w:tab w:leader="none" w:pos="1948" w:val="left"/>
        </w:tabs>
        <w:numPr>
          <w:ilvl w:val="0"/>
          <w:numId w:val="7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61" w:lineRule="exact"/>
        <w:rPr>
          <w:rFonts w:ascii="Times New Roman" w:cs="Times New Roman" w:eastAsia="Times New Roman" w:hAnsi="Times New Roman"/>
          <w:sz w:val="20"/>
          <w:szCs w:val="20"/>
          <w:color w:val="010000"/>
        </w:rPr>
      </w:pPr>
    </w:p>
    <w:p>
      <w:pPr>
        <w:ind w:left="660" w:right="180" w:firstLine="644"/>
        <w:spacing w:after="0" w:line="215" w:lineRule="auto"/>
        <w:tabs>
          <w:tab w:leader="none" w:pos="1948" w:val="left"/>
        </w:tabs>
        <w:numPr>
          <w:ilvl w:val="0"/>
          <w:numId w:val="7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21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3"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 time.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with respect to any Person, all of such Person’s interests in any kind of property, assets (including the capital stock in and other securities of any other Person) or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20"/>
          </w:cols>
          <w:pgMar w:left="320" w:top="1399" w:right="359" w:bottom="1440" w:gutter="0" w:footer="0" w:header="0"/>
        </w:sectPr>
      </w:pPr>
    </w:p>
    <w:bookmarkStart w:id="592" w:name="page593"/>
    <w:bookmarkEnd w:id="592"/>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a prohibited transaction class exemption issued by the U.S. Department of Labor, as any such exemption may be amended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Net Leverage Ratio immediately prior to such Qualified Acquisition and (y) the Total Net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each of Moody’s, S&amp;P and Fitch.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w:t>
      </w:r>
    </w:p>
    <w:p>
      <w:pPr>
        <w:spacing w:after="0" w:line="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Reference Rate, 5:00 p.m. (New York City time) on the day that is two U.S. Government Securities Business Days preceding the date of such setting or (2) if such Benchmark is not the Term SOFR Reference Rate, the time determined by the Administrative Agent in its reasonable discretion.</w:t>
      </w:r>
    </w:p>
    <w:p>
      <w:pPr>
        <w:spacing w:after="0" w:line="189"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shall mean the repayment, repurchase, redemption, defeasance or other discharge of the Existing Credit Agreement and the termination and release of any security interests and guarantees in connection therewith.</w:t>
      </w:r>
    </w:p>
    <w:p>
      <w:pPr>
        <w:spacing w:after="0" w:line="200"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the Federal Reserve Board or the Federal Reserve Bank of New York, or a committee officially endorsed or convened by the Federal Reserve Board or the Federal Reserve Bank of New York, or any successor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9.6(b)(iv)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Regulation U of the Board of Governors as in effect from time to time.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Persons</w:t>
      </w:r>
      <w:r>
        <w:rPr>
          <w:rFonts w:ascii="Times New Roman" w:cs="Times New Roman" w:eastAsia="Times New Roman" w:hAnsi="Times New Roman"/>
          <w:sz w:val="20"/>
          <w:szCs w:val="20"/>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1"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any of the events set forth in Section 4043(c) of ERISA, other than those events as to which the thirty (30) day notice period is waived under any regulation promulgated by the PBGC.</w:t>
      </w:r>
    </w:p>
    <w:p>
      <w:pPr>
        <w:spacing w:after="0" w:line="17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at any time, Lenders holding more than 50% of the total Commitments then in effect or, if the Commitments have been terminated, the Total Revolving Credit Exposure of all Lenders then outstanding; with respect to any Class, “Required Lenders” means at any time, Lenders holding more than 50% of the total Commitments then in effect for such Class, or if such Commitments have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20"/>
          </w:cols>
          <w:pgMar w:left="320" w:top="1394" w:right="359" w:bottom="1440" w:gutter="0" w:footer="0" w:header="0"/>
        </w:sectPr>
      </w:pPr>
    </w:p>
    <w:bookmarkStart w:id="593" w:name="page594"/>
    <w:bookmarkEnd w:id="593"/>
    <w:p>
      <w:pPr>
        <w:ind w:right="60"/>
        <w:spacing w:after="0" w:line="261" w:lineRule="auto"/>
        <w:rPr>
          <w:sz w:val="20"/>
          <w:szCs w:val="20"/>
          <w:color w:val="auto"/>
        </w:rPr>
      </w:pPr>
      <w:r>
        <w:rPr>
          <w:rFonts w:ascii="Times New Roman" w:cs="Times New Roman" w:eastAsia="Times New Roman" w:hAnsi="Times New Roman"/>
          <w:sz w:val="20"/>
          <w:szCs w:val="20"/>
          <w:color w:val="auto"/>
        </w:rPr>
        <w:t xml:space="preserve">the total Revolving Credit Exposure of all Lenders in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whenever there are one or more Defaulting Lenders, the Commitments and Revolving Credit Exposure held or deemed held by each Defaulting Lender shall be excluded for purposes of making any determination of Required Lenders.</w:t>
      </w:r>
    </w:p>
    <w:p>
      <w:pPr>
        <w:spacing w:after="0" w:line="181"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216"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the chief executive officer, any president, any vice president, the chief financial officer, the treasurer, any assistant treasurer, the secretary or any assistant secretary of the Borrower.</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 (i), any Voting Stock owned by a Subsidiary of the Borrower that is not a Restricted Subsidiary based on the foregoing clause shall be excluded.</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xml:space="preserve">”: with respect to each Lender, the commitment of such Lender to make Revolving Loans and to acquire participations in Documentary Credits hereunder, expressed as an amount representing the maximum aggregate amount of such Lender’s Revolving Credit Exposure hereunder, as such commitment may be (a) reduced from time to time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(b)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The initial amount of each Lender’s Revolving Commitment is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or in the Assignment and Assumption or other documentation or record (as such "term is defined in Section 9-102(a)(70) of the New York Uniform Commercial Code) as provided in Section 9.04(b)(ii)(C), pursuant to which such Lender shall have assumed its Revolving Commitment, as applicable. As of the Closing Date, the aggregate amount of the Lenders’ Revolving Commitments is $3,500,000,000.</w:t>
      </w:r>
    </w:p>
    <w:p>
      <w:pPr>
        <w:spacing w:after="0" w:line="16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with respect to any Lender at any time, the sum of the outstanding principal amount of such Lender’s Loans and its DC Exposure at such time.</w:t>
      </w:r>
    </w:p>
    <w:p>
      <w:pPr>
        <w:spacing w:after="0" w:line="133"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 Percentage</w:t>
      </w:r>
      <w:r>
        <w:rPr>
          <w:rFonts w:ascii="Times New Roman" w:cs="Times New Roman" w:eastAsia="Times New Roman" w:hAnsi="Times New Roman"/>
          <w:sz w:val="20"/>
          <w:szCs w:val="20"/>
          <w:color w:val="auto"/>
        </w:rPr>
        <w:t>”: with respect to any Lender at any time, the ratio (expressed as a percentage) of such Lender’s Revolving Credit Exposure at such time to the Revolving Credit Exposure of all Lenders at such time.</w:t>
      </w:r>
    </w:p>
    <w:p>
      <w:pPr>
        <w:spacing w:after="0" w:line="1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as to any Lender at any time, an amount equal to the sum of (a) the aggregate principal amount of all Revolving Loans made by such Lender then outstanding, and (b) such Lender’s Revolving Loan Percentage of the DC Obligations then outstanding.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a Loan made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7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 Percentage</w:t>
      </w:r>
      <w:r>
        <w:rPr>
          <w:rFonts w:ascii="Times New Roman" w:cs="Times New Roman" w:eastAsia="Times New Roman" w:hAnsi="Times New Roman"/>
          <w:sz w:val="20"/>
          <w:szCs w:val="20"/>
          <w:color w:val="auto"/>
        </w:rPr>
        <w:t>”: as to any Lender at any time, the percentage of which such Lender’s Revolving Commitment represents of the aggregate Revolving Commitments or, if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20"/>
          </w:cols>
          <w:pgMar w:left="320" w:top="1412" w:right="359" w:bottom="1440" w:gutter="0" w:footer="0" w:header="0"/>
        </w:sectPr>
      </w:pPr>
    </w:p>
    <w:bookmarkStart w:id="594" w:name="page595"/>
    <w:bookmarkEnd w:id="594"/>
    <w:p>
      <w:pPr>
        <w:ind w:right="180"/>
        <w:spacing w:after="0" w:line="283" w:lineRule="auto"/>
        <w:rPr>
          <w:sz w:val="20"/>
          <w:szCs w:val="20"/>
          <w:color w:val="auto"/>
        </w:rPr>
      </w:pPr>
      <w:r>
        <w:rPr>
          <w:rFonts w:ascii="Times New Roman" w:cs="Times New Roman" w:eastAsia="Times New Roman" w:hAnsi="Times New Roman"/>
          <w:sz w:val="20"/>
          <w:szCs w:val="20"/>
          <w:color w:val="auto"/>
        </w:rPr>
        <w:t>Commitments have been terminated, the percentage held by such Lender of the aggregate principal amount of all Revolving Loans and DC Obligations (via risk participation) then outstanding.</w:t>
      </w:r>
    </w:p>
    <w:p>
      <w:pPr>
        <w:spacing w:after="0" w:line="14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Maturity Date</w:t>
      </w:r>
      <w:r>
        <w:rPr>
          <w:rFonts w:ascii="Times New Roman" w:cs="Times New Roman" w:eastAsia="Times New Roman" w:hAnsi="Times New Roman"/>
          <w:sz w:val="20"/>
          <w:szCs w:val="20"/>
          <w:color w:val="auto"/>
        </w:rPr>
        <w:t xml:space="preserve">”: the earlier to occur of (a) the Stated Maturity and (b) the acceleration of the Revolving Loans and termination of the Revolving Commitments. In the event that one or more Extensions are effected in accordance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then the Revolving Maturity Date of the Revolving Loans shall be determined based on the respective Stated Maturity applicable thereto (except in cases where clause (b) of the preceding sentence is applicable).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Standard &amp; Poor’s Ratings Services, and any successor to its rating agency business.</w:t>
      </w:r>
    </w:p>
    <w:p>
      <w:pPr>
        <w:spacing w:after="0" w:line="2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at any time, a country, region or territory which is itself the subject or target of any Sanctions (at the time of this Agreement, the so-called Donetsk People’s Republic, the so-called Luhansk People’s Republic, the non-governmental controlled regions of Kherson and Zaporizhzhia, and the Crimea regions of Ukraine, Cuba, Iran, North Korea and Syria).</w:t>
      </w:r>
    </w:p>
    <w:p>
      <w:pPr>
        <w:spacing w:after="0" w:line="181"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HM Treasury of the United Kingdom, the Hong Kong Monetary Authority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Canada, any European Union member state or HM Treasury of the United Kingdom.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Securities Act of 1933, as amended, or any successor statute or statutes thereto.</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xml:space="preserve">”: any Subsidiary that is a “significant subsidiary” of the Borrower as defined under clauses (1) or (2) of Rule 1-02(w) of Regulation S-X under the Exchange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references to “10 percent” in clauses (1) and (2) of such definition shall be replaced with “20 percent”.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Single Employer Plan</w:t>
      </w:r>
      <w:r>
        <w:rPr>
          <w:rFonts w:ascii="Times New Roman" w:cs="Times New Roman" w:eastAsia="Times New Roman" w:hAnsi="Times New Roman"/>
          <w:sz w:val="20"/>
          <w:szCs w:val="20"/>
          <w:color w:val="auto"/>
        </w:rPr>
        <w:t>”: any Plan that is covered by Title IV of ERISA, but that is not a Multiemployer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a rate equal to the secured overnight financing rate as administered by the SOFR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Administrator.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a Loan that bears interest at a rate based on Adjusted Term SOFR,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00"/>
          </w:cols>
          <w:pgMar w:left="320" w:top="1412" w:right="379" w:bottom="1440" w:gutter="0" w:footer="0" w:header="0"/>
        </w:sectPr>
      </w:pPr>
    </w:p>
    <w:bookmarkStart w:id="595" w:name="page596"/>
    <w:bookmarkEnd w:id="595"/>
    <w:p>
      <w:pPr>
        <w:ind w:left="660"/>
        <w:spacing w:after="0"/>
        <w:rPr>
          <w:sz w:val="20"/>
          <w:szCs w:val="20"/>
          <w:color w:val="auto"/>
        </w:rPr>
      </w:pPr>
      <w:r>
        <w:rPr>
          <w:rFonts w:ascii="Times New Roman" w:cs="Times New Roman" w:eastAsia="Times New Roman" w:hAnsi="Times New Roman"/>
          <w:sz w:val="20"/>
          <w:szCs w:val="20"/>
          <w:color w:val="auto"/>
        </w:rPr>
        <w:t>pursuant to clause (c) of the definition of “Base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Revolving Borrowing</w:t>
      </w:r>
      <w:r>
        <w:rPr>
          <w:rFonts w:ascii="Times New Roman" w:cs="Times New Roman" w:eastAsia="Times New Roman" w:hAnsi="Times New Roman"/>
          <w:sz w:val="20"/>
          <w:szCs w:val="20"/>
          <w:color w:val="auto"/>
        </w:rPr>
        <w:t>”: a Borrowing of Revolving Loans that are SOFR Loans.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3" w:lineRule="exact"/>
        <w:rPr>
          <w:sz w:val="20"/>
          <w:szCs w:val="20"/>
          <w:color w:val="auto"/>
        </w:rPr>
      </w:pPr>
    </w:p>
    <w:p>
      <w:pPr>
        <w:ind w:right="14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Stated Maturity</w:t>
      </w:r>
      <w:r>
        <w:rPr>
          <w:rFonts w:ascii="Times New Roman" w:cs="Times New Roman" w:eastAsia="Times New Roman" w:hAnsi="Times New Roman"/>
          <w:sz w:val="19"/>
          <w:szCs w:val="19"/>
          <w:color w:val="auto"/>
        </w:rPr>
        <w:t xml:space="preserve">”: March 12, 2030;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Extended Revolving Commitments, the Stated Maturity with respect thereto shall instead be the final maturity date as specified in the applicable Extension Offer accepted by the respective Lender.</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with respect to any specified Person:</w:t>
      </w:r>
    </w:p>
    <w:p>
      <w:pPr>
        <w:spacing w:after="0" w:line="216" w:lineRule="exact"/>
        <w:rPr>
          <w:sz w:val="20"/>
          <w:szCs w:val="20"/>
          <w:color w:val="auto"/>
        </w:rPr>
      </w:pPr>
    </w:p>
    <w:p>
      <w:pPr>
        <w:ind w:left="660" w:right="160" w:firstLine="644"/>
        <w:spacing w:after="0" w:line="217" w:lineRule="auto"/>
        <w:tabs>
          <w:tab w:leader="none" w:pos="1944" w:val="left"/>
        </w:tabs>
        <w:numPr>
          <w:ilvl w:val="0"/>
          <w:numId w:val="7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1" w:lineRule="exact"/>
        <w:rPr>
          <w:rFonts w:ascii="Times New Roman" w:cs="Times New Roman" w:eastAsia="Times New Roman" w:hAnsi="Times New Roman"/>
          <w:sz w:val="20"/>
          <w:szCs w:val="20"/>
          <w:color w:val="010000"/>
        </w:rPr>
      </w:pPr>
    </w:p>
    <w:p>
      <w:pPr>
        <w:ind w:left="660" w:right="120" w:firstLine="644"/>
        <w:spacing w:after="0" w:line="226" w:lineRule="auto"/>
        <w:tabs>
          <w:tab w:leader="none" w:pos="1944" w:val="left"/>
        </w:tabs>
        <w:numPr>
          <w:ilvl w:val="0"/>
          <w:numId w:val="7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74" w:lineRule="exact"/>
        <w:rPr>
          <w:sz w:val="20"/>
          <w:szCs w:val="20"/>
          <w:color w:val="auto"/>
        </w:rPr>
      </w:pPr>
    </w:p>
    <w:p>
      <w:pPr>
        <w:ind w:right="40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Guaranty</w:t>
      </w:r>
      <w:r>
        <w:rPr>
          <w:rFonts w:ascii="Times New Roman" w:cs="Times New Roman" w:eastAsia="Times New Roman" w:hAnsi="Times New Roman"/>
          <w:sz w:val="19"/>
          <w:szCs w:val="19"/>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Structuring Agent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2.25.</w:t>
      </w:r>
    </w:p>
    <w:p>
      <w:pPr>
        <w:spacing w:after="0" w:line="202"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00"/>
          </w:cols>
          <w:pgMar w:left="320" w:top="1399" w:right="379" w:bottom="1440" w:gutter="0" w:footer="0" w:header="0"/>
        </w:sectPr>
      </w:pPr>
    </w:p>
    <w:bookmarkStart w:id="596" w:name="page597"/>
    <w:bookmarkEnd w:id="596"/>
    <w:p>
      <w:pPr>
        <w:ind w:left="1300" w:right="20" w:hanging="320"/>
        <w:spacing w:after="0" w:line="265" w:lineRule="auto"/>
        <w:tabs>
          <w:tab w:leader="none" w:pos="1290" w:val="left"/>
        </w:tabs>
        <w:numPr>
          <w:ilvl w:val="0"/>
          <w:numId w:val="7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19"/>
          <w:szCs w:val="19"/>
          <w:color w:val="auto"/>
        </w:rPr>
      </w:pPr>
    </w:p>
    <w:p>
      <w:pPr>
        <w:ind w:left="1300" w:hanging="320"/>
        <w:spacing w:after="0" w:line="250" w:lineRule="auto"/>
        <w:tabs>
          <w:tab w:leader="none" w:pos="1288" w:val="left"/>
        </w:tabs>
        <w:numPr>
          <w:ilvl w:val="0"/>
          <w:numId w:val="7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9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for any calculation with respect to a SOFR Loan or the SOFR prong of a Base Rate Loan, a percentage per annum equal to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-234950</wp:posOffset>
            </wp:positionV>
            <wp:extent cx="20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0320" cy="8890"/>
                    </a:xfrm>
                    <a:prstGeom prst="rect">
                      <a:avLst/>
                    </a:prstGeom>
                    <a:noFill/>
                  </pic:spPr>
                </pic:pic>
              </a:graphicData>
            </a:graphic>
          </wp:anchor>
        </w:drawing>
      </w:r>
    </w:p>
    <w:p>
      <w:pPr>
        <w:spacing w:after="0" w:line="153"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CME Group Benchmark Administration Limited (CBA) (or a successor administrator of the Term SOFR Reference Rate selected by the Administrative Agent in its reasonable discretion).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as of the date of determination thereof, the ratio of (a) Indebtedness of the Borrower and its Consolidated Subsidiaries as of such date minus the Unrestricted Cash, Cash Equivalent and Marketable Securities Amount as of such date, to (b) Consolidated EBITDA of the Borrower for such Measurement Period.</w:t>
      </w:r>
    </w:p>
    <w:p>
      <w:pPr>
        <w:spacing w:after="0" w:line="181"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Exposure</w:t>
      </w:r>
      <w:r>
        <w:rPr>
          <w:rFonts w:ascii="Times New Roman" w:cs="Times New Roman" w:eastAsia="Times New Roman" w:hAnsi="Times New Roman"/>
          <w:sz w:val="20"/>
          <w:szCs w:val="20"/>
          <w:color w:val="auto"/>
        </w:rPr>
        <w:t>”: the sum of the outstanding principal amount of all Lenders’ Loans and their DC Exposure at such time.</w:t>
      </w:r>
    </w:p>
    <w:p>
      <w:pPr>
        <w:spacing w:after="0" w:line="17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00"/>
          </w:cols>
          <w:pgMar w:left="320" w:top="1412" w:right="379" w:bottom="1440" w:gutter="0" w:footer="0" w:header="0"/>
        </w:sectPr>
      </w:pPr>
    </w:p>
    <w:bookmarkStart w:id="597" w:name="page598"/>
    <w:bookmarkEnd w:id="597"/>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81"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w:t>
      </w:r>
      <w:r>
        <w:rPr>
          <w:rFonts w:ascii="Times New Roman" w:cs="Times New Roman" w:eastAsia="Times New Roman" w:hAnsi="Times New Roman"/>
          <w:sz w:val="20"/>
          <w:szCs w:val="20"/>
          <w:color w:val="auto"/>
        </w:rPr>
        <w:t>”: any agreement, whether written or oral, providing for the grant by or to Borrower or any Guarantor of any right to use any Trademark.</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xml:space="preser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any Assignee or Participant.</w:t>
      </w:r>
    </w:p>
    <w:p>
      <w:pPr>
        <w:spacing w:after="0" w:line="216" w:lineRule="exact"/>
        <w:rPr>
          <w:sz w:val="20"/>
          <w:szCs w:val="20"/>
          <w:color w:val="auto"/>
        </w:rPr>
      </w:pPr>
    </w:p>
    <w:p>
      <w:pPr>
        <w:ind w:right="6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Base Rate or the Adjusted Term SOFR.</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the Uniform Commercial Code as in effect from time to time in the State of New York.</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46"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the United States of America.</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Cash Equivalent and Marketable Securities Amount</w:t>
      </w:r>
      <w:r>
        <w:rPr>
          <w:rFonts w:ascii="Times New Roman" w:cs="Times New Roman" w:eastAsia="Times New Roman" w:hAnsi="Times New Roman"/>
          <w:sz w:val="20"/>
          <w:szCs w:val="20"/>
          <w:color w:val="auto"/>
        </w:rPr>
        <w:t>”: as of the date of determination thereof, 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172"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(1) any Subsidiary of the Borrower listed on </w:t>
      </w:r>
      <w:r>
        <w:rPr>
          <w:rFonts w:ascii="Times New Roman" w:cs="Times New Roman" w:eastAsia="Times New Roman" w:hAnsi="Times New Roman"/>
          <w:sz w:val="20"/>
          <w:szCs w:val="20"/>
          <w:u w:val="single" w:color="auto"/>
          <w:color w:val="auto"/>
        </w:rPr>
        <w:t>Schedule 1.2</w:t>
      </w:r>
      <w:r>
        <w:rPr>
          <w:rFonts w:ascii="Times New Roman" w:cs="Times New Roman" w:eastAsia="Times New Roman" w:hAnsi="Times New Roman"/>
          <w:sz w:val="20"/>
          <w:szCs w:val="20"/>
          <w:color w:val="auto"/>
        </w:rPr>
        <w:t xml:space="preserve">, (2) any Subsidiary of the Borrower designated by the Borrower as an Unrestricted Subsidiary pursuant to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subsequent to the Closing Date, until such Person ceases to be an Unrestricted Subsidiary of the Borrower in accordance with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and (3) any Subsidiary of an Unrestricted Subsidiary.</w:t>
      </w:r>
    </w:p>
    <w:p>
      <w:pPr>
        <w:spacing w:after="0" w:line="161" w:lineRule="exact"/>
        <w:rPr>
          <w:sz w:val="20"/>
          <w:szCs w:val="20"/>
          <w:color w:val="auto"/>
        </w:rPr>
      </w:pPr>
    </w:p>
    <w:p>
      <w:pPr>
        <w:ind w:right="7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Unused Revolving Commitment</w:t>
      </w:r>
      <w:r>
        <w:rPr>
          <w:rFonts w:ascii="Times New Roman" w:cs="Times New Roman" w:eastAsia="Times New Roman" w:hAnsi="Times New Roman"/>
          <w:sz w:val="20"/>
          <w:szCs w:val="20"/>
          <w:color w:val="auto"/>
        </w:rPr>
        <w:t>”: with respect to any Lender at any time, an amount equal to the excess, if any, of (a) such Lender’s Revolving Commitment then in effect over (b) such Lender’s Revolving Extensions of Credit then outstanding.</w:t>
      </w:r>
    </w:p>
    <w:p>
      <w:pPr>
        <w:spacing w:after="0" w:line="146"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any day except for (a) a Saturday, (b) a Sunday or (c) a day on which the Securities Industry and Financial Markets Association recommends that the fixed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2" w:right="33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20"/>
          <w:szCs w:val="20"/>
          <w:color w:val="auto"/>
        </w:rPr>
        <w:t>departments of its members be closed for the entire day for purposes of trading in United States government securities.</w:t>
      </w:r>
    </w:p>
    <w:p>
      <w:pPr>
        <w:spacing w:after="0" w:line="229"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Stock</w:t>
      </w:r>
      <w:r>
        <w:rPr>
          <w:rFonts w:ascii="Times New Roman" w:cs="Times New Roman" w:eastAsia="Times New Roman" w:hAnsi="Times New Roman"/>
          <w:sz w:val="19"/>
          <w:szCs w:val="19"/>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5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Other Definitional Provisions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320" w:firstLine="656"/>
        <w:spacing w:after="0"/>
        <w:tabs>
          <w:tab w:leader="none" w:pos="1286" w:val="left"/>
        </w:tabs>
        <w:numPr>
          <w:ilvl w:val="0"/>
          <w:numId w:val="7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1" w:lineRule="exact"/>
        <w:rPr>
          <w:rFonts w:ascii="Times New Roman" w:cs="Times New Roman" w:eastAsia="Times New Roman" w:hAnsi="Times New Roman"/>
          <w:sz w:val="20"/>
          <w:szCs w:val="20"/>
          <w:color w:val="auto"/>
        </w:rPr>
      </w:pPr>
    </w:p>
    <w:p>
      <w:pPr>
        <w:ind w:right="20" w:firstLine="656"/>
        <w:spacing w:after="0" w:line="216" w:lineRule="auto"/>
        <w:tabs>
          <w:tab w:leader="none" w:pos="1284" w:val="left"/>
        </w:tabs>
        <w:numPr>
          <w:ilvl w:val="0"/>
          <w:numId w:val="7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48" w:lineRule="exact"/>
        <w:rPr>
          <w:rFonts w:ascii="Times New Roman" w:cs="Times New Roman" w:eastAsia="Times New Roman" w:hAnsi="Times New Roman"/>
          <w:sz w:val="20"/>
          <w:szCs w:val="20"/>
          <w:color w:val="auto"/>
        </w:rPr>
      </w:pPr>
    </w:p>
    <w:p>
      <w:pPr>
        <w:ind w:right="120" w:firstLine="656"/>
        <w:spacing w:after="0" w:line="230" w:lineRule="auto"/>
        <w:tabs>
          <w:tab w:leader="none" w:pos="1286" w:val="left"/>
        </w:tabs>
        <w:numPr>
          <w:ilvl w:val="0"/>
          <w:numId w:val="7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48" w:lineRule="exact"/>
        <w:rPr>
          <w:rFonts w:ascii="Times New Roman" w:cs="Times New Roman" w:eastAsia="Times New Roman" w:hAnsi="Times New Roman"/>
          <w:sz w:val="20"/>
          <w:szCs w:val="20"/>
          <w:color w:val="auto"/>
        </w:rPr>
      </w:pPr>
    </w:p>
    <w:p>
      <w:pPr>
        <w:ind w:right="160" w:firstLine="656"/>
        <w:spacing w:after="0" w:line="222" w:lineRule="auto"/>
        <w:tabs>
          <w:tab w:leader="none" w:pos="1284" w:val="left"/>
        </w:tabs>
        <w:numPr>
          <w:ilvl w:val="0"/>
          <w:numId w:val="7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otherwise provided herein, all terms of an accounting or financial nature shall be construed in accordance with GAAP.</w:t>
      </w:r>
    </w:p>
    <w:p>
      <w:pPr>
        <w:spacing w:after="0" w:line="243"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Delivery of Notices</w:t>
      </w:r>
      <w:r>
        <w:rPr>
          <w:rFonts w:ascii="Times New Roman" w:cs="Times New Roman" w:eastAsia="Times New Roman" w:hAnsi="Times New Roman"/>
          <w:sz w:val="20"/>
          <w:szCs w:val="20"/>
          <w:color w:val="auto"/>
        </w:rPr>
        <w:t xml:space="preserve"> . Any reference to a delivery or notice date that is not a Business Day shall be deemed to mean the next succeeding day that is a Business Day.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w:t>
      </w:r>
    </w:p>
    <w:p>
      <w:pPr>
        <w:ind w:right="220"/>
        <w:spacing w:after="0" w:line="215" w:lineRule="auto"/>
        <w:rPr>
          <w:sz w:val="20"/>
          <w:szCs w:val="20"/>
          <w:color w:val="auto"/>
        </w:rPr>
      </w:pPr>
      <w:r>
        <w:rPr>
          <w:rFonts w:ascii="Times New Roman" w:cs="Times New Roman" w:eastAsia="Times New Roman" w:hAnsi="Times New Roman"/>
          <w:sz w:val="19"/>
          <w:szCs w:val="19"/>
          <w:color w:val="auto"/>
        </w:rPr>
        <w:t>law (or any comparable event under a different jurisdiction’s laws): (a) if any asset, right, obligation or liability of any Person becomes the asset, right, obligation or liability of a different Person, then it shall be deemed to have been transferred from the original Person to the</w:t>
      </w:r>
    </w:p>
    <w:p>
      <w:pPr>
        <w:spacing w:after="0"/>
        <w:rPr>
          <w:sz w:val="20"/>
          <w:szCs w:val="20"/>
          <w:color w:val="auto"/>
        </w:rPr>
      </w:pPr>
      <w:r>
        <w:rPr>
          <w:rFonts w:ascii="Times New Roman" w:cs="Times New Roman" w:eastAsia="Times New Roman" w:hAnsi="Times New Roman"/>
          <w:sz w:val="20"/>
          <w:szCs w:val="20"/>
          <w:color w:val="auto"/>
        </w:rPr>
        <w:t>subsequent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00"/>
          </w:cols>
          <w:pgMar w:left="320" w:top="1412" w:right="379" w:bottom="1440" w:gutter="0" w:footer="0" w:header="0"/>
        </w:sectPr>
      </w:pPr>
    </w:p>
    <w:bookmarkStart w:id="599" w:name="page600"/>
    <w:bookmarkEnd w:id="599"/>
    <w:p>
      <w:pPr>
        <w:ind w:right="60"/>
        <w:spacing w:after="0"/>
        <w:rPr>
          <w:sz w:val="20"/>
          <w:szCs w:val="20"/>
          <w:color w:val="auto"/>
        </w:rPr>
      </w:pPr>
      <w:r>
        <w:rPr>
          <w:rFonts w:ascii="Times New Roman" w:cs="Times New Roman" w:eastAsia="Times New Roman" w:hAnsi="Times New Roman"/>
          <w:sz w:val="20"/>
          <w:szCs w:val="20"/>
          <w:color w:val="auto"/>
        </w:rPr>
        <w:t>and (b) if any new Person comes into existence, such new Person shall be deemed to have been organized on the first date of its existence by the holders of its Equity Interests at such time.</w:t>
      </w:r>
    </w:p>
    <w:p>
      <w:pPr>
        <w:spacing w:after="0" w:line="1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010000"/>
        </w:rPr>
        <w:t>Section 2</w:t>
      </w: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167"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Revolving Commitments</w:t>
      </w:r>
      <w:r>
        <w:rPr>
          <w:rFonts w:ascii="Times New Roman" w:cs="Times New Roman" w:eastAsia="Times New Roman" w:hAnsi="Times New Roman"/>
          <w:sz w:val="19"/>
          <w:szCs w:val="19"/>
          <w:color w:val="auto"/>
        </w:rPr>
        <w:t>. Subject to the terms and conditions hereof, each Lender severally agrees to make Revolving Loans in Dollars to the Borrower from time to time during the Availability Period in an aggregate amount that will not result (after giving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effect to any application of proceeds of such Borrowing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in (a) such Lender’s Revolving Credit Exposure exceeding</w:t>
      </w:r>
    </w:p>
    <w:p>
      <w:pPr>
        <w:spacing w:after="0" w:line="1" w:lineRule="exact"/>
        <w:rPr>
          <w:sz w:val="20"/>
          <w:szCs w:val="20"/>
          <w:color w:val="auto"/>
        </w:rPr>
      </w:pPr>
    </w:p>
    <w:p>
      <w:pPr>
        <w:jc w:val="both"/>
        <w:ind w:right="140"/>
        <w:spacing w:after="0" w:line="215" w:lineRule="auto"/>
        <w:rPr>
          <w:sz w:val="20"/>
          <w:szCs w:val="20"/>
          <w:color w:val="auto"/>
        </w:rPr>
      </w:pPr>
      <w:r>
        <w:rPr>
          <w:rFonts w:ascii="Times New Roman" w:cs="Times New Roman" w:eastAsia="Times New Roman" w:hAnsi="Times New Roman"/>
          <w:sz w:val="19"/>
          <w:szCs w:val="19"/>
          <w:color w:val="auto"/>
        </w:rPr>
        <w:t>such Lender’s Revolving Commitment or (b) the Total Revolving Credit Exposure exceeding the total Revolving Commitments. Within the foregoing limits and subject to the terms and conditions set forth herein, the Borrower may borrow, prepay and reborrow Revolving Loans.</w:t>
      </w:r>
    </w:p>
    <w:p>
      <w:pPr>
        <w:ind w:right="700"/>
        <w:spacing w:after="0" w:line="228" w:lineRule="auto"/>
        <w:rPr>
          <w:sz w:val="20"/>
          <w:szCs w:val="20"/>
          <w:color w:val="auto"/>
        </w:rPr>
      </w:pPr>
      <w:r>
        <w:rPr>
          <w:rFonts w:ascii="Times New Roman" w:cs="Times New Roman" w:eastAsia="Times New Roman" w:hAnsi="Times New Roman"/>
          <w:sz w:val="20"/>
          <w:szCs w:val="20"/>
          <w:color w:val="auto"/>
        </w:rPr>
        <w:t xml:space="preserve">The Revolving Loans may from time to time be SOFR Loans or Base Rate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Revolving Loans and Borrowing</w:t>
      </w:r>
      <w:r>
        <w:rPr>
          <w:rFonts w:ascii="Times New Roman" w:cs="Times New Roman" w:eastAsia="Times New Roman" w:hAnsi="Times New Roman"/>
          <w:sz w:val="19"/>
          <w:szCs w:val="19"/>
          <w:color w:val="auto"/>
        </w:rPr>
        <w:t>. (a) Each Revolving Loan shall be made as part of a Borrowing consisting of Revolving Loans made by the Lenders ratably in accordance with their respective Revolving Loan Percentages. The failure of any Lender to make any</w:t>
      </w:r>
    </w:p>
    <w:p>
      <w:pPr>
        <w:spacing w:after="0" w:line="1" w:lineRule="exact"/>
        <w:rPr>
          <w:sz w:val="20"/>
          <w:szCs w:val="20"/>
          <w:color w:val="auto"/>
        </w:rPr>
      </w:pPr>
    </w:p>
    <w:p>
      <w:pPr>
        <w:jc w:val="both"/>
        <w:ind w:right="600"/>
        <w:spacing w:after="0" w:line="233" w:lineRule="auto"/>
        <w:rPr>
          <w:sz w:val="20"/>
          <w:szCs w:val="20"/>
          <w:color w:val="auto"/>
        </w:rPr>
      </w:pPr>
      <w:r>
        <w:rPr>
          <w:rFonts w:ascii="Times New Roman" w:cs="Times New Roman" w:eastAsia="Times New Roman" w:hAnsi="Times New Roman"/>
          <w:sz w:val="19"/>
          <w:szCs w:val="19"/>
          <w:color w:val="auto"/>
        </w:rPr>
        <w:t xml:space="preserve">Revolving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Commitments of the Lenders are several and no Lender shall be responsible for any other Lender’s failure to make Loans as required.</w:t>
      </w:r>
    </w:p>
    <w:p>
      <w:pPr>
        <w:spacing w:after="0" w:line="202" w:lineRule="exact"/>
        <w:rPr>
          <w:sz w:val="20"/>
          <w:szCs w:val="20"/>
          <w:color w:val="auto"/>
        </w:rPr>
      </w:pPr>
    </w:p>
    <w:p>
      <w:pPr>
        <w:ind w:right="20" w:firstLine="656"/>
        <w:spacing w:after="0" w:line="258" w:lineRule="auto"/>
        <w:tabs>
          <w:tab w:leader="none" w:pos="928" w:val="left"/>
        </w:tabs>
        <w:numPr>
          <w:ilvl w:val="0"/>
          <w:numId w:val="7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each Revolving Borrowing shall be comprised entirely of Base Rate Loans or SOFR Loans as the Borrower may request in accordance herewith. Each Lender at its option may make any SOFR Loan by causing any domestic or foreign branch or Affiliate of such Lender to make such Loan by designating such branch or Affiliate as its lending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99" w:lineRule="exact"/>
        <w:rPr>
          <w:rFonts w:ascii="Times New Roman" w:cs="Times New Roman" w:eastAsia="Times New Roman" w:hAnsi="Times New Roman"/>
          <w:sz w:val="20"/>
          <w:szCs w:val="20"/>
          <w:color w:val="auto"/>
        </w:rPr>
      </w:pPr>
    </w:p>
    <w:p>
      <w:pPr>
        <w:ind w:firstLine="656"/>
        <w:spacing w:after="0" w:line="253" w:lineRule="auto"/>
        <w:tabs>
          <w:tab w:leader="none" w:pos="917" w:val="left"/>
        </w:tabs>
        <w:numPr>
          <w:ilvl w:val="0"/>
          <w:numId w:val="7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SOFR Revolving Borrowing, such Borrowing shall be in an aggregate amount that is an integral multiple of $1,000,000 and not less than $5,000,000. At the time that each Base Rate Revolving Borrowing is made, such Borrowing shall be in an aggregate amount that is an integral multiple of $1,000,000 and not less than $3,000,000;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Base Rate Revolving Borrowing may be in an aggregate amount that is equal to the entire unused balance of the total Revolving Commitments or that is required to finance the reimbursement of a DC Disbursement as contemplated by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xml:space="preserv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ten SOFR Revolving Borrowings outstanding.</w:t>
      </w:r>
    </w:p>
    <w:p>
      <w:pPr>
        <w:spacing w:after="0" w:line="206" w:lineRule="exact"/>
        <w:rPr>
          <w:rFonts w:ascii="Times New Roman" w:cs="Times New Roman" w:eastAsia="Times New Roman" w:hAnsi="Times New Roman"/>
          <w:sz w:val="20"/>
          <w:szCs w:val="20"/>
          <w:color w:val="auto"/>
        </w:rPr>
      </w:pPr>
    </w:p>
    <w:p>
      <w:pPr>
        <w:ind w:right="200" w:firstLine="656"/>
        <w:spacing w:after="0" w:line="268" w:lineRule="auto"/>
        <w:tabs>
          <w:tab w:leader="none" w:pos="928" w:val="left"/>
        </w:tabs>
        <w:numPr>
          <w:ilvl w:val="0"/>
          <w:numId w:val="7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of Revolving Loans if the Interest Period requested with respect thereto would end after the applicable Revolving Maturity Date.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Requests for Revolving Borrowings</w:t>
      </w:r>
      <w:r>
        <w:rPr>
          <w:rFonts w:ascii="Times New Roman" w:cs="Times New Roman" w:eastAsia="Times New Roman" w:hAnsi="Times New Roman"/>
          <w:sz w:val="19"/>
          <w:szCs w:val="19"/>
          <w:color w:val="auto"/>
        </w:rPr>
        <w:t>. To request a Revolving Borrowing, the Borrower shall notify the Administrative Agent</w:t>
      </w:r>
    </w:p>
    <w:p>
      <w:pPr>
        <w:ind w:right="80"/>
        <w:spacing w:after="0" w:line="215" w:lineRule="auto"/>
        <w:rPr>
          <w:sz w:val="20"/>
          <w:szCs w:val="20"/>
          <w:color w:val="auto"/>
        </w:rPr>
      </w:pPr>
      <w:r>
        <w:rPr>
          <w:rFonts w:ascii="Times New Roman" w:cs="Times New Roman" w:eastAsia="Times New Roman" w:hAnsi="Times New Roman"/>
          <w:sz w:val="19"/>
          <w:szCs w:val="19"/>
          <w:color w:val="auto"/>
        </w:rPr>
        <w:t>of such request by submitting a Borrowing Request (a) in the case of a SOFR Borrowing, not later than 1:00 p.m. New York City time, three Business Days before the date of the proposed Borrowing or (b) in the case of a Base Rate Borrowing, not later than 12:00 p.m. New York</w:t>
      </w:r>
    </w:p>
    <w:p>
      <w:pPr>
        <w:spacing w:after="0" w:line="211" w:lineRule="auto"/>
        <w:rPr>
          <w:sz w:val="20"/>
          <w:szCs w:val="20"/>
          <w:color w:val="auto"/>
        </w:rPr>
      </w:pPr>
      <w:r>
        <w:rPr>
          <w:rFonts w:ascii="Times New Roman" w:cs="Times New Roman" w:eastAsia="Times New Roman" w:hAnsi="Times New Roman"/>
          <w:sz w:val="20"/>
          <w:szCs w:val="20"/>
          <w:color w:val="auto"/>
        </w:rPr>
        <w:t>City time, on the date of the proposed Borrowing (which shall be a Business Day). Each such Borrowing Request shall be irrevocable and</w:t>
      </w:r>
    </w:p>
    <w:p>
      <w:pPr>
        <w:ind w:right="860"/>
        <w:spacing w:after="0" w:line="221" w:lineRule="auto"/>
        <w:rPr>
          <w:sz w:val="20"/>
          <w:szCs w:val="20"/>
          <w:color w:val="auto"/>
        </w:rPr>
      </w:pPr>
      <w:r>
        <w:rPr>
          <w:rFonts w:ascii="Times New Roman" w:cs="Times New Roman" w:eastAsia="Times New Roman" w:hAnsi="Times New Roman"/>
          <w:sz w:val="20"/>
          <w:szCs w:val="20"/>
          <w:color w:val="auto"/>
        </w:rPr>
        <w:t xml:space="preserve">shall be signed by a Responsible Officer of the Borrower. Each such Borrowing Request shall specify the following information in compliance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 the aggregate amount of the requested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00"/>
          </w:cols>
          <w:pgMar w:left="320" w:top="1399" w:right="379" w:bottom="1440" w:gutter="0" w:footer="0" w:header="0"/>
        </w:sectPr>
      </w:pPr>
    </w:p>
    <w:bookmarkStart w:id="600" w:name="page601"/>
    <w:bookmarkEnd w:id="600"/>
    <w:p>
      <w:pPr>
        <w:ind w:left="1600" w:hanging="296"/>
        <w:spacing w:after="0"/>
        <w:tabs>
          <w:tab w:leader="none" w:pos="1600" w:val="left"/>
        </w:tabs>
        <w:numPr>
          <w:ilvl w:val="0"/>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Date;</w:t>
      </w:r>
    </w:p>
    <w:p>
      <w:pPr>
        <w:spacing w:after="0" w:line="20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Base Rate Borrowing or a SOFR Borrowing;</w:t>
      </w:r>
    </w:p>
    <w:p>
      <w:pPr>
        <w:spacing w:after="0" w:line="215" w:lineRule="exact"/>
        <w:rPr>
          <w:rFonts w:ascii="Times New Roman" w:cs="Times New Roman" w:eastAsia="Times New Roman" w:hAnsi="Times New Roman"/>
          <w:sz w:val="20"/>
          <w:szCs w:val="20"/>
          <w:color w:val="auto"/>
        </w:rPr>
      </w:pPr>
    </w:p>
    <w:p>
      <w:pPr>
        <w:ind w:left="1300" w:right="1060" w:firstLine="4"/>
        <w:spacing w:after="0" w:line="269" w:lineRule="auto"/>
        <w:tabs>
          <w:tab w:leader="none" w:pos="1635" w:val="left"/>
        </w:tabs>
        <w:numPr>
          <w:ilvl w:val="0"/>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SOFR Borrowing, the initial Interest Period to be applicable thereto, which shall be a period contemplated by the definition of the term “Interest Period”; and</w:t>
      </w:r>
    </w:p>
    <w:p>
      <w:pPr>
        <w:spacing w:after="0" w:line="145" w:lineRule="exact"/>
        <w:rPr>
          <w:rFonts w:ascii="Times New Roman" w:cs="Times New Roman" w:eastAsia="Times New Roman" w:hAnsi="Times New Roman"/>
          <w:sz w:val="20"/>
          <w:szCs w:val="20"/>
          <w:color w:val="auto"/>
        </w:rPr>
      </w:pPr>
    </w:p>
    <w:p>
      <w:pPr>
        <w:ind w:left="1300" w:right="520" w:firstLine="4"/>
        <w:spacing w:after="0" w:line="283" w:lineRule="auto"/>
        <w:tabs>
          <w:tab w:leader="none" w:pos="1580" w:val="left"/>
        </w:tabs>
        <w:numPr>
          <w:ilvl w:val="0"/>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auto"/>
        </w:rPr>
        <w:t>If no election as to the Type of Revolving Borrowing is specified, then the requested Revolving Borrowing shall be a Base Rate Borrowing. If no Interest Period is specified with respect to any requested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Documentary Credits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u w:val="single" w:color="auto"/>
          <w:color w:val="auto"/>
        </w:rPr>
        <w:t xml:space="preserve"> General</w:t>
      </w:r>
      <w:r>
        <w:rPr>
          <w:rFonts w:ascii="Times New Roman" w:cs="Times New Roman" w:eastAsia="Times New Roman" w:hAnsi="Times New Roman"/>
          <w:sz w:val="19"/>
          <w:szCs w:val="19"/>
          <w:color w:val="auto"/>
        </w:rPr>
        <w:t>. Subject to the terms and conditions set forth herein, the Borrower may request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issuance of Documentary Credits as the applicant thereof for the support of its or its Subsidiaries’ obligations, in a form reasonably acceptable to the Administrative Agent and the applicable Issuing Bank, at any time and from time to time during the Availability Period. In</w:t>
      </w:r>
    </w:p>
    <w:p>
      <w:pPr>
        <w:spacing w:after="0" w:line="211" w:lineRule="auto"/>
        <w:rPr>
          <w:sz w:val="20"/>
          <w:szCs w:val="20"/>
          <w:color w:val="auto"/>
        </w:rPr>
      </w:pPr>
      <w:r>
        <w:rPr>
          <w:rFonts w:ascii="Times New Roman" w:cs="Times New Roman" w:eastAsia="Times New Roman" w:hAnsi="Times New Roman"/>
          <w:sz w:val="20"/>
          <w:szCs w:val="20"/>
          <w:color w:val="auto"/>
        </w:rPr>
        <w:t>the event of any inconsistency between the terms and conditions of this Agreement and the terms and conditions of any Documentary Credit</w:t>
      </w:r>
    </w:p>
    <w:p>
      <w:pPr>
        <w:ind w:right="100"/>
        <w:spacing w:after="0" w:line="215" w:lineRule="auto"/>
        <w:rPr>
          <w:sz w:val="20"/>
          <w:szCs w:val="20"/>
          <w:color w:val="auto"/>
        </w:rPr>
      </w:pPr>
      <w:r>
        <w:rPr>
          <w:rFonts w:ascii="Times New Roman" w:cs="Times New Roman" w:eastAsia="Times New Roman" w:hAnsi="Times New Roman"/>
          <w:sz w:val="19"/>
          <w:szCs w:val="19"/>
          <w:color w:val="auto"/>
        </w:rPr>
        <w:t>Agreement, the terms and conditions of this Agreement shall control. Notwithstanding anything herein to the contrary, no Issuing Bank shall have an obligation hereunder to issue, and no Issuing Bank shall issue, any Documentary Credit the proceeds of which would be made</w:t>
      </w:r>
    </w:p>
    <w:p>
      <w:pPr>
        <w:spacing w:after="0" w:line="222" w:lineRule="auto"/>
        <w:rPr>
          <w:sz w:val="20"/>
          <w:szCs w:val="20"/>
          <w:color w:val="auto"/>
        </w:rPr>
      </w:pPr>
      <w:r>
        <w:rPr>
          <w:rFonts w:ascii="Times New Roman" w:cs="Times New Roman" w:eastAsia="Times New Roman" w:hAnsi="Times New Roman"/>
          <w:sz w:val="19"/>
          <w:szCs w:val="19"/>
          <w:color w:val="auto"/>
        </w:rPr>
        <w:t>available to any Person (i) to fund any activity or business of or with any Sanctioned Person, or in any Sanctioned Country, (ii) in any manner</w:t>
      </w:r>
    </w:p>
    <w:p>
      <w:pPr>
        <w:ind w:right="180"/>
        <w:spacing w:after="0" w:line="221" w:lineRule="auto"/>
        <w:rPr>
          <w:sz w:val="20"/>
          <w:szCs w:val="20"/>
          <w:color w:val="auto"/>
        </w:rPr>
      </w:pPr>
      <w:r>
        <w:rPr>
          <w:rFonts w:ascii="Times New Roman" w:cs="Times New Roman" w:eastAsia="Times New Roman" w:hAnsi="Times New Roman"/>
          <w:sz w:val="20"/>
          <w:szCs w:val="20"/>
          <w:color w:val="auto"/>
        </w:rPr>
        <w:t>that would result in a violation of any Sanctions by any party to this Agreement or (iii) in any manner that would result in a violation of one or more policies of such Issuing Bank applicable to letters of credit or bank guarantees generally.</w:t>
      </w:r>
    </w:p>
    <w:p>
      <w:pPr>
        <w:spacing w:after="0" w:line="202" w:lineRule="exact"/>
        <w:rPr>
          <w:sz w:val="20"/>
          <w:szCs w:val="20"/>
          <w:color w:val="auto"/>
        </w:rPr>
      </w:pPr>
    </w:p>
    <w:p>
      <w:pPr>
        <w:ind w:firstLine="656"/>
        <w:spacing w:after="0" w:line="250" w:lineRule="auto"/>
        <w:tabs>
          <w:tab w:leader="none" w:pos="928" w:val="left"/>
        </w:tabs>
        <w:numPr>
          <w:ilvl w:val="0"/>
          <w:numId w:val="7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Documentary Credit (or the amendment, renewal or extension of an outstanding Documentary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a notice requesting the issuance of a Documentary Credit, or identifying the Documentary Credit to be amended, renewed or extended, and specifying the date of issuance, amendment, renewal or extension (which shall be a Business Day), the date on which such Documentary Credit is to expire (which shall comply with paragraph (c) of this Section), the amount of such Documentary Credit, the name and address of the beneficiary thereof and such other information as shall be necessary to prepare, amend, renew or extend such Documentary Credit. In addition, as a condition to any such Documentary Credit issuance, the Borrower shall have entered into a continuing agreement (or other letter of credit agreement) for the issuance of letters of credit and/or shall submit a letter of credit application, in each case, as required by the applicable Issuing Bank and using such bank’s standard form (each, a “</w:t>
      </w:r>
      <w:r>
        <w:rPr>
          <w:rFonts w:ascii="Times New Roman" w:cs="Times New Roman" w:eastAsia="Times New Roman" w:hAnsi="Times New Roman"/>
          <w:sz w:val="20"/>
          <w:szCs w:val="20"/>
          <w:u w:val="single" w:color="auto"/>
          <w:color w:val="auto"/>
        </w:rPr>
        <w:t>Documentary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 Documentary Credit shall be issued, amended, renewed or extended only if (and upon issuance, amendment, renewal or extension of each Documentary Credit the Borrower shall be deemed to represent and warrant that), after giving effect to such issuance, amendment, renewal or extension (i) the DC Exposure shall not exceed $250,000,000, (ii) the Total Revolving Credit Exposures shall not exceed the total Revolving Commitments, (iii) following an Extension Offer and acceptance of such Extension Offer, the DC Exposure in respect of all Documentary Credits having an expiration date after the fifth Business Day prior to the Revolving Maturity Date as extended shall not exceed the total Revolving Commitments outstanding after such extension, (iv) the Revolving Credit Exposure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2" w:right="339" w:bottom="1440" w:gutter="0" w:footer="0" w:header="0"/>
        </w:sectPr>
      </w:pPr>
    </w:p>
    <w:bookmarkStart w:id="601" w:name="page602"/>
    <w:bookmarkEnd w:id="601"/>
    <w:p>
      <w:pPr>
        <w:ind w:right="40"/>
        <w:spacing w:after="0" w:line="261" w:lineRule="auto"/>
        <w:rPr>
          <w:sz w:val="20"/>
          <w:szCs w:val="20"/>
          <w:color w:val="auto"/>
        </w:rPr>
      </w:pPr>
      <w:r>
        <w:rPr>
          <w:rFonts w:ascii="Times New Roman" w:cs="Times New Roman" w:eastAsia="Times New Roman" w:hAnsi="Times New Roman"/>
          <w:sz w:val="20"/>
          <w:szCs w:val="20"/>
          <w:color w:val="auto"/>
        </w:rPr>
        <w:t>Lender shall not exceed such Lender’s Revolving Commitments, (v) the applicable Issuing Bank has consented, in its sole discretion, to issue such Documentary Credit and (vi) the DC Exposure of any Lender shall not exceed such Lender’s Revolving Commitments. For the avoidance of doubt, the amount of any Documentary Credit shall include automatic increases.</w:t>
      </w:r>
    </w:p>
    <w:p>
      <w:pPr>
        <w:spacing w:after="0" w:line="208" w:lineRule="exact"/>
        <w:rPr>
          <w:sz w:val="20"/>
          <w:szCs w:val="20"/>
          <w:color w:val="auto"/>
        </w:rPr>
      </w:pPr>
    </w:p>
    <w:p>
      <w:pPr>
        <w:ind w:firstLine="656"/>
        <w:spacing w:after="0" w:line="258" w:lineRule="auto"/>
        <w:tabs>
          <w:tab w:leader="none" w:pos="917" w:val="left"/>
        </w:tabs>
        <w:numPr>
          <w:ilvl w:val="0"/>
          <w:numId w:val="7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Documentary Credit shall expire (or be subject to termination by notice from the Issuing Bank to the beneficiary thereof) at or prior to the close of business on the earlier of (i) the date one year after the date of the issuance of such Documentary Credit (or, in the case of any renewal or extension thereof, one year after such renewal or extension) and (ii) the date that is five Business Days prior to the applicable Revolving Maturity Date.</w:t>
      </w:r>
    </w:p>
    <w:p>
      <w:pPr>
        <w:spacing w:after="0" w:line="199" w:lineRule="exact"/>
        <w:rPr>
          <w:rFonts w:ascii="Times New Roman" w:cs="Times New Roman" w:eastAsia="Times New Roman" w:hAnsi="Times New Roman"/>
          <w:sz w:val="20"/>
          <w:szCs w:val="20"/>
          <w:color w:val="auto"/>
        </w:rPr>
      </w:pPr>
    </w:p>
    <w:p>
      <w:pPr>
        <w:ind w:firstLine="656"/>
        <w:spacing w:after="0" w:line="250" w:lineRule="auto"/>
        <w:tabs>
          <w:tab w:leader="none" w:pos="928" w:val="left"/>
        </w:tabs>
        <w:numPr>
          <w:ilvl w:val="0"/>
          <w:numId w:val="7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Documentary Credit (or an amendment to a Documentary Credit increasing the amount thereof) and without any further action on the part of the applicable Issuing Bank or the Lenders, each such Issuing Bank hereby grants to each Lender, and each Lender hereby acquires from such Issuing Bank, a participation in such Documentary Credit equal to such Lender’s Revolving Loan Percentage of the aggregate amount available to be drawn under such Documentary Credit. In consideration and in furtherance of the foregoing, each Lender hereby absolutely and unconditionally agrees to pay to the Administrative Agent, for the account of such Issuing Bank, such Lender’s Revolving Loan Percentage of each DC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Documentary Credits is absolute and unconditional and shall not be affected by any circumstance whatsoever, including any amendment, renewal or extension of any Documentary Credit or the occurrence and continuance of a Default or reduction or termination of the Commitments, and that each such payment shall be made without any offset, abatement, withholding or reduction whatsoever.</w:t>
      </w:r>
    </w:p>
    <w:p>
      <w:pPr>
        <w:spacing w:after="0" w:line="226" w:lineRule="exact"/>
        <w:rPr>
          <w:rFonts w:ascii="Times New Roman" w:cs="Times New Roman" w:eastAsia="Times New Roman" w:hAnsi="Times New Roman"/>
          <w:sz w:val="20"/>
          <w:szCs w:val="20"/>
          <w:color w:val="auto"/>
        </w:rPr>
      </w:pPr>
    </w:p>
    <w:p>
      <w:pPr>
        <w:ind w:right="40" w:firstLine="656"/>
        <w:spacing w:after="0" w:line="249" w:lineRule="auto"/>
        <w:tabs>
          <w:tab w:leader="none" w:pos="917" w:val="left"/>
        </w:tabs>
        <w:numPr>
          <w:ilvl w:val="0"/>
          <w:numId w:val="7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any Issuing Bank shall make any DC Disbursement in respect of a Documentary Credit, the Borrower shall reimburse such DC Disbursement by paying to the Administrative Agent an amount equal to such DC Disbursement not later than 12:00 noon, New York City time, on the date that is two Business Days after such DC Disbursement is made, if the Borrower shall have received notice of such DC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that such payment be financed with a Base Rate Revolving Borrowing in an equivalent amount and, to the extent so financed, the Borrower’s obligation to make such payment shall be discharged and replaced by the resulting Base Rate Revolving Borrowing Loan. If the Borrower fails to make such payment when due, the Administrative Agent shall notify each Lender of the applicable DC Disbursement, the payment then due from the Borrower in respect thereof and such Lender’s Revolving Loan Percentage thereof. Promptly following receipt of such notice, each Lender shall pay to the Administrative Agent its Revolving Loan Percentage of the payment then due from the Borrower, in the same manner as provided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with respect to Revolving Loans made by such Lender (and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2" w:right="339" w:bottom="1440" w:gutter="0" w:footer="0" w:header="0"/>
        </w:sectPr>
      </w:pPr>
    </w:p>
    <w:bookmarkStart w:id="602" w:name="page603"/>
    <w:bookmarkEnd w:id="602"/>
    <w:p>
      <w:pPr>
        <w:jc w:val="both"/>
        <w:ind w:right="200"/>
        <w:spacing w:after="0" w:line="310" w:lineRule="auto"/>
        <w:rPr>
          <w:sz w:val="20"/>
          <w:szCs w:val="20"/>
          <w:color w:val="auto"/>
        </w:rPr>
      </w:pPr>
      <w:r>
        <w:rPr>
          <w:rFonts w:ascii="Times New Roman" w:cs="Times New Roman" w:eastAsia="Times New Roman" w:hAnsi="Times New Roman"/>
          <w:sz w:val="19"/>
          <w:szCs w:val="19"/>
          <w:color w:val="auto"/>
        </w:rPr>
        <w:t>pursuant to this paragraph to reimburse such Issuing Bank for any DC Disbursement (other than the funding of Base Rate Revolving Loans as contemplated above) shall not constitute a Loan and shall not relieve the Borrower of its obligation to reimburse such DC Disbursement.</w:t>
      </w:r>
    </w:p>
    <w:p>
      <w:pPr>
        <w:spacing w:after="0" w:line="151" w:lineRule="exact"/>
        <w:rPr>
          <w:sz w:val="20"/>
          <w:szCs w:val="20"/>
          <w:color w:val="auto"/>
        </w:rPr>
      </w:pPr>
    </w:p>
    <w:p>
      <w:pPr>
        <w:ind w:right="20" w:firstLine="656"/>
        <w:spacing w:after="0" w:line="249" w:lineRule="auto"/>
        <w:tabs>
          <w:tab w:leader="none" w:pos="895" w:val="left"/>
        </w:tabs>
        <w:numPr>
          <w:ilvl w:val="0"/>
          <w:numId w:val="7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DC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Documentary Credit, any Documentary Credit Agreement or this Agreement, or any term or provision therein, (ii) any draft or other document presented under a Documentary Credit proving to be forged, fraudulent or invalid in any respect or any statement therein being untrue or inaccurate in any respect, (iii) payment by the applicable Issuing Bank under a Documentary Credit against presentation of a draft or other document that does not comply with the terms of such Documentary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Persons, shall have any liability or responsibility by reason of or in connection with the issuance or transfer of any Documentary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Documentary Credit (including any document required to make a drawing thereunder), any error in interpretation of technical terms or any consequence arising from causes beyond the control of the Issuing Banks;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applicable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Documentary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Documentary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Documentary Credit.</w:t>
      </w:r>
    </w:p>
    <w:p>
      <w:pPr>
        <w:spacing w:after="0" w:line="213" w:lineRule="exact"/>
        <w:rPr>
          <w:rFonts w:ascii="Times New Roman" w:cs="Times New Roman" w:eastAsia="Times New Roman" w:hAnsi="Times New Roman"/>
          <w:sz w:val="20"/>
          <w:szCs w:val="20"/>
          <w:color w:val="auto"/>
        </w:rPr>
      </w:pPr>
    </w:p>
    <w:p>
      <w:pPr>
        <w:ind w:firstLine="656"/>
        <w:spacing w:after="0" w:line="257" w:lineRule="auto"/>
        <w:tabs>
          <w:tab w:leader="none" w:pos="928" w:val="left"/>
        </w:tabs>
        <w:numPr>
          <w:ilvl w:val="0"/>
          <w:numId w:val="7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Documentary Credit. Such Issuing Bank shall promptly notify the Administrative Agent and the Borrower by telephone (confirmed by telecopy or electronic mail) of such demand for payment and whether such Issuing Bank has made or will make an DC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such Issuing Bank and the Lenders with respect to any such DC Disbursement.</w:t>
      </w:r>
    </w:p>
    <w:p>
      <w:pPr>
        <w:spacing w:after="0" w:line="199" w:lineRule="exact"/>
        <w:rPr>
          <w:rFonts w:ascii="Times New Roman" w:cs="Times New Roman" w:eastAsia="Times New Roman" w:hAnsi="Times New Roman"/>
          <w:sz w:val="20"/>
          <w:szCs w:val="20"/>
          <w:color w:val="auto"/>
        </w:rPr>
      </w:pPr>
    </w:p>
    <w:p>
      <w:pPr>
        <w:ind w:right="80" w:firstLine="656"/>
        <w:spacing w:after="0" w:line="258" w:lineRule="auto"/>
        <w:tabs>
          <w:tab w:leader="none" w:pos="928" w:val="left"/>
        </w:tabs>
        <w:numPr>
          <w:ilvl w:val="0"/>
          <w:numId w:val="7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applicable Issuing Bank shall make any DC Disbursement, then, unless the Borrower shall reimburse such DC Disbursement in full on the date such DC Disbursement is made, the unpaid amount thereof shall bear interest, for each day from and including the date such DC Disbursement is made to but excluding the date that the reimbursement is due and payable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then applicable to Base Rate Revolving Loans and such interest shall be due and payable on the date when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2" w:right="339" w:bottom="1440" w:gutter="0" w:footer="0" w:header="0"/>
        </w:sectPr>
      </w:pPr>
    </w:p>
    <w:bookmarkStart w:id="603" w:name="page604"/>
    <w:bookmarkEnd w:id="603"/>
    <w:p>
      <w:pPr>
        <w:spacing w:after="0" w:line="258" w:lineRule="auto"/>
        <w:rPr>
          <w:sz w:val="20"/>
          <w:szCs w:val="20"/>
          <w:color w:val="auto"/>
        </w:rPr>
      </w:pPr>
      <w:r>
        <w:rPr>
          <w:rFonts w:ascii="Times New Roman" w:cs="Times New Roman" w:eastAsia="Times New Roman" w:hAnsi="Times New Roman"/>
          <w:sz w:val="20"/>
          <w:szCs w:val="20"/>
          <w:color w:val="auto"/>
        </w:rPr>
        <w:t xml:space="preserve">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DC Disbursement when due pursuant to paragraph (e) of this Section, then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99" w:lineRule="exact"/>
        <w:rPr>
          <w:sz w:val="20"/>
          <w:szCs w:val="20"/>
          <w:color w:val="auto"/>
        </w:rPr>
      </w:pPr>
    </w:p>
    <w:p>
      <w:pPr>
        <w:ind w:right="40" w:firstLine="656"/>
        <w:spacing w:after="0" w:line="254" w:lineRule="auto"/>
        <w:tabs>
          <w:tab w:leader="none" w:pos="884" w:val="left"/>
        </w:tabs>
        <w:numPr>
          <w:ilvl w:val="1"/>
          <w:numId w:val="7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the Issuing Bank</w:t>
      </w:r>
      <w:r>
        <w:rPr>
          <w:rFonts w:ascii="Times New Roman" w:cs="Times New Roman" w:eastAsia="Times New Roman" w:hAnsi="Times New Roman"/>
          <w:sz w:val="20"/>
          <w:szCs w:val="20"/>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From and after the effective date of any such replacement,</w:t>
      </w:r>
    </w:p>
    <w:p>
      <w:pPr>
        <w:ind w:right="100" w:firstLine="8"/>
        <w:spacing w:after="0" w:line="250" w:lineRule="auto"/>
        <w:tabs>
          <w:tab w:leader="none" w:pos="280" w:val="left"/>
        </w:tabs>
        <w:numPr>
          <w:ilvl w:val="0"/>
          <w:numId w:val="7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Issuing Bank shall have all the rights and obligations of Issuing Banks under this Agreement with respect to Documentary Credits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Documentary Credits issued by it prior to such replacement, but shall not be required to issue additional Documentary Credits.</w:t>
      </w:r>
    </w:p>
    <w:p>
      <w:pPr>
        <w:spacing w:after="0" w:line="207" w:lineRule="exact"/>
        <w:rPr>
          <w:rFonts w:ascii="Times New Roman" w:cs="Times New Roman" w:eastAsia="Times New Roman" w:hAnsi="Times New Roman"/>
          <w:sz w:val="20"/>
          <w:szCs w:val="20"/>
          <w:color w:val="auto"/>
        </w:rPr>
      </w:pPr>
    </w:p>
    <w:p>
      <w:pPr>
        <w:ind w:right="20" w:firstLine="656"/>
        <w:spacing w:after="0" w:line="268" w:lineRule="auto"/>
        <w:tabs>
          <w:tab w:leader="none" w:pos="939" w:val="left"/>
        </w:tabs>
        <w:numPr>
          <w:ilvl w:val="1"/>
          <w:numId w:val="7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Times New Roman" w:cs="Times New Roman" w:eastAsia="Times New Roman" w:hAnsi="Times New Roman"/>
          <w:sz w:val="20"/>
          <w:szCs w:val="20"/>
          <w:u w:val="single" w:color="auto"/>
          <w:color w:val="auto"/>
        </w:rPr>
        <w:t>Section 2.4(i)</w:t>
      </w:r>
      <w:r>
        <w:rPr>
          <w:rFonts w:ascii="Times New Roman" w:cs="Times New Roman" w:eastAsia="Times New Roman" w:hAnsi="Times New Roman"/>
          <w:sz w:val="20"/>
          <w:szCs w:val="20"/>
          <w:color w:val="auto"/>
        </w:rPr>
        <w:t xml:space="preserve"> above.</w:t>
      </w:r>
    </w:p>
    <w:p>
      <w:pPr>
        <w:spacing w:after="0" w:line="188" w:lineRule="exact"/>
        <w:rPr>
          <w:sz w:val="20"/>
          <w:szCs w:val="20"/>
          <w:color w:val="auto"/>
        </w:rPr>
      </w:pPr>
    </w:p>
    <w:p>
      <w:pPr>
        <w:ind w:right="180" w:firstLine="656"/>
        <w:spacing w:after="0" w:line="249" w:lineRule="auto"/>
        <w:tabs>
          <w:tab w:leader="none" w:pos="884" w:val="left"/>
        </w:tabs>
        <w:numPr>
          <w:ilvl w:val="0"/>
          <w:numId w:val="7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receives notice from the Administrative Agent or the Required Lenders (or, if the maturity of the Loans has been accelerated, Lenders with DC Exposure representing greater than 50% of the total DC Exposure) demanding the deposit of cash collateral pursuant to this paragraph, the Borrower shall deposit in an account with the Administrative Agent, in the name of the Administrative Agent and for the benefit of the Lenders, an amount in cash equal to the DC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7.1(f) or (g).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DC Disbursements for which it has not been reimbursed and, to the extent not so applied, shall be held for the satisfaction of the reimbursement obligations of the Borrower for the DC Exposure at such time or, if the maturity of the Loans has been accelerated (but subject to the consent of Lenders with DC Exposure representing greater than 50% of the total DC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2" w:right="339" w:bottom="1440" w:gutter="0" w:footer="0" w:header="0"/>
        </w:sectPr>
      </w:pPr>
    </w:p>
    <w:bookmarkStart w:id="604" w:name="page605"/>
    <w:bookmarkEnd w:id="604"/>
    <w:p>
      <w:pPr>
        <w:ind w:firstLine="656"/>
        <w:spacing w:after="0" w:line="250" w:lineRule="auto"/>
        <w:tabs>
          <w:tab w:leader="none" w:pos="928" w:val="left"/>
        </w:tabs>
        <w:numPr>
          <w:ilvl w:val="0"/>
          <w:numId w:val="7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Documentary Credits Issued for Account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Notwithstanding that a Documentary Credit issued or outstanding hereunder supports any obligations of, or is for the account of, a Subsidiary of the Borrower, or states that a Subsidiary of the Borrower is the “account party,” “applicant,” “customer,” “instructing party,” or the like of or for such Documentary Credit, and without derogating from any rights of the applicable Issuing Bank (whether arising by contract, at law, in equity or otherwise) against such Subsidiary in respect of such Documentary Credit, the Borrower (i) shall reimburse, indemnify and compensate the applicable Issuing Bank hereunder for such Documentary Credit (including to reimburse any and all drawings thereunder) as if such Documentary Credit had been issued solely for the account of the Borrower and (ii) irrevocably waives any and all defenses that might otherwise be available to it as a guarantor or surety of any or all of the obligations of such Subsidiary in respect of such Documentary Credit. The Borrower hereby acknowledges that the issuance of such Documentary Credits for its Subsidiaries inures to the benefit of the Borrower, and that the Borrower’s business derives substantial benefits from the businesses of such Subsidiaries.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Funding of Revolving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60" w:firstLine="656"/>
        <w:spacing w:after="0" w:line="215" w:lineRule="auto"/>
        <w:tabs>
          <w:tab w:leader="none" w:pos="1286" w:val="left"/>
        </w:tabs>
        <w:numPr>
          <w:ilvl w:val="0"/>
          <w:numId w:val="7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Revolving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at a financial institution reasonably acceptable to the Administrative Agent and designated by the Borrower in the applicable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Base Rate Revolving Loans made to finance the reimbursement of an DC Disbursement as provided in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xml:space="preserve"> shall be remitted by the Administrative Agent to the relevant Issuing Bank.</w:t>
      </w:r>
    </w:p>
    <w:p>
      <w:pPr>
        <w:spacing w:after="0" w:line="150" w:lineRule="exact"/>
        <w:rPr>
          <w:rFonts w:ascii="Times New Roman" w:cs="Times New Roman" w:eastAsia="Times New Roman" w:hAnsi="Times New Roman"/>
          <w:sz w:val="20"/>
          <w:szCs w:val="20"/>
          <w:color w:val="auto"/>
        </w:rPr>
      </w:pPr>
    </w:p>
    <w:p>
      <w:pPr>
        <w:ind w:right="80" w:firstLine="656"/>
        <w:spacing w:after="0" w:line="212" w:lineRule="auto"/>
        <w:tabs>
          <w:tab w:leader="none" w:pos="1284" w:val="left"/>
        </w:tabs>
        <w:numPr>
          <w:ilvl w:val="0"/>
          <w:numId w:val="7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that such Lender will not make available to the Administrative Agent such Lender’s Revolving Loan Percentage of such Borrowing, the Administrative Agent may assume that such Lender has made such Revolving Loan Percentage of such Borrowing available on such date in accordance with paragraph (a) of this Section and may, in reliance upon such assumption, make available to the Borrower a corresponding amount. In such event, if a Lender has not in fact made its Revolving Loan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Revolving Loan included in such Borrowing.</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Termination and Reduction of Revolving Commitments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00" w:hanging="644"/>
        <w:spacing w:after="0"/>
        <w:tabs>
          <w:tab w:leader="none" w:pos="1300" w:val="left"/>
        </w:tabs>
        <w:numPr>
          <w:ilvl w:val="1"/>
          <w:numId w:val="7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Revolving Commitments of any Class shall terminate on the Revolving Maturity Date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Class.</w:t>
      </w:r>
    </w:p>
    <w:p>
      <w:pPr>
        <w:spacing w:after="0" w:line="153" w:lineRule="exact"/>
        <w:rPr>
          <w:rFonts w:ascii="Times New Roman" w:cs="Times New Roman" w:eastAsia="Times New Roman" w:hAnsi="Times New Roman"/>
          <w:sz w:val="20"/>
          <w:szCs w:val="20"/>
          <w:color w:val="auto"/>
        </w:rPr>
      </w:pPr>
    </w:p>
    <w:p>
      <w:pPr>
        <w:ind w:right="160" w:firstLine="656"/>
        <w:spacing w:after="0" w:line="234" w:lineRule="auto"/>
        <w:tabs>
          <w:tab w:leader="none" w:pos="1284" w:val="left"/>
        </w:tabs>
        <w:numPr>
          <w:ilvl w:val="1"/>
          <w:numId w:val="7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at any time terminate, or from time to time reduce, the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reduction of the Revolving Commitments shall be in an amount that is an integral multiple of $5,000,000 and not less than $10,000,000 and</w:t>
      </w:r>
    </w:p>
    <w:p>
      <w:pPr>
        <w:ind w:right="640" w:firstLine="8"/>
        <w:spacing w:after="0" w:line="218" w:lineRule="auto"/>
        <w:tabs>
          <w:tab w:leader="none" w:pos="291" w:val="left"/>
        </w:tabs>
        <w:numPr>
          <w:ilvl w:val="0"/>
          <w:numId w:val="7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terminate or reduce the Revolving Commitments if, after giving effect to any concurrent prepayment of the Revolving Loans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the sum of the Revolving Credit Exposures would exceed the total Revolving Commitments.</w:t>
      </w:r>
    </w:p>
    <w:p>
      <w:pPr>
        <w:spacing w:after="0" w:line="161" w:lineRule="exact"/>
        <w:rPr>
          <w:rFonts w:ascii="Times New Roman" w:cs="Times New Roman" w:eastAsia="Times New Roman" w:hAnsi="Times New Roman"/>
          <w:sz w:val="20"/>
          <w:szCs w:val="20"/>
          <w:color w:val="auto"/>
        </w:rPr>
      </w:pPr>
    </w:p>
    <w:p>
      <w:pPr>
        <w:ind w:right="240" w:firstLine="656"/>
        <w:spacing w:after="0" w:line="226" w:lineRule="auto"/>
        <w:tabs>
          <w:tab w:leader="none" w:pos="1286" w:val="left"/>
        </w:tabs>
        <w:numPr>
          <w:ilvl w:val="1"/>
          <w:numId w:val="7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2" w:right="33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20"/>
          <w:szCs w:val="20"/>
          <w:color w:val="auto"/>
        </w:rPr>
        <w:t>following receipt of any notice, the Administrative Agent shall advise the Lenders of the contents thereof. Each notice delivered by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 xml:space="preserve">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of the Commitments delivered by the Borrower may state that such notice is conditioned upon the effectiveness of other credit facilities or another contingency, in which case such notice</w:t>
      </w:r>
    </w:p>
    <w:p>
      <w:pPr>
        <w:spacing w:after="0" w:line="211" w:lineRule="auto"/>
        <w:rPr>
          <w:sz w:val="20"/>
          <w:szCs w:val="20"/>
          <w:color w:val="auto"/>
        </w:rPr>
      </w:pPr>
      <w:r>
        <w:rPr>
          <w:rFonts w:ascii="Times New Roman" w:cs="Times New Roman" w:eastAsia="Times New Roman" w:hAnsi="Times New Roman"/>
          <w:sz w:val="20"/>
          <w:szCs w:val="20"/>
          <w:color w:val="auto"/>
        </w:rPr>
        <w:t>may be revoked by the Borrower (by notice to the Administrative Agent on or prior to the specified effective date) if such condition is not</w:t>
      </w:r>
    </w:p>
    <w:p>
      <w:pPr>
        <w:ind w:right="200"/>
        <w:spacing w:after="0" w:line="221" w:lineRule="auto"/>
        <w:rPr>
          <w:sz w:val="20"/>
          <w:szCs w:val="20"/>
          <w:color w:val="auto"/>
        </w:rPr>
      </w:pPr>
      <w:r>
        <w:rPr>
          <w:rFonts w:ascii="Times New Roman" w:cs="Times New Roman" w:eastAsia="Times New Roman" w:hAnsi="Times New Roman"/>
          <w:sz w:val="20"/>
          <w:szCs w:val="20"/>
          <w:color w:val="auto"/>
        </w:rPr>
        <w:t>satisfied. Any termination or reduction of the Revolving Commitments shall be permanent. Each reduction of the Revolving Commitments shall be made ratably among the Lenders in accordance with their respective Revolving Commitments.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420" w:firstLine="656"/>
        <w:spacing w:after="0" w:line="233" w:lineRule="auto"/>
        <w:tabs>
          <w:tab w:leader="none" w:pos="1286" w:val="left"/>
        </w:tabs>
        <w:numPr>
          <w:ilvl w:val="0"/>
          <w:numId w:val="7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unconditionally promises to pay the Administrative Agent for the account of each Lender the then unpaid principal amount of each Loan made by such Lender on the applicable Revolving Maturity Date.</w:t>
      </w:r>
    </w:p>
    <w:p>
      <w:pPr>
        <w:spacing w:after="0" w:line="160" w:lineRule="exact"/>
        <w:rPr>
          <w:rFonts w:ascii="Times New Roman" w:cs="Times New Roman" w:eastAsia="Times New Roman" w:hAnsi="Times New Roman"/>
          <w:sz w:val="20"/>
          <w:szCs w:val="20"/>
          <w:color w:val="auto"/>
        </w:rPr>
      </w:pPr>
    </w:p>
    <w:p>
      <w:pPr>
        <w:ind w:right="60" w:firstLine="656"/>
        <w:spacing w:after="0" w:line="226" w:lineRule="auto"/>
        <w:tabs>
          <w:tab w:leader="none" w:pos="1284" w:val="left"/>
        </w:tabs>
        <w:numPr>
          <w:ilvl w:val="0"/>
          <w:numId w:val="7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60" w:lineRule="exact"/>
        <w:rPr>
          <w:rFonts w:ascii="Times New Roman" w:cs="Times New Roman" w:eastAsia="Times New Roman" w:hAnsi="Times New Roman"/>
          <w:sz w:val="20"/>
          <w:szCs w:val="20"/>
          <w:color w:val="auto"/>
        </w:rPr>
      </w:pPr>
    </w:p>
    <w:p>
      <w:pPr>
        <w:ind w:right="200" w:firstLine="656"/>
        <w:spacing w:after="0" w:line="222" w:lineRule="auto"/>
        <w:tabs>
          <w:tab w:leader="none" w:pos="1286" w:val="left"/>
        </w:tabs>
        <w:numPr>
          <w:ilvl w:val="0"/>
          <w:numId w:val="7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in respect of this Agreement, record in the Register, with separate sub-accounts for each Lender, (i) the amount and Borrowing Date of each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61" w:lineRule="exact"/>
        <w:rPr>
          <w:rFonts w:ascii="Times New Roman" w:cs="Times New Roman" w:eastAsia="Times New Roman" w:hAnsi="Times New Roman"/>
          <w:sz w:val="20"/>
          <w:szCs w:val="20"/>
          <w:color w:val="auto"/>
        </w:rPr>
      </w:pPr>
    </w:p>
    <w:p>
      <w:pPr>
        <w:ind w:right="40" w:firstLine="656"/>
        <w:spacing w:after="0" w:line="217" w:lineRule="auto"/>
        <w:tabs>
          <w:tab w:leader="none" w:pos="1284" w:val="left"/>
        </w:tabs>
        <w:numPr>
          <w:ilvl w:val="0"/>
          <w:numId w:val="7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Register and the accounts of each Lender maintained pursuant to </w:t>
      </w:r>
      <w:r>
        <w:rPr>
          <w:rFonts w:ascii="Times New Roman" w:cs="Times New Roman" w:eastAsia="Times New Roman" w:hAnsi="Times New Roman"/>
          <w:sz w:val="20"/>
          <w:szCs w:val="20"/>
          <w:u w:val="single" w:color="auto"/>
          <w:color w:val="auto"/>
        </w:rPr>
        <w:t>Sections 2.7(b)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to the extent permitted by applicable law, be prima facie evidence of the existence and amounts of the obligations of the Borrower therein recorded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161" w:lineRule="exact"/>
        <w:rPr>
          <w:rFonts w:ascii="Times New Roman" w:cs="Times New Roman" w:eastAsia="Times New Roman" w:hAnsi="Times New Roman"/>
          <w:sz w:val="20"/>
          <w:szCs w:val="20"/>
          <w:color w:val="auto"/>
        </w:rPr>
      </w:pPr>
    </w:p>
    <w:p>
      <w:pPr>
        <w:ind w:right="140" w:firstLine="656"/>
        <w:spacing w:after="0" w:line="226" w:lineRule="auto"/>
        <w:tabs>
          <w:tab w:leader="none" w:pos="1286" w:val="left"/>
        </w:tabs>
        <w:numPr>
          <w:ilvl w:val="0"/>
          <w:numId w:val="7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Lender and the Borrower.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Interest Rates and Payment Dates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tabs>
          <w:tab w:leader="none" w:pos="1286" w:val="left"/>
        </w:tabs>
        <w:numPr>
          <w:ilvl w:val="0"/>
          <w:numId w:val="7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SOFR Loan shall bear interest for each day during each Interest Period with respect thereto at a rate per annum equal to Adjusted Term SOFR determined for such Interest Period plus the Applicable Margin.</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Base Rate Loan shall bear interest at a rate per annum equal to the Base Rate from time to time plus the Applicable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w:t>
      </w:r>
    </w:p>
    <w:p>
      <w:pPr>
        <w:spacing w:after="0" w:line="166" w:lineRule="exact"/>
        <w:rPr>
          <w:rFonts w:ascii="Times New Roman" w:cs="Times New Roman" w:eastAsia="Times New Roman" w:hAnsi="Times New Roman"/>
          <w:sz w:val="20"/>
          <w:szCs w:val="20"/>
          <w:color w:val="auto"/>
        </w:rPr>
      </w:pPr>
    </w:p>
    <w:p>
      <w:pPr>
        <w:ind w:firstLine="656"/>
        <w:spacing w:after="0" w:line="215" w:lineRule="auto"/>
        <w:tabs>
          <w:tab w:leader="none" w:pos="1286" w:val="left"/>
        </w:tabs>
        <w:numPr>
          <w:ilvl w:val="0"/>
          <w:numId w:val="7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upon the occurrence and during the continuance of an Event of Default under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at any time after the date on which any principal amount of any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Loan, the rate of interest that otherwise would be applicable to such Loan plus 2% per annum and (ii) in the case of overdue interest, fees, and other monetary Obligations, the rate then applicable to Base Rate Loans plus 2%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20"/>
          </w:cols>
          <w:pgMar w:left="320" w:top="1393" w:right="359" w:bottom="1440" w:gutter="0" w:footer="0" w:header="0"/>
        </w:sectPr>
      </w:pPr>
    </w:p>
    <w:bookmarkStart w:id="606" w:name="page607"/>
    <w:bookmarkEnd w:id="606"/>
    <w:p>
      <w:pPr>
        <w:ind w:left="1300" w:hanging="644"/>
        <w:spacing w:after="0"/>
        <w:tabs>
          <w:tab w:leader="none" w:pos="1300" w:val="left"/>
        </w:tabs>
        <w:numPr>
          <w:ilvl w:val="1"/>
          <w:numId w:val="7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paragraph</w:t>
      </w:r>
    </w:p>
    <w:p>
      <w:pPr>
        <w:ind w:left="280" w:hanging="272"/>
        <w:spacing w:after="0"/>
        <w:tabs>
          <w:tab w:leader="none" w:pos="280" w:val="left"/>
        </w:tabs>
        <w:numPr>
          <w:ilvl w:val="0"/>
          <w:numId w:val="7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shall be payable from time to time on demand.</w:t>
      </w:r>
    </w:p>
    <w:p>
      <w:pPr>
        <w:spacing w:after="0" w:line="153" w:lineRule="exact"/>
        <w:rPr>
          <w:rFonts w:ascii="Times New Roman" w:cs="Times New Roman" w:eastAsia="Times New Roman" w:hAnsi="Times New Roman"/>
          <w:sz w:val="20"/>
          <w:szCs w:val="20"/>
          <w:color w:val="auto"/>
        </w:rPr>
      </w:pPr>
    </w:p>
    <w:p>
      <w:pPr>
        <w:ind w:right="40" w:firstLine="656"/>
        <w:spacing w:after="0"/>
        <w:tabs>
          <w:tab w:leader="none" w:pos="1286" w:val="left"/>
        </w:tabs>
        <w:numPr>
          <w:ilvl w:val="1"/>
          <w:numId w:val="7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(and the interest rates applicable to various extensions of credit hereunder) shall be subject to modification as expressly provided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hereof.</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56"/>
        <w:spacing w:after="0" w:line="215" w:lineRule="auto"/>
        <w:tabs>
          <w:tab w:leader="none" w:pos="1286" w:val="left"/>
        </w:tabs>
        <w:numPr>
          <w:ilvl w:val="0"/>
          <w:numId w:val="7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Adjusted Term SOFR. Any change in the interest rate on a Loan resulting from a change in the Base Rate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64" w:lineRule="exact"/>
        <w:rPr>
          <w:rFonts w:ascii="Times New Roman" w:cs="Times New Roman" w:eastAsia="Times New Roman" w:hAnsi="Times New Roman"/>
          <w:sz w:val="20"/>
          <w:szCs w:val="20"/>
          <w:color w:val="auto"/>
        </w:rPr>
      </w:pPr>
    </w:p>
    <w:p>
      <w:pPr>
        <w:ind w:right="440" w:firstLine="656"/>
        <w:spacing w:after="0"/>
        <w:tabs>
          <w:tab w:leader="none" w:pos="1284" w:val="left"/>
        </w:tabs>
        <w:numPr>
          <w:ilvl w:val="0"/>
          <w:numId w:val="7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7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clauses (b), (c), (d), (e) and (f) of this Section 2.10, if prior to the first day of any Interest Period:</w:t>
      </w:r>
    </w:p>
    <w:p>
      <w:pPr>
        <w:spacing w:after="0" w:line="188" w:lineRule="exact"/>
        <w:rPr>
          <w:rFonts w:ascii="Times New Roman" w:cs="Times New Roman" w:eastAsia="Times New Roman" w:hAnsi="Times New Roman"/>
          <w:sz w:val="20"/>
          <w:szCs w:val="20"/>
          <w:color w:val="auto"/>
        </w:rPr>
      </w:pPr>
    </w:p>
    <w:p>
      <w:pPr>
        <w:jc w:val="both"/>
        <w:ind w:left="660" w:right="240" w:firstLine="644"/>
        <w:spacing w:after="0" w:line="226" w:lineRule="auto"/>
        <w:tabs>
          <w:tab w:leader="none" w:pos="1954" w:val="left"/>
        </w:tabs>
        <w:numPr>
          <w:ilvl w:val="1"/>
          <w:numId w:val="7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reasonably determined (which determination shall be conclusive and binding upon the Borrower) that, by reason of circumstances affecting the relevant market, adequate and reasonable means do not exist for ascertaining Adjusted Term SOFR for such Interest Period, or</w:t>
      </w:r>
    </w:p>
    <w:p>
      <w:pPr>
        <w:spacing w:after="0" w:line="146" w:lineRule="exact"/>
        <w:rPr>
          <w:rFonts w:ascii="Times New Roman" w:cs="Times New Roman" w:eastAsia="Times New Roman" w:hAnsi="Times New Roman"/>
          <w:sz w:val="20"/>
          <w:szCs w:val="20"/>
          <w:color w:val="auto"/>
        </w:rPr>
      </w:pPr>
    </w:p>
    <w:p>
      <w:pPr>
        <w:ind w:left="660" w:right="60" w:firstLine="644"/>
        <w:spacing w:after="0" w:line="222" w:lineRule="auto"/>
        <w:tabs>
          <w:tab w:leader="none" w:pos="1955" w:val="left"/>
        </w:tabs>
        <w:numPr>
          <w:ilvl w:val="1"/>
          <w:numId w:val="7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notice from the Required Lenders that Adjusted Term SOFR determined or to be determined for such Interest Period in good faith by such Required Lenders will not adequately and fairly reflect the cost to such Lenders (as conclusively certified by such Lenders) of making or maintaining their affected Loans during such Interest Period,</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Administrative Agent shall give telecopy or telephonic notice thereof to the Borrower and the relevant Lenders as soon as practicable thereafter. If such notice is given (x) any SOFR Loans hereunder requested to be made on the first day of such Interest Period shall be made as Base Rate Loans, (y) any Loans hereunder that were to have been converted on the first day of such Interest Period to SOFR Loans shall be continued as Base Rate Loans and (z) any outstanding SOFR Loans hereunder shall be converted, on the last day of the then-current Interest Period, to Base Rate Loans;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SOFR Loans hereunder shall be made or continued as such, nor shall the Borrower have the right to convert Loans hereunder to SOFR Loans.</w:t>
      </w:r>
    </w:p>
    <w:p>
      <w:pPr>
        <w:spacing w:after="0" w:line="159" w:lineRule="exact"/>
        <w:rPr>
          <w:sz w:val="20"/>
          <w:szCs w:val="20"/>
          <w:color w:val="auto"/>
        </w:rPr>
      </w:pPr>
    </w:p>
    <w:p>
      <w:pPr>
        <w:ind w:right="140" w:firstLine="656"/>
        <w:spacing w:after="0" w:line="220" w:lineRule="auto"/>
        <w:tabs>
          <w:tab w:leader="none" w:pos="1284" w:val="left"/>
        </w:tabs>
        <w:numPr>
          <w:ilvl w:val="0"/>
          <w:numId w:val="7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20"/>
          </w:cols>
          <w:pgMar w:left="320" w:top="1393" w:right="35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9"/>
          <w:szCs w:val="19"/>
          <w:color w:val="auto"/>
        </w:rPr>
        <w:t>and subsequent Benchmark settings without any amendment to, or further action or consent of any other party to, this Agreement or any other</w:t>
      </w:r>
    </w:p>
    <w:p>
      <w:pPr>
        <w:spacing w:after="0" w:line="6" w:lineRule="exact"/>
        <w:rPr>
          <w:sz w:val="20"/>
          <w:szCs w:val="20"/>
          <w:color w:val="auto"/>
        </w:rPr>
      </w:pPr>
    </w:p>
    <w:p>
      <w:pPr>
        <w:ind w:right="820"/>
        <w:spacing w:after="0" w:line="215" w:lineRule="auto"/>
        <w:rPr>
          <w:sz w:val="20"/>
          <w:szCs w:val="20"/>
          <w:color w:val="auto"/>
        </w:rPr>
      </w:pPr>
      <w:r>
        <w:rPr>
          <w:rFonts w:ascii="Times New Roman" w:cs="Times New Roman" w:eastAsia="Times New Roman" w:hAnsi="Times New Roman"/>
          <w:sz w:val="19"/>
          <w:szCs w:val="19"/>
          <w:color w:val="auto"/>
        </w:rPr>
        <w:t>Loan Document and (y) if a Benchmark Replacement is determined in accordance with clause (2) of the definition of “Benchmark Replacement” for such Benchmark Replacement Date, such Benchmark Replacement will replace such Benchmark for all purposes</w:t>
      </w:r>
    </w:p>
    <w:p>
      <w:pPr>
        <w:spacing w:after="0" w:line="211" w:lineRule="auto"/>
        <w:rPr>
          <w:sz w:val="20"/>
          <w:szCs w:val="20"/>
          <w:color w:val="auto"/>
        </w:rPr>
      </w:pPr>
      <w:r>
        <w:rPr>
          <w:rFonts w:ascii="Times New Roman" w:cs="Times New Roman" w:eastAsia="Times New Roman" w:hAnsi="Times New Roman"/>
          <w:sz w:val="20"/>
          <w:szCs w:val="20"/>
          <w:color w:val="auto"/>
        </w:rPr>
        <w:t>hereunder and under any Loan Document in respect of any Benchmark setting at or after 5:00 p.m. (New York City time) on the fifth (5th)</w:t>
      </w:r>
    </w:p>
    <w:p>
      <w:pPr>
        <w:ind w:right="160"/>
        <w:spacing w:after="0" w:line="215" w:lineRule="auto"/>
        <w:rPr>
          <w:sz w:val="20"/>
          <w:szCs w:val="20"/>
          <w:color w:val="auto"/>
        </w:rPr>
      </w:pPr>
      <w:r>
        <w:rPr>
          <w:rFonts w:ascii="Times New Roman" w:cs="Times New Roman" w:eastAsia="Times New Roman" w:hAnsi="Times New Roman"/>
          <w:sz w:val="19"/>
          <w:szCs w:val="19"/>
          <w:color w:val="auto"/>
        </w:rPr>
        <w:t>Business Day after the date notice of such Benchmark Replacement is provided to the Lenders without any amendment to, or further action or consent of any other party to, this Agreement or any other Loan Document so long as the Administrative Agent has not received, by such</w:t>
      </w:r>
    </w:p>
    <w:p>
      <w:pPr>
        <w:spacing w:after="0"/>
        <w:rPr>
          <w:sz w:val="20"/>
          <w:szCs w:val="20"/>
          <w:color w:val="auto"/>
        </w:rPr>
      </w:pPr>
      <w:r>
        <w:rPr>
          <w:rFonts w:ascii="Times New Roman" w:cs="Times New Roman" w:eastAsia="Times New Roman" w:hAnsi="Times New Roman"/>
          <w:sz w:val="20"/>
          <w:szCs w:val="20"/>
          <w:color w:val="auto"/>
        </w:rPr>
        <w:t>time, written notice of objection to such Benchmark Replacement from Lenders comprising the Required Lenders.</w:t>
      </w:r>
    </w:p>
    <w:p>
      <w:pPr>
        <w:spacing w:after="0" w:line="167" w:lineRule="exact"/>
        <w:rPr>
          <w:sz w:val="20"/>
          <w:szCs w:val="20"/>
          <w:color w:val="auto"/>
        </w:rPr>
      </w:pPr>
    </w:p>
    <w:p>
      <w:pPr>
        <w:ind w:right="200" w:firstLine="656"/>
        <w:spacing w:after="0" w:line="234" w:lineRule="auto"/>
        <w:tabs>
          <w:tab w:leader="none" w:pos="1286" w:val="left"/>
        </w:tabs>
        <w:numPr>
          <w:ilvl w:val="1"/>
          <w:numId w:val="7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6" w:lineRule="exact"/>
        <w:rPr>
          <w:rFonts w:ascii="Times New Roman" w:cs="Times New Roman" w:eastAsia="Times New Roman" w:hAnsi="Times New Roman"/>
          <w:sz w:val="19"/>
          <w:szCs w:val="19"/>
          <w:color w:val="auto"/>
        </w:rPr>
      </w:pPr>
    </w:p>
    <w:p>
      <w:pPr>
        <w:jc w:val="both"/>
        <w:ind w:right="120" w:firstLine="656"/>
        <w:spacing w:after="0" w:line="224" w:lineRule="auto"/>
        <w:tabs>
          <w:tab w:leader="none" w:pos="1333" w:val="left"/>
        </w:tabs>
        <w:numPr>
          <w:ilvl w:val="1"/>
          <w:numId w:val="7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w:t>
      </w:r>
    </w:p>
    <w:p>
      <w:pPr>
        <w:spacing w:after="0" w:line="2" w:lineRule="exact"/>
        <w:rPr>
          <w:rFonts w:ascii="Times New Roman" w:cs="Times New Roman" w:eastAsia="Times New Roman" w:hAnsi="Times New Roman"/>
          <w:sz w:val="19"/>
          <w:szCs w:val="19"/>
          <w:color w:val="auto"/>
        </w:rPr>
      </w:pPr>
    </w:p>
    <w:p>
      <w:pPr>
        <w:ind w:right="160"/>
        <w:spacing w:after="0" w:line="21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63" w:lineRule="exact"/>
        <w:rPr>
          <w:rFonts w:ascii="Times New Roman" w:cs="Times New Roman" w:eastAsia="Times New Roman" w:hAnsi="Times New Roman"/>
          <w:sz w:val="19"/>
          <w:szCs w:val="19"/>
          <w:color w:val="auto"/>
        </w:rPr>
      </w:pPr>
    </w:p>
    <w:p>
      <w:pPr>
        <w:ind w:right="60" w:firstLine="656"/>
        <w:spacing w:after="0" w:line="211" w:lineRule="auto"/>
        <w:tabs>
          <w:tab w:leader="none" w:pos="1335" w:val="left"/>
        </w:tabs>
        <w:numPr>
          <w:ilvl w:val="1"/>
          <w:numId w:val="7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5" w:lineRule="exact"/>
        <w:rPr>
          <w:rFonts w:ascii="Times New Roman" w:cs="Times New Roman" w:eastAsia="Times New Roman" w:hAnsi="Times New Roman"/>
          <w:sz w:val="20"/>
          <w:szCs w:val="20"/>
          <w:color w:val="auto"/>
        </w:rPr>
      </w:pPr>
    </w:p>
    <w:p>
      <w:pPr>
        <w:ind w:right="100" w:firstLine="656"/>
        <w:spacing w:after="0" w:line="216" w:lineRule="auto"/>
        <w:tabs>
          <w:tab w:leader="none" w:pos="1291" w:val="left"/>
        </w:tabs>
        <w:numPr>
          <w:ilvl w:val="1"/>
          <w:numId w:val="7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5" w:lineRule="exact"/>
        <w:rPr>
          <w:rFonts w:ascii="Times New Roman" w:cs="Times New Roman" w:eastAsia="Times New Roman" w:hAnsi="Times New Roman"/>
          <w:sz w:val="20"/>
          <w:szCs w:val="20"/>
          <w:color w:val="auto"/>
        </w:rPr>
      </w:pPr>
    </w:p>
    <w:p>
      <w:pPr>
        <w:ind w:right="140" w:firstLine="8"/>
        <w:spacing w:after="0" w:line="261" w:lineRule="auto"/>
        <w:tabs>
          <w:tab w:leader="none" w:pos="636" w:val="left"/>
        </w:tabs>
        <w:numPr>
          <w:ilvl w:val="0"/>
          <w:numId w:val="7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or accept any responsibility for, and shall not have any liability in respect of (a) the monitoring, determination or verification of the unavailability or cessation of SOFR (or other applicable Benchmark), (b) the administration of, submission of or any other matter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9" w:right="339" w:bottom="1440" w:gutter="0" w:footer="0" w:header="0"/>
        </w:sectPr>
      </w:pPr>
    </w:p>
    <w:bookmarkStart w:id="608" w:name="page609"/>
    <w:bookmarkEnd w:id="608"/>
    <w:p>
      <w:pPr>
        <w:ind w:right="80"/>
        <w:spacing w:after="0" w:line="253" w:lineRule="auto"/>
        <w:rPr>
          <w:sz w:val="20"/>
          <w:szCs w:val="20"/>
          <w:color w:val="auto"/>
        </w:rPr>
      </w:pPr>
      <w:r>
        <w:rPr>
          <w:rFonts w:ascii="Times New Roman" w:cs="Times New Roman" w:eastAsia="Times New Roman" w:hAnsi="Times New Roman"/>
          <w:sz w:val="20"/>
          <w:szCs w:val="20"/>
          <w:color w:val="auto"/>
        </w:rPr>
        <w:t>the reference rate or any spread adjustment, any component definition thereof or rates referenced in the definition thereof or any alternative, comparable or successor rate or adjustment thereto (including any then-current Benchmark, any Benchmark Replacement or any Benchmark Replacement Adjustment), including whether the composition or characteristics of any such alternative, comparable or successor rate or adjustment (including any Benchmark Replacement or any Benchmark Replacement Adjustment) will be similar to, or produce the same value of economic equivalence of, reference rate, any other Benchmark or any Benchmark Replacement Adjustment, or (b) the effect, implementation or composition of any Benchmark Replacement Conforming Changes.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56"/>
        <w:spacing w:after="0" w:line="210" w:lineRule="auto"/>
        <w:tabs>
          <w:tab w:leader="none" w:pos="1286" w:val="left"/>
        </w:tabs>
        <w:numPr>
          <w:ilvl w:val="0"/>
          <w:numId w:val="7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provisos below, the Borrower may at any time and from time to time prepay the Loans, in whole or in part, without premium or penalty, upon irrevocable notice, which shall be in substantially the firm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delivered to the Administrative Agent prior to 10:00 A.M., New York City time, on the same Business Day, which notice shall specify the date and amount of prepayment and whether the prepayment is of SOFR Loans or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Loans maintained as Base Rate Loans) accrued interest to such date on the amount prepaid. Partial prepayments shall be in an aggregate principal amount of $1,000,000 or a whole multiple of $1,000,000 in excess thereof (or, if less, the then outstanding principal amount of Loans). The application of any prepayment pursuant to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shall be made, first, to Base Rate Loans of the respective Lenders (and of the respective tranche, if there are multiple tranches) and, second, to SOFR Loans of the respective Lenders (and of the respective tranche, if there are multiple tranches). A notice of prepayment of all outstanding Loans pursuant to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Conversion and Continuation Options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60" w:firstLine="656"/>
        <w:spacing w:after="0" w:line="207" w:lineRule="auto"/>
        <w:tabs>
          <w:tab w:leader="none" w:pos="1286" w:val="left"/>
        </w:tabs>
        <w:numPr>
          <w:ilvl w:val="0"/>
          <w:numId w:val="7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convert SOFR Loans to Base Rate Loans by giving the Administrative Agent prior irrevocable notice, in substantially the form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of such election no later than 12:00 Noon, New York City time, on the Business Day preceding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Base Rate Loans to SOFR Loans by giving the Administrative Agent prior irrevocable notice of such election no later than 12:00 Noon, New York City time,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Business Day preceding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Base Rate Loan may be converted into a SOFR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63" w:lineRule="exact"/>
        <w:rPr>
          <w:rFonts w:ascii="Times New Roman" w:cs="Times New Roman" w:eastAsia="Times New Roman" w:hAnsi="Times New Roman"/>
          <w:sz w:val="20"/>
          <w:szCs w:val="20"/>
          <w:color w:val="auto"/>
        </w:rPr>
      </w:pPr>
    </w:p>
    <w:p>
      <w:pPr>
        <w:ind w:right="60" w:firstLine="656"/>
        <w:spacing w:after="0" w:line="218" w:lineRule="auto"/>
        <w:tabs>
          <w:tab w:leader="none" w:pos="1284" w:val="left"/>
        </w:tabs>
        <w:numPr>
          <w:ilvl w:val="0"/>
          <w:numId w:val="7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SOFR Loan may be continued as such upon the expiration of the then current Interest Period with respect thereto by the Borrower giving irrevocable notice no later than 12:00 Noon, New York City time, on the third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xml:space="preserve">) Business Day preceding the proposed continuation date to the Administrative Agent, in substantially the form attached hereto as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in accordance with the applicable provisions of the term “Interest Period”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length of the next Interest Period to be applicable to such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SOFR Loan may be continued as such when any Event of Default has occurred and is continuing and the Administrative Agent has or the Required Lenders have determined in its or their sole discretion not to permit such continuations,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Borrower shall fail to give any required notice as described above in this paragraph or if such continuation is not permitted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20"/>
          </w:cols>
          <w:pgMar w:left="320" w:top="1414" w:right="359" w:bottom="1440" w:gutter="0" w:footer="0" w:header="0"/>
        </w:sectPr>
      </w:pPr>
    </w:p>
    <w:bookmarkStart w:id="609" w:name="page610"/>
    <w:bookmarkEnd w:id="609"/>
    <w:p>
      <w:pPr>
        <w:ind w:right="240"/>
        <w:spacing w:after="0"/>
        <w:rPr>
          <w:sz w:val="20"/>
          <w:szCs w:val="20"/>
          <w:color w:val="auto"/>
        </w:rPr>
      </w:pPr>
      <w:r>
        <w:rPr>
          <w:rFonts w:ascii="Times New Roman" w:cs="Times New Roman" w:eastAsia="Times New Roman" w:hAnsi="Times New Roman"/>
          <w:sz w:val="20"/>
          <w:szCs w:val="20"/>
          <w:color w:val="auto"/>
        </w:rPr>
        <w:t>the preceding proviso such SOFR Loans shall be automatically converted to Base Rate Loans on the last day of such then expiring Interest Period. Upon receipt of any such notice, the Administrative Agent shall promptly notify each relevant Lender thereof.</w:t>
      </w:r>
    </w:p>
    <w:p>
      <w:pPr>
        <w:spacing w:after="0" w:line="148" w:lineRule="exact"/>
        <w:rPr>
          <w:sz w:val="20"/>
          <w:szCs w:val="20"/>
          <w:color w:val="auto"/>
        </w:rPr>
      </w:pPr>
    </w:p>
    <w:p>
      <w:pPr>
        <w:ind w:right="240" w:firstLine="648"/>
        <w:spacing w:after="0" w:line="234" w:lineRule="auto"/>
        <w:rPr>
          <w:sz w:val="20"/>
          <w:szCs w:val="20"/>
          <w:color w:val="auto"/>
        </w:rPr>
      </w:pPr>
      <w:r>
        <w:rPr>
          <w:rFonts w:ascii="Times New Roman" w:cs="Times New Roman" w:eastAsia="Times New Roman" w:hAnsi="Times New Roman"/>
          <w:sz w:val="19"/>
          <w:szCs w:val="19"/>
          <w:color w:val="auto"/>
        </w:rPr>
        <w:t xml:space="preserve">2.13. </w:t>
      </w:r>
      <w:r>
        <w:rPr>
          <w:rFonts w:ascii="Times New Roman" w:cs="Times New Roman" w:eastAsia="Times New Roman" w:hAnsi="Times New Roman"/>
          <w:sz w:val="19"/>
          <w:szCs w:val="19"/>
          <w:u w:val="single" w:color="auto"/>
          <w:color w:val="auto"/>
        </w:rPr>
        <w:t>Limitations on SOFR Tranches</w:t>
      </w:r>
      <w:r>
        <w:rPr>
          <w:rFonts w:ascii="Times New Roman" w:cs="Times New Roman" w:eastAsia="Times New Roman" w:hAnsi="Times New Roman"/>
          <w:sz w:val="19"/>
          <w:szCs w:val="19"/>
          <w:color w:val="auto"/>
        </w:rPr>
        <w:t>. Notwithstanding anything to the contrary in this Agreement, all borrowings, conversions and continuations of SOFR Loans and all selections of Interest Periods shall be in such amounts and be made pursuant to such elections so</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that no more than ten different Interest Periods for any Class of Loans be outstanding at any one time (unless a greater number of Interest Periods is permitted by the Administrative Agent).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Pro Rata Treatment, etc.</w:t>
      </w:r>
    </w:p>
    <w:p>
      <w:pPr>
        <w:spacing w:after="0" w:line="189" w:lineRule="exact"/>
        <w:rPr>
          <w:sz w:val="20"/>
          <w:szCs w:val="20"/>
          <w:color w:val="auto"/>
        </w:rPr>
      </w:pPr>
    </w:p>
    <w:p>
      <w:pPr>
        <w:ind w:right="140" w:firstLine="656"/>
        <w:spacing w:after="0" w:line="233" w:lineRule="auto"/>
        <w:tabs>
          <w:tab w:leader="none" w:pos="1286" w:val="left"/>
        </w:tabs>
        <w:numPr>
          <w:ilvl w:val="0"/>
          <w:numId w:val="7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(including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each borrowing by the Borrower from the Lenders hereunder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their Revolving Loan Percentages.</w:t>
      </w:r>
    </w:p>
    <w:p>
      <w:pPr>
        <w:spacing w:after="0" w:line="160" w:lineRule="exact"/>
        <w:rPr>
          <w:rFonts w:ascii="Times New Roman" w:cs="Times New Roman" w:eastAsia="Times New Roman" w:hAnsi="Times New Roman"/>
          <w:sz w:val="20"/>
          <w:szCs w:val="20"/>
          <w:color w:val="auto"/>
        </w:rPr>
      </w:pPr>
    </w:p>
    <w:p>
      <w:pPr>
        <w:ind w:right="20" w:firstLine="656"/>
        <w:spacing w:after="0" w:line="226" w:lineRule="auto"/>
        <w:tabs>
          <w:tab w:leader="none" w:pos="1284" w:val="left"/>
        </w:tabs>
        <w:numPr>
          <w:ilvl w:val="0"/>
          <w:numId w:val="7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(including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each payment (including each prepayment) by the Borrower on account of principal or interest on each Class of Loans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outstanding principal amounts of such Class of Loans then held by the applicable Lenders.</w:t>
      </w:r>
    </w:p>
    <w:p>
      <w:pPr>
        <w:spacing w:after="0" w:line="160" w:lineRule="exact"/>
        <w:rPr>
          <w:rFonts w:ascii="Times New Roman" w:cs="Times New Roman" w:eastAsia="Times New Roman" w:hAnsi="Times New Roman"/>
          <w:sz w:val="20"/>
          <w:szCs w:val="20"/>
          <w:color w:val="auto"/>
        </w:rPr>
      </w:pPr>
    </w:p>
    <w:p>
      <w:pPr>
        <w:ind w:firstLine="656"/>
        <w:spacing w:after="0" w:line="216" w:lineRule="auto"/>
        <w:tabs>
          <w:tab w:leader="none" w:pos="1286" w:val="left"/>
        </w:tabs>
        <w:numPr>
          <w:ilvl w:val="0"/>
          <w:numId w:val="7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Loan hereunder shall accrue from and including the date of such Loan to but excluding the date on which such Loan is paid in full.</w:t>
      </w:r>
    </w:p>
    <w:p>
      <w:pPr>
        <w:spacing w:after="0" w:line="162" w:lineRule="exact"/>
        <w:rPr>
          <w:rFonts w:ascii="Times New Roman" w:cs="Times New Roman" w:eastAsia="Times New Roman" w:hAnsi="Times New Roman"/>
          <w:sz w:val="20"/>
          <w:szCs w:val="20"/>
          <w:color w:val="auto"/>
        </w:rPr>
      </w:pPr>
    </w:p>
    <w:p>
      <w:pPr>
        <w:ind w:firstLine="656"/>
        <w:spacing w:after="0" w:line="213" w:lineRule="auto"/>
        <w:tabs>
          <w:tab w:leader="none" w:pos="1284" w:val="left"/>
        </w:tabs>
        <w:numPr>
          <w:ilvl w:val="0"/>
          <w:numId w:val="7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62" w:lineRule="exact"/>
        <w:rPr>
          <w:rFonts w:ascii="Times New Roman" w:cs="Times New Roman" w:eastAsia="Times New Roman" w:hAnsi="Times New Roman"/>
          <w:sz w:val="20"/>
          <w:szCs w:val="20"/>
          <w:color w:val="auto"/>
        </w:rPr>
      </w:pPr>
    </w:p>
    <w:p>
      <w:pPr>
        <w:ind w:firstLine="656"/>
        <w:spacing w:after="0" w:line="216" w:lineRule="auto"/>
        <w:tabs>
          <w:tab w:leader="none" w:pos="1286" w:val="left"/>
        </w:tabs>
        <w:numPr>
          <w:ilvl w:val="0"/>
          <w:numId w:val="7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elsewhere in this Agreement, the Borrower may extend the final maturity of Loans in connection with an Extension that is permitted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without being obligated to effect such extensions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among the Lenders. Furthermore, the Borrower may take all actions contemplated by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any other provision of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5" w:lineRule="auto"/>
        <w:tabs>
          <w:tab w:leader="none" w:pos="1286" w:val="left"/>
        </w:tabs>
        <w:numPr>
          <w:ilvl w:val="0"/>
          <w:numId w:val="7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adoption of or any change in any Requirement of Law or in the interpretation or application thereof or compliance by any Lender or Issuing Bank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20"/>
          </w:cols>
          <w:pgMar w:left="320" w:top="1400" w:right="359" w:bottom="1440" w:gutter="0" w:footer="0" w:header="0"/>
        </w:sectPr>
      </w:pPr>
    </w:p>
    <w:bookmarkStart w:id="610" w:name="page611"/>
    <w:bookmarkEnd w:id="610"/>
    <w:p>
      <w:pPr>
        <w:ind w:left="660" w:right="140" w:firstLine="644"/>
        <w:spacing w:after="0" w:line="226" w:lineRule="auto"/>
        <w:tabs>
          <w:tab w:leader="none" w:pos="1954" w:val="left"/>
        </w:tabs>
        <w:numPr>
          <w:ilvl w:val="0"/>
          <w:numId w:val="7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subject the Administrative Agent, any Lender or Issuing Bank to any Tax of any kind whatsoever with respect to this Agreement or any SOFR Loan made by it (except for Non-Excluded Taxes or Other Taxes covered by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any Excluded Taxes);</w:t>
      </w:r>
    </w:p>
    <w:p>
      <w:pPr>
        <w:spacing w:after="0" w:line="160" w:lineRule="exact"/>
        <w:rPr>
          <w:rFonts w:ascii="Times New Roman" w:cs="Times New Roman" w:eastAsia="Times New Roman" w:hAnsi="Times New Roman"/>
          <w:sz w:val="20"/>
          <w:szCs w:val="20"/>
          <w:color w:val="auto"/>
        </w:rPr>
      </w:pPr>
    </w:p>
    <w:p>
      <w:pPr>
        <w:ind w:left="660" w:right="40" w:firstLine="644"/>
        <w:spacing w:after="0" w:line="222" w:lineRule="auto"/>
        <w:tabs>
          <w:tab w:leader="none" w:pos="1955" w:val="left"/>
        </w:tabs>
        <w:numPr>
          <w:ilvl w:val="0"/>
          <w:numId w:val="7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Bank that is not otherwise included in the determination of the SOFR Rate; or</w:t>
      </w:r>
    </w:p>
    <w:p>
      <w:pPr>
        <w:spacing w:after="0" w:line="161" w:lineRule="exact"/>
        <w:rPr>
          <w:rFonts w:ascii="Times New Roman" w:cs="Times New Roman" w:eastAsia="Times New Roman" w:hAnsi="Times New Roman"/>
          <w:sz w:val="20"/>
          <w:szCs w:val="20"/>
          <w:color w:val="auto"/>
        </w:rPr>
      </w:pPr>
    </w:p>
    <w:p>
      <w:pPr>
        <w:ind w:left="660" w:right="240" w:firstLine="644"/>
        <w:spacing w:after="0" w:line="226" w:lineRule="auto"/>
        <w:tabs>
          <w:tab w:leader="none" w:pos="1956" w:val="left"/>
        </w:tabs>
        <w:numPr>
          <w:ilvl w:val="0"/>
          <w:numId w:val="7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on any such Lender or Issuing Bank or the London interbank market (by reasons of such Lender or Issuing Bank’s participation in the London interbank market) any other condition, cost or expense (other than Taxes) affecting this Agreement or Loans made by such Lender or any Documentary Credit or participation therein;</w:t>
      </w:r>
    </w:p>
    <w:p>
      <w:pPr>
        <w:spacing w:after="0" w:line="17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is to increase the cost to such Lender or Issuing Bank, by an amount that such Lender or Issuing Bank deems to be material, of making, converting into, continuing or maintaining SOFR Loans or any Documentary Credit, or to reduce any amount receivable hereunder in respect thereof, then, in any such case, the Borrower shall promptly pay such Lender or Issuing Bank, upon its demand, any additional amounts necessary to compensate such Lender or Issuing Bank for such increased cost or reduced amount receivable. If any Lender or Issuing Bank becomes entitled to claim any additional amounts pursuant to this paragraph, it shall promptly notify the Borrower (with a copy to the Administrative Agent) of the event by reason of which it has become so entitled.</w:t>
      </w:r>
    </w:p>
    <w:p>
      <w:pPr>
        <w:spacing w:after="0" w:line="165" w:lineRule="exact"/>
        <w:rPr>
          <w:sz w:val="20"/>
          <w:szCs w:val="20"/>
          <w:color w:val="auto"/>
        </w:rPr>
      </w:pPr>
    </w:p>
    <w:p>
      <w:pPr>
        <w:ind w:right="60" w:firstLine="656"/>
        <w:spacing w:after="0" w:line="212" w:lineRule="auto"/>
        <w:tabs>
          <w:tab w:leader="none" w:pos="1284" w:val="left"/>
        </w:tabs>
        <w:numPr>
          <w:ilvl w:val="0"/>
          <w:numId w:val="7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shall have determined that the adoption of or any change in any Requirement of Law regarding capital adequacy or liquidity requirements or in the interpretation or application thereof or compliance by such Lender or Issuing Bank or any corporation controlling such Lender or Issuing Bank with any request or directive regarding capital adequacy or liquidity requirements (whether or not having the force of law) from any Governmental Authority made subsequent to the Closing Date shall have the effect of reducing the rate of return on such Lender’s, such Issuing Bank’s or such corporation’s capital as a consequence of its obligations hereunder to a level below that which such Lender, such Issuing Bank’s or such corporation could have achieved but for such adoption, change or compliance (taking into consideration such Lender’s, such Issuing Bank’s or such corporation’s policies with respect to capital adequacy or liquidity requirements) by an amount deemed by such Lender to be material, then from time to time, after submission by such Lender or Issuing Bank to the Borrower (with a copy to the Administrative Agent) of a written request therefor, the Borrower shall pay to such Lender or Issuing Bank such additional amount or amounts as will compensate such Lender, such Issuing Bank or such corporation for such reduction.</w:t>
      </w:r>
    </w:p>
    <w:p>
      <w:pPr>
        <w:spacing w:after="0" w:line="154" w:lineRule="exact"/>
        <w:rPr>
          <w:rFonts w:ascii="Times New Roman" w:cs="Times New Roman" w:eastAsia="Times New Roman" w:hAnsi="Times New Roman"/>
          <w:sz w:val="20"/>
          <w:szCs w:val="20"/>
          <w:color w:val="auto"/>
        </w:rPr>
      </w:pPr>
    </w:p>
    <w:p>
      <w:pPr>
        <w:ind w:right="100" w:firstLine="656"/>
        <w:spacing w:after="0" w:line="226" w:lineRule="auto"/>
        <w:tabs>
          <w:tab w:leader="none" w:pos="1286" w:val="left"/>
        </w:tabs>
        <w:numPr>
          <w:ilvl w:val="0"/>
          <w:numId w:val="7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as to any additional amounts payable pursuant to this Section submitted by any Lender or Issuing Bank to the Borrower (with a copy to the Administrative Agent) shall be conclusive in the absence of manifest error. Notwithstanding anything to the contrary in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the Borrower shall not be required to compensate any Lender or Issuing Bank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for any amounts incurred more than 180 days prior to the date that such Lender or Issuing Bank notifies the Borrower of such Lender’s or Issuing Bank’s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survive the termination of this Agreement and the payment of the Loans and all other amounts payable hereunder.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56"/>
        <w:spacing w:after="0" w:line="217" w:lineRule="auto"/>
        <w:tabs>
          <w:tab w:leader="none" w:pos="1286" w:val="left"/>
        </w:tabs>
        <w:numPr>
          <w:ilvl w:val="0"/>
          <w:numId w:val="7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20"/>
          </w:cols>
          <w:pgMar w:left="320" w:top="1400" w:right="35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20"/>
          <w:szCs w:val="20"/>
          <w:color w:val="auto"/>
        </w:rPr>
        <w:t>having its principal office in the applicable taxing jurisdiction, or in the case of any Lender, having its applicable lending office in such</w:t>
      </w:r>
    </w:p>
    <w:p>
      <w:pPr>
        <w:ind w:right="220"/>
        <w:spacing w:after="0" w:line="215" w:lineRule="auto"/>
        <w:rPr>
          <w:sz w:val="20"/>
          <w:szCs w:val="20"/>
          <w:color w:val="auto"/>
        </w:rPr>
      </w:pPr>
      <w:r>
        <w:rPr>
          <w:rFonts w:ascii="Times New Roman" w:cs="Times New Roman" w:eastAsia="Times New Roman" w:hAnsi="Times New Roman"/>
          <w:sz w:val="19"/>
          <w:szCs w:val="19"/>
          <w:color w:val="auto"/>
        </w:rPr>
        <w:t>jurisdiction, or (B) having any other present or former connection with the applicable taxing jurisdiction (other than any such connection arising solely from the Administrative Agent or such Lender having executed, delivered, become a party to, or performed its obligations or</w:t>
      </w:r>
    </w:p>
    <w:p>
      <w:pPr>
        <w:spacing w:after="0" w:line="211" w:lineRule="auto"/>
        <w:rPr>
          <w:sz w:val="20"/>
          <w:szCs w:val="20"/>
          <w:color w:val="auto"/>
        </w:rPr>
      </w:pPr>
      <w:r>
        <w:rPr>
          <w:rFonts w:ascii="Times New Roman" w:cs="Times New Roman" w:eastAsia="Times New Roman" w:hAnsi="Times New Roman"/>
          <w:sz w:val="20"/>
          <w:szCs w:val="20"/>
          <w:color w:val="auto"/>
        </w:rPr>
        <w:t>received a payment under, or enforced, and/or engaged in any activities contemplated with respect to this Agreement or any other Loan</w:t>
      </w:r>
    </w:p>
    <w:p>
      <w:pPr>
        <w:ind w:right="140"/>
        <w:spacing w:after="0" w:line="215" w:lineRule="auto"/>
        <w:rPr>
          <w:sz w:val="20"/>
          <w:szCs w:val="20"/>
          <w:color w:val="auto"/>
        </w:rPr>
      </w:pPr>
      <w:r>
        <w:rPr>
          <w:rFonts w:ascii="Times New Roman" w:cs="Times New Roman" w:eastAsia="Times New Roman" w:hAnsi="Times New Roman"/>
          <w:sz w:val="19"/>
          <w:szCs w:val="19"/>
          <w:color w:val="auto"/>
        </w:rPr>
        <w:t xml:space="preserve">Document); (ii) any Taxes in the nature of the branch profits tax within the meaning of Section 884 of the Code imposed by any jurisdiction described in clause (i) above; (iii) other than in the case of an assignee pursuant to a request by the Borrower under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hereof, any</w:t>
      </w:r>
    </w:p>
    <w:p>
      <w:pPr>
        <w:spacing w:after="0" w:line="211" w:lineRule="auto"/>
        <w:rPr>
          <w:sz w:val="20"/>
          <w:szCs w:val="20"/>
          <w:color w:val="auto"/>
        </w:rPr>
      </w:pPr>
      <w:r>
        <w:rPr>
          <w:rFonts w:ascii="Times New Roman" w:cs="Times New Roman" w:eastAsia="Times New Roman" w:hAnsi="Times New Roman"/>
          <w:sz w:val="20"/>
          <w:szCs w:val="20"/>
          <w:color w:val="auto"/>
        </w:rPr>
        <w:t>U.S. federal withholding tax except (A) to the extent such withholding tax results from a change in a Requirement of Law either after the</w:t>
      </w:r>
    </w:p>
    <w:p>
      <w:pPr>
        <w:ind w:right="320"/>
        <w:spacing w:after="0" w:line="215" w:lineRule="auto"/>
        <w:rPr>
          <w:sz w:val="20"/>
          <w:szCs w:val="20"/>
          <w:color w:val="auto"/>
        </w:rPr>
      </w:pPr>
      <w:r>
        <w:rPr>
          <w:rFonts w:ascii="Times New Roman" w:cs="Times New Roman" w:eastAsia="Times New Roman" w:hAnsi="Times New Roman"/>
          <w:sz w:val="19"/>
          <w:szCs w:val="19"/>
          <w:color w:val="auto"/>
        </w:rPr>
        <w:t>recipient became a party hereto or after it changed its lending office or (B) to the extent that such recipient’s assignor (if any) was entitled immediately prior to such assignment or such recipient was entitled immediately prior to changing its lending office to receive additional</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amounts from any Loan Party with respect to such withholding tax pursuant to this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(iv) any withholding Tax that is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attributable to the recipient’s failure to comply with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hereof; and (v) any withholding Taxes imposed pursuant to FATCA. If any such non-excluded Taxes (“</w:t>
      </w:r>
      <w:r>
        <w:rPr>
          <w:rFonts w:ascii="Times New Roman" w:cs="Times New Roman" w:eastAsia="Times New Roman" w:hAnsi="Times New Roman"/>
          <w:sz w:val="19"/>
          <w:szCs w:val="19"/>
          <w:u w:val="single" w:color="auto"/>
          <w:color w:val="auto"/>
        </w:rPr>
        <w:t>Non-Excluded Taxes</w:t>
      </w:r>
      <w:r>
        <w:rPr>
          <w:rFonts w:ascii="Times New Roman" w:cs="Times New Roman" w:eastAsia="Times New Roman" w:hAnsi="Times New Roman"/>
          <w:sz w:val="19"/>
          <w:szCs w:val="19"/>
          <w:color w:val="auto"/>
        </w:rPr>
        <w:t>”) or Other Taxes are required by law to be withheld by the applicable withholding agent</w:t>
      </w:r>
    </w:p>
    <w:p>
      <w:pPr>
        <w:spacing w:after="0" w:line="211" w:lineRule="auto"/>
        <w:rPr>
          <w:sz w:val="20"/>
          <w:szCs w:val="20"/>
          <w:color w:val="auto"/>
        </w:rPr>
      </w:pPr>
      <w:r>
        <w:rPr>
          <w:rFonts w:ascii="Times New Roman" w:cs="Times New Roman" w:eastAsia="Times New Roman" w:hAnsi="Times New Roman"/>
          <w:sz w:val="20"/>
          <w:szCs w:val="20"/>
          <w:color w:val="auto"/>
        </w:rPr>
        <w:t>from any amounts payable to the Administrative Agent or any Lender hereunder, or under any other Loan Document: (x) the amounts so</w:t>
      </w:r>
    </w:p>
    <w:p>
      <w:pPr>
        <w:ind w:right="140"/>
        <w:spacing w:after="0" w:line="215" w:lineRule="auto"/>
        <w:rPr>
          <w:sz w:val="20"/>
          <w:szCs w:val="20"/>
          <w:color w:val="auto"/>
        </w:rPr>
      </w:pPr>
      <w:r>
        <w:rPr>
          <w:rFonts w:ascii="Times New Roman" w:cs="Times New Roman" w:eastAsia="Times New Roman" w:hAnsi="Times New Roman"/>
          <w:sz w:val="19"/>
          <w:szCs w:val="19"/>
          <w:color w:val="auto"/>
        </w:rPr>
        <w:t>payable by the applicable Loan Party to the Administrative Agent or such Lender shall be increased to the extent necessary so that after all required deductions for Non-Excluded Taxes and Other Taxes (including deductions for Non-Excluded Taxes and Other Taxes applicable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additional sums payable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have been made, the Lender (or, in the case of any payment made to the Administrative</w:t>
      </w:r>
    </w:p>
    <w:p>
      <w:pPr>
        <w:ind w:right="160"/>
        <w:spacing w:after="0" w:line="215" w:lineRule="auto"/>
        <w:rPr>
          <w:sz w:val="20"/>
          <w:szCs w:val="20"/>
          <w:color w:val="auto"/>
        </w:rPr>
      </w:pPr>
      <w:r>
        <w:rPr>
          <w:rFonts w:ascii="Times New Roman" w:cs="Times New Roman" w:eastAsia="Times New Roman" w:hAnsi="Times New Roman"/>
          <w:sz w:val="19"/>
          <w:szCs w:val="19"/>
          <w:color w:val="auto"/>
        </w:rPr>
        <w:t>Agent for its own account, the Administrative Agent) receives an amount equal to the sum it would have received had no such deduction or withholding for Non-Excluded Taxes and Other Taxes been made, (y) the applicable withholding agent shall make such deductions, and</w:t>
      </w:r>
    </w:p>
    <w:p>
      <w:pPr>
        <w:ind w:right="300" w:firstLine="8"/>
        <w:spacing w:after="0" w:line="221" w:lineRule="auto"/>
        <w:tabs>
          <w:tab w:leader="none" w:pos="269" w:val="left"/>
        </w:tabs>
        <w:numPr>
          <w:ilvl w:val="0"/>
          <w:numId w:val="7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withholding agent shall timely pay the full amount deducted to the relevant Governmental Authority in accordance with applicable law.</w:t>
      </w:r>
    </w:p>
    <w:p>
      <w:pPr>
        <w:spacing w:after="0" w:line="161" w:lineRule="exact"/>
        <w:rPr>
          <w:rFonts w:ascii="Times New Roman" w:cs="Times New Roman" w:eastAsia="Times New Roman" w:hAnsi="Times New Roman"/>
          <w:sz w:val="20"/>
          <w:szCs w:val="20"/>
          <w:color w:val="auto"/>
        </w:rPr>
      </w:pPr>
    </w:p>
    <w:p>
      <w:pPr>
        <w:ind w:right="140" w:firstLine="656"/>
        <w:spacing w:after="0"/>
        <w:tabs>
          <w:tab w:leader="none" w:pos="1284" w:val="left"/>
        </w:tabs>
        <w:numPr>
          <w:ilvl w:val="1"/>
          <w:numId w:val="7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relevant Loan Party shall timely pay any Other Taxes to the relevant Governmental Authority in accordance with applicable law.</w:t>
      </w:r>
    </w:p>
    <w:p>
      <w:pPr>
        <w:spacing w:after="0" w:line="147" w:lineRule="exact"/>
        <w:rPr>
          <w:rFonts w:ascii="Times New Roman" w:cs="Times New Roman" w:eastAsia="Times New Roman" w:hAnsi="Times New Roman"/>
          <w:sz w:val="20"/>
          <w:szCs w:val="20"/>
          <w:color w:val="auto"/>
        </w:rPr>
      </w:pPr>
    </w:p>
    <w:p>
      <w:pPr>
        <w:ind w:right="80" w:firstLine="656"/>
        <w:spacing w:after="0" w:line="230" w:lineRule="auto"/>
        <w:tabs>
          <w:tab w:leader="none" w:pos="1286" w:val="left"/>
        </w:tabs>
        <w:numPr>
          <w:ilvl w:val="1"/>
          <w:numId w:val="7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Taxes are payable by a Loan Party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48" w:lineRule="exact"/>
        <w:rPr>
          <w:rFonts w:ascii="Times New Roman" w:cs="Times New Roman" w:eastAsia="Times New Roman" w:hAnsi="Times New Roman"/>
          <w:sz w:val="20"/>
          <w:szCs w:val="20"/>
          <w:color w:val="auto"/>
        </w:rPr>
      </w:pPr>
    </w:p>
    <w:p>
      <w:pPr>
        <w:ind w:right="60" w:firstLine="656"/>
        <w:spacing w:after="0" w:line="221" w:lineRule="auto"/>
        <w:tabs>
          <w:tab w:leader="none" w:pos="1284" w:val="left"/>
        </w:tabs>
        <w:numPr>
          <w:ilvl w:val="1"/>
          <w:numId w:val="7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Parties shall jointly and severally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Loan Parties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 Notwithstanding anything to the contrary contained in this </w:t>
      </w:r>
      <w:r>
        <w:rPr>
          <w:rFonts w:ascii="Times New Roman" w:cs="Times New Roman" w:eastAsia="Times New Roman" w:hAnsi="Times New Roman"/>
          <w:sz w:val="19"/>
          <w:szCs w:val="19"/>
          <w:u w:val="single" w:color="auto"/>
          <w:color w:val="auto"/>
        </w:rPr>
        <w:t>Section 2.16 (d)</w:t>
      </w:r>
      <w:r>
        <w:rPr>
          <w:rFonts w:ascii="Times New Roman" w:cs="Times New Roman" w:eastAsia="Times New Roman" w:hAnsi="Times New Roman"/>
          <w:sz w:val="19"/>
          <w:szCs w:val="19"/>
          <w:color w:val="auto"/>
        </w:rPr>
        <w:t xml:space="preserve">, unless the Administrative Agent or a Lender gives notice to the applicable Loan Party that such Loan Party is obligated to pay an amount under </w:t>
      </w:r>
      <w:r>
        <w:rPr>
          <w:rFonts w:ascii="Times New Roman" w:cs="Times New Roman" w:eastAsia="Times New Roman" w:hAnsi="Times New Roman"/>
          <w:sz w:val="19"/>
          <w:szCs w:val="19"/>
          <w:u w:val="single" w:color="auto"/>
          <w:color w:val="auto"/>
        </w:rPr>
        <w:t>Section 2.16(d)</w:t>
      </w:r>
      <w:r>
        <w:rPr>
          <w:rFonts w:ascii="Times New Roman" w:cs="Times New Roman" w:eastAsia="Times New Roman" w:hAnsi="Times New Roman"/>
          <w:sz w:val="19"/>
          <w:szCs w:val="19"/>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69" w:lineRule="exact"/>
        <w:rPr>
          <w:rFonts w:ascii="Times New Roman" w:cs="Times New Roman" w:eastAsia="Times New Roman" w:hAnsi="Times New Roman"/>
          <w:sz w:val="19"/>
          <w:szCs w:val="19"/>
          <w:color w:val="auto"/>
        </w:rPr>
      </w:pPr>
    </w:p>
    <w:p>
      <w:pPr>
        <w:ind w:right="540" w:firstLine="656"/>
        <w:spacing w:after="0"/>
        <w:tabs>
          <w:tab w:leader="none" w:pos="1286" w:val="left"/>
        </w:tabs>
        <w:numPr>
          <w:ilvl w:val="1"/>
          <w:numId w:val="7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at such times as are reasonably requested by the Borrower or the Administrative Agent, provide the Borrower and the Administrative Agent with any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20"/>
          </w:cols>
          <w:pgMar w:left="320" w:top="1394" w:right="35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20"/>
          <w:szCs w:val="20"/>
          <w:color w:val="auto"/>
        </w:rPr>
        <w:t>reasonably requested by the Borrower or the Administrative Agent, certifying as to any entitlement of such Lender to an exemption from, or</w:t>
      </w:r>
    </w:p>
    <w:p>
      <w:pPr>
        <w:ind w:right="420"/>
        <w:spacing w:after="0" w:line="215" w:lineRule="auto"/>
        <w:rPr>
          <w:sz w:val="20"/>
          <w:szCs w:val="20"/>
          <w:color w:val="auto"/>
        </w:rPr>
      </w:pPr>
      <w:r>
        <w:rPr>
          <w:rFonts w:ascii="Times New Roman" w:cs="Times New Roman" w:eastAsia="Times New Roman" w:hAnsi="Times New Roman"/>
          <w:sz w:val="19"/>
          <w:szCs w:val="19"/>
          <w:color w:val="auto"/>
        </w:rPr>
        <w:t>reduction in, any withholding Tax with respect to any payments to be made to such Lender under the Loan Documents. In addition, each Lender shall, at such times as reasonably requested by the Borrower or the Administrative Agent, deliver such other documentation</w:t>
      </w:r>
    </w:p>
    <w:p>
      <w:pPr>
        <w:spacing w:after="0" w:line="211" w:lineRule="auto"/>
        <w:rPr>
          <w:sz w:val="20"/>
          <w:szCs w:val="20"/>
          <w:color w:val="auto"/>
        </w:rPr>
      </w:pPr>
      <w:r>
        <w:rPr>
          <w:rFonts w:ascii="Times New Roman" w:cs="Times New Roman" w:eastAsia="Times New Roman" w:hAnsi="Times New Roman"/>
          <w:sz w:val="20"/>
          <w:szCs w:val="20"/>
          <w:color w:val="auto"/>
        </w:rPr>
        <w:t>prescribed by applicable law or reasonably requested by the Borrower or the Administrative Agent as will enable the Borrower or the</w:t>
      </w:r>
    </w:p>
    <w:p>
      <w:pPr>
        <w:ind w:right="80"/>
        <w:spacing w:after="0" w:line="215" w:lineRule="auto"/>
        <w:rPr>
          <w:sz w:val="20"/>
          <w:szCs w:val="20"/>
          <w:color w:val="auto"/>
        </w:rPr>
      </w:pPr>
      <w:r>
        <w:rPr>
          <w:rFonts w:ascii="Times New Roman" w:cs="Times New Roman" w:eastAsia="Times New Roman" w:hAnsi="Times New Roman"/>
          <w:sz w:val="19"/>
          <w:szCs w:val="19"/>
          <w:color w:val="auto"/>
        </w:rPr>
        <w:t>Administrative Agent to determine whether or not such Lender is subject to backup withholding or information reporting requirements. Each such Lender shall, whenever a lapse in time or change in circumstances renders any such documentation (including any documentation</w:t>
      </w:r>
    </w:p>
    <w:p>
      <w:pPr>
        <w:spacing w:after="0" w:line="211" w:lineRule="auto"/>
        <w:rPr>
          <w:sz w:val="20"/>
          <w:szCs w:val="20"/>
          <w:color w:val="auto"/>
        </w:rPr>
      </w:pPr>
      <w:r>
        <w:rPr>
          <w:rFonts w:ascii="Times New Roman" w:cs="Times New Roman" w:eastAsia="Times New Roman" w:hAnsi="Times New Roman"/>
          <w:sz w:val="20"/>
          <w:szCs w:val="20"/>
          <w:color w:val="auto"/>
        </w:rPr>
        <w:t>specifically referenced below) expired, obsolete or inaccurate in any material respect, or upon the reasonable request of the Borrower or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deliver promptly to the Borrower and the Administrative Agent updated or other appropriate documentation (including any new documentation reasonably requested by the applicable withholding agent) or promptly notify the Borrower and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of its legal ineligibility to do so. Unless the applicable withholding agent has received forms or other documents satisfactory to it</w:t>
      </w:r>
    </w:p>
    <w:p>
      <w:pPr>
        <w:ind w:right="220"/>
        <w:spacing w:after="0" w:line="215" w:lineRule="auto"/>
        <w:rPr>
          <w:sz w:val="20"/>
          <w:szCs w:val="20"/>
          <w:color w:val="auto"/>
        </w:rPr>
      </w:pPr>
      <w:r>
        <w:rPr>
          <w:rFonts w:ascii="Times New Roman" w:cs="Times New Roman" w:eastAsia="Times New Roman" w:hAnsi="Times New Roman"/>
          <w:sz w:val="19"/>
          <w:szCs w:val="19"/>
          <w:color w:val="auto"/>
        </w:rPr>
        <w:t>indicating that payments under any Loan Document to or for a Lender are not subject to withholding tax or are subject to such Tax at a rate reduced by an applicable tax treaty, the Borrower, Administrative Agent or other applicable withholding agent shall withhold amounts</w:t>
      </w:r>
    </w:p>
    <w:p>
      <w:pPr>
        <w:spacing w:after="0" w:line="211" w:lineRule="auto"/>
        <w:rPr>
          <w:sz w:val="20"/>
          <w:szCs w:val="20"/>
          <w:color w:val="auto"/>
        </w:rPr>
      </w:pPr>
      <w:r>
        <w:rPr>
          <w:rFonts w:ascii="Times New Roman" w:cs="Times New Roman" w:eastAsia="Times New Roman" w:hAnsi="Times New Roman"/>
          <w:sz w:val="20"/>
          <w:szCs w:val="20"/>
          <w:color w:val="auto"/>
        </w:rPr>
        <w:t>required to be withheld by applicable law from such payments at the applicable statutory rate. Each Lender hereby authorizes the</w:t>
      </w:r>
    </w:p>
    <w:p>
      <w:pPr>
        <w:ind w:right="1140"/>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to deliver to the Borrower and to any successor Administrative Agent any documentation provided to the Administrative Agent pursuant to this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02" w:lineRule="exact"/>
        <w:rPr>
          <w:sz w:val="20"/>
          <w:szCs w:val="20"/>
          <w:color w:val="auto"/>
        </w:rPr>
      </w:pPr>
    </w:p>
    <w:p>
      <w:pPr>
        <w:ind w:left="660" w:right="60" w:firstLine="644"/>
        <w:spacing w:after="0" w:line="222" w:lineRule="auto"/>
        <w:tabs>
          <w:tab w:leader="none" w:pos="1954" w:val="left"/>
        </w:tabs>
        <w:numPr>
          <w:ilvl w:val="0"/>
          <w:numId w:val="7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61" w:lineRule="exact"/>
        <w:rPr>
          <w:rFonts w:ascii="Times New Roman" w:cs="Times New Roman" w:eastAsia="Times New Roman" w:hAnsi="Times New Roman"/>
          <w:sz w:val="20"/>
          <w:szCs w:val="20"/>
          <w:color w:val="auto"/>
        </w:rPr>
      </w:pPr>
    </w:p>
    <w:p>
      <w:pPr>
        <w:ind w:left="660" w:right="140" w:firstLine="644"/>
        <w:spacing w:after="0" w:line="226" w:lineRule="auto"/>
        <w:tabs>
          <w:tab w:leader="none" w:pos="1955" w:val="left"/>
        </w:tabs>
        <w:numPr>
          <w:ilvl w:val="0"/>
          <w:numId w:val="7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60" w:lineRule="exact"/>
        <w:rPr>
          <w:rFonts w:ascii="Times New Roman" w:cs="Times New Roman" w:eastAsia="Times New Roman" w:hAnsi="Times New Roman"/>
          <w:sz w:val="20"/>
          <w:szCs w:val="20"/>
          <w:color w:val="auto"/>
        </w:rPr>
      </w:pPr>
    </w:p>
    <w:p>
      <w:pPr>
        <w:ind w:left="1300" w:right="380" w:firstLine="652"/>
        <w:spacing w:after="0" w:line="266" w:lineRule="auto"/>
        <w:tabs>
          <w:tab w:leader="none" w:pos="2587" w:val="left"/>
        </w:tabs>
        <w:numPr>
          <w:ilvl w:val="1"/>
          <w:numId w:val="7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two duly completed copies of Internal Revenue Service Form W-8BEN or W-8BEN-E (or any successor forms) claiming eligibility for benefits of an income tax treaty to which the United States of America is a party,</w:t>
      </w:r>
    </w:p>
    <w:p>
      <w:pPr>
        <w:spacing w:after="0" w:line="123" w:lineRule="exact"/>
        <w:rPr>
          <w:rFonts w:ascii="Times New Roman" w:cs="Times New Roman" w:eastAsia="Times New Roman" w:hAnsi="Times New Roman"/>
          <w:sz w:val="19"/>
          <w:szCs w:val="19"/>
          <w:color w:val="010000"/>
        </w:rPr>
      </w:pPr>
    </w:p>
    <w:p>
      <w:pPr>
        <w:ind w:left="2600" w:hanging="648"/>
        <w:spacing w:after="0"/>
        <w:tabs>
          <w:tab w:leader="none" w:pos="2600" w:val="left"/>
        </w:tabs>
        <w:numPr>
          <w:ilvl w:val="1"/>
          <w:numId w:val="7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two duly completed copies of Internal Revenue Service Form W-8ECI (or any successor forms),</w:t>
      </w:r>
    </w:p>
    <w:p>
      <w:pPr>
        <w:spacing w:after="0" w:line="188" w:lineRule="exact"/>
        <w:rPr>
          <w:rFonts w:ascii="Times New Roman" w:cs="Times New Roman" w:eastAsia="Times New Roman" w:hAnsi="Times New Roman"/>
          <w:sz w:val="20"/>
          <w:szCs w:val="20"/>
          <w:color w:val="010000"/>
        </w:rPr>
      </w:pPr>
    </w:p>
    <w:p>
      <w:pPr>
        <w:ind w:left="1300" w:firstLine="652"/>
        <w:spacing w:after="0" w:line="215" w:lineRule="auto"/>
        <w:tabs>
          <w:tab w:leader="none" w:pos="2590" w:val="left"/>
        </w:tabs>
        <w:numPr>
          <w:ilvl w:val="1"/>
          <w:numId w:val="7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 Lender claiming the benefits of the exemption for portfolio interest under Section 881(c) of the Code, (x) a certificate,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(any such certificate a “</w:t>
      </w:r>
      <w:r>
        <w:rPr>
          <w:rFonts w:ascii="Times New Roman" w:cs="Times New Roman" w:eastAsia="Times New Roman" w:hAnsi="Times New Roman"/>
          <w:sz w:val="20"/>
          <w:szCs w:val="20"/>
          <w:u w:val="single" w:color="auto"/>
          <w:color w:val="auto"/>
        </w:rPr>
        <w:t>United States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47" w:lineRule="exact"/>
        <w:rPr>
          <w:rFonts w:ascii="Times New Roman" w:cs="Times New Roman" w:eastAsia="Times New Roman" w:hAnsi="Times New Roman"/>
          <w:sz w:val="20"/>
          <w:szCs w:val="20"/>
          <w:color w:val="010000"/>
        </w:rPr>
      </w:pPr>
    </w:p>
    <w:p>
      <w:pPr>
        <w:ind w:left="1300" w:right="80" w:firstLine="652"/>
        <w:spacing w:after="0" w:line="218" w:lineRule="auto"/>
        <w:tabs>
          <w:tab w:leader="none" w:pos="2587" w:val="left"/>
        </w:tabs>
        <w:numPr>
          <w:ilvl w:val="1"/>
          <w:numId w:val="7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Lender is a partnership (and not a participating Lender) and one or more direct or indirect partners are claiming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5" w:right="339" w:bottom="1440" w:gutter="0" w:footer="0" w:header="0"/>
        </w:sectPr>
      </w:pPr>
    </w:p>
    <w:bookmarkStart w:id="613" w:name="page614"/>
    <w:bookmarkEnd w:id="613"/>
    <w:p>
      <w:pPr>
        <w:ind w:left="1300" w:right="160"/>
        <w:spacing w:after="0"/>
        <w:rPr>
          <w:sz w:val="20"/>
          <w:szCs w:val="20"/>
          <w:color w:val="auto"/>
        </w:rPr>
      </w:pPr>
      <w:r>
        <w:rPr>
          <w:rFonts w:ascii="Times New Roman" w:cs="Times New Roman" w:eastAsia="Times New Roman" w:hAnsi="Times New Roman"/>
          <w:sz w:val="20"/>
          <w:szCs w:val="20"/>
          <w:color w:val="auto"/>
        </w:rPr>
        <w:t>interest exemption, the United States Tax Compliance Certificate shall be provided by such Lender on behalf of such direct or indirect partner(s)), or</w:t>
      </w:r>
    </w:p>
    <w:p>
      <w:pPr>
        <w:spacing w:after="0" w:line="148" w:lineRule="exact"/>
        <w:rPr>
          <w:sz w:val="20"/>
          <w:szCs w:val="20"/>
          <w:color w:val="auto"/>
        </w:rPr>
      </w:pPr>
    </w:p>
    <w:p>
      <w:pPr>
        <w:ind w:left="1300" w:right="20" w:firstLine="652"/>
        <w:spacing w:after="0" w:line="222" w:lineRule="auto"/>
        <w:tabs>
          <w:tab w:leader="none" w:pos="2592" w:val="left"/>
        </w:tabs>
        <w:numPr>
          <w:ilvl w:val="1"/>
          <w:numId w:val="7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61" w:lineRule="exact"/>
        <w:rPr>
          <w:rFonts w:ascii="Times New Roman" w:cs="Times New Roman" w:eastAsia="Times New Roman" w:hAnsi="Times New Roman"/>
          <w:sz w:val="20"/>
          <w:szCs w:val="20"/>
          <w:color w:val="010000"/>
        </w:rPr>
      </w:pPr>
    </w:p>
    <w:p>
      <w:pPr>
        <w:ind w:left="660" w:firstLine="644"/>
        <w:spacing w:after="0" w:line="224" w:lineRule="auto"/>
        <w:tabs>
          <w:tab w:leader="none" w:pos="1956" w:val="left"/>
        </w:tabs>
        <w:numPr>
          <w:ilvl w:val="0"/>
          <w:numId w:val="7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159" w:lineRule="exact"/>
        <w:rPr>
          <w:sz w:val="20"/>
          <w:szCs w:val="20"/>
          <w:color w:val="auto"/>
        </w:rPr>
      </w:pPr>
    </w:p>
    <w:p>
      <w:pPr>
        <w:ind w:firstLine="656"/>
        <w:spacing w:after="0" w:line="210" w:lineRule="auto"/>
        <w:tabs>
          <w:tab w:leader="none" w:pos="1291" w:val="left"/>
        </w:tabs>
        <w:numPr>
          <w:ilvl w:val="0"/>
          <w:numId w:val="8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or any Lender determines, in its sole discretion exercised in good faith, that it has received a refund of any Non-Excluded Taxes or Other Taxes as to which it has been indemnified by a Loan Party or with respect to which a Loan Party has paid additional amounts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it shall promptly notify such Loan Party of such refund and shall, within 30 days after receipt of such refund, pay over such refund to the applicable Loan Party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with respect to the Non-Excluded Taxes or Other Taxes giving rise to such refund), net of all reasonable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Non-Excluded Taxes or Other Taxes subject to indemnification and giving rise to such refund had not been deducted, withheld or otherwise imposed and the indemnification payments or additional amounts with respect to such Non-Excluded Taxes or Other Taxes had never been paid. This paragraph shall not be construed to require the Administrative Agent or any Lender to make available its tax returns (or any other information relating to its Taxes which it deems confidential) to the Borrower or any other Person.</w:t>
      </w:r>
    </w:p>
    <w:p>
      <w:pPr>
        <w:spacing w:after="0" w:line="156" w:lineRule="exact"/>
        <w:rPr>
          <w:rFonts w:ascii="Times New Roman" w:cs="Times New Roman" w:eastAsia="Times New Roman" w:hAnsi="Times New Roman"/>
          <w:sz w:val="20"/>
          <w:szCs w:val="20"/>
          <w:color w:val="auto"/>
        </w:rPr>
      </w:pPr>
    </w:p>
    <w:p>
      <w:pPr>
        <w:ind w:right="160" w:firstLine="656"/>
        <w:spacing w:after="0" w:line="230" w:lineRule="auto"/>
        <w:tabs>
          <w:tab w:leader="none" w:pos="1284" w:val="left"/>
        </w:tabs>
        <w:numPr>
          <w:ilvl w:val="0"/>
          <w:numId w:val="8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49"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Borrower agrees to indemnify each Lender for, and to hold each Lender harmless from, any loss or expense that such Lender may sustain or incur as a consequence of (a) default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20"/>
          </w:cols>
          <w:pgMar w:left="320" w:top="1400" w:right="3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9"/>
          <w:szCs w:val="19"/>
          <w:color w:val="auto"/>
        </w:rPr>
        <w:t>the Borrower in making a borrowing of, conversion into or continuation of SOFR Loans after the Borrower has given a notice requesting the</w:t>
      </w:r>
    </w:p>
    <w:p>
      <w:pPr>
        <w:spacing w:after="0" w:line="6"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same in accordance with the provisions of this Agreement, (b) default by the Borrower in making any prepayment of or conversion from SOFR Loans after the Borrower has given a notice thereof in accordance with the provisions of this Agreement, or (c) the making of a</w:t>
      </w:r>
    </w:p>
    <w:p>
      <w:pPr>
        <w:spacing w:after="0" w:line="211" w:lineRule="auto"/>
        <w:rPr>
          <w:sz w:val="20"/>
          <w:szCs w:val="20"/>
          <w:color w:val="auto"/>
        </w:rPr>
      </w:pPr>
      <w:r>
        <w:rPr>
          <w:rFonts w:ascii="Times New Roman" w:cs="Times New Roman" w:eastAsia="Times New Roman" w:hAnsi="Times New Roman"/>
          <w:sz w:val="20"/>
          <w:szCs w:val="20"/>
          <w:color w:val="auto"/>
        </w:rPr>
        <w:t>prepayment or conversion of SOFR Loans on a day that is not the last day of an Interest Period with respect thereto. Such indemnification</w:t>
      </w:r>
    </w:p>
    <w:p>
      <w:pPr>
        <w:ind w:right="180"/>
        <w:spacing w:after="0" w:line="215" w:lineRule="auto"/>
        <w:rPr>
          <w:sz w:val="20"/>
          <w:szCs w:val="20"/>
          <w:color w:val="auto"/>
        </w:rPr>
      </w:pPr>
      <w:r>
        <w:rPr>
          <w:rFonts w:ascii="Times New Roman" w:cs="Times New Roman" w:eastAsia="Times New Roman" w:hAnsi="Times New Roman"/>
          <w:sz w:val="19"/>
          <w:szCs w:val="19"/>
          <w:color w:val="auto"/>
        </w:rPr>
        <w:t>may include an amount equal to the excess, if any, of (i) the amount of interest that would have accrued on the amount so prepaid, or not so borrowed, converted or continued, for the period from the date of such prepayment or of such failure to borrow, convert or continue to the</w:t>
      </w:r>
    </w:p>
    <w:p>
      <w:pPr>
        <w:spacing w:after="0" w:line="222" w:lineRule="auto"/>
        <w:rPr>
          <w:sz w:val="20"/>
          <w:szCs w:val="20"/>
          <w:color w:val="auto"/>
        </w:rPr>
      </w:pPr>
      <w:r>
        <w:rPr>
          <w:rFonts w:ascii="Times New Roman" w:cs="Times New Roman" w:eastAsia="Times New Roman" w:hAnsi="Times New Roman"/>
          <w:sz w:val="19"/>
          <w:szCs w:val="19"/>
          <w:color w:val="auto"/>
        </w:rPr>
        <w:t>last day of such Interest Period (or, in the case of a failure to borrow, convert or continue, the Interest Period that would have commenced on</w:t>
      </w:r>
    </w:p>
    <w:p>
      <w:pPr>
        <w:ind w:right="60"/>
        <w:spacing w:after="0" w:line="215" w:lineRule="auto"/>
        <w:rPr>
          <w:sz w:val="20"/>
          <w:szCs w:val="20"/>
          <w:color w:val="auto"/>
        </w:rPr>
      </w:pPr>
      <w:r>
        <w:rPr>
          <w:rFonts w:ascii="Times New Roman" w:cs="Times New Roman" w:eastAsia="Times New Roman" w:hAnsi="Times New Roman"/>
          <w:sz w:val="19"/>
          <w:szCs w:val="19"/>
          <w:color w:val="auto"/>
        </w:rPr>
        <w:t>the date of such failure) in each case at the applicable rate of interest for such Loans provided for herein (excluding, however, the Applicable Margin included therein, if any) over (ii) the amount of interest (as reasonably determined by such Lender) that would have accrued to such</w:t>
      </w:r>
    </w:p>
    <w:p>
      <w:pPr>
        <w:spacing w:after="0" w:line="222" w:lineRule="auto"/>
        <w:rPr>
          <w:sz w:val="20"/>
          <w:szCs w:val="20"/>
          <w:color w:val="auto"/>
        </w:rPr>
      </w:pPr>
      <w:r>
        <w:rPr>
          <w:rFonts w:ascii="Times New Roman" w:cs="Times New Roman" w:eastAsia="Times New Roman" w:hAnsi="Times New Roman"/>
          <w:sz w:val="19"/>
          <w:szCs w:val="19"/>
          <w:color w:val="auto"/>
        </w:rPr>
        <w:t>Lender on such amount by placing such amount on deposit for a comparable period with leading banks in the applicable interbank market. A</w:t>
      </w:r>
    </w:p>
    <w:p>
      <w:pPr>
        <w:ind w:right="100"/>
        <w:spacing w:after="0" w:line="215" w:lineRule="auto"/>
        <w:rPr>
          <w:sz w:val="20"/>
          <w:szCs w:val="20"/>
          <w:color w:val="auto"/>
        </w:rPr>
      </w:pPr>
      <w:r>
        <w:rPr>
          <w:rFonts w:ascii="Times New Roman" w:cs="Times New Roman" w:eastAsia="Times New Roman" w:hAnsi="Times New Roman"/>
          <w:sz w:val="19"/>
          <w:szCs w:val="19"/>
          <w:color w:val="auto"/>
        </w:rPr>
        <w:t xml:space="preserve">certificate as to any amounts payable pursuant to this Section submitted to the Borrower by any Lender shall be conclusive in the absence of manifest error. Notwithstanding anything to the contrary in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the Borrower shall not be required to compensate a Lender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any amounts incurred more than 180 days prior to the date that such Lender notifies the Borrower of such</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Lender’s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claim have a retroactive effect, then such 180 days period shall be extended to include the period of such retroactive effect. This covenant shall survive the termination of this</w:t>
      </w:r>
    </w:p>
    <w:p>
      <w:pPr>
        <w:spacing w:after="0"/>
        <w:rPr>
          <w:sz w:val="20"/>
          <w:szCs w:val="20"/>
          <w:color w:val="auto"/>
        </w:rPr>
      </w:pPr>
      <w:r>
        <w:rPr>
          <w:rFonts w:ascii="Times New Roman" w:cs="Times New Roman" w:eastAsia="Times New Roman" w:hAnsi="Times New Roman"/>
          <w:sz w:val="20"/>
          <w:szCs w:val="20"/>
          <w:color w:val="auto"/>
        </w:rPr>
        <w:t>Agreement and the payment of the Loans and all other amounts payable hereunder.</w:t>
      </w:r>
    </w:p>
    <w:p>
      <w:pPr>
        <w:spacing w:after="0" w:line="167" w:lineRule="exact"/>
        <w:rPr>
          <w:sz w:val="20"/>
          <w:szCs w:val="20"/>
          <w:color w:val="auto"/>
        </w:rPr>
      </w:pPr>
    </w:p>
    <w:p>
      <w:pPr>
        <w:ind w:right="4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2.18. </w:t>
      </w:r>
      <w:r>
        <w:rPr>
          <w:rFonts w:ascii="Times New Roman" w:cs="Times New Roman" w:eastAsia="Times New Roman" w:hAnsi="Times New Roman"/>
          <w:sz w:val="19"/>
          <w:szCs w:val="19"/>
          <w:u w:val="single" w:color="auto"/>
          <w:color w:val="auto"/>
        </w:rPr>
        <w:t>Change of Lending Office</w:t>
      </w:r>
      <w:r>
        <w:rPr>
          <w:rFonts w:ascii="Times New Roman" w:cs="Times New Roman" w:eastAsia="Times New Roman" w:hAnsi="Times New Roman"/>
          <w:sz w:val="19"/>
          <w:szCs w:val="19"/>
          <w:color w:val="auto"/>
        </w:rPr>
        <w:t xml:space="preserve">. Each Lender agrees that, upon the occurrence of any event giving rise to the operation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2.16(a)</w:t>
      </w:r>
      <w:r>
        <w:rPr>
          <w:rFonts w:ascii="Times New Roman" w:cs="Times New Roman" w:eastAsia="Times New Roman" w:hAnsi="Times New Roman"/>
          <w:sz w:val="19"/>
          <w:szCs w:val="19"/>
          <w:color w:val="auto"/>
        </w:rPr>
        <w:t xml:space="preserve"> with respect to such Lender, it will, if requested by the Borrower, use reasonable efforts (subject to overall policy</w:t>
      </w:r>
    </w:p>
    <w:p>
      <w:pPr>
        <w:ind w:right="380"/>
        <w:spacing w:after="0" w:line="215" w:lineRule="auto"/>
        <w:rPr>
          <w:sz w:val="20"/>
          <w:szCs w:val="20"/>
          <w:color w:val="auto"/>
        </w:rPr>
      </w:pPr>
      <w:r>
        <w:rPr>
          <w:rFonts w:ascii="Times New Roman" w:cs="Times New Roman" w:eastAsia="Times New Roman" w:hAnsi="Times New Roman"/>
          <w:sz w:val="19"/>
          <w:szCs w:val="19"/>
          <w:color w:val="auto"/>
        </w:rPr>
        <w:t xml:space="preserve">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designation is made on terms that, in the good faith judgment of such Lender, cause such</w:t>
      </w:r>
    </w:p>
    <w:p>
      <w:pPr>
        <w:ind w:right="620"/>
        <w:spacing w:after="0" w:line="242" w:lineRule="auto"/>
        <w:rPr>
          <w:sz w:val="20"/>
          <w:szCs w:val="20"/>
          <w:color w:val="auto"/>
        </w:rPr>
      </w:pPr>
      <w:r>
        <w:rPr>
          <w:rFonts w:ascii="Times New Roman" w:cs="Times New Roman" w:eastAsia="Times New Roman" w:hAnsi="Times New Roman"/>
          <w:sz w:val="19"/>
          <w:szCs w:val="19"/>
          <w:color w:val="auto"/>
        </w:rPr>
        <w:t xml:space="preserve">Lender and its lending office(s) to suffer no economic, legal or regulatory disadvantage,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2.16(a)</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360" w:firstLine="656"/>
        <w:spacing w:after="0" w:line="226" w:lineRule="auto"/>
        <w:tabs>
          <w:tab w:leader="none" w:pos="1286" w:val="left"/>
        </w:tabs>
        <w:numPr>
          <w:ilvl w:val="0"/>
          <w:numId w:val="8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(i) the fees in the amounts and on the dates as set forth in the Engagement Letter and the Fee Letter and (ii) for its own account, the annual administration fee separately agreed in writing between the Borrower and the Administrative Agent, and, in each case, to perform any other obligations contained therein.</w:t>
      </w:r>
    </w:p>
    <w:p>
      <w:pPr>
        <w:spacing w:after="0" w:line="160" w:lineRule="exact"/>
        <w:rPr>
          <w:rFonts w:ascii="Times New Roman" w:cs="Times New Roman" w:eastAsia="Times New Roman" w:hAnsi="Times New Roman"/>
          <w:sz w:val="20"/>
          <w:szCs w:val="20"/>
          <w:color w:val="auto"/>
        </w:rPr>
      </w:pPr>
    </w:p>
    <w:p>
      <w:pPr>
        <w:ind w:firstLine="656"/>
        <w:spacing w:after="0" w:line="226" w:lineRule="auto"/>
        <w:tabs>
          <w:tab w:leader="none" w:pos="1284" w:val="left"/>
        </w:tabs>
        <w:numPr>
          <w:ilvl w:val="0"/>
          <w:numId w:val="8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to the Administrative Agent for the ratable account of each Lender according to its Revolving Loan Percentage a commitment fee at a rate per annum equal to the Commitment Fee Percentage (computed on the basis of a year of 360 days and the actual number of days elapsed) on the average daily aggregate Unused Revolving Commitments (the “</w:t>
      </w: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Commitment Fee shall accrue to the Unused Revolving Credit Commitment of a Defaulting Lender, or be payable for the benefit of such Lender, so long as such Lender shall be a Defaulting Lender. Such Commitment Fee amount accrued through and including the last day of March, June, September and December of each year shall be payable quarterly in arrears on the third Business Day following the Borrower’s receipt of an invoice from Administrative Agent for such period, commencing on the first such date to occur after the date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Commitment Fee shall also be payable on the date on which the Revolving Commitments terminate.</w:t>
      </w:r>
    </w:p>
    <w:p>
      <w:pPr>
        <w:spacing w:after="0" w:line="149" w:lineRule="exact"/>
        <w:rPr>
          <w:rFonts w:ascii="Times New Roman" w:cs="Times New Roman" w:eastAsia="Times New Roman" w:hAnsi="Times New Roman"/>
          <w:sz w:val="19"/>
          <w:szCs w:val="19"/>
          <w:color w:val="auto"/>
        </w:rPr>
      </w:pPr>
    </w:p>
    <w:p>
      <w:pPr>
        <w:ind w:firstLine="656"/>
        <w:spacing w:after="0" w:line="215" w:lineRule="auto"/>
        <w:tabs>
          <w:tab w:leader="none" w:pos="1286" w:val="left"/>
        </w:tabs>
        <w:numPr>
          <w:ilvl w:val="0"/>
          <w:numId w:val="8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(i) to the Administrative Agent for the account of each Lender (other than a Defaulting Lender) a participation fee with respect to its participations in Documentary Credits, which shall accrue at the same Applicable Margin used to determine the interest rate applicable to SOFR Revolving Borrowings on the average daily amount of such Lender’s DC Exposure (excluding any portion thereof attributable to unreimbursed DC Disbursements) during the period from and including the Closing Date to but excluding the later of the date on which such Lender’s Revolving Commitment terminates and the date on which such Lender ceases to have any DC Exposure, and (ii) to the relevant Issuing Bank a fronting fee, as may be agreed between the Issuing Bank and the Borrower, as well as such Issuing Bank’s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20"/>
          </w:cols>
          <w:pgMar w:left="320" w:top="1400" w:right="35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20"/>
          <w:szCs w:val="20"/>
          <w:color w:val="auto"/>
        </w:rPr>
        <w:t>fees with respect to the issuance, amendment, renewal or extension of any Documentary Credit or processing of drawings thereunder.</w:t>
      </w:r>
    </w:p>
    <w:p>
      <w:pPr>
        <w:ind w:right="220"/>
        <w:spacing w:after="0" w:line="204" w:lineRule="auto"/>
        <w:rPr>
          <w:sz w:val="20"/>
          <w:szCs w:val="20"/>
          <w:color w:val="auto"/>
        </w:rPr>
      </w:pPr>
      <w:r>
        <w:rPr>
          <w:rFonts w:ascii="Times New Roman" w:cs="Times New Roman" w:eastAsia="Times New Roman" w:hAnsi="Times New Roman"/>
          <w:sz w:val="20"/>
          <w:szCs w:val="20"/>
          <w:color w:val="auto"/>
        </w:rPr>
        <w:t>Participation fees and fronting fees accrued through and including the last day of March, June, September and December of each year shall be payable on the third Business Day following the Borrower’s receipt of an invoice from Administrative Agent for such period,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commencing on the first such date to occur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Commitments terminate and any such fees accruing after the date on which the Commitments terminate shall be payable on demand. Any other fees payable to any Issuing Bank pursuant to this paragraph shall be payable within 10 days after demand (accompanied by reasonable</w:t>
      </w:r>
    </w:p>
    <w:p>
      <w:pPr>
        <w:ind w:right="360"/>
        <w:spacing w:after="0" w:line="228" w:lineRule="auto"/>
        <w:rPr>
          <w:sz w:val="20"/>
          <w:szCs w:val="20"/>
          <w:color w:val="auto"/>
        </w:rPr>
      </w:pPr>
      <w:r>
        <w:rPr>
          <w:rFonts w:ascii="Times New Roman" w:cs="Times New Roman" w:eastAsia="Times New Roman" w:hAnsi="Times New Roman"/>
          <w:sz w:val="20"/>
          <w:szCs w:val="20"/>
          <w:color w:val="auto"/>
        </w:rPr>
        <w:t>back-up documentation relating thereto). All participation fees and fronting fees shall be computed on the basis of a year of 360 days and shall be payable for the actual number of days elapsed (including the first day but excluding the last day).</w:t>
      </w:r>
    </w:p>
    <w:p>
      <w:pPr>
        <w:spacing w:after="0" w:line="149"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20"/>
          <w:szCs w:val="20"/>
          <w:color w:val="auto"/>
        </w:rPr>
        <w:t xml:space="preserve">2.20. </w:t>
      </w:r>
      <w:r>
        <w:rPr>
          <w:rFonts w:ascii="Times New Roman" w:cs="Times New Roman" w:eastAsia="Times New Roman" w:hAnsi="Times New Roman"/>
          <w:sz w:val="20"/>
          <w:szCs w:val="20"/>
          <w:u w:val="single" w:color="auto"/>
          <w:color w:val="auto"/>
        </w:rPr>
        <w:t>Nature of Fees</w:t>
      </w:r>
      <w:r>
        <w:rPr>
          <w:rFonts w:ascii="Times New Roman" w:cs="Times New Roman" w:eastAsia="Times New Roman" w:hAnsi="Times New Roman"/>
          <w:sz w:val="20"/>
          <w:szCs w:val="20"/>
          <w:color w:val="auto"/>
        </w:rPr>
        <w:t>. All Fees shall be paid on the dates due, in immediately available funds, (i) to the Administrative Agent (for the respective accounts of the Administrative Agent and the Lenders), as provided herein and (ii) as provided in the Fee Letter. Once paid, none of the Fees shall be refundable under any circumstances.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u w:val="single" w:color="auto"/>
          <w:color w:val="auto"/>
        </w:rPr>
        <w:t>Incremental Revolving Facilities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60" w:firstLine="656"/>
        <w:spacing w:after="0" w:line="226" w:lineRule="auto"/>
        <w:tabs>
          <w:tab w:leader="none" w:pos="1286" w:val="left"/>
        </w:tabs>
        <w:numPr>
          <w:ilvl w:val="0"/>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or from time to time after the Closing Date, by notice to the Administrative Agent, request, during the Availability Period, the establishment of Incremental Revolving Commitments by an aggregate amount not in excess of the Maximum Incremental Commitment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0" w:lineRule="exact"/>
        <w:rPr>
          <w:rFonts w:ascii="Times New Roman" w:cs="Times New Roman" w:eastAsia="Times New Roman" w:hAnsi="Times New Roman"/>
          <w:sz w:val="20"/>
          <w:szCs w:val="20"/>
          <w:color w:val="auto"/>
        </w:rPr>
      </w:pPr>
    </w:p>
    <w:p>
      <w:pPr>
        <w:ind w:left="660" w:right="280" w:firstLine="644"/>
        <w:spacing w:after="0"/>
        <w:tabs>
          <w:tab w:leader="none" w:pos="1954" w:val="left"/>
        </w:tabs>
        <w:numPr>
          <w:ilvl w:val="1"/>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 no Default or Event of Default shall have occurred and be continuing or would exist after giving effect thereto and (z)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are satisfied;</w:t>
      </w:r>
    </w:p>
    <w:p>
      <w:pPr>
        <w:spacing w:after="0" w:line="147" w:lineRule="exact"/>
        <w:rPr>
          <w:rFonts w:ascii="Times New Roman" w:cs="Times New Roman" w:eastAsia="Times New Roman" w:hAnsi="Times New Roman"/>
          <w:sz w:val="20"/>
          <w:szCs w:val="20"/>
          <w:color w:val="auto"/>
        </w:rPr>
      </w:pPr>
    </w:p>
    <w:p>
      <w:pPr>
        <w:ind w:left="660" w:right="40" w:firstLine="644"/>
        <w:spacing w:after="0" w:line="222" w:lineRule="auto"/>
        <w:tabs>
          <w:tab w:leader="none" w:pos="1955" w:val="left"/>
        </w:tabs>
        <w:numPr>
          <w:ilvl w:val="1"/>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the incurrence or effectiveness of such Incremental Revolving Facility (in the case of the incurrence or effectiveness of Incremental Revolving Commitments, assuming such increase has been drawn in full), the Borrower shall be in compliance, on a pro forma basis, with the financial covenants set forth in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recomputed as of the last day of the most recently ended fiscal quarter for which financial statements have been or were required to be delivered pursuant to </w:t>
      </w:r>
      <w:r>
        <w:rPr>
          <w:rFonts w:ascii="Times New Roman" w:cs="Times New Roman" w:eastAsia="Times New Roman" w:hAnsi="Times New Roman"/>
          <w:sz w:val="20"/>
          <w:szCs w:val="20"/>
          <w:u w:val="single" w:color="auto"/>
          <w:color w:val="auto"/>
        </w:rPr>
        <w:t>Section 5.1;</w:t>
      </w:r>
    </w:p>
    <w:p>
      <w:pPr>
        <w:spacing w:after="0" w:line="161" w:lineRule="exact"/>
        <w:rPr>
          <w:rFonts w:ascii="Times New Roman" w:cs="Times New Roman" w:eastAsia="Times New Roman" w:hAnsi="Times New Roman"/>
          <w:sz w:val="20"/>
          <w:szCs w:val="20"/>
          <w:color w:val="auto"/>
        </w:rPr>
      </w:pPr>
    </w:p>
    <w:p>
      <w:pPr>
        <w:ind w:left="660" w:firstLine="644"/>
        <w:spacing w:after="0" w:line="228" w:lineRule="auto"/>
        <w:tabs>
          <w:tab w:leader="none" w:pos="1956" w:val="left"/>
        </w:tabs>
        <w:numPr>
          <w:ilvl w:val="1"/>
          <w:numId w:val="8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have delivered to the Administrative Agent a certificate of a Financial Officer certifying to the effect set forth in subclauses (i) and (ii) above, together with reasonably detailed calculations demonstrating compliance with subclause (ii) above (which calculations shall, if made as of the last day of any fiscal quarter of the Borrower for which the Borrower has not delivered to the Administrative Agent the financial statements and Compliance Certificate required to be delivered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5.2</w:t>
      </w:r>
      <w:r>
        <w:rPr>
          <w:rFonts w:ascii="Times New Roman" w:cs="Times New Roman" w:eastAsia="Times New Roman" w:hAnsi="Times New Roman"/>
          <w:sz w:val="19"/>
          <w:szCs w:val="19"/>
          <w:color w:val="auto"/>
        </w:rPr>
        <w:t>, be accompanied by a reasonably detailed calculation of Consolidated EBITDA of the Borrower for the relevant period);</w:t>
      </w:r>
    </w:p>
    <w:p>
      <w:pPr>
        <w:spacing w:after="0" w:line="163" w:lineRule="exact"/>
        <w:rPr>
          <w:rFonts w:ascii="Times New Roman" w:cs="Times New Roman" w:eastAsia="Times New Roman" w:hAnsi="Times New Roman"/>
          <w:sz w:val="19"/>
          <w:szCs w:val="19"/>
          <w:color w:val="auto"/>
        </w:rPr>
      </w:pPr>
    </w:p>
    <w:p>
      <w:pPr>
        <w:ind w:left="660" w:right="140" w:firstLine="644"/>
        <w:spacing w:after="0"/>
        <w:tabs>
          <w:tab w:leader="none" w:pos="1945" w:val="left"/>
        </w:tabs>
        <w:numPr>
          <w:ilvl w:val="1"/>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or other payments owing pursuant to this Agreement or as otherwise agreed in writing to the Administrative Agent and the applicable Incremental Lenders shall have been paid; and</w:t>
      </w:r>
    </w:p>
    <w:p>
      <w:pPr>
        <w:spacing w:after="0" w:line="147" w:lineRule="exact"/>
        <w:rPr>
          <w:rFonts w:ascii="Times New Roman" w:cs="Times New Roman" w:eastAsia="Times New Roman" w:hAnsi="Times New Roman"/>
          <w:sz w:val="20"/>
          <w:szCs w:val="20"/>
          <w:color w:val="auto"/>
        </w:rPr>
      </w:pPr>
    </w:p>
    <w:p>
      <w:pPr>
        <w:ind w:left="660" w:firstLine="644"/>
        <w:spacing w:after="0" w:line="220" w:lineRule="auto"/>
        <w:tabs>
          <w:tab w:leader="none" w:pos="1944" w:val="left"/>
        </w:tabs>
        <w:numPr>
          <w:ilvl w:val="1"/>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other terms and conditions of any Incremental Revolving Facility shall be identical to those of the Revolving Commitments and Revolving Loans then outstanding with a like Revolving Maturity Date, and shall be treated as a single Class with such Revolving Commitments and Revolving Loans with a like Revolving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upfront fees applicable to any Incremental Revolving Facility shall be as determined by the Borrower and the Incremental Lenders providing such Incremental Revolving Facility.</w:t>
      </w:r>
    </w:p>
    <w:p>
      <w:pPr>
        <w:spacing w:after="0" w:line="160" w:lineRule="exact"/>
        <w:rPr>
          <w:rFonts w:ascii="Times New Roman" w:cs="Times New Roman" w:eastAsia="Times New Roman" w:hAnsi="Times New Roman"/>
          <w:sz w:val="20"/>
          <w:szCs w:val="20"/>
          <w:color w:val="auto"/>
        </w:rPr>
      </w:pPr>
    </w:p>
    <w:p>
      <w:pPr>
        <w:jc w:val="both"/>
        <w:ind w:right="40" w:firstLine="656"/>
        <w:spacing w:after="0" w:line="217" w:lineRule="auto"/>
        <w:tabs>
          <w:tab w:leader="none" w:pos="1284" w:val="left"/>
        </w:tabs>
        <w:numPr>
          <w:ilvl w:val="0"/>
          <w:numId w:val="8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notice from the Borrower pursuant to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specify (i) the date on which the Borrower proposes that the Incremental Revolving Facility shall, as applicable shall be effective, which shall be a date not less than five (5) Business Days (or such shorter period as may be agreed to by the Administrative Agent) after the date on which such notice is delivered to the Administrative Agent and (ii) the requested amount and proposed terms of the relevant Incremental Revolving Commitments, as applicable (it being agreed that (x) any Lender approached to provide any Incremental Revolving Commitment may elect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4" w:right="33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9"/>
          <w:szCs w:val="19"/>
          <w:color w:val="auto"/>
        </w:rPr>
        <w:t>decline, in its sole discretion, to provide such Incremental Revolving Commitment and (y) any Person that the Borrower proposes to become</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an Incremental Lender, must be consented to (such consent not to be unreasonably withheld, delayed or conditioned) by the Administrative Agent and each Issuing Bank if such consent would be required under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for an assignment of Loans or Commitments, as applicable</w:t>
      </w:r>
    </w:p>
    <w:p>
      <w:pPr>
        <w:spacing w:after="0"/>
        <w:rPr>
          <w:sz w:val="20"/>
          <w:szCs w:val="20"/>
          <w:color w:val="auto"/>
        </w:rPr>
      </w:pPr>
      <w:r>
        <w:rPr>
          <w:rFonts w:ascii="Times New Roman" w:cs="Times New Roman" w:eastAsia="Times New Roman" w:hAnsi="Times New Roman"/>
          <w:sz w:val="20"/>
          <w:szCs w:val="20"/>
          <w:color w:val="auto"/>
        </w:rPr>
        <w:t>to such Lender or Incremental Lender.</w:t>
      </w:r>
    </w:p>
    <w:p>
      <w:pPr>
        <w:spacing w:after="0" w:line="167" w:lineRule="exact"/>
        <w:rPr>
          <w:sz w:val="20"/>
          <w:szCs w:val="20"/>
          <w:color w:val="auto"/>
        </w:rPr>
      </w:pPr>
    </w:p>
    <w:p>
      <w:pPr>
        <w:ind w:right="260" w:firstLine="656"/>
        <w:spacing w:after="0" w:line="222" w:lineRule="auto"/>
        <w:tabs>
          <w:tab w:leader="none" w:pos="1286" w:val="left"/>
        </w:tabs>
        <w:numPr>
          <w:ilvl w:val="0"/>
          <w:numId w:val="8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Revolving Commitments in respect of Incremental Loans shall become Commitments under this Agreement pursuant to an amendment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to this Agreement and, as appropriate, the other Loan Documents, executed (in the case of such amendment to this Agreement) by the Borrower, each Lender agreeing to provide such Commitment, if any, each Incremental Lender and the Administrative Agent.</w:t>
      </w:r>
    </w:p>
    <w:p>
      <w:pPr>
        <w:spacing w:after="0" w:line="148" w:lineRule="exact"/>
        <w:rPr>
          <w:rFonts w:ascii="Times New Roman" w:cs="Times New Roman" w:eastAsia="Times New Roman" w:hAnsi="Times New Roman"/>
          <w:sz w:val="20"/>
          <w:szCs w:val="20"/>
          <w:color w:val="auto"/>
        </w:rPr>
      </w:pPr>
    </w:p>
    <w:p>
      <w:pPr>
        <w:ind w:right="40" w:firstLine="656"/>
        <w:spacing w:after="0" w:line="211" w:lineRule="auto"/>
        <w:tabs>
          <w:tab w:leader="none" w:pos="1284" w:val="left"/>
        </w:tabs>
        <w:numPr>
          <w:ilvl w:val="0"/>
          <w:numId w:val="8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each increase in the Revolving Commitments pursuant to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(i) each Lender with a Revolving Commitment immediately prior to such increase will automatically and without further act be deemed to have assigned to each Incremental Lender in respect of such increase, and each Incremental Lender will automatically and without further act be deemed to have assumed, a portion of such Lender’s participations hereunder in outstanding Documentary Credits such that, immediately after giving effect to each such deemed assignment and assumption of participations, the percentage of the aggregate outstanding participations hereunder in Documentary Credits held by each Lender with a Revolving Commitment (including each Incremental Lender) will equal the percentage of the aggregate Revolving Commitments of all Lenders with Revolving Commitments represented by such Lender’s Revolving Commitment and (ii) if, on the date of such increase, there are any Revolving Loans outstanding, such Revolving Loans shall on or prior to the effectiveness of such increase in the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Administrative Agent and the Lenders hereby agree that the minimum Borrowing,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Borrowing and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payment requirements contained elsewhere in this Agreement shall not apply to the transactions effected pursuant to the immediately preceding sentence.</w:t>
      </w:r>
    </w:p>
    <w:p>
      <w:pPr>
        <w:spacing w:after="0" w:line="16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to the contrary.</w:t>
      </w:r>
    </w:p>
    <w:p>
      <w:pPr>
        <w:spacing w:after="0" w:line="170"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The Borrower shall be permitted to replace any Lender that (a) requests reimbursement for</w:t>
      </w:r>
    </w:p>
    <w:p>
      <w:pPr>
        <w:jc w:val="center"/>
        <w:spacing w:after="0" w:line="222" w:lineRule="auto"/>
        <w:rPr>
          <w:sz w:val="20"/>
          <w:szCs w:val="20"/>
          <w:color w:val="auto"/>
        </w:rPr>
      </w:pPr>
      <w:r>
        <w:rPr>
          <w:rFonts w:ascii="Times New Roman" w:cs="Times New Roman" w:eastAsia="Times New Roman" w:hAnsi="Times New Roman"/>
          <w:sz w:val="19"/>
          <w:szCs w:val="19"/>
          <w:color w:val="auto"/>
        </w:rPr>
        <w:t xml:space="preserve">amounts owing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 is unable to designate a different lending office in accordance with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so</w:t>
      </w:r>
    </w:p>
    <w:p>
      <w:pPr>
        <w:jc w:val="both"/>
        <w:ind w:right="440"/>
        <w:spacing w:after="0" w:line="215" w:lineRule="auto"/>
        <w:rPr>
          <w:sz w:val="20"/>
          <w:szCs w:val="20"/>
          <w:color w:val="auto"/>
        </w:rPr>
      </w:pPr>
      <w:r>
        <w:rPr>
          <w:rFonts w:ascii="Times New Roman" w:cs="Times New Roman" w:eastAsia="Times New Roman" w:hAnsi="Times New Roman"/>
          <w:sz w:val="19"/>
          <w:szCs w:val="19"/>
          <w:color w:val="auto"/>
        </w:rPr>
        <w:t xml:space="preserve">as to eliminate the continued need for payment of amounts owing pursuant to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(b) refuses to extend its Loans pursuant to an Extension Offer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or (c) does not consent to any proposed amendment, supplement, modification,</w:t>
      </w:r>
    </w:p>
    <w:p>
      <w:pPr>
        <w:spacing w:after="0" w:line="222" w:lineRule="auto"/>
        <w:rPr>
          <w:sz w:val="20"/>
          <w:szCs w:val="20"/>
          <w:color w:val="auto"/>
        </w:rPr>
      </w:pPr>
      <w:r>
        <w:rPr>
          <w:rFonts w:ascii="Times New Roman" w:cs="Times New Roman" w:eastAsia="Times New Roman" w:hAnsi="Times New Roman"/>
          <w:sz w:val="19"/>
          <w:szCs w:val="19"/>
          <w:color w:val="auto"/>
        </w:rPr>
        <w:t>consent or waiver of any provision of this Agreement or any other Loan Document that requires the consent of each of the Lenders or each of</w:t>
      </w:r>
    </w:p>
    <w:p>
      <w:pPr>
        <w:ind w:right="60"/>
        <w:spacing w:after="0" w:line="215" w:lineRule="auto"/>
        <w:rPr>
          <w:sz w:val="20"/>
          <w:szCs w:val="20"/>
          <w:color w:val="auto"/>
        </w:rPr>
      </w:pPr>
      <w:r>
        <w:rPr>
          <w:rFonts w:ascii="Times New Roman" w:cs="Times New Roman" w:eastAsia="Times New Roman" w:hAnsi="Times New Roman"/>
          <w:sz w:val="19"/>
          <w:szCs w:val="19"/>
          <w:color w:val="auto"/>
        </w:rPr>
        <w:t xml:space="preserve">the Lenders affected thereby (so long as the consent of the Required Lenders (of all Loans or the affected Classes of Loans) has been obtained), in each case with a replacement financial institution(s);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does not conflict with any Requirement</w:t>
      </w:r>
    </w:p>
    <w:p>
      <w:pPr>
        <w:spacing w:after="0" w:line="211" w:lineRule="auto"/>
        <w:rPr>
          <w:sz w:val="20"/>
          <w:szCs w:val="20"/>
          <w:color w:val="auto"/>
        </w:rPr>
      </w:pPr>
      <w:r>
        <w:rPr>
          <w:rFonts w:ascii="Times New Roman" w:cs="Times New Roman" w:eastAsia="Times New Roman" w:hAnsi="Times New Roman"/>
          <w:sz w:val="20"/>
          <w:szCs w:val="20"/>
          <w:color w:val="auto"/>
        </w:rPr>
        <w:t>of Law, (ii) no Event of Default shall have occurred and be continuing at the time of such replacement, (iii) the replacement financial</w:t>
      </w:r>
    </w:p>
    <w:p>
      <w:pPr>
        <w:ind w:right="320"/>
        <w:spacing w:after="0" w:line="215" w:lineRule="auto"/>
        <w:rPr>
          <w:sz w:val="20"/>
          <w:szCs w:val="20"/>
          <w:color w:val="auto"/>
        </w:rPr>
      </w:pPr>
      <w:r>
        <w:rPr>
          <w:rFonts w:ascii="Times New Roman" w:cs="Times New Roman" w:eastAsia="Times New Roman" w:hAnsi="Times New Roman"/>
          <w:sz w:val="19"/>
          <w:szCs w:val="19"/>
          <w:color w:val="auto"/>
        </w:rPr>
        <w:t xml:space="preserve">institution(s) shall purchase, at par, all Loans outstanding, Commitments, DC Exposure and other amounts related thereto owing to such replaced Lender on or prior to the date of replacement, (iv) the Borrower shall be liable to such replaced Lender under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if any</w:t>
      </w:r>
    </w:p>
    <w:p>
      <w:pPr>
        <w:spacing w:after="0" w:line="211" w:lineRule="auto"/>
        <w:rPr>
          <w:sz w:val="20"/>
          <w:szCs w:val="20"/>
          <w:color w:val="auto"/>
        </w:rPr>
      </w:pPr>
      <w:r>
        <w:rPr>
          <w:rFonts w:ascii="Times New Roman" w:cs="Times New Roman" w:eastAsia="Times New Roman" w:hAnsi="Times New Roman"/>
          <w:sz w:val="20"/>
          <w:szCs w:val="20"/>
          <w:color w:val="auto"/>
        </w:rPr>
        <w:t>SOFR Loan owing to such replaced Lender shall be purchased other than on the last day of the Interest Period relating thereto, (v)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replacement financial institution(s) (if other than a then existing Lender or an affiliate thereof) shall be reasonably satisfactory to the Administrative Agent (such consent not to be unreasonably withheld, delayed or conditioned), (vi) the replaced Lender shall be obligated to</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make such replacement in accordance with the provisions of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obligated to pay the registration</w:t>
      </w:r>
    </w:p>
    <w:p>
      <w:pPr>
        <w:ind w:right="80"/>
        <w:spacing w:after="0" w:line="215" w:lineRule="auto"/>
        <w:rPr>
          <w:sz w:val="20"/>
          <w:szCs w:val="20"/>
          <w:color w:val="auto"/>
        </w:rPr>
      </w:pPr>
      <w:r>
        <w:rPr>
          <w:rFonts w:ascii="Times New Roman" w:cs="Times New Roman" w:eastAsia="Times New Roman" w:hAnsi="Times New Roman"/>
          <w:sz w:val="19"/>
          <w:szCs w:val="19"/>
          <w:color w:val="auto"/>
        </w:rPr>
        <w:t xml:space="preserve">and processing fee referred to therein), (vii) until such time as such replacement shall be consummated, the Borrower shall pay all additional amounts (if any) required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as the case may be, and (viii) any such replacement shall not be deemed to</w:t>
      </w:r>
    </w:p>
    <w:p>
      <w:pPr>
        <w:spacing w:after="0"/>
        <w:rPr>
          <w:sz w:val="20"/>
          <w:szCs w:val="20"/>
          <w:color w:val="auto"/>
        </w:rPr>
      </w:pPr>
      <w:r>
        <w:rPr>
          <w:rFonts w:ascii="Times New Roman" w:cs="Times New Roman" w:eastAsia="Times New Roman" w:hAnsi="Times New Roman"/>
          <w:sz w:val="20"/>
          <w:szCs w:val="20"/>
          <w:color w:val="auto"/>
        </w:rPr>
        <w:t>be a waiver of any rights that the Borrower, the Administrative Agent or any other Lender shall have against the replaced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20"/>
          </w:cols>
          <w:pgMar w:left="320" w:top="1400" w:right="359" w:bottom="1440" w:gutter="0" w:footer="0" w:header="0"/>
        </w:sectPr>
      </w:pPr>
    </w:p>
    <w:bookmarkStart w:id="617" w:name="page618"/>
    <w:bookmarkEnd w:id="617"/>
    <w:p>
      <w:pPr>
        <w:ind w:left="520"/>
        <w:spacing w:after="0"/>
        <w:tabs>
          <w:tab w:leader="none" w:pos="11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u w:val="single" w:color="auto"/>
          <w:color w:val="auto"/>
        </w:rPr>
        <w:t>Extensions of Commitments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40" w:firstLine="656"/>
        <w:spacing w:after="0" w:line="220" w:lineRule="auto"/>
        <w:tabs>
          <w:tab w:leader="none" w:pos="1146" w:val="left"/>
        </w:tabs>
        <w:numPr>
          <w:ilvl w:val="0"/>
          <w:numId w:val="8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pursuant to one or more offers (each, an “</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rPr>
        <w:t>”) made from time to time by the Borrower to any or all Lenders holding Commitments with a like Revolving Maturity Date, the Borrower may from time to time request an extension to such Revolving Maturity Date and otherwise modify the terms of such Commitments pursuant to the terms of the relevant Extension Offer (including, without limitation, by increasing the interest rate or fees payable in respect of such Loans (and related outstandings))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such Commitments so extended, “</w:t>
      </w:r>
      <w:r>
        <w:rPr>
          <w:rFonts w:ascii="Times New Roman" w:cs="Times New Roman" w:eastAsia="Times New Roman" w:hAnsi="Times New Roman"/>
          <w:sz w:val="19"/>
          <w:szCs w:val="19"/>
          <w:u w:val="single" w:color="auto"/>
          <w:color w:val="auto"/>
        </w:rPr>
        <w:t>Extended Revolving Commitments</w:t>
      </w:r>
      <w:r>
        <w:rPr>
          <w:rFonts w:ascii="Times New Roman" w:cs="Times New Roman" w:eastAsia="Times New Roman" w:hAnsi="Times New Roman"/>
          <w:sz w:val="19"/>
          <w:szCs w:val="19"/>
          <w:color w:val="auto"/>
        </w:rPr>
        <w:t>”; and each group of Commitments so extended, as well as the original Commitments of such Credit Facility (not so extended), being a “</w:t>
      </w:r>
      <w:r>
        <w:rPr>
          <w:rFonts w:ascii="Times New Roman" w:cs="Times New Roman" w:eastAsia="Times New Roman" w:hAnsi="Times New Roman"/>
          <w:sz w:val="19"/>
          <w:szCs w:val="19"/>
          <w:u w:val="single" w:color="auto"/>
          <w:color w:val="auto"/>
        </w:rPr>
        <w:t>tranche</w:t>
      </w:r>
      <w:r>
        <w:rPr>
          <w:rFonts w:ascii="Times New Roman" w:cs="Times New Roman" w:eastAsia="Times New Roman" w:hAnsi="Times New Roman"/>
          <w:sz w:val="19"/>
          <w:szCs w:val="19"/>
          <w:color w:val="auto"/>
        </w:rPr>
        <w:t xml:space="preserve">”; any Extended Revolving Commitments shall constitute a separate tranche of Commitments from the tranche of Commitments from which they were converted and Loans made pursuant to Extended Revolving Commitments shall constitute a separate Class of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applicable Lender shall have the right (but not the obligation) to agree to the extension of such Revolving Maturity Date, (ii) no Default or Event of Default shall have occurred and be continuing at the time any the offering document (if any) in respect of an Extension Offer is delivered to the Lenders, (iii) except as to interest rates, fees and final maturity, the Extended Revolving Commitments of any Lender shall have the same terms as the original Commitments in the applicable Credit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no time shall there be more than three different Revolving Maturity Dates, (iv) if the aggregate principal amount of Commitments in respect of which Lenders shall have accepted the relevant Extension Offer shall exceed the maximum aggregate principal amount of Commitments offered to be extended by the Borrower pursuant to such Extension Offer, then the Commitments of such Lenders shall be extended ratably up to such maximum amount based on the respective principal amounts (but not to exceed actual holdings of record) with respect to which such Lenders have accepted such Extension Offer, (v)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(vi) any applicable Minimum Extension Condition shall be satisfied.</w:t>
      </w:r>
    </w:p>
    <w:p>
      <w:pPr>
        <w:spacing w:after="0" w:line="163" w:lineRule="exact"/>
        <w:rPr>
          <w:rFonts w:ascii="Times New Roman" w:cs="Times New Roman" w:eastAsia="Times New Roman" w:hAnsi="Times New Roman"/>
          <w:sz w:val="19"/>
          <w:szCs w:val="19"/>
          <w:color w:val="auto"/>
        </w:rPr>
      </w:pPr>
    </w:p>
    <w:p>
      <w:pPr>
        <w:ind w:left="-140" w:right="160" w:firstLine="656"/>
        <w:spacing w:after="0" w:line="220" w:lineRule="auto"/>
        <w:tabs>
          <w:tab w:leader="none" w:pos="1144" w:val="left"/>
        </w:tabs>
        <w:numPr>
          <w:ilvl w:val="0"/>
          <w:numId w:val="8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 Extension consummated by the Borrower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 such Extensions shall not constitute prepayments for purposes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to consummating any such Extension that a minimum amount (to be determined and specified in the relevant Extension Offer in the Borrower’s discretion) of Commitments of any or all applicable tranches be tendered.</w:t>
      </w:r>
    </w:p>
    <w:p>
      <w:pPr>
        <w:spacing w:after="0" w:line="147" w:lineRule="exact"/>
        <w:rPr>
          <w:rFonts w:ascii="Times New Roman" w:cs="Times New Roman" w:eastAsia="Times New Roman" w:hAnsi="Times New Roman"/>
          <w:sz w:val="20"/>
          <w:szCs w:val="20"/>
          <w:color w:val="auto"/>
        </w:rPr>
      </w:pPr>
    </w:p>
    <w:p>
      <w:pPr>
        <w:ind w:left="-140" w:right="20" w:firstLine="656"/>
        <w:spacing w:after="0" w:line="212" w:lineRule="auto"/>
        <w:tabs>
          <w:tab w:leader="none" w:pos="1146" w:val="left"/>
        </w:tabs>
        <w:numPr>
          <w:ilvl w:val="0"/>
          <w:numId w:val="8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irrevocably authorize the Administrative Agent to enter into amendments to this Agreement and the other Loan Documents with the Borrower as may be necessary in order establish new tranches or sub-tranches in respect of Commitments so extended and such technical amendments as may be necessary in connection with the establishment of such new tranches or sub-tranches, in each case on terms consistent with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Notwithstanding the foregoing, the Administrative Agent shall have the right (but not the obligation) to seek the advice or concurrence of the Required Lenders (of one or more Classes of Loans) with respect to any matter contemplated by this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whether or not there has been a request by the Administrative Agent for any such advice or concurrence, all such amendments entered into with the Borrower by the Administrative Agent hereunder shall be binding and conclusive on the Lenders.</w:t>
      </w:r>
    </w:p>
    <w:p>
      <w:pPr>
        <w:spacing w:after="0" w:line="168" w:lineRule="exact"/>
        <w:rPr>
          <w:rFonts w:ascii="Times New Roman" w:cs="Times New Roman" w:eastAsia="Times New Roman" w:hAnsi="Times New Roman"/>
          <w:sz w:val="20"/>
          <w:szCs w:val="20"/>
          <w:color w:val="auto"/>
        </w:rPr>
      </w:pPr>
    </w:p>
    <w:p>
      <w:pPr>
        <w:ind w:left="-140" w:right="80" w:firstLine="656"/>
        <w:spacing w:after="0" w:line="222" w:lineRule="auto"/>
        <w:tabs>
          <w:tab w:leader="none" w:pos="1144" w:val="left"/>
        </w:tabs>
        <w:numPr>
          <w:ilvl w:val="0"/>
          <w:numId w:val="8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60"/>
          </w:cols>
          <w:pgMar w:left="460" w:top="1400" w:right="379" w:bottom="1440" w:gutter="0" w:footer="0" w:header="0"/>
        </w:sectPr>
      </w:pPr>
    </w:p>
    <w:bookmarkStart w:id="618" w:name="page619"/>
    <w:bookmarkEnd w:id="61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anything to the contrary contained in this Agreement, if any Lender becomes a</w:t>
      </w:r>
    </w:p>
    <w:p>
      <w:pPr>
        <w:spacing w:after="0"/>
        <w:rPr>
          <w:sz w:val="20"/>
          <w:szCs w:val="20"/>
          <w:color w:val="auto"/>
        </w:rPr>
      </w:pPr>
      <w:r>
        <w:rPr>
          <w:rFonts w:ascii="Times New Roman" w:cs="Times New Roman" w:eastAsia="Times New Roman" w:hAnsi="Times New Roman"/>
          <w:sz w:val="20"/>
          <w:szCs w:val="20"/>
          <w:color w:val="auto"/>
        </w:rPr>
        <w:t>Defaulting Lender, then, until such time as such Lender is no longer a Defaulting Lender, to the extent permitted by applicable law:</w:t>
      </w:r>
    </w:p>
    <w:p>
      <w:pPr>
        <w:spacing w:after="0" w:line="153" w:lineRule="exact"/>
        <w:rPr>
          <w:sz w:val="20"/>
          <w:szCs w:val="20"/>
          <w:color w:val="auto"/>
        </w:rPr>
      </w:pPr>
    </w:p>
    <w:p>
      <w:pPr>
        <w:ind w:firstLine="656"/>
        <w:spacing w:after="0" w:line="220" w:lineRule="auto"/>
        <w:tabs>
          <w:tab w:leader="none" w:pos="1286" w:val="left"/>
        </w:tabs>
        <w:numPr>
          <w:ilvl w:val="0"/>
          <w:numId w:val="8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The Loans and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amendment, waiver or other modification requiring the consent of all Lenders or all Lenders affected thereby shall, except as otherwise provided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require the consent of such Defaulting Lender in accordance with the terms hereof.</w:t>
      </w:r>
    </w:p>
    <w:p>
      <w:pPr>
        <w:spacing w:after="0" w:line="160" w:lineRule="exact"/>
        <w:rPr>
          <w:rFonts w:ascii="Times New Roman" w:cs="Times New Roman" w:eastAsia="Times New Roman" w:hAnsi="Times New Roman"/>
          <w:sz w:val="20"/>
          <w:szCs w:val="20"/>
          <w:color w:val="auto"/>
        </w:rPr>
      </w:pPr>
    </w:p>
    <w:p>
      <w:pPr>
        <w:ind w:firstLine="656"/>
        <w:spacing w:after="0" w:line="232" w:lineRule="auto"/>
        <w:tabs>
          <w:tab w:leader="none" w:pos="1284" w:val="left"/>
        </w:tabs>
        <w:numPr>
          <w:ilvl w:val="0"/>
          <w:numId w:val="8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hereunder (whether voluntary, at maturity, pursuant to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or Issuing Banks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were satisfied or waived, such payment shall be applied solely to pay the Loans of the same Class of all non-Defaulting Lenders on a pro rata basis prior to being applied to the payment of any Loans of such Class of such Defaulting Lender until such time as all Loans of such Class are held by the Lenders pro rata in accordance with the applicable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6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DC Exposure exists at the time such Lender becomes a Defaulting Lender then:</w:t>
      </w:r>
    </w:p>
    <w:p>
      <w:pPr>
        <w:spacing w:after="0" w:line="188" w:lineRule="exact"/>
        <w:rPr>
          <w:rFonts w:ascii="Times New Roman" w:cs="Times New Roman" w:eastAsia="Times New Roman" w:hAnsi="Times New Roman"/>
          <w:sz w:val="20"/>
          <w:szCs w:val="20"/>
          <w:color w:val="auto"/>
        </w:rPr>
      </w:pPr>
    </w:p>
    <w:p>
      <w:pPr>
        <w:ind w:left="660" w:firstLine="644"/>
        <w:spacing w:after="0" w:line="217" w:lineRule="auto"/>
        <w:tabs>
          <w:tab w:leader="none" w:pos="1954" w:val="left"/>
        </w:tabs>
        <w:numPr>
          <w:ilvl w:val="1"/>
          <w:numId w:val="8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DC Exposure of such Defaulting Lender shall be reallocated among the non-Defaulting Lenders in accordance with their respective Revolving Credit Exposure Percentages but only to the extent (i) the sum of all non-Defaulting Lenders’ Loans and DC Exposure then outstanding plus such Defaulting Lender’s DC Exposure does not exceed the total of all non-Defaulting Lenders’ Commitments and (ii) that after giving effect to such reallocation, no non-Defaulting Lender’s Loans and DC Exposure exceeds its Commitment;</w:t>
      </w:r>
    </w:p>
    <w:p>
      <w:pPr>
        <w:spacing w:after="0" w:line="161" w:lineRule="exact"/>
        <w:rPr>
          <w:rFonts w:ascii="Times New Roman" w:cs="Times New Roman" w:eastAsia="Times New Roman" w:hAnsi="Times New Roman"/>
          <w:sz w:val="20"/>
          <w:szCs w:val="20"/>
          <w:color w:val="auto"/>
        </w:rPr>
      </w:pPr>
    </w:p>
    <w:p>
      <w:pPr>
        <w:ind w:left="660" w:right="100" w:firstLine="644"/>
        <w:spacing w:after="0" w:line="220" w:lineRule="auto"/>
        <w:tabs>
          <w:tab w:leader="none" w:pos="1955" w:val="left"/>
        </w:tabs>
        <w:numPr>
          <w:ilvl w:val="1"/>
          <w:numId w:val="8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clause (i) above cannot, or can only partially, be effected, the Borrower shall within one Business Day following notice by the Administrative Agent cash collateralize in Dollars (or, at the option of the Administrative Agent, in the applicable currency) for the benefit of the Issuing Banks only the Borrower’s obligations corresponding to such Defaulting Lender’s DC Exposure (after giving effect to any partial reallocation pursuant to clause (i) above) in accordance with the procedures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for so long as such DC Exposure is outstanding;</w:t>
      </w:r>
    </w:p>
    <w:p>
      <w:pPr>
        <w:spacing w:after="0" w:line="147" w:lineRule="exact"/>
        <w:rPr>
          <w:rFonts w:ascii="Times New Roman" w:cs="Times New Roman" w:eastAsia="Times New Roman" w:hAnsi="Times New Roman"/>
          <w:sz w:val="20"/>
          <w:szCs w:val="20"/>
          <w:color w:val="auto"/>
        </w:rPr>
      </w:pPr>
    </w:p>
    <w:p>
      <w:pPr>
        <w:ind w:left="660" w:right="100" w:firstLine="644"/>
        <w:spacing w:after="0" w:line="230" w:lineRule="auto"/>
        <w:tabs>
          <w:tab w:leader="none" w:pos="1956" w:val="left"/>
        </w:tabs>
        <w:numPr>
          <w:ilvl w:val="1"/>
          <w:numId w:val="8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cash collateralizes any portion of such Defaulting Lender’s DC Exposure pursuant to clause (ii) above, the Borrower shall not be required to pay any fees to such Defaulting Lender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with respect to such Defaulting Lender’s DC Exposure during the period such Defaulting Lender’s DC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20"/>
          </w:cols>
          <w:pgMar w:left="320" w:top="1395" w:right="359" w:bottom="1440" w:gutter="0" w:footer="0" w:header="0"/>
        </w:sectPr>
      </w:pPr>
    </w:p>
    <w:bookmarkStart w:id="619" w:name="page620"/>
    <w:bookmarkEnd w:id="619"/>
    <w:p>
      <w:pPr>
        <w:ind w:left="660" w:firstLine="644"/>
        <w:spacing w:after="0" w:line="226" w:lineRule="auto"/>
        <w:tabs>
          <w:tab w:leader="none" w:pos="1945" w:val="left"/>
        </w:tabs>
        <w:numPr>
          <w:ilvl w:val="1"/>
          <w:numId w:val="8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DC Exposure of the non-Defaulting Lenders is reallocated pursuant to clause (i) above, then the fees payable to the Lenders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shall be adjusted in accordance with such non-Defaulting Lenders’ Revolving Credit Exposure Percentages; and</w:t>
      </w:r>
    </w:p>
    <w:p>
      <w:pPr>
        <w:spacing w:after="0" w:line="160" w:lineRule="exact"/>
        <w:rPr>
          <w:rFonts w:ascii="Times New Roman" w:cs="Times New Roman" w:eastAsia="Times New Roman" w:hAnsi="Times New Roman"/>
          <w:sz w:val="20"/>
          <w:szCs w:val="20"/>
          <w:color w:val="auto"/>
        </w:rPr>
      </w:pPr>
    </w:p>
    <w:p>
      <w:pPr>
        <w:ind w:left="660" w:right="40" w:firstLine="644"/>
        <w:spacing w:after="0" w:line="222" w:lineRule="auto"/>
        <w:tabs>
          <w:tab w:leader="none" w:pos="1944" w:val="left"/>
        </w:tabs>
        <w:numPr>
          <w:ilvl w:val="1"/>
          <w:numId w:val="8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Defaulting Lender’s DC Exposure is neither reallocated nor cash collateralized pursuant to clause (i) or (ii) above, then, without prejudice to any rights or remedies of the Issuing Banks or any other Lender hereunder, all fees payable under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with respect to such Defaulting Lender’s DC Exposure shall be payable to the Issuing Banks until and to the extent that such DC Exposure is reallocated and/or cash collateralized; and</w:t>
      </w:r>
    </w:p>
    <w:p>
      <w:pPr>
        <w:spacing w:after="0" w:line="161" w:lineRule="exact"/>
        <w:rPr>
          <w:rFonts w:ascii="Times New Roman" w:cs="Times New Roman" w:eastAsia="Times New Roman" w:hAnsi="Times New Roman"/>
          <w:sz w:val="20"/>
          <w:szCs w:val="20"/>
          <w:color w:val="auto"/>
        </w:rPr>
      </w:pPr>
    </w:p>
    <w:p>
      <w:pPr>
        <w:ind w:right="100" w:firstLine="656"/>
        <w:spacing w:after="0" w:line="217" w:lineRule="auto"/>
        <w:tabs>
          <w:tab w:leader="none" w:pos="1284" w:val="left"/>
        </w:tabs>
        <w:numPr>
          <w:ilvl w:val="0"/>
          <w:numId w:val="8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such Lender is a Defaulting Lender, the Issuing Banks shall not be required to issue, amend or increase any Documentary Credit, unless it is satisfied that the related exposure and the Defaulting Lender’s then outstanding DC Exposure will be 100% covered by the Commitments of the non-Defaulting Lenders and/or cash collateral will be provided by the Borrower in accordance with </w:t>
      </w:r>
      <w:r>
        <w:rPr>
          <w:rFonts w:ascii="Times New Roman" w:cs="Times New Roman" w:eastAsia="Times New Roman" w:hAnsi="Times New Roman"/>
          <w:sz w:val="20"/>
          <w:szCs w:val="20"/>
          <w:u w:val="single" w:color="auto"/>
          <w:color w:val="auto"/>
        </w:rPr>
        <w:t>Section 2.24(c)</w:t>
      </w:r>
      <w:r>
        <w:rPr>
          <w:rFonts w:ascii="Times New Roman" w:cs="Times New Roman" w:eastAsia="Times New Roman" w:hAnsi="Times New Roman"/>
          <w:sz w:val="20"/>
          <w:szCs w:val="20"/>
          <w:color w:val="auto"/>
        </w:rPr>
        <w:t xml:space="preserve">, and participating interests in any newly issued or increased Documentary Credit shall be allocated among non-Defaulting Lenders in a manner consistent with </w:t>
      </w:r>
      <w:r>
        <w:rPr>
          <w:rFonts w:ascii="Times New Roman" w:cs="Times New Roman" w:eastAsia="Times New Roman" w:hAnsi="Times New Roman"/>
          <w:sz w:val="20"/>
          <w:szCs w:val="20"/>
          <w:u w:val="single" w:color="auto"/>
          <w:color w:val="auto"/>
        </w:rPr>
        <w:t>Section 2.24(c)(i)</w:t>
      </w:r>
      <w:r>
        <w:rPr>
          <w:rFonts w:ascii="Times New Roman" w:cs="Times New Roman" w:eastAsia="Times New Roman" w:hAnsi="Times New Roman"/>
          <w:sz w:val="20"/>
          <w:szCs w:val="20"/>
          <w:color w:val="auto"/>
        </w:rPr>
        <w:t xml:space="preserve"> (and such Defaulting Lender shall not participate therein).</w:t>
      </w:r>
    </w:p>
    <w:p>
      <w:pPr>
        <w:spacing w:after="0" w:line="161" w:lineRule="exact"/>
        <w:rPr>
          <w:rFonts w:ascii="Times New Roman" w:cs="Times New Roman" w:eastAsia="Times New Roman" w:hAnsi="Times New Roman"/>
          <w:sz w:val="20"/>
          <w:szCs w:val="20"/>
          <w:color w:val="auto"/>
        </w:rPr>
      </w:pPr>
    </w:p>
    <w:p>
      <w:pPr>
        <w:ind w:right="40" w:firstLine="656"/>
        <w:spacing w:after="0" w:line="222" w:lineRule="auto"/>
        <w:tabs>
          <w:tab w:leader="none" w:pos="1286" w:val="left"/>
        </w:tabs>
        <w:numPr>
          <w:ilvl w:val="0"/>
          <w:numId w:val="8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the DC Exposure of the Lenders will be readjusted to reflect the inclusion of such Lender’s Commitment and such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for each applicable Class of Loans,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u w:val="single" w:color="auto"/>
          <w:color w:val="auto"/>
        </w:rPr>
        <w:t xml:space="preserve">Sustainability Adjustments. </w:t>
      </w:r>
      <w:r>
        <w:rPr>
          <w:rFonts w:ascii="Times New Roman" w:cs="Times New Roman" w:eastAsia="Times New Roman" w:hAnsi="Times New Roman"/>
          <w:sz w:val="19"/>
          <w:szCs w:val="19"/>
          <w:color w:val="auto"/>
        </w:rPr>
        <w:t>The Borrower, in consultation with a sustainability structuring agent, which shall be a Lender (or</w:t>
      </w:r>
    </w:p>
    <w:p>
      <w:pPr>
        <w:ind w:right="440"/>
        <w:spacing w:after="0" w:line="215" w:lineRule="auto"/>
        <w:rPr>
          <w:sz w:val="20"/>
          <w:szCs w:val="20"/>
          <w:color w:val="auto"/>
        </w:rPr>
      </w:pPr>
      <w:r>
        <w:rPr>
          <w:rFonts w:ascii="Times New Roman" w:cs="Times New Roman" w:eastAsia="Times New Roman" w:hAnsi="Times New Roman"/>
          <w:sz w:val="19"/>
          <w:szCs w:val="19"/>
          <w:color w:val="auto"/>
        </w:rPr>
        <w:t>Affiliate of a Lender) appointed by the Borrower (the “</w:t>
      </w:r>
      <w:r>
        <w:rPr>
          <w:rFonts w:ascii="Times New Roman" w:cs="Times New Roman" w:eastAsia="Times New Roman" w:hAnsi="Times New Roman"/>
          <w:sz w:val="19"/>
          <w:szCs w:val="19"/>
          <w:u w:val="single" w:color="auto"/>
          <w:color w:val="auto"/>
        </w:rPr>
        <w:t>Sustainability Structuring Agent</w:t>
      </w:r>
      <w:r>
        <w:rPr>
          <w:rFonts w:ascii="Times New Roman" w:cs="Times New Roman" w:eastAsia="Times New Roman" w:hAnsi="Times New Roman"/>
          <w:sz w:val="19"/>
          <w:szCs w:val="19"/>
          <w:color w:val="auto"/>
        </w:rPr>
        <w:t>”) and whose appointment shall be subject to the consent of such Lender (or Affiliate of such Lender), with respect to the ESG Amendment (defined below), shall be entitled to establish</w:t>
      </w:r>
    </w:p>
    <w:p>
      <w:pPr>
        <w:spacing w:after="0" w:line="222" w:lineRule="auto"/>
        <w:rPr>
          <w:sz w:val="20"/>
          <w:szCs w:val="20"/>
          <w:color w:val="auto"/>
        </w:rPr>
      </w:pPr>
      <w:r>
        <w:rPr>
          <w:rFonts w:ascii="Times New Roman" w:cs="Times New Roman" w:eastAsia="Times New Roman" w:hAnsi="Times New Roman"/>
          <w:sz w:val="19"/>
          <w:szCs w:val="19"/>
          <w:color w:val="auto"/>
        </w:rPr>
        <w:t>specified key performance indicators (“</w:t>
      </w:r>
      <w:r>
        <w:rPr>
          <w:rFonts w:ascii="Times New Roman" w:cs="Times New Roman" w:eastAsia="Times New Roman" w:hAnsi="Times New Roman"/>
          <w:sz w:val="19"/>
          <w:szCs w:val="19"/>
          <w:u w:val="single" w:color="auto"/>
          <w:color w:val="auto"/>
        </w:rPr>
        <w:t>KPIs</w:t>
      </w:r>
      <w:r>
        <w:rPr>
          <w:rFonts w:ascii="Times New Roman" w:cs="Times New Roman" w:eastAsia="Times New Roman" w:hAnsi="Times New Roman"/>
          <w:sz w:val="19"/>
          <w:szCs w:val="19"/>
          <w:color w:val="auto"/>
        </w:rPr>
        <w:t>”) with respect to certain environmental, social and governance (“</w:t>
      </w:r>
      <w:r>
        <w:rPr>
          <w:rFonts w:ascii="Times New Roman" w:cs="Times New Roman" w:eastAsia="Times New Roman" w:hAnsi="Times New Roman"/>
          <w:sz w:val="19"/>
          <w:szCs w:val="19"/>
          <w:u w:val="single" w:color="auto"/>
          <w:color w:val="auto"/>
        </w:rPr>
        <w:t>ESG</w:t>
      </w:r>
      <w:r>
        <w:rPr>
          <w:rFonts w:ascii="Times New Roman" w:cs="Times New Roman" w:eastAsia="Times New Roman" w:hAnsi="Times New Roman"/>
          <w:sz w:val="19"/>
          <w:szCs w:val="19"/>
          <w:color w:val="auto"/>
        </w:rPr>
        <w:t>”) targets of the Borrower</w:t>
      </w:r>
    </w:p>
    <w:p>
      <w:pPr>
        <w:ind w:right="100"/>
        <w:spacing w:after="0" w:line="204" w:lineRule="auto"/>
        <w:rPr>
          <w:sz w:val="20"/>
          <w:szCs w:val="20"/>
          <w:color w:val="auto"/>
        </w:rPr>
      </w:pPr>
      <w:r>
        <w:rPr>
          <w:rFonts w:ascii="Times New Roman" w:cs="Times New Roman" w:eastAsia="Times New Roman" w:hAnsi="Times New Roman"/>
          <w:sz w:val="20"/>
          <w:szCs w:val="20"/>
          <w:color w:val="auto"/>
        </w:rPr>
        <w:t>and its Subsidiaries. The Administrative Agent and the Borrower (in consultation with the Sustainability Structuring Agent) may amend this Agreement (such amendment, the “</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with respect to one or more Class of Loans and/or Commitments solely for the</w:t>
      </w:r>
    </w:p>
    <w:p>
      <w:pPr>
        <w:spacing w:after="0" w:line="223" w:lineRule="auto"/>
        <w:rPr>
          <w:sz w:val="20"/>
          <w:szCs w:val="20"/>
          <w:color w:val="auto"/>
        </w:rPr>
      </w:pPr>
      <w:r>
        <w:rPr>
          <w:rFonts w:ascii="Times New Roman" w:cs="Times New Roman" w:eastAsia="Times New Roman" w:hAnsi="Times New Roman"/>
          <w:sz w:val="19"/>
          <w:szCs w:val="19"/>
          <w:color w:val="auto"/>
        </w:rPr>
        <w:t>purpose of incorporating the KPIs and other related provisions (the “</w:t>
      </w:r>
      <w:r>
        <w:rPr>
          <w:rFonts w:ascii="Times New Roman" w:cs="Times New Roman" w:eastAsia="Times New Roman" w:hAnsi="Times New Roman"/>
          <w:sz w:val="19"/>
          <w:szCs w:val="19"/>
          <w:u w:val="single" w:color="auto"/>
          <w:color w:val="auto"/>
        </w:rPr>
        <w:t>ESG Pricing Provisions</w:t>
      </w:r>
      <w:r>
        <w:rPr>
          <w:rFonts w:ascii="Times New Roman" w:cs="Times New Roman" w:eastAsia="Times New Roman" w:hAnsi="Times New Roman"/>
          <w:sz w:val="19"/>
          <w:szCs w:val="19"/>
          <w:color w:val="auto"/>
        </w:rPr>
        <w:t>”) into this Agreement, and any such amendment</w:t>
      </w:r>
    </w:p>
    <w:p>
      <w:pPr>
        <w:ind w:right="260"/>
        <w:spacing w:after="0" w:line="215" w:lineRule="auto"/>
        <w:rPr>
          <w:sz w:val="20"/>
          <w:szCs w:val="20"/>
          <w:color w:val="auto"/>
        </w:rPr>
      </w:pPr>
      <w:r>
        <w:rPr>
          <w:rFonts w:ascii="Times New Roman" w:cs="Times New Roman" w:eastAsia="Times New Roman" w:hAnsi="Times New Roman"/>
          <w:sz w:val="19"/>
          <w:szCs w:val="19"/>
          <w:color w:val="auto"/>
        </w:rPr>
        <w:t>shall become effective once the Borrower, the Administrative Agent and the Required Lenders have executed the ESG Amendment. Upon the effectiveness of any such ESG Amendment, based on the Borrower’s and/or its Subsidiaries’ performance against the KPIs, certain</w:t>
      </w:r>
    </w:p>
    <w:p>
      <w:pPr>
        <w:spacing w:after="0" w:line="211" w:lineRule="auto"/>
        <w:rPr>
          <w:sz w:val="20"/>
          <w:szCs w:val="20"/>
          <w:color w:val="auto"/>
        </w:rPr>
      </w:pPr>
      <w:r>
        <w:rPr>
          <w:rFonts w:ascii="Times New Roman" w:cs="Times New Roman" w:eastAsia="Times New Roman" w:hAnsi="Times New Roman"/>
          <w:sz w:val="20"/>
          <w:szCs w:val="20"/>
          <w:color w:val="auto"/>
        </w:rPr>
        <w:t>adjustments (increase, decrease or no adjustment) to the otherwise applicable Commitment Fee Percentage and/or Applicable Margin for</w:t>
      </w:r>
    </w:p>
    <w:p>
      <w:pPr>
        <w:ind w:right="40"/>
        <w:spacing w:after="0" w:line="215" w:lineRule="auto"/>
        <w:rPr>
          <w:sz w:val="20"/>
          <w:szCs w:val="20"/>
          <w:color w:val="auto"/>
        </w:rPr>
      </w:pPr>
      <w:r>
        <w:rPr>
          <w:rFonts w:ascii="Times New Roman" w:cs="Times New Roman" w:eastAsia="Times New Roman" w:hAnsi="Times New Roman"/>
          <w:sz w:val="19"/>
          <w:szCs w:val="19"/>
          <w:color w:val="auto"/>
        </w:rPr>
        <w:t>such Class of Loans and Commitments will be made; provided that the amount of such adjustments shall not exceed (i) in the case of the Commitment Fee Percentage, an increase and/or decrease of 0.01% and (ii) in the case of the Applicable Margin, an increase and/or decrease</w:t>
      </w:r>
    </w:p>
    <w:p>
      <w:pPr>
        <w:spacing w:after="0" w:line="222" w:lineRule="auto"/>
        <w:rPr>
          <w:sz w:val="20"/>
          <w:szCs w:val="20"/>
          <w:color w:val="auto"/>
        </w:rPr>
      </w:pPr>
      <w:r>
        <w:rPr>
          <w:rFonts w:ascii="Times New Roman" w:cs="Times New Roman" w:eastAsia="Times New Roman" w:hAnsi="Times New Roman"/>
          <w:sz w:val="19"/>
          <w:szCs w:val="19"/>
          <w:color w:val="auto"/>
        </w:rPr>
        <w:t>of 0.05%, provided that in no event shall the Applicable Margin be less than zero. The pricing adjustments pursuant to the KPIs will require,</w:t>
      </w:r>
    </w:p>
    <w:p>
      <w:pPr>
        <w:ind w:right="600"/>
        <w:spacing w:after="0" w:line="221" w:lineRule="auto"/>
        <w:rPr>
          <w:sz w:val="20"/>
          <w:szCs w:val="20"/>
          <w:color w:val="auto"/>
        </w:rPr>
      </w:pPr>
      <w:r>
        <w:rPr>
          <w:rFonts w:ascii="Times New Roman" w:cs="Times New Roman" w:eastAsia="Times New Roman" w:hAnsi="Times New Roman"/>
          <w:sz w:val="20"/>
          <w:szCs w:val="20"/>
          <w:color w:val="auto"/>
        </w:rPr>
        <w:t>among other things, reporting and validation of the measurement of the KPIs in a manner that is agreed between the Borrower and the Sustainability Structuring Agent (each acting reasonably).</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Following the effectiveness of the ESG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20"/>
          </w:cols>
          <w:pgMar w:left="320" w:top="1400" w:right="359" w:bottom="1440" w:gutter="0" w:footer="0" w:header="0"/>
        </w:sectPr>
      </w:pPr>
    </w:p>
    <w:bookmarkStart w:id="620" w:name="page621"/>
    <w:bookmarkEnd w:id="620"/>
    <w:p>
      <w:pPr>
        <w:ind w:left="660" w:right="120" w:firstLine="644"/>
        <w:spacing w:after="0" w:line="226" w:lineRule="auto"/>
        <w:tabs>
          <w:tab w:leader="none" w:pos="1954" w:val="left"/>
        </w:tabs>
        <w:numPr>
          <w:ilvl w:val="0"/>
          <w:numId w:val="8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to the ESG Pricing Provisions which has the effect of (x) reducing the Applicable Margin and/or the Commitment Fee Percentage to a level not otherwise permitted by this Section 2.25 shall (in each case) be subject to the consent of all Lenders; and</w:t>
      </w:r>
    </w:p>
    <w:p>
      <w:pPr>
        <w:spacing w:after="0" w:line="160" w:lineRule="exact"/>
        <w:rPr>
          <w:rFonts w:ascii="Times New Roman" w:cs="Times New Roman" w:eastAsia="Times New Roman" w:hAnsi="Times New Roman"/>
          <w:sz w:val="20"/>
          <w:szCs w:val="20"/>
          <w:color w:val="auto"/>
        </w:rPr>
      </w:pPr>
    </w:p>
    <w:p>
      <w:pPr>
        <w:ind w:left="660" w:right="60" w:firstLine="644"/>
        <w:spacing w:after="0"/>
        <w:tabs>
          <w:tab w:leader="none" w:pos="1955" w:val="left"/>
        </w:tabs>
        <w:numPr>
          <w:ilvl w:val="0"/>
          <w:numId w:val="8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modification to the ESG Pricing Provisions (other than as provided for in clause (i) above) shall be subject only to the consent of the Required Lenders.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Section 3</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80" w:lineRule="exact"/>
        <w:rPr>
          <w:sz w:val="20"/>
          <w:szCs w:val="20"/>
          <w:color w:val="auto"/>
        </w:rPr>
      </w:pPr>
    </w:p>
    <w:p>
      <w:pPr>
        <w:ind w:right="620" w:firstLine="648"/>
        <w:spacing w:after="0" w:line="269" w:lineRule="auto"/>
        <w:rPr>
          <w:sz w:val="20"/>
          <w:szCs w:val="20"/>
          <w:color w:val="auto"/>
        </w:rPr>
      </w:pPr>
      <w:r>
        <w:rPr>
          <w:rFonts w:ascii="Times New Roman" w:cs="Times New Roman" w:eastAsia="Times New Roman" w:hAnsi="Times New Roman"/>
          <w:sz w:val="20"/>
          <w:szCs w:val="20"/>
          <w:color w:val="auto"/>
        </w:rPr>
        <w:t>The Borrower represents and warrant on the Closing Date to the Administrative Agent, each Lender and each Issuing Bank as follows:</w:t>
      </w:r>
    </w:p>
    <w:p>
      <w:pPr>
        <w:spacing w:after="0" w:line="159"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Existence; Compliance with Law</w:t>
      </w:r>
      <w:r>
        <w:rPr>
          <w:rFonts w:ascii="Times New Roman" w:cs="Times New Roman" w:eastAsia="Times New Roman" w:hAnsi="Times New Roman"/>
          <w:sz w:val="19"/>
          <w:szCs w:val="19"/>
          <w:color w:val="auto"/>
        </w:rPr>
        <w:t>. Each Loan Party (a) is duly organized, validly existing and (to the extent such concept is applicable) in good standing under the laws of the jurisdiction of its organization, (b) has the power and authority, and the legal right, to own</w:t>
      </w:r>
    </w:p>
    <w:p>
      <w:pPr>
        <w:spacing w:after="0" w:line="211" w:lineRule="auto"/>
        <w:rPr>
          <w:sz w:val="20"/>
          <w:szCs w:val="20"/>
          <w:color w:val="auto"/>
        </w:rPr>
      </w:pPr>
      <w:r>
        <w:rPr>
          <w:rFonts w:ascii="Times New Roman" w:cs="Times New Roman" w:eastAsia="Times New Roman" w:hAnsi="Times New Roman"/>
          <w:sz w:val="20"/>
          <w:szCs w:val="20"/>
          <w:color w:val="auto"/>
        </w:rPr>
        <w:t>and operate its property, to lease the property it operates as lessee and to conduct the business in which it is currently engaged, (c) is duly</w:t>
      </w:r>
    </w:p>
    <w:p>
      <w:pPr>
        <w:spacing w:after="0" w:line="1"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0"/>
          <w:szCs w:val="20"/>
          <w:color w:val="auto"/>
        </w:rPr>
        <w:t>qualified as a foreign corporation or other organization and (to the extent such concept is applicable) in good standing under the laws of each jurisdiction where its ownership, lease or operation of property or the conduct of its business requires such qualification, and (d) is in</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compliance with all Requirements of Law, except, in the case of each of the foregoing clauses (a) through (d), to the extent that the failure to comply therewith would not, in the aggregate, reasonably be expected to have a Material Adverse Effect.</w:t>
      </w:r>
    </w:p>
    <w:p>
      <w:pPr>
        <w:spacing w:after="0" w:line="149"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Power; Authorizations; Enforceable Obligations</w:t>
      </w:r>
      <w:r>
        <w:rPr>
          <w:rFonts w:ascii="Times New Roman" w:cs="Times New Roman" w:eastAsia="Times New Roman" w:hAnsi="Times New Roman"/>
          <w:sz w:val="20"/>
          <w:szCs w:val="20"/>
          <w:color w:val="auto"/>
        </w:rPr>
        <w:t>. Each Loan Party has the power and authority, and the legal right, to make, deliver and perform the Loan Documents to which it is a party and, in the case of the Borrower, to obtain extensions of credit hereunder.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Each Loan Party has taken all necessary organizational action to authorize the execution, delivery and performance of the Loan Documents to which it is a party and, in the case of the Borrower, to authorize the extensions of credit on the terms and conditions of this Agreement. No</w:t>
      </w:r>
    </w:p>
    <w:p>
      <w:pPr>
        <w:spacing w:after="0" w:line="211" w:lineRule="auto"/>
        <w:rPr>
          <w:sz w:val="20"/>
          <w:szCs w:val="20"/>
          <w:color w:val="auto"/>
        </w:rPr>
      </w:pPr>
      <w:r>
        <w:rPr>
          <w:rFonts w:ascii="Times New Roman" w:cs="Times New Roman" w:eastAsia="Times New Roman" w:hAnsi="Times New Roman"/>
          <w:sz w:val="20"/>
          <w:szCs w:val="20"/>
          <w:color w:val="auto"/>
        </w:rPr>
        <w:t>consent or authorization of, filing with, notice to or other act by or in respect of, any Governmental Authority is required in connection with</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extensions of credit hereunder or with the execution, delivery, performance, validity or enforceability of this Agreement or any of the Loan Documents, except (i) that have been obtained or made and are in full force and effect and (ii) to the extent that the failure to obtain any</w:t>
      </w:r>
    </w:p>
    <w:p>
      <w:pPr>
        <w:spacing w:after="0" w:line="222" w:lineRule="auto"/>
        <w:rPr>
          <w:sz w:val="20"/>
          <w:szCs w:val="20"/>
          <w:color w:val="auto"/>
        </w:rPr>
      </w:pPr>
      <w:r>
        <w:rPr>
          <w:rFonts w:ascii="Times New Roman" w:cs="Times New Roman" w:eastAsia="Times New Roman" w:hAnsi="Times New Roman"/>
          <w:sz w:val="19"/>
          <w:szCs w:val="19"/>
          <w:color w:val="auto"/>
        </w:rPr>
        <w:t>such consent, authorization, filing, notice or other act would not, in the aggregate, reasonably be expected to have a Material Adverse Effect.</w:t>
      </w:r>
    </w:p>
    <w:p>
      <w:pPr>
        <w:ind w:right="20"/>
        <w:spacing w:after="0" w:line="215" w:lineRule="auto"/>
        <w:rPr>
          <w:sz w:val="20"/>
          <w:szCs w:val="20"/>
          <w:color w:val="auto"/>
        </w:rPr>
      </w:pPr>
      <w:r>
        <w:rPr>
          <w:rFonts w:ascii="Times New Roman" w:cs="Times New Roman" w:eastAsia="Times New Roman" w:hAnsi="Times New Roman"/>
          <w:sz w:val="19"/>
          <w:szCs w:val="19"/>
          <w:color w:val="auto"/>
        </w:rPr>
        <w:t>Each Loan Document has been duly executed and delivered on behalf of each Loan Party party thereto. This Agreement constitutes, and each other Loan Document upon execution will constitute, a legal, valid and binding obligation of each Loan Party party thereto, enforceable</w:t>
      </w:r>
    </w:p>
    <w:p>
      <w:pPr>
        <w:spacing w:after="0" w:line="211" w:lineRule="auto"/>
        <w:rPr>
          <w:sz w:val="20"/>
          <w:szCs w:val="20"/>
          <w:color w:val="auto"/>
        </w:rPr>
      </w:pPr>
      <w:r>
        <w:rPr>
          <w:rFonts w:ascii="Times New Roman" w:cs="Times New Roman" w:eastAsia="Times New Roman" w:hAnsi="Times New Roman"/>
          <w:sz w:val="20"/>
          <w:szCs w:val="20"/>
          <w:color w:val="auto"/>
        </w:rPr>
        <w:t>against each such Loan Party in accordance with its terms, except as enforceability may be limited by applicable bankruptcy, insolvency,</w:t>
      </w:r>
    </w:p>
    <w:p>
      <w:pPr>
        <w:ind w:right="640"/>
        <w:spacing w:after="0" w:line="221" w:lineRule="auto"/>
        <w:rPr>
          <w:sz w:val="20"/>
          <w:szCs w:val="20"/>
          <w:color w:val="auto"/>
        </w:rPr>
      </w:pPr>
      <w:r>
        <w:rPr>
          <w:rFonts w:ascii="Times New Roman" w:cs="Times New Roman" w:eastAsia="Times New Roman" w:hAnsi="Times New Roman"/>
          <w:sz w:val="20"/>
          <w:szCs w:val="20"/>
          <w:color w:val="auto"/>
        </w:rPr>
        <w:t>reorganization, moratorium or similar laws affecting the enforcement of creditors’ rights generally and by general equitable principles (whether enforcement is sought by proceedings in equity or at law).</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No Legal Bar</w:t>
      </w:r>
      <w:r>
        <w:rPr>
          <w:rFonts w:ascii="Times New Roman" w:cs="Times New Roman" w:eastAsia="Times New Roman" w:hAnsi="Times New Roman"/>
          <w:sz w:val="19"/>
          <w:szCs w:val="19"/>
          <w:color w:val="auto"/>
        </w:rPr>
        <w:t>. The execution, delivery and performance of this Agreement and the other Loan Documents, the borrowings</w:t>
      </w:r>
    </w:p>
    <w:p>
      <w:pPr>
        <w:ind w:right="420"/>
        <w:spacing w:after="0" w:line="215" w:lineRule="auto"/>
        <w:rPr>
          <w:sz w:val="20"/>
          <w:szCs w:val="20"/>
          <w:color w:val="auto"/>
        </w:rPr>
      </w:pPr>
      <w:r>
        <w:rPr>
          <w:rFonts w:ascii="Times New Roman" w:cs="Times New Roman" w:eastAsia="Times New Roman" w:hAnsi="Times New Roman"/>
          <w:sz w:val="19"/>
          <w:szCs w:val="19"/>
          <w:color w:val="auto"/>
        </w:rPr>
        <w:t>hereunder and the use of the proceeds thereof (x) will not violate any Requirement of Law or any material Contractual Obligation of any Loan Party and (y) will not result in, or require, the creation or imposition of any Lien on any of their respective properties or revenues</w:t>
      </w:r>
    </w:p>
    <w:p>
      <w:pPr>
        <w:jc w:val="both"/>
        <w:ind w:right="120"/>
        <w:spacing w:after="0" w:line="242" w:lineRule="auto"/>
        <w:rPr>
          <w:sz w:val="20"/>
          <w:szCs w:val="20"/>
          <w:color w:val="auto"/>
        </w:rPr>
      </w:pPr>
      <w:r>
        <w:rPr>
          <w:rFonts w:ascii="Times New Roman" w:cs="Times New Roman" w:eastAsia="Times New Roman" w:hAnsi="Times New Roman"/>
          <w:sz w:val="19"/>
          <w:szCs w:val="19"/>
          <w:color w:val="auto"/>
        </w:rPr>
        <w:t>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45"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Accuracy of Information</w:t>
      </w:r>
      <w:r>
        <w:rPr>
          <w:rFonts w:ascii="Times New Roman" w:cs="Times New Roman" w:eastAsia="Times New Roman" w:hAnsi="Times New Roman"/>
          <w:sz w:val="20"/>
          <w:szCs w:val="20"/>
          <w:color w:val="auto"/>
        </w:rPr>
        <w:t>. No statement or information contained in this Agreement, any other Loan Document, or any other document, certificate or statement, furnished by or on behalf of any Loan Party to the Administrative Agent or the Lenders, or any of them,</w:t>
      </w:r>
    </w:p>
    <w:p>
      <w:pPr>
        <w:spacing w:after="0" w:line="2"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for use in connection with the transactions contemplated by this Agreement or the other Loan Documents, contained as of the Closing Date, taken as a whole and in light of the circumstances in which made, any untrue statement of a material fact or omitted to state a material fact</w:t>
      </w:r>
    </w:p>
    <w:p>
      <w:pPr>
        <w:ind w:right="180"/>
        <w:spacing w:after="0" w:line="215" w:lineRule="auto"/>
        <w:rPr>
          <w:sz w:val="20"/>
          <w:szCs w:val="20"/>
          <w:color w:val="auto"/>
        </w:rPr>
      </w:pPr>
      <w:r>
        <w:rPr>
          <w:rFonts w:ascii="Times New Roman" w:cs="Times New Roman" w:eastAsia="Times New Roman" w:hAnsi="Times New Roman"/>
          <w:sz w:val="19"/>
          <w:szCs w:val="19"/>
          <w:color w:val="auto"/>
        </w:rPr>
        <w:t xml:space="preserve">necessary to make the statements contained herein or therein not materially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each Loan Party represents only that such information was prepared in good faith based upon assumptions believed by them to</w:t>
      </w:r>
    </w:p>
    <w:p>
      <w:pPr>
        <w:spacing w:after="0"/>
        <w:rPr>
          <w:sz w:val="20"/>
          <w:szCs w:val="20"/>
          <w:color w:val="auto"/>
        </w:rPr>
      </w:pPr>
      <w:r>
        <w:rPr>
          <w:rFonts w:ascii="Times New Roman" w:cs="Times New Roman" w:eastAsia="Times New Roman" w:hAnsi="Times New Roman"/>
          <w:sz w:val="20"/>
          <w:szCs w:val="20"/>
          <w:color w:val="auto"/>
        </w:rPr>
        <w:t>be reasonable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00" w:right="339" w:bottom="1440" w:gutter="0" w:footer="0" w:header="0"/>
        </w:sectPr>
      </w:pPr>
    </w:p>
    <w:bookmarkStart w:id="621" w:name="page622"/>
    <w:bookmarkEnd w:id="621"/>
    <w:p>
      <w:pPr>
        <w:ind w:right="20"/>
        <w:spacing w:after="0"/>
        <w:rPr>
          <w:sz w:val="20"/>
          <w:szCs w:val="20"/>
          <w:color w:val="auto"/>
        </w:rPr>
      </w:pPr>
      <w:r>
        <w:rPr>
          <w:rFonts w:ascii="Times New Roman" w:cs="Times New Roman" w:eastAsia="Times New Roman" w:hAnsi="Times New Roman"/>
          <w:sz w:val="20"/>
          <w:szCs w:val="20"/>
          <w:color w:val="auto"/>
        </w:rPr>
        <w:t>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48" w:lineRule="exact"/>
        <w:rPr>
          <w:sz w:val="20"/>
          <w:szCs w:val="20"/>
          <w:color w:val="auto"/>
        </w:rPr>
      </w:pPr>
    </w:p>
    <w:p>
      <w:pPr>
        <w:ind w:right="280" w:firstLine="648"/>
        <w:spacing w:after="0"/>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Title to Assets; Liens</w:t>
      </w:r>
      <w:r>
        <w:rPr>
          <w:rFonts w:ascii="Times New Roman" w:cs="Times New Roman" w:eastAsia="Times New Roman" w:hAnsi="Times New Roman"/>
          <w:sz w:val="19"/>
          <w:szCs w:val="19"/>
          <w:color w:val="auto"/>
        </w:rPr>
        <w:t>. The Borrower and its Restricted Subsidiaries have good and marketable title to, or a valid leasehold or easement interest in, all their other material property, taken as a whole, except for minor defects in title that do not interfere with their ability</w:t>
      </w:r>
    </w:p>
    <w:p>
      <w:pPr>
        <w:spacing w:after="0" w:line="211" w:lineRule="auto"/>
        <w:rPr>
          <w:sz w:val="20"/>
          <w:szCs w:val="20"/>
          <w:color w:val="auto"/>
        </w:rPr>
      </w:pPr>
      <w:r>
        <w:rPr>
          <w:rFonts w:ascii="Times New Roman" w:cs="Times New Roman" w:eastAsia="Times New Roman" w:hAnsi="Times New Roman"/>
          <w:sz w:val="20"/>
          <w:szCs w:val="20"/>
          <w:color w:val="auto"/>
        </w:rPr>
        <w:t>to conduct their business as currently conducted or as proposed to be conducted or to utilize such properties for their intended purposes, in</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 xml:space="preserve">each case, except as would not reasonably be expected to have, individually or in the aggregate, a Material Adverse Effect, and none of such property is subject to any Lien except Liens permitted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Borrower and its Restricted Subsidiaries own, or are licensed to use, all Intellectual Property</w:t>
      </w:r>
    </w:p>
    <w:p>
      <w:pPr>
        <w:ind w:right="120"/>
        <w:spacing w:after="0" w:line="215" w:lineRule="auto"/>
        <w:rPr>
          <w:sz w:val="20"/>
          <w:szCs w:val="20"/>
          <w:color w:val="auto"/>
        </w:rPr>
      </w:pPr>
      <w:r>
        <w:rPr>
          <w:rFonts w:ascii="Times New Roman" w:cs="Times New Roman" w:eastAsia="Times New Roman" w:hAnsi="Times New Roman"/>
          <w:sz w:val="19"/>
          <w:szCs w:val="19"/>
          <w:color w:val="auto"/>
        </w:rPr>
        <w:t>material to the conduct of their businesses, and the use thereof by the Borrower and its Restricted Subsidiaries does not, to the knowledge of the Borrower, infringe upon, misappropriate or otherwise violate the Intellectual Property rights of any other Person, in each case except</w:t>
      </w:r>
    </w:p>
    <w:p>
      <w:pPr>
        <w:ind w:right="480"/>
        <w:spacing w:after="0" w:line="228" w:lineRule="auto"/>
        <w:rPr>
          <w:sz w:val="20"/>
          <w:szCs w:val="20"/>
          <w:color w:val="auto"/>
        </w:rPr>
      </w:pPr>
      <w:r>
        <w:rPr>
          <w:rFonts w:ascii="Times New Roman" w:cs="Times New Roman" w:eastAsia="Times New Roman" w:hAnsi="Times New Roman"/>
          <w:sz w:val="20"/>
          <w:szCs w:val="20"/>
          <w:color w:val="auto"/>
        </w:rPr>
        <w:t>where the failure to own or license Intellectual Property, or any infringement on Intellectual Property rights would not, in the aggregate, reasonably be expected to have a Material Adverse Effect.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proceeds of the Loans shall be utilized for the Refinancing and general corporate purposes.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No litigation, investigation or proceeding of or before any arbitrator or Governmental Authority is pending or, to</w:t>
      </w:r>
    </w:p>
    <w:p>
      <w:pPr>
        <w:ind w:right="460"/>
        <w:spacing w:after="0" w:line="215" w:lineRule="auto"/>
        <w:rPr>
          <w:sz w:val="20"/>
          <w:szCs w:val="20"/>
          <w:color w:val="auto"/>
        </w:rPr>
      </w:pPr>
      <w:r>
        <w:rPr>
          <w:rFonts w:ascii="Times New Roman" w:cs="Times New Roman" w:eastAsia="Times New Roman" w:hAnsi="Times New Roman"/>
          <w:sz w:val="19"/>
          <w:szCs w:val="19"/>
          <w:color w:val="auto"/>
        </w:rPr>
        <w:t>the knowledge of the Borrower, threatened (including “cease and desist” letters and invitations to take a patent license) by or against the Borrower or its Restricted Subsidiaries or against any of their respective properties, rights or revenues that, in the aggregate, would</w:t>
      </w:r>
    </w:p>
    <w:p>
      <w:pPr>
        <w:spacing w:after="0"/>
        <w:rPr>
          <w:sz w:val="20"/>
          <w:szCs w:val="20"/>
          <w:color w:val="auto"/>
        </w:rPr>
      </w:pPr>
      <w:r>
        <w:rPr>
          <w:rFonts w:ascii="Times New Roman" w:cs="Times New Roman" w:eastAsia="Times New Roman" w:hAnsi="Times New Roman"/>
          <w:sz w:val="20"/>
          <w:szCs w:val="20"/>
          <w:color w:val="auto"/>
        </w:rPr>
        <w:t>reasonably be expected to have a Material Adverse Effect.</w:t>
      </w:r>
    </w:p>
    <w:p>
      <w:pPr>
        <w:spacing w:after="0" w:line="153" w:lineRule="exact"/>
        <w:rPr>
          <w:sz w:val="20"/>
          <w:szCs w:val="20"/>
          <w:color w:val="auto"/>
        </w:rPr>
      </w:pPr>
    </w:p>
    <w:p>
      <w:pPr>
        <w:ind w:right="180"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 No part of the proceeds of any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49" w:lineRule="exact"/>
        <w:rPr>
          <w:sz w:val="20"/>
          <w:szCs w:val="20"/>
          <w:color w:val="auto"/>
        </w:rPr>
      </w:pPr>
    </w:p>
    <w:p>
      <w:pPr>
        <w:ind w:right="920" w:firstLine="648"/>
        <w:spacing w:after="0"/>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Borrower and its Subsidiaries, taken as a whole, are, and after giving effect to the incurrence of all Indebtedness and obligations being incurred in connection herewith will be, Solvent.</w:t>
      </w:r>
    </w:p>
    <w:p>
      <w:pPr>
        <w:spacing w:after="0" w:line="161"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w:t>
      </w:r>
    </w:p>
    <w:p>
      <w:pPr>
        <w:spacing w:after="0" w:line="211" w:lineRule="auto"/>
        <w:rPr>
          <w:sz w:val="20"/>
          <w:szCs w:val="20"/>
          <w:color w:val="auto"/>
        </w:rPr>
      </w:pPr>
      <w:r>
        <w:rPr>
          <w:rFonts w:ascii="Times New Roman" w:cs="Times New Roman" w:eastAsia="Times New Roman" w:hAnsi="Times New Roman"/>
          <w:sz w:val="20"/>
          <w:szCs w:val="20"/>
          <w:color w:val="auto"/>
        </w:rPr>
        <w:t>reasonably be expected to have a Material Adverse Effect, and has paid all Taxes shown to be due and payable on said returns or on any</w:t>
      </w:r>
    </w:p>
    <w:p>
      <w:pPr>
        <w:spacing w:after="0" w:line="1" w:lineRule="exact"/>
        <w:rPr>
          <w:sz w:val="20"/>
          <w:szCs w:val="20"/>
          <w:color w:val="auto"/>
        </w:rPr>
      </w:pPr>
    </w:p>
    <w:p>
      <w:pPr>
        <w:ind w:right="600"/>
        <w:spacing w:after="0" w:line="215" w:lineRule="auto"/>
        <w:rPr>
          <w:sz w:val="20"/>
          <w:szCs w:val="20"/>
          <w:color w:val="auto"/>
        </w:rPr>
      </w:pPr>
      <w:r>
        <w:rPr>
          <w:rFonts w:ascii="Times New Roman" w:cs="Times New Roman" w:eastAsia="Times New Roman" w:hAnsi="Times New Roman"/>
          <w:sz w:val="19"/>
          <w:szCs w:val="19"/>
          <w:color w:val="auto"/>
        </w:rPr>
        <w:t>assessments made against it or any of its property and all other Taxes, fees or other charges imposed on it or any of its property by any Governmental Authority (other than any (x) the amount or validity of which are currently being contested in good faith by appropriate</w:t>
      </w:r>
    </w:p>
    <w:p>
      <w:pPr>
        <w:spacing w:after="0" w:line="222" w:lineRule="auto"/>
        <w:rPr>
          <w:sz w:val="20"/>
          <w:szCs w:val="20"/>
          <w:color w:val="auto"/>
        </w:rPr>
      </w:pPr>
      <w:r>
        <w:rPr>
          <w:rFonts w:ascii="Times New Roman" w:cs="Times New Roman" w:eastAsia="Times New Roman" w:hAnsi="Times New Roman"/>
          <w:sz w:val="19"/>
          <w:szCs w:val="19"/>
          <w:color w:val="auto"/>
        </w:rPr>
        <w:t>proceedings and with respect to which reserves in conformity with GAAP have been provided on the books of the relevant entity, or (y) those</w:t>
      </w:r>
    </w:p>
    <w:p>
      <w:pPr>
        <w:ind w:right="220"/>
        <w:spacing w:after="0" w:line="215" w:lineRule="auto"/>
        <w:rPr>
          <w:sz w:val="20"/>
          <w:szCs w:val="20"/>
          <w:color w:val="auto"/>
        </w:rPr>
      </w:pPr>
      <w:r>
        <w:rPr>
          <w:rFonts w:ascii="Times New Roman" w:cs="Times New Roman" w:eastAsia="Times New Roman" w:hAnsi="Times New Roman"/>
          <w:sz w:val="19"/>
          <w:szCs w:val="19"/>
          <w:color w:val="auto"/>
        </w:rPr>
        <w:t>where the failure to pay, individually or in the aggregate, would not reasonably be expected to have a Material Adverse Effect). There is no proposed Tax assessment or other claim against, and no Tax audit with respect to, the Borrower or its Restricted Subsidiaries that would</w:t>
      </w:r>
    </w:p>
    <w:p>
      <w:pPr>
        <w:spacing w:after="0"/>
        <w:rPr>
          <w:sz w:val="20"/>
          <w:szCs w:val="20"/>
          <w:color w:val="auto"/>
        </w:rPr>
      </w:pPr>
      <w:r>
        <w:rPr>
          <w:rFonts w:ascii="Times New Roman" w:cs="Times New Roman" w:eastAsia="Times New Roman" w:hAnsi="Times New Roman"/>
          <w:sz w:val="20"/>
          <w:szCs w:val="20"/>
          <w:color w:val="auto"/>
        </w:rPr>
        <w:t>reasonably be expected to, individually or in the aggregate, have a Material Adverse Effect.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Except as, in the aggregate, does not or would not reasonably be expected to result in a Material Adverse Effect:</w:t>
      </w:r>
    </w:p>
    <w:p>
      <w:pPr>
        <w:spacing w:after="0" w:line="211" w:lineRule="auto"/>
        <w:rPr>
          <w:sz w:val="20"/>
          <w:szCs w:val="20"/>
          <w:color w:val="auto"/>
        </w:rPr>
      </w:pPr>
      <w:r>
        <w:rPr>
          <w:rFonts w:ascii="Times New Roman" w:cs="Times New Roman" w:eastAsia="Times New Roman" w:hAnsi="Times New Roman"/>
          <w:sz w:val="20"/>
          <w:szCs w:val="20"/>
          <w:color w:val="auto"/>
        </w:rPr>
        <w:t>neither a Reportable Event nor a failure to satisfy the minimum funding standard of Section 430 of the Code or Section 303 of ERISA,</w:t>
      </w:r>
    </w:p>
    <w:p>
      <w:pPr>
        <w:spacing w:after="0" w:line="211" w:lineRule="auto"/>
        <w:rPr>
          <w:sz w:val="20"/>
          <w:szCs w:val="20"/>
          <w:color w:val="auto"/>
        </w:rPr>
      </w:pPr>
      <w:r>
        <w:rPr>
          <w:rFonts w:ascii="Times New Roman" w:cs="Times New Roman" w:eastAsia="Times New Roman" w:hAnsi="Times New Roman"/>
          <w:sz w:val="20"/>
          <w:szCs w:val="20"/>
          <w:color w:val="auto"/>
        </w:rPr>
        <w:t>whether or not waived, with respect to a Plan has occurred during the five-year period prior to the date on which this representation is made</w:t>
      </w:r>
    </w:p>
    <w:p>
      <w:pPr>
        <w:spacing w:after="0" w:line="1"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20"/>
          <w:szCs w:val="20"/>
          <w:color w:val="auto"/>
        </w:rPr>
        <w:t>or deemed made with respect to any Plan, and each Plan has complied in all respects with the applicable provisions of ERISA and the Code; no termination of a Single Employer Plan has occurred, and no Lien in favor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00" w:right="33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9"/>
          <w:szCs w:val="19"/>
          <w:color w:val="auto"/>
        </w:rPr>
        <w:t>PBGC or a Plan has arisen, during such five-year period; the present value of all accrued benefits under each Single Employer Plan (based on</w:t>
      </w:r>
    </w:p>
    <w:p>
      <w:pPr>
        <w:spacing w:after="0" w:line="6"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those assumptions used to fund such Plans) did not, as of the last annual valuation date prior to the date on which this representation is made or deemed made, exceed the value of the assets of such Plan allocable to such accrued benefits; neither the Borrower nor any Commonly</w:t>
      </w:r>
    </w:p>
    <w:p>
      <w:pPr>
        <w:spacing w:after="0" w:line="211" w:lineRule="auto"/>
        <w:rPr>
          <w:sz w:val="20"/>
          <w:szCs w:val="20"/>
          <w:color w:val="auto"/>
        </w:rPr>
      </w:pPr>
      <w:r>
        <w:rPr>
          <w:rFonts w:ascii="Times New Roman" w:cs="Times New Roman" w:eastAsia="Times New Roman" w:hAnsi="Times New Roman"/>
          <w:sz w:val="20"/>
          <w:szCs w:val="20"/>
          <w:color w:val="auto"/>
        </w:rPr>
        <w:t>Controlled Entity has had a complete or partial withdrawal from any Multiemployer Plan; to the knowledge of the Borrower after due</w:t>
      </w:r>
    </w:p>
    <w:p>
      <w:pPr>
        <w:ind w:right="260"/>
        <w:spacing w:after="0" w:line="215" w:lineRule="auto"/>
        <w:rPr>
          <w:sz w:val="20"/>
          <w:szCs w:val="20"/>
          <w:color w:val="auto"/>
        </w:rPr>
      </w:pPr>
      <w:r>
        <w:rPr>
          <w:rFonts w:ascii="Times New Roman" w:cs="Times New Roman" w:eastAsia="Times New Roman" w:hAnsi="Times New Roman"/>
          <w:sz w:val="19"/>
          <w:szCs w:val="19"/>
          <w:color w:val="auto"/>
        </w:rPr>
        <w:t>inquiry, neither the Borrower nor any Commonly Controlled Entity would become subject to any liability under ERISA if the Borrower or any such Commonly Controlled Entity were to withdraw completely from any Multiemployer Plans as of the valuation date most closely</w:t>
      </w:r>
    </w:p>
    <w:p>
      <w:pPr>
        <w:spacing w:after="0" w:line="211" w:lineRule="auto"/>
        <w:rPr>
          <w:sz w:val="20"/>
          <w:szCs w:val="20"/>
          <w:color w:val="auto"/>
        </w:rPr>
      </w:pPr>
      <w:r>
        <w:rPr>
          <w:rFonts w:ascii="Times New Roman" w:cs="Times New Roman" w:eastAsia="Times New Roman" w:hAnsi="Times New Roman"/>
          <w:sz w:val="20"/>
          <w:szCs w:val="20"/>
          <w:color w:val="auto"/>
        </w:rPr>
        <w:t>preceding the date on which this representation is made or deemed made; and to the knowledge of the Borrower after due inquiry, no</w:t>
      </w:r>
    </w:p>
    <w:p>
      <w:pPr>
        <w:ind w:right="40"/>
        <w:spacing w:after="0" w:line="221" w:lineRule="auto"/>
        <w:rPr>
          <w:sz w:val="20"/>
          <w:szCs w:val="20"/>
          <w:color w:val="auto"/>
        </w:rPr>
      </w:pPr>
      <w:r>
        <w:rPr>
          <w:rFonts w:ascii="Times New Roman" w:cs="Times New Roman" w:eastAsia="Times New Roman" w:hAnsi="Times New Roman"/>
          <w:sz w:val="20"/>
          <w:szCs w:val="20"/>
          <w:color w:val="auto"/>
        </w:rPr>
        <w:t>Multiemployer Plan to which the Borrower or any Commonly Controlled Entity has any liability is in “critical status” (within the meaning of Section 432 of the Code or Section 305 of ERISA) or Insolvent.</w:t>
      </w:r>
    </w:p>
    <w:p>
      <w:pPr>
        <w:spacing w:after="0" w:line="16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Environmental Matters; Hazardous Material</w:t>
      </w:r>
      <w:r>
        <w:rPr>
          <w:rFonts w:ascii="Times New Roman" w:cs="Times New Roman" w:eastAsia="Times New Roman" w:hAnsi="Times New Roman"/>
          <w:sz w:val="20"/>
          <w:szCs w:val="20"/>
          <w:color w:val="auto"/>
        </w:rPr>
        <w:t>. There has been no matter with respect to Environmental Laws or Materials of Environmental Concern which, in the aggregate, would reasonably be expected to have a Material Adverse Effect.</w:t>
      </w:r>
    </w:p>
    <w:p>
      <w:pPr>
        <w:spacing w:after="0" w:line="148"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 xml:space="preserve">3.15. </w:t>
      </w:r>
      <w:r>
        <w:rPr>
          <w:rFonts w:ascii="Times New Roman" w:cs="Times New Roman" w:eastAsia="Times New Roman" w:hAnsi="Times New Roman"/>
          <w:sz w:val="19"/>
          <w:szCs w:val="19"/>
          <w:u w:val="single" w:color="auto"/>
          <w:color w:val="auto"/>
        </w:rPr>
        <w:t>Investment Company Act; Other Regulations</w:t>
      </w:r>
      <w:r>
        <w:rPr>
          <w:rFonts w:ascii="Times New Roman" w:cs="Times New Roman" w:eastAsia="Times New Roman" w:hAnsi="Times New Roman"/>
          <w:sz w:val="19"/>
          <w:szCs w:val="19"/>
          <w:color w:val="auto"/>
        </w:rPr>
        <w:t>. Neither the Borrower nor any Restricted Subsidiary is required to register as an “investment company”, or a company “controlled” by an “investment company”, within the meaning of the Investment Company Act of</w:t>
      </w:r>
    </w:p>
    <w:p>
      <w:pPr>
        <w:spacing w:after="0" w:line="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color w:val="auto"/>
        </w:rPr>
        <w:t>1940, as amended. Neither the Borrower nor any Restricted Subsidiary is subject to regulation under any Requirement of Law that limits its ability to incur Indebtedness under this Agreement and the other Loan Documents.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u w:val="single" w:color="auto"/>
          <w:color w:val="auto"/>
        </w:rPr>
        <w:t>Labor Matters</w:t>
      </w:r>
      <w:r>
        <w:rPr>
          <w:rFonts w:ascii="Times New Roman" w:cs="Times New Roman" w:eastAsia="Times New Roman" w:hAnsi="Times New Roman"/>
          <w:sz w:val="19"/>
          <w:szCs w:val="19"/>
          <w:color w:val="auto"/>
        </w:rPr>
        <w:t>. Except as, in the aggregate, would not reasonably be expected to have a Material Adverse Effect: (a) there</w:t>
      </w:r>
    </w:p>
    <w:p>
      <w:pPr>
        <w:ind w:right="300"/>
        <w:spacing w:after="0" w:line="215" w:lineRule="auto"/>
        <w:rPr>
          <w:sz w:val="20"/>
          <w:szCs w:val="20"/>
          <w:color w:val="auto"/>
        </w:rPr>
      </w:pPr>
      <w:r>
        <w:rPr>
          <w:rFonts w:ascii="Times New Roman" w:cs="Times New Roman" w:eastAsia="Times New Roman" w:hAnsi="Times New Roman"/>
          <w:sz w:val="19"/>
          <w:szCs w:val="19"/>
          <w:color w:val="auto"/>
        </w:rPr>
        <w:t>are no strikes or other labor disputes against the Borrower or any Restricted Subsidiary pending or, to the knowledge of the Borrower, threatened; (b) hours worked by and payment made to employees of each of the Borrower and its Restricted Subsidiaries have not been in</w:t>
      </w:r>
    </w:p>
    <w:p>
      <w:pPr>
        <w:ind w:right="260"/>
        <w:spacing w:after="0" w:line="215" w:lineRule="auto"/>
        <w:rPr>
          <w:sz w:val="20"/>
          <w:szCs w:val="20"/>
          <w:color w:val="auto"/>
        </w:rPr>
      </w:pPr>
      <w:r>
        <w:rPr>
          <w:rFonts w:ascii="Times New Roman" w:cs="Times New Roman" w:eastAsia="Times New Roman" w:hAnsi="Times New Roman"/>
          <w:sz w:val="19"/>
          <w:szCs w:val="19"/>
          <w:color w:val="auto"/>
        </w:rPr>
        <w:t>violation of the Fair Labor Standards Act or any other applicable Requirement of Law dealing with such matters; and (c) all payments due from the Borrower and its Restricted Subsidiaries on account of employee health and welfare insurance have been paid or accrued as a</w:t>
      </w:r>
    </w:p>
    <w:p>
      <w:pPr>
        <w:spacing w:after="0"/>
        <w:rPr>
          <w:sz w:val="20"/>
          <w:szCs w:val="20"/>
          <w:color w:val="auto"/>
        </w:rPr>
      </w:pPr>
      <w:r>
        <w:rPr>
          <w:rFonts w:ascii="Times New Roman" w:cs="Times New Roman" w:eastAsia="Times New Roman" w:hAnsi="Times New Roman"/>
          <w:sz w:val="20"/>
          <w:szCs w:val="20"/>
          <w:color w:val="auto"/>
        </w:rPr>
        <w:t>liability on the books of the relevant entity.</w:t>
      </w:r>
    </w:p>
    <w:p>
      <w:pPr>
        <w:spacing w:after="0" w:line="167" w:lineRule="exact"/>
        <w:rPr>
          <w:sz w:val="20"/>
          <w:szCs w:val="20"/>
          <w:color w:val="auto"/>
        </w:rPr>
      </w:pPr>
    </w:p>
    <w:p>
      <w:pPr>
        <w:ind w:right="4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The Borrower has implemented and maintains in effect policies and procedures designed to ensure compliance by the Borrower, its Subsidiaries and their respective directors, officers, employees and agents with Anti-</w:t>
      </w:r>
    </w:p>
    <w:p>
      <w:pPr>
        <w:spacing w:after="0" w:line="222" w:lineRule="auto"/>
        <w:rPr>
          <w:sz w:val="20"/>
          <w:szCs w:val="20"/>
          <w:color w:val="auto"/>
        </w:rPr>
      </w:pPr>
      <w:r>
        <w:rPr>
          <w:rFonts w:ascii="Times New Roman" w:cs="Times New Roman" w:eastAsia="Times New Roman" w:hAnsi="Times New Roman"/>
          <w:sz w:val="19"/>
          <w:szCs w:val="19"/>
          <w:color w:val="auto"/>
        </w:rPr>
        <w:t>Corruption Laws and applicable Sanctions, and the Borrower, its Subsidiaries and their respective officers and directors and to the knowledge</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of the Borrower its employees and agents, are in compliance with Anti-Corruption Laws and applicable Sanctions in all material respects. None of (a) the Borrower, any Subsidiary or any of their respective directors, officers or employees, or (b) to the knowledge of the Borrower,</w:t>
      </w:r>
    </w:p>
    <w:p>
      <w:pPr>
        <w:spacing w:after="0" w:line="211" w:lineRule="auto"/>
        <w:rPr>
          <w:sz w:val="20"/>
          <w:szCs w:val="20"/>
          <w:color w:val="auto"/>
        </w:rPr>
      </w:pPr>
      <w:r>
        <w:rPr>
          <w:rFonts w:ascii="Times New Roman" w:cs="Times New Roman" w:eastAsia="Times New Roman" w:hAnsi="Times New Roman"/>
          <w:sz w:val="20"/>
          <w:szCs w:val="20"/>
          <w:color w:val="auto"/>
        </w:rPr>
        <w:t>any agent of the Borrower or any Subsidiary that will act in any capacity in connection with or benefit from the credit facility established</w:t>
      </w:r>
    </w:p>
    <w:p>
      <w:pPr>
        <w:ind w:right="260"/>
        <w:spacing w:after="0" w:line="221" w:lineRule="auto"/>
        <w:rPr>
          <w:sz w:val="20"/>
          <w:szCs w:val="20"/>
          <w:color w:val="auto"/>
        </w:rPr>
      </w:pPr>
      <w:r>
        <w:rPr>
          <w:rFonts w:ascii="Times New Roman" w:cs="Times New Roman" w:eastAsia="Times New Roman" w:hAnsi="Times New Roman"/>
          <w:sz w:val="20"/>
          <w:szCs w:val="20"/>
          <w:color w:val="auto"/>
        </w:rPr>
        <w:t>hereby, is a Sanctioned Person. No Borrowing, use of proceeds or other transaction contemplated by this Agreement will violate any Anti-Corruption Law or applicable Sanctions.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189"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3.19.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As of the Closing Date, to the best knowledge of the Borrower, the information included in the Beneficial Ownership Certification provided on or prior to the Closing Date to any Lender in connection with this Agreement is true and correct in all</w:t>
      </w:r>
    </w:p>
    <w:p>
      <w:pPr>
        <w:spacing w:after="0"/>
        <w:rPr>
          <w:sz w:val="20"/>
          <w:szCs w:val="20"/>
          <w:color w:val="auto"/>
        </w:rPr>
      </w:pPr>
      <w:r>
        <w:rPr>
          <w:rFonts w:ascii="Times New Roman" w:cs="Times New Roman" w:eastAsia="Times New Roman" w:hAnsi="Times New Roman"/>
          <w:sz w:val="20"/>
          <w:szCs w:val="20"/>
          <w:color w:val="auto"/>
        </w:rPr>
        <w:t>respects.</w:t>
      </w:r>
    </w:p>
    <w:p>
      <w:pPr>
        <w:spacing w:after="0" w:line="167"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xml:space="preserve"> .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010000"/>
        </w:rPr>
        <w:t>Section 4</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Conditions Precedent</w:t>
      </w:r>
    </w:p>
    <w:p>
      <w:pPr>
        <w:spacing w:after="0" w:line="153" w:lineRule="exact"/>
        <w:rPr>
          <w:sz w:val="20"/>
          <w:szCs w:val="20"/>
          <w:color w:val="auto"/>
        </w:rPr>
      </w:pPr>
    </w:p>
    <w:p>
      <w:pPr>
        <w:ind w:right="80"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Conditions to the Closing Date</w:t>
      </w:r>
      <w:r>
        <w:rPr>
          <w:rFonts w:ascii="Times New Roman" w:cs="Times New Roman" w:eastAsia="Times New Roman" w:hAnsi="Times New Roman"/>
          <w:sz w:val="20"/>
          <w:szCs w:val="20"/>
          <w:color w:val="auto"/>
        </w:rPr>
        <w:t xml:space="preserve">. The obligations of the Lenders to make Loans and of the Issuing Banks to issue Documentary Credits hereunder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20"/>
          </w:cols>
          <w:pgMar w:left="320" w:top="1400" w:right="359" w:bottom="1440" w:gutter="0" w:footer="0" w:header="0"/>
        </w:sectPr>
      </w:pPr>
    </w:p>
    <w:bookmarkStart w:id="623" w:name="page624"/>
    <w:bookmarkEnd w:id="623"/>
    <w:p>
      <w:pPr>
        <w:ind w:right="840" w:firstLine="656"/>
        <w:spacing w:after="0"/>
        <w:tabs>
          <w:tab w:leader="none" w:pos="1286"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counterparts hereof executed and delivered by the Borrower, the Administrative Agent and each other Lender and Issuing Bank and Schedules to this Agreement.</w:t>
      </w:r>
    </w:p>
    <w:p>
      <w:pPr>
        <w:spacing w:after="0" w:line="147" w:lineRule="exact"/>
        <w:rPr>
          <w:rFonts w:ascii="Times New Roman" w:cs="Times New Roman" w:eastAsia="Times New Roman" w:hAnsi="Times New Roman"/>
          <w:sz w:val="20"/>
          <w:szCs w:val="20"/>
          <w:color w:val="auto"/>
        </w:rPr>
      </w:pPr>
    </w:p>
    <w:p>
      <w:pPr>
        <w:jc w:val="both"/>
        <w:ind w:right="40" w:firstLine="656"/>
        <w:spacing w:after="0" w:line="230" w:lineRule="auto"/>
        <w:tabs>
          <w:tab w:leader="none" w:pos="1284"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Documents and Proceedings</w:t>
      </w:r>
      <w:r>
        <w:rPr>
          <w:rFonts w:ascii="Times New Roman" w:cs="Times New Roman" w:eastAsia="Times New Roman" w:hAnsi="Times New Roman"/>
          <w:sz w:val="20"/>
          <w:szCs w:val="20"/>
          <w:color w:val="auto"/>
        </w:rPr>
        <w:t xml:space="preserve">. The Administrative Agent shall have received (i) a certificate of Borrower, dated the Closing Date,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with appropriate insertions and attachments, including the certificate of incorporation of Borrower, and (ii) a long form good standing certificate for Borrower from its jurisdiction of organization.</w:t>
      </w:r>
    </w:p>
    <w:p>
      <w:pPr>
        <w:spacing w:after="0" w:line="148" w:lineRule="exact"/>
        <w:rPr>
          <w:rFonts w:ascii="Times New Roman" w:cs="Times New Roman" w:eastAsia="Times New Roman" w:hAnsi="Times New Roman"/>
          <w:sz w:val="20"/>
          <w:szCs w:val="20"/>
          <w:color w:val="auto"/>
        </w:rPr>
      </w:pPr>
    </w:p>
    <w:p>
      <w:pPr>
        <w:ind w:right="840" w:firstLine="656"/>
        <w:spacing w:after="0"/>
        <w:tabs>
          <w:tab w:leader="none" w:pos="1286"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August 29, 2024, there has been no development or event that has had or would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ind w:right="240" w:firstLine="656"/>
        <w:spacing w:after="0" w:line="226" w:lineRule="auto"/>
        <w:tabs>
          <w:tab w:leader="none" w:pos="1284"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The Administrative Agent shall have received a certificate, dated as of the Closing Date by a Responsible Officer of the Borrower, confirming compliance with the conditions set forth in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covering all representations and warranties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right="20" w:firstLine="656"/>
        <w:spacing w:after="0" w:line="226" w:lineRule="auto"/>
        <w:tabs>
          <w:tab w:leader="none" w:pos="1286"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 Expenses</w:t>
      </w:r>
      <w:r>
        <w:rPr>
          <w:rFonts w:ascii="Times New Roman" w:cs="Times New Roman" w:eastAsia="Times New Roman" w:hAnsi="Times New Roman"/>
          <w:sz w:val="20"/>
          <w:szCs w:val="20"/>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60" w:lineRule="exact"/>
        <w:rPr>
          <w:rFonts w:ascii="Times New Roman" w:cs="Times New Roman" w:eastAsia="Times New Roman" w:hAnsi="Times New Roman"/>
          <w:sz w:val="20"/>
          <w:szCs w:val="20"/>
          <w:color w:val="auto"/>
        </w:rPr>
      </w:pPr>
    </w:p>
    <w:p>
      <w:pPr>
        <w:ind w:right="180" w:firstLine="656"/>
        <w:spacing w:after="0" w:line="251" w:lineRule="auto"/>
        <w:tabs>
          <w:tab w:leader="none" w:pos="1284" w:val="left"/>
        </w:tabs>
        <w:numPr>
          <w:ilvl w:val="0"/>
          <w:numId w:val="8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Legal Opinion</w:t>
      </w:r>
      <w:r>
        <w:rPr>
          <w:rFonts w:ascii="Times New Roman" w:cs="Times New Roman" w:eastAsia="Times New Roman" w:hAnsi="Times New Roman"/>
          <w:sz w:val="19"/>
          <w:szCs w:val="19"/>
          <w:color w:val="auto"/>
        </w:rPr>
        <w:t>. The Administrative Agent shall have received a legal opinion from (i) Wilson Sonsini Goodrich &amp; Rosati P.C., counsel to the Borrower and (ii) the General Counsel of the Borrower, in form and substance satisfactory to the Administrative Agent.</w:t>
      </w:r>
    </w:p>
    <w:p>
      <w:pPr>
        <w:spacing w:after="0" w:line="15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Substantially simultaneously with the Closing Date, the Refinancing shall be consummated.</w:t>
      </w:r>
    </w:p>
    <w:p>
      <w:pPr>
        <w:spacing w:after="0" w:line="175" w:lineRule="exact"/>
        <w:rPr>
          <w:rFonts w:ascii="Times New Roman" w:cs="Times New Roman" w:eastAsia="Times New Roman" w:hAnsi="Times New Roman"/>
          <w:sz w:val="20"/>
          <w:szCs w:val="20"/>
          <w:color w:val="auto"/>
        </w:rPr>
      </w:pPr>
    </w:p>
    <w:p>
      <w:pPr>
        <w:ind w:right="20" w:firstLine="656"/>
        <w:spacing w:after="0" w:line="226" w:lineRule="auto"/>
        <w:tabs>
          <w:tab w:leader="none" w:pos="1294" w:val="left"/>
        </w:tabs>
        <w:numPr>
          <w:ilvl w:val="0"/>
          <w:numId w:val="8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 and Beneficial Ownership Regulation</w:t>
      </w:r>
      <w:r>
        <w:rPr>
          <w:rFonts w:ascii="Times New Roman" w:cs="Times New Roman" w:eastAsia="Times New Roman" w:hAnsi="Times New Roman"/>
          <w:sz w:val="19"/>
          <w:szCs w:val="19"/>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execution and delivery by such Lender of its signature page to this Agreement, the condition set forth in this clause (ii) shall be deemed to be satisfied).</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Each Credit Event</w:t>
      </w:r>
      <w:r>
        <w:rPr>
          <w:rFonts w:ascii="Times New Roman" w:cs="Times New Roman" w:eastAsia="Times New Roman" w:hAnsi="Times New Roman"/>
          <w:sz w:val="19"/>
          <w:szCs w:val="19"/>
          <w:color w:val="auto"/>
        </w:rPr>
        <w:t>. The obligation of each Lender to make a Revolving Loan on the occasion of any Borrowing, and of each</w:t>
      </w:r>
    </w:p>
    <w:p>
      <w:pPr>
        <w:spacing w:after="0"/>
        <w:rPr>
          <w:sz w:val="20"/>
          <w:szCs w:val="20"/>
          <w:color w:val="auto"/>
        </w:rPr>
      </w:pPr>
      <w:r>
        <w:rPr>
          <w:rFonts w:ascii="Times New Roman" w:cs="Times New Roman" w:eastAsia="Times New Roman" w:hAnsi="Times New Roman"/>
          <w:sz w:val="20"/>
          <w:szCs w:val="20"/>
          <w:color w:val="auto"/>
        </w:rPr>
        <w:t>Issuing Bank to issue, amend, renew or extend any Documentary Credit, is subject to the satisfaction of the following conditions:</w:t>
      </w:r>
    </w:p>
    <w:p>
      <w:pPr>
        <w:spacing w:after="0" w:line="167" w:lineRule="exact"/>
        <w:rPr>
          <w:sz w:val="20"/>
          <w:szCs w:val="20"/>
          <w:color w:val="auto"/>
        </w:rPr>
      </w:pPr>
    </w:p>
    <w:p>
      <w:pPr>
        <w:ind w:right="20" w:firstLine="656"/>
        <w:spacing w:after="0" w:line="216" w:lineRule="auto"/>
        <w:tabs>
          <w:tab w:leader="none" w:pos="1286" w:val="left"/>
        </w:tabs>
        <w:numPr>
          <w:ilvl w:val="0"/>
          <w:numId w:val="8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contained in this Agreement (except the representations and warranties contained in Sections 3.5 and 3.9, which are only made as of the Closing Date) shall be true and correct in all material respects on and as of the date of such Borrowing or the date of issuance, amendment, renewal or extension of such Documentary Credit, as applicable,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20"/>
          </w:cols>
          <w:pgMar w:left="320" w:top="1400" w:right="359" w:bottom="1440" w:gutter="0" w:footer="0" w:header="0"/>
        </w:sectPr>
      </w:pPr>
    </w:p>
    <w:bookmarkStart w:id="624" w:name="page625"/>
    <w:bookmarkEnd w:id="624"/>
    <w:p>
      <w:pPr>
        <w:ind w:right="40" w:firstLine="656"/>
        <w:spacing w:after="0"/>
        <w:tabs>
          <w:tab w:leader="none" w:pos="1284" w:val="left"/>
        </w:tabs>
        <w:numPr>
          <w:ilvl w:val="0"/>
          <w:numId w:val="8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Revolving Loan or the issuance, amendment, renewal or extension of such Documentary Credit, as applicable, no Default or Event of Default shall have occurred and be continuing.</w:t>
      </w:r>
    </w:p>
    <w:p>
      <w:pPr>
        <w:spacing w:after="0" w:line="147" w:lineRule="exact"/>
        <w:rPr>
          <w:rFonts w:ascii="Times New Roman" w:cs="Times New Roman" w:eastAsia="Times New Roman" w:hAnsi="Times New Roman"/>
          <w:sz w:val="20"/>
          <w:szCs w:val="20"/>
          <w:color w:val="auto"/>
        </w:rPr>
      </w:pPr>
    </w:p>
    <w:p>
      <w:pPr>
        <w:ind w:right="240" w:firstLine="656"/>
        <w:spacing w:after="0"/>
        <w:tabs>
          <w:tab w:leader="none" w:pos="1286" w:val="left"/>
        </w:tabs>
        <w:numPr>
          <w:ilvl w:val="0"/>
          <w:numId w:val="8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notice requesting such Borrowing or the issuance, amendment, renewal or extension of such Documentary Credit, as applicable to the extent required hereunder.</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Borrowing and each issuance, amendment, renewal or extension of a Documentary Credit shall be deemed to constitute a representation and warranty by the Borrower on the date thereof as to the matters specified in paragraphs (a) and (b) of this Section.</w:t>
      </w:r>
    </w:p>
    <w:p>
      <w:pPr>
        <w:spacing w:after="0" w:line="14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010000"/>
        </w:rPr>
        <w:t>Section 5</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Financial Statements, etc</w:t>
      </w:r>
      <w:r>
        <w:rPr>
          <w:rFonts w:ascii="Times New Roman" w:cs="Times New Roman" w:eastAsia="Times New Roman" w:hAnsi="Times New Roman"/>
          <w:sz w:val="19"/>
          <w:szCs w:val="19"/>
          <w:color w:val="auto"/>
        </w:rPr>
        <w:t>. The Borrower will furnish to the Administrative Agent (for distribution to the Lenders), within 15</w:t>
      </w:r>
    </w:p>
    <w:p>
      <w:pPr>
        <w:ind w:right="80"/>
        <w:spacing w:after="0" w:line="215" w:lineRule="auto"/>
        <w:rPr>
          <w:sz w:val="20"/>
          <w:szCs w:val="20"/>
          <w:color w:val="auto"/>
        </w:rPr>
      </w:pPr>
      <w:r>
        <w:rPr>
          <w:rFonts w:ascii="Times New Roman" w:cs="Times New Roman" w:eastAsia="Times New Roman" w:hAnsi="Times New Roman"/>
          <w:sz w:val="19"/>
          <w:szCs w:val="19"/>
          <w:color w:val="auto"/>
        </w:rPr>
        <w:t>days after the Borrower has filed the same with the SEC, copies of the quarterly and annual reports and the information, documents and reports (or copies of such portions of any of the foregoing as the SEC may prescribe) that the Borrower may be required to file with the SEC</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15(d)</w:t>
      </w:r>
      <w:r>
        <w:rPr>
          <w:rFonts w:ascii="Times New Roman" w:cs="Times New Roman" w:eastAsia="Times New Roman" w:hAnsi="Times New Roman"/>
          <w:sz w:val="20"/>
          <w:szCs w:val="20"/>
          <w:color w:val="auto"/>
        </w:rPr>
        <w:t xml:space="preserve"> of the Exchange Act (other than confidential filings, documents subject to confidential treatment and</w:t>
      </w:r>
    </w:p>
    <w:p>
      <w:pPr>
        <w:ind w:right="40"/>
        <w:spacing w:after="0" w:line="215" w:lineRule="auto"/>
        <w:rPr>
          <w:sz w:val="20"/>
          <w:szCs w:val="20"/>
          <w:color w:val="auto"/>
        </w:rPr>
      </w:pPr>
      <w:r>
        <w:rPr>
          <w:rFonts w:ascii="Times New Roman" w:cs="Times New Roman" w:eastAsia="Times New Roman" w:hAnsi="Times New Roman"/>
          <w:sz w:val="19"/>
          <w:szCs w:val="19"/>
          <w:color w:val="auto"/>
        </w:rPr>
        <w:t xml:space="preserve">correspondence with the SEC);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the delivery of materials to the Administrative Agent by electronic means or filing of documents pursuant to the SEC’s “EDGAR” system (or any successor electronic filing system) shall be deemed to be “furnished” with the</w:t>
      </w:r>
    </w:p>
    <w:p>
      <w:pPr>
        <w:spacing w:after="0"/>
        <w:rPr>
          <w:sz w:val="20"/>
          <w:szCs w:val="20"/>
          <w:color w:val="auto"/>
        </w:rPr>
      </w:pPr>
      <w:r>
        <w:rPr>
          <w:rFonts w:ascii="Times New Roman" w:cs="Times New Roman" w:eastAsia="Times New Roman" w:hAnsi="Times New Roman"/>
          <w:sz w:val="20"/>
          <w:szCs w:val="20"/>
          <w:color w:val="auto"/>
        </w:rPr>
        <w:t xml:space="preserve">Administrative Agent as of the time such documents are filed via the “EDGAR” system for purposes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Compliance Certificate; Reporting</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40" w:firstLine="656"/>
        <w:spacing w:after="0" w:line="220" w:lineRule="auto"/>
        <w:tabs>
          <w:tab w:leader="none" w:pos="1286" w:val="left"/>
        </w:tabs>
        <w:numPr>
          <w:ilvl w:val="0"/>
          <w:numId w:val="8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(and in any event within 5 Business Days) following delivery of the quarterly and annual financial statements provided for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Form 10-Q or 10-K, as applicable, a certificate of a Financial Officer of the Borrower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right="20" w:firstLine="656"/>
        <w:spacing w:after="0" w:line="222" w:lineRule="auto"/>
        <w:tabs>
          <w:tab w:leader="none" w:pos="1284" w:val="left"/>
        </w:tabs>
        <w:numPr>
          <w:ilvl w:val="0"/>
          <w:numId w:val="8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61" w:lineRule="exact"/>
        <w:rPr>
          <w:rFonts w:ascii="Times New Roman" w:cs="Times New Roman" w:eastAsia="Times New Roman" w:hAnsi="Times New Roman"/>
          <w:sz w:val="20"/>
          <w:szCs w:val="20"/>
          <w:color w:val="auto"/>
        </w:rPr>
      </w:pPr>
    </w:p>
    <w:p>
      <w:pPr>
        <w:ind w:right="100" w:firstLine="656"/>
        <w:spacing w:after="0" w:line="220" w:lineRule="auto"/>
        <w:tabs>
          <w:tab w:leader="none" w:pos="1286" w:val="left"/>
        </w:tabs>
        <w:numPr>
          <w:ilvl w:val="0"/>
          <w:numId w:val="8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47" w:lineRule="exact"/>
        <w:rPr>
          <w:sz w:val="20"/>
          <w:szCs w:val="20"/>
          <w:color w:val="auto"/>
        </w:rPr>
      </w:pPr>
    </w:p>
    <w:p>
      <w:pPr>
        <w:jc w:val="both"/>
        <w:ind w:right="1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Maintenance of Existence</w:t>
      </w:r>
      <w:r>
        <w:rPr>
          <w:rFonts w:ascii="Times New Roman" w:cs="Times New Roman" w:eastAsia="Times New Roman" w:hAnsi="Times New Roman"/>
          <w:sz w:val="20"/>
          <w:szCs w:val="20"/>
          <w:color w:val="auto"/>
        </w:rPr>
        <w:t>. The Borrower and its Restricted Subsidiaries shall (i) preserve, renew and keep in full force and effect its organizational existence and (ii) take all reasonable action to maintain all rights, privileges and franchises reasonably necessary in the normal conduct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20"/>
          </w:cols>
          <w:pgMar w:left="320" w:top="1400" w:right="35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20"/>
          <w:szCs w:val="20"/>
          <w:color w:val="auto"/>
        </w:rPr>
        <w:t xml:space="preserve">except, in each case, (x) as otherwise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or (y) to the extent that failure to do so would not, in the aggregate, reasonably be expected to have a Material Adverse Effect.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40" w:firstLine="656"/>
        <w:spacing w:after="0" w:line="253" w:lineRule="auto"/>
        <w:tabs>
          <w:tab w:leader="none" w:pos="1286" w:val="left"/>
        </w:tabs>
        <w:numPr>
          <w:ilvl w:val="0"/>
          <w:numId w:val="8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shall be deemed satisfied if the Borrower obtains insurance policies that are customary and appropriate for the applicable jurisdiction.</w:t>
      </w:r>
    </w:p>
    <w:p>
      <w:pPr>
        <w:spacing w:after="0" w:line="179"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u w:val="single" w:color="auto"/>
          <w:color w:val="auto"/>
        </w:rPr>
        <w:t>Use of Proceeds and Documentary Credits</w:t>
      </w:r>
      <w:r>
        <w:rPr>
          <w:rFonts w:ascii="Times New Roman" w:cs="Times New Roman" w:eastAsia="Times New Roman" w:hAnsi="Times New Roman"/>
          <w:sz w:val="19"/>
          <w:szCs w:val="19"/>
          <w:color w:val="auto"/>
        </w:rPr>
        <w:t>. The proceeds of the Loans and the Documentary Credits will be used only for general corporate purposes. No part of the proceeds of any Loan or any Documentary Credit will be used, whether directly or indirectly, for</w:t>
      </w:r>
    </w:p>
    <w:p>
      <w:pPr>
        <w:spacing w:after="0"/>
        <w:rPr>
          <w:sz w:val="20"/>
          <w:szCs w:val="20"/>
          <w:color w:val="auto"/>
        </w:rPr>
      </w:pPr>
      <w:r>
        <w:rPr>
          <w:rFonts w:ascii="Times New Roman" w:cs="Times New Roman" w:eastAsia="Times New Roman" w:hAnsi="Times New Roman"/>
          <w:sz w:val="20"/>
          <w:szCs w:val="20"/>
          <w:color w:val="auto"/>
        </w:rPr>
        <w:t>any purpose that entails a violation of any of the regulations of the Federal Reserve Board, including Regulations T, U and X.</w:t>
      </w:r>
    </w:p>
    <w:p>
      <w:pPr>
        <w:spacing w:after="0" w:line="167"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The Borrower will maintain in effect and enforce policies and procedures designed to ensure compliance by the Borrower, its Subsidiaries and their respective directors, officers, employees and agents with Anti-Corruption Laws and</w:t>
      </w:r>
    </w:p>
    <w:p>
      <w:pPr>
        <w:spacing w:after="0"/>
        <w:rPr>
          <w:sz w:val="20"/>
          <w:szCs w:val="20"/>
          <w:color w:val="auto"/>
        </w:rPr>
      </w:pPr>
      <w:r>
        <w:rPr>
          <w:rFonts w:ascii="Times New Roman" w:cs="Times New Roman" w:eastAsia="Times New Roman" w:hAnsi="Times New Roman"/>
          <w:sz w:val="20"/>
          <w:szCs w:val="20"/>
          <w:color w:val="auto"/>
        </w:rPr>
        <w:t>applicable Sanctions.</w:t>
      </w:r>
    </w:p>
    <w:p>
      <w:pPr>
        <w:spacing w:after="0" w:line="153" w:lineRule="exact"/>
        <w:rPr>
          <w:sz w:val="20"/>
          <w:szCs w:val="20"/>
          <w:color w:val="auto"/>
        </w:rPr>
      </w:pPr>
    </w:p>
    <w:p>
      <w:pPr>
        <w:jc w:val="both"/>
        <w:ind w:right="80" w:firstLine="648"/>
        <w:spacing w:after="0" w:line="230"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xml:space="preserve">. The Borrower may at any time by written notice to the Administrative Agent (i) designate any Restricted Subsidiary as an Unrestricted Subsidiary or (ii) designate any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Default or Event of Default shall have occurred and be continuing or would result therefrom.</w:t>
      </w:r>
    </w:p>
    <w:p>
      <w:pPr>
        <w:spacing w:after="0" w:line="1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010000"/>
        </w:rPr>
        <w:t>Section 6</w:t>
      </w: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49" w:lineRule="exact"/>
        <w:rPr>
          <w:sz w:val="20"/>
          <w:szCs w:val="20"/>
          <w:color w:val="auto"/>
        </w:rPr>
      </w:pPr>
    </w:p>
    <w:p>
      <w:pPr>
        <w:jc w:val="center"/>
        <w:ind w:right="40"/>
        <w:spacing w:after="0"/>
        <w:tabs>
          <w:tab w:leader="none" w:pos="3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Limitation on Indebtedness</w:t>
      </w:r>
      <w:r>
        <w:rPr>
          <w:rFonts w:ascii="Times New Roman" w:cs="Times New Roman" w:eastAsia="Times New Roman" w:hAnsi="Times New Roman"/>
          <w:sz w:val="19"/>
          <w:szCs w:val="19"/>
          <w:color w:val="auto"/>
        </w:rPr>
        <w:t>. The Borrower will not permit any of its Restricted Subsidiaries to create, assume, incur,</w:t>
      </w:r>
    </w:p>
    <w:p>
      <w:pPr>
        <w:ind w:right="40"/>
        <w:spacing w:after="0" w:line="228" w:lineRule="auto"/>
        <w:rPr>
          <w:sz w:val="20"/>
          <w:szCs w:val="20"/>
          <w:color w:val="auto"/>
        </w:rPr>
      </w:pPr>
      <w:r>
        <w:rPr>
          <w:rFonts w:ascii="Times New Roman" w:cs="Times New Roman" w:eastAsia="Times New Roman" w:hAnsi="Times New Roman"/>
          <w:sz w:val="20"/>
          <w:szCs w:val="20"/>
          <w:color w:val="auto"/>
        </w:rPr>
        <w:t>Guarantee or otherwise become liable for any Indebtedness, without causing such Restricted Subsidiary (excluding any Subsidiary that is not a Material Subsidiary) to become a Guarantor, other than:</w:t>
      </w:r>
    </w:p>
    <w:p>
      <w:pPr>
        <w:spacing w:after="0" w:line="162" w:lineRule="exact"/>
        <w:rPr>
          <w:sz w:val="20"/>
          <w:szCs w:val="20"/>
          <w:color w:val="auto"/>
        </w:rPr>
      </w:pPr>
    </w:p>
    <w:p>
      <w:pPr>
        <w:ind w:left="1340" w:hanging="684"/>
        <w:spacing w:after="0"/>
        <w:tabs>
          <w:tab w:leader="none" w:pos="1340" w:val="left"/>
        </w:tabs>
        <w:numPr>
          <w:ilvl w:val="0"/>
          <w:numId w:val="8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or under the Obligations or Guarantees thereof;</w:t>
      </w:r>
    </w:p>
    <w:p>
      <w:pPr>
        <w:spacing w:after="0" w:line="175" w:lineRule="exact"/>
        <w:rPr>
          <w:rFonts w:ascii="Times New Roman" w:cs="Times New Roman" w:eastAsia="Times New Roman" w:hAnsi="Times New Roman"/>
          <w:sz w:val="20"/>
          <w:szCs w:val="20"/>
          <w:color w:val="auto"/>
        </w:rPr>
      </w:pPr>
    </w:p>
    <w:p>
      <w:pPr>
        <w:ind w:right="80" w:firstLine="656"/>
        <w:spacing w:after="0" w:line="215" w:lineRule="auto"/>
        <w:tabs>
          <w:tab w:leader="none" w:pos="1284" w:val="left"/>
        </w:tabs>
        <w:numPr>
          <w:ilvl w:val="0"/>
          <w:numId w:val="8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20"/>
          </w:cols>
          <w:pgMar w:left="320" w:top="1400" w:right="359" w:bottom="1440" w:gutter="0" w:footer="0" w:header="0"/>
        </w:sectPr>
      </w:pPr>
    </w:p>
    <w:bookmarkStart w:id="626" w:name="page627"/>
    <w:bookmarkEnd w:id="626"/>
    <w:p>
      <w:pPr>
        <w:ind w:left="-8" w:firstLine="656"/>
        <w:spacing w:after="0" w:line="211" w:lineRule="auto"/>
        <w:tabs>
          <w:tab w:leader="none" w:pos="1276" w:val="left"/>
        </w:tabs>
        <w:numPr>
          <w:ilvl w:val="1"/>
          <w:numId w:val="8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Indebtedness is created, incurred, issued, assumed or Guaranteed (or created, incurred, issued, assumed or Guaranteed pursuant to firm commitment financing arrangements obtained within such period) by the time of or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 without duplication, does not exceed 100% of the fair value of the property or equipment acquired or developed, operated, constructed, altered, repaired or improved at the time such Indebtedness is incurred;</w:t>
      </w:r>
    </w:p>
    <w:p>
      <w:pPr>
        <w:spacing w:after="0" w:line="165" w:lineRule="exact"/>
        <w:rPr>
          <w:rFonts w:ascii="Times New Roman" w:cs="Times New Roman" w:eastAsia="Times New Roman" w:hAnsi="Times New Roman"/>
          <w:sz w:val="20"/>
          <w:szCs w:val="20"/>
          <w:color w:val="auto"/>
        </w:rPr>
      </w:pPr>
    </w:p>
    <w:p>
      <w:pPr>
        <w:ind w:left="-8" w:right="80" w:firstLine="656"/>
        <w:spacing w:after="0"/>
        <w:tabs>
          <w:tab w:leader="none" w:pos="1278" w:val="left"/>
        </w:tabs>
        <w:numPr>
          <w:ilvl w:val="1"/>
          <w:numId w:val="8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permitted to be secured by Liens permitted by clauses (5) or (6) of the definition of Permitted Lien (whether or not such Indebtedness is in fact secured by such Liens) and any Guarantees thereof;</w:t>
      </w:r>
    </w:p>
    <w:p>
      <w:pPr>
        <w:spacing w:after="0" w:line="147" w:lineRule="exact"/>
        <w:rPr>
          <w:rFonts w:ascii="Times New Roman" w:cs="Times New Roman" w:eastAsia="Times New Roman" w:hAnsi="Times New Roman"/>
          <w:sz w:val="20"/>
          <w:szCs w:val="20"/>
          <w:color w:val="auto"/>
        </w:rPr>
      </w:pPr>
    </w:p>
    <w:p>
      <w:pPr>
        <w:ind w:left="-8" w:right="40" w:firstLine="656"/>
        <w:spacing w:after="0" w:line="211" w:lineRule="auto"/>
        <w:tabs>
          <w:tab w:leader="none" w:pos="1283" w:val="left"/>
        </w:tabs>
        <w:numPr>
          <w:ilvl w:val="1"/>
          <w:numId w:val="8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extension, renewal, substitution, replacement, refinancing or refunding of Indebtedness that was permitted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at the time such Indebtedness was created or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165" w:lineRule="exact"/>
        <w:rPr>
          <w:rFonts w:ascii="Times New Roman" w:cs="Times New Roman" w:eastAsia="Times New Roman" w:hAnsi="Times New Roman"/>
          <w:sz w:val="20"/>
          <w:szCs w:val="20"/>
          <w:color w:val="auto"/>
        </w:rPr>
      </w:pPr>
    </w:p>
    <w:p>
      <w:pPr>
        <w:ind w:left="-8" w:right="340" w:firstLine="656"/>
        <w:spacing w:after="0" w:line="222" w:lineRule="auto"/>
        <w:tabs>
          <w:tab w:leader="none" w:pos="1276" w:val="left"/>
        </w:tabs>
        <w:numPr>
          <w:ilvl w:val="1"/>
          <w:numId w:val="8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as of the end of the Measurement Period immediately preceding the date of such incurrence minus (ii) the aggregate principal amount of Indebtedness of the Borrower that is secured by a Lien under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8" w:right="40" w:firstLine="8"/>
        <w:spacing w:after="0" w:line="264" w:lineRule="auto"/>
        <w:tabs>
          <w:tab w:leader="none" w:pos="628" w:val="left"/>
        </w:tabs>
        <w:numPr>
          <w:ilvl w:val="0"/>
          <w:numId w:val="8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in the event that any Indebtedness meets the criteria of more exceptions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the Borrower, in its sole discretion, will classify, and may reclassify, such Indebtedness and such Indebtedness may be divided and classified and reclassified into more than one of the exceptions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described above. In addition, for purposes of calculating compliance with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 amount of such Indebtedness shall only be included once for purposes of such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32"/>
          </w:cols>
          <w:pgMar w:left="328" w:top="1400" w:right="339" w:bottom="1440" w:gutter="0" w:footer="0" w:header="0"/>
        </w:sectPr>
      </w:pPr>
    </w:p>
    <w:bookmarkStart w:id="627" w:name="page628"/>
    <w:bookmarkEnd w:id="627"/>
    <w:p>
      <w:pPr>
        <w:ind w:firstLine="648"/>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Limitation on Liens</w:t>
      </w:r>
      <w:r>
        <w:rPr>
          <w:rFonts w:ascii="Times New Roman" w:cs="Times New Roman" w:eastAsia="Times New Roman" w:hAnsi="Times New Roman"/>
          <w:sz w:val="20"/>
          <w:szCs w:val="20"/>
          <w:color w:val="auto"/>
        </w:rPr>
        <w:t>. The Borrower will not, and will not permit any of its Restricted Subsidiaries, to create or incur any Lien on Property, whether now owned or hereafter acquired, in order to secure any Indebtedness, other than:</w:t>
      </w:r>
    </w:p>
    <w:p>
      <w:pPr>
        <w:spacing w:after="0" w:line="148" w:lineRule="exact"/>
        <w:rPr>
          <w:sz w:val="20"/>
          <w:szCs w:val="20"/>
          <w:color w:val="auto"/>
        </w:rPr>
      </w:pPr>
    </w:p>
    <w:p>
      <w:pPr>
        <w:ind w:left="1300" w:hanging="644"/>
        <w:spacing w:after="0"/>
        <w:tabs>
          <w:tab w:leader="none" w:pos="1300" w:val="left"/>
        </w:tabs>
        <w:numPr>
          <w:ilvl w:val="0"/>
          <w:numId w:val="8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 and</w:t>
      </w:r>
    </w:p>
    <w:p>
      <w:pPr>
        <w:spacing w:after="0" w:line="188" w:lineRule="exact"/>
        <w:rPr>
          <w:rFonts w:ascii="Times New Roman" w:cs="Times New Roman" w:eastAsia="Times New Roman" w:hAnsi="Times New Roman"/>
          <w:sz w:val="20"/>
          <w:szCs w:val="20"/>
          <w:color w:val="auto"/>
        </w:rPr>
      </w:pPr>
    </w:p>
    <w:p>
      <w:pPr>
        <w:ind w:right="20" w:firstLine="656"/>
        <w:spacing w:after="0" w:line="220" w:lineRule="auto"/>
        <w:tabs>
          <w:tab w:leader="none" w:pos="1333" w:val="left"/>
        </w:tabs>
        <w:numPr>
          <w:ilvl w:val="0"/>
          <w:numId w:val="8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as of the end of the Measurement Period immediately preceding the date of such incurrence; provided that, for the avoidance of doubt, any Liens will be excluded from this clause (b) to the extent the Lien relating thereto is included in clause (a)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right="60" w:firstLine="1304"/>
        <w:spacing w:after="0" w:line="274" w:lineRule="auto"/>
        <w:tabs>
          <w:tab w:leader="none" w:pos="1934" w:val="left"/>
        </w:tabs>
        <w:numPr>
          <w:ilvl w:val="1"/>
          <w:numId w:val="8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the Borrower, in its sole discretion, will classify, and may reclassify, such Lien and such Lien may be divided and classified and reclassified into more than one of the exceptions in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26" w:lineRule="auto"/>
        <w:tabs>
          <w:tab w:leader="none" w:pos="1286" w:val="left"/>
        </w:tabs>
        <w:numPr>
          <w:ilvl w:val="0"/>
          <w:numId w:val="8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60" w:lineRule="exact"/>
        <w:rPr>
          <w:rFonts w:ascii="Times New Roman" w:cs="Times New Roman" w:eastAsia="Times New Roman" w:hAnsi="Times New Roman"/>
          <w:sz w:val="20"/>
          <w:szCs w:val="20"/>
          <w:color w:val="auto"/>
        </w:rPr>
      </w:pPr>
    </w:p>
    <w:p>
      <w:pPr>
        <w:jc w:val="both"/>
        <w:ind w:left="660" w:right="40" w:firstLine="644"/>
        <w:spacing w:after="0" w:line="216" w:lineRule="auto"/>
        <w:tabs>
          <w:tab w:leader="none" w:pos="1944" w:val="left"/>
        </w:tabs>
        <w:numPr>
          <w:ilvl w:val="1"/>
          <w:numId w:val="8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Times New Roman" w:cs="Times New Roman" w:eastAsia="Times New Roman" w:hAnsi="Times New Roman"/>
          <w:sz w:val="20"/>
          <w:szCs w:val="20"/>
          <w:u w:val="single" w:color="auto"/>
          <w:color w:val="auto"/>
        </w:rPr>
        <w:t>Successor Company</w:t>
      </w:r>
      <w:r>
        <w:rPr>
          <w:rFonts w:ascii="Times New Roman" w:cs="Times New Roman" w:eastAsia="Times New Roman" w:hAnsi="Times New Roman"/>
          <w:sz w:val="20"/>
          <w:szCs w:val="20"/>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62" w:lineRule="exact"/>
        <w:rPr>
          <w:rFonts w:ascii="Times New Roman" w:cs="Times New Roman" w:eastAsia="Times New Roman" w:hAnsi="Times New Roman"/>
          <w:sz w:val="20"/>
          <w:szCs w:val="20"/>
          <w:color w:val="010000"/>
        </w:rPr>
      </w:pPr>
    </w:p>
    <w:p>
      <w:pPr>
        <w:ind w:left="660" w:right="500" w:firstLine="644"/>
        <w:spacing w:after="0" w:line="233" w:lineRule="auto"/>
        <w:tabs>
          <w:tab w:leader="none" w:pos="1944" w:val="left"/>
        </w:tabs>
        <w:numPr>
          <w:ilvl w:val="1"/>
          <w:numId w:val="8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5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8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immediately after giving effect to the transaction, no Event of Default and no Default shall have occurred and be</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continuing.</w:t>
      </w:r>
    </w:p>
    <w:p>
      <w:pPr>
        <w:spacing w:after="0" w:line="167" w:lineRule="exact"/>
        <w:rPr>
          <w:sz w:val="20"/>
          <w:szCs w:val="20"/>
          <w:color w:val="auto"/>
        </w:rPr>
      </w:pPr>
    </w:p>
    <w:p>
      <w:pPr>
        <w:ind w:left="660" w:right="240" w:hanging="4"/>
        <w:spacing w:after="0" w:line="283" w:lineRule="auto"/>
        <w:tabs>
          <w:tab w:leader="none" w:pos="1296" w:val="left"/>
        </w:tabs>
        <w:numPr>
          <w:ilvl w:val="0"/>
          <w:numId w:val="8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46" w:lineRule="exact"/>
        <w:rPr>
          <w:sz w:val="20"/>
          <w:szCs w:val="20"/>
          <w:color w:val="auto"/>
        </w:rPr>
      </w:pPr>
    </w:p>
    <w:p>
      <w:pPr>
        <w:ind w:right="100" w:firstLine="656"/>
        <w:spacing w:after="0" w:line="216" w:lineRule="auto"/>
        <w:tabs>
          <w:tab w:leader="none" w:pos="1284" w:val="left"/>
        </w:tabs>
        <w:numPr>
          <w:ilvl w:val="0"/>
          <w:numId w:val="8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00"/>
          </w:cols>
          <w:pgMar w:left="320" w:top="1400" w:right="379" w:bottom="1440" w:gutter="0" w:footer="0" w:header="0"/>
        </w:sectPr>
      </w:pPr>
    </w:p>
    <w:bookmarkStart w:id="628" w:name="page629"/>
    <w:bookmarkEnd w:id="62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Limitation on Sale and Leaseback Transactions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33" w:lineRule="auto"/>
        <w:tabs>
          <w:tab w:leader="none" w:pos="1286" w:val="left"/>
        </w:tabs>
        <w:numPr>
          <w:ilvl w:val="0"/>
          <w:numId w:val="8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of its Restricted Subsidiaries, to enter into any sale and lease-back transaction with respect to any Property, whether now owned or hereafter acquired, unless: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was entered into prior to the Closing Date;</w:t>
      </w:r>
    </w:p>
    <w:p>
      <w:pPr>
        <w:spacing w:after="0" w:line="188" w:lineRule="exact"/>
        <w:rPr>
          <w:rFonts w:ascii="Times New Roman" w:cs="Times New Roman" w:eastAsia="Times New Roman" w:hAnsi="Times New Roman"/>
          <w:sz w:val="20"/>
          <w:szCs w:val="20"/>
          <w:color w:val="010000"/>
        </w:rPr>
      </w:pPr>
    </w:p>
    <w:p>
      <w:pPr>
        <w:ind w:left="660" w:right="60" w:firstLine="644"/>
        <w:spacing w:after="0" w:line="233" w:lineRule="auto"/>
        <w:tabs>
          <w:tab w:leader="none" w:pos="1944"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was for the sale and leasing back to the Borrower or a Restricted Subsidiary by the Borrower or any Restricted Subsidiary of any Property;</w:t>
      </w:r>
    </w:p>
    <w:p>
      <w:pPr>
        <w:spacing w:after="0" w:line="160" w:lineRule="exact"/>
        <w:rPr>
          <w:rFonts w:ascii="Times New Roman" w:cs="Times New Roman" w:eastAsia="Times New Roman" w:hAnsi="Times New Roman"/>
          <w:sz w:val="20"/>
          <w:szCs w:val="20"/>
          <w:color w:val="010000"/>
        </w:rPr>
      </w:pPr>
    </w:p>
    <w:p>
      <w:pPr>
        <w:ind w:left="660" w:right="320" w:firstLine="644"/>
        <w:spacing w:after="0" w:line="220" w:lineRule="auto"/>
        <w:tabs>
          <w:tab w:leader="none" w:pos="1944"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47" w:lineRule="exact"/>
        <w:rPr>
          <w:rFonts w:ascii="Times New Roman" w:cs="Times New Roman" w:eastAsia="Times New Roman" w:hAnsi="Times New Roman"/>
          <w:sz w:val="20"/>
          <w:szCs w:val="20"/>
          <w:color w:val="010000"/>
        </w:rPr>
      </w:pPr>
    </w:p>
    <w:p>
      <w:pPr>
        <w:ind w:left="660" w:right="200" w:firstLine="644"/>
        <w:spacing w:after="0"/>
        <w:tabs>
          <w:tab w:leader="none" w:pos="1944"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transaction involves a lease for not more than three years (or which may be terminated by the Borrower or the applicable Restricted Subsidiary within a period of not more than three years);</w:t>
      </w:r>
    </w:p>
    <w:p>
      <w:pPr>
        <w:spacing w:after="0" w:line="161" w:lineRule="exact"/>
        <w:rPr>
          <w:rFonts w:ascii="Times New Roman" w:cs="Times New Roman" w:eastAsia="Times New Roman" w:hAnsi="Times New Roman"/>
          <w:sz w:val="20"/>
          <w:szCs w:val="20"/>
          <w:color w:val="010000"/>
        </w:rPr>
      </w:pPr>
    </w:p>
    <w:p>
      <w:pPr>
        <w:ind w:left="660" w:right="280" w:firstLine="644"/>
        <w:spacing w:after="0" w:line="226" w:lineRule="auto"/>
        <w:tabs>
          <w:tab w:leader="none" w:pos="1944"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010000"/>
        </w:rPr>
      </w:pPr>
    </w:p>
    <w:p>
      <w:pPr>
        <w:jc w:val="both"/>
        <w:ind w:left="660" w:right="40" w:firstLine="644"/>
        <w:spacing w:after="0" w:line="226" w:lineRule="auto"/>
        <w:tabs>
          <w:tab w:leader="none" w:pos="1944" w:val="left"/>
        </w:tabs>
        <w:numPr>
          <w:ilvl w:val="1"/>
          <w:numId w:val="8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or the applicable Restricted Subsidiary applies an amount equal to the net proceeds from the sale of the Property to the purchase of other Property or to the retirement, repurchase or other repayment or prepayment of the Loans within 365 calendar days before or after the effective date of any such sale and lease-back transaction; and</w:t>
      </w:r>
    </w:p>
    <w:p>
      <w:pPr>
        <w:spacing w:after="0" w:line="146" w:lineRule="exact"/>
        <w:rPr>
          <w:rFonts w:ascii="Times New Roman" w:cs="Times New Roman" w:eastAsia="Times New Roman" w:hAnsi="Times New Roman"/>
          <w:sz w:val="20"/>
          <w:szCs w:val="20"/>
          <w:color w:val="010000"/>
        </w:rPr>
      </w:pPr>
    </w:p>
    <w:p>
      <w:pPr>
        <w:ind w:right="20" w:firstLine="656"/>
        <w:spacing w:after="0" w:line="222" w:lineRule="auto"/>
        <w:tabs>
          <w:tab w:leader="none" w:pos="1284" w:val="left"/>
        </w:tabs>
        <w:numPr>
          <w:ilvl w:val="0"/>
          <w:numId w:val="8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other provisions of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ind w:right="20"/>
        <w:spacing w:after="0"/>
        <w:tabs>
          <w:tab w:leader="none" w:pos="3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The Borrower will not request any Borrowing or Documentary Credit, and the</w:t>
      </w:r>
    </w:p>
    <w:p>
      <w:pPr>
        <w:ind w:right="320"/>
        <w:spacing w:after="0" w:line="215" w:lineRule="auto"/>
        <w:rPr>
          <w:sz w:val="20"/>
          <w:szCs w:val="20"/>
          <w:color w:val="auto"/>
        </w:rPr>
      </w:pPr>
      <w:r>
        <w:rPr>
          <w:rFonts w:ascii="Times New Roman" w:cs="Times New Roman" w:eastAsia="Times New Roman" w:hAnsi="Times New Roman"/>
          <w:sz w:val="19"/>
          <w:szCs w:val="19"/>
          <w:color w:val="auto"/>
        </w:rPr>
        <w:t>Borrower shall not use, and shall procure that its Subsidiaries and its or their respective directors, officers, employees and agents shall not use, the proceeds of any Borrowing or Documentary Credit (a) in furtherance of an offer, payment, promise to pay, or authorization of the</w:t>
      </w:r>
    </w:p>
    <w:p>
      <w:pPr>
        <w:spacing w:after="0" w:line="211" w:lineRule="auto"/>
        <w:rPr>
          <w:sz w:val="20"/>
          <w:szCs w:val="20"/>
          <w:color w:val="auto"/>
        </w:rPr>
      </w:pPr>
      <w:r>
        <w:rPr>
          <w:rFonts w:ascii="Times New Roman" w:cs="Times New Roman" w:eastAsia="Times New Roman" w:hAnsi="Times New Roman"/>
          <w:sz w:val="20"/>
          <w:szCs w:val="20"/>
          <w:color w:val="auto"/>
        </w:rPr>
        <w:t>payment or giving of money, or anything else of value, to any Person in violation of any Anti-Corruption Laws, (b) for the purpose of</w:t>
      </w:r>
    </w:p>
    <w:p>
      <w:pPr>
        <w:ind w:right="80"/>
        <w:spacing w:after="0" w:line="215" w:lineRule="auto"/>
        <w:rPr>
          <w:sz w:val="20"/>
          <w:szCs w:val="20"/>
          <w:color w:val="auto"/>
        </w:rPr>
      </w:pPr>
      <w:r>
        <w:rPr>
          <w:rFonts w:ascii="Times New Roman" w:cs="Times New Roman" w:eastAsia="Times New Roman" w:hAnsi="Times New Roman"/>
          <w:sz w:val="19"/>
          <w:szCs w:val="19"/>
          <w:color w:val="auto"/>
        </w:rPr>
        <w:t>funding, financing or facilitating any activities, business or transaction of or with any Sanctioned Person, or in any Sanctioned Country (and, in any event, will not engage in any such activity, business or transaction) or (c) in any manner that would result in the violation of any Anti-</w:t>
      </w:r>
    </w:p>
    <w:p>
      <w:pPr>
        <w:spacing w:after="0" w:line="211" w:lineRule="auto"/>
        <w:rPr>
          <w:sz w:val="20"/>
          <w:szCs w:val="20"/>
          <w:color w:val="auto"/>
        </w:rPr>
      </w:pPr>
      <w:r>
        <w:rPr>
          <w:rFonts w:ascii="Times New Roman" w:cs="Times New Roman" w:eastAsia="Times New Roman" w:hAnsi="Times New Roman"/>
          <w:sz w:val="20"/>
          <w:szCs w:val="20"/>
          <w:color w:val="auto"/>
        </w:rPr>
        <w:t>Corruption Law or Sanctions applicable to any party hereto. The Borrower shall not repay the Loans with funds derived from any unlawful</w:t>
      </w:r>
    </w:p>
    <w:p>
      <w:pPr>
        <w:ind w:right="460"/>
        <w:spacing w:after="0" w:line="215" w:lineRule="auto"/>
        <w:rPr>
          <w:sz w:val="20"/>
          <w:szCs w:val="20"/>
          <w:color w:val="auto"/>
        </w:rPr>
      </w:pPr>
      <w:r>
        <w:rPr>
          <w:rFonts w:ascii="Times New Roman" w:cs="Times New Roman" w:eastAsia="Times New Roman" w:hAnsi="Times New Roman"/>
          <w:sz w:val="19"/>
          <w:szCs w:val="19"/>
          <w:color w:val="auto"/>
        </w:rPr>
        <w:t>activity. None of the Borrower, any Subsidiary or any of their respective directors, officers or employees, or to the knowledge of the Borrower, any agent of the Borrower or any Subsidiary that will act in any capacity in connection with or benefit from the credit facility</w:t>
      </w:r>
    </w:p>
    <w:p>
      <w:pPr>
        <w:spacing w:after="0"/>
        <w:rPr>
          <w:sz w:val="20"/>
          <w:szCs w:val="20"/>
          <w:color w:val="auto"/>
        </w:rPr>
      </w:pPr>
      <w:r>
        <w:rPr>
          <w:rFonts w:ascii="Times New Roman" w:cs="Times New Roman" w:eastAsia="Times New Roman" w:hAnsi="Times New Roman"/>
          <w:sz w:val="20"/>
          <w:szCs w:val="20"/>
          <w:color w:val="auto"/>
        </w:rPr>
        <w:t>established hereby, will become a Sanctioned Person.</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6.6. </w:t>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 The Borrower will not permit, as of the last day of any fiscal quarter of the Borrower, the Total Net Leverage Ratio to exceed 3.25 to 1.00; provided that following the consummation of a Qualified Acquisition for the four fiscal quarters of the</w:t>
      </w:r>
    </w:p>
    <w:p>
      <w:pPr>
        <w:spacing w:after="0" w:line="211" w:lineRule="auto"/>
        <w:rPr>
          <w:sz w:val="20"/>
          <w:szCs w:val="20"/>
          <w:color w:val="auto"/>
        </w:rPr>
      </w:pPr>
      <w:r>
        <w:rPr>
          <w:rFonts w:ascii="Times New Roman" w:cs="Times New Roman" w:eastAsia="Times New Roman" w:hAnsi="Times New Roman"/>
          <w:sz w:val="20"/>
          <w:szCs w:val="20"/>
          <w:color w:val="auto"/>
        </w:rPr>
        <w:t>Borrower then ended as set forth in the last Compliance Certificate delivered pursuant to Section 5.2, the Total Net Leverage Ratio set forth</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above shall increase for each of the four fiscal quarters of the Borrower ending following the consummation of a Qualified Acquisition to 3.75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00" w:right="339" w:bottom="1440" w:gutter="0" w:footer="0" w:header="0"/>
        </w:sectPr>
      </w:pPr>
    </w:p>
    <w:bookmarkStart w:id="629" w:name="page630"/>
    <w:bookmarkEnd w:id="629"/>
    <w:p>
      <w:pPr>
        <w:ind w:left="4840"/>
        <w:spacing w:after="0"/>
        <w:rPr>
          <w:sz w:val="20"/>
          <w:szCs w:val="20"/>
          <w:color w:val="auto"/>
        </w:rPr>
      </w:pPr>
      <w:r>
        <w:rPr>
          <w:rFonts w:ascii="Times New Roman" w:cs="Times New Roman" w:eastAsia="Times New Roman" w:hAnsi="Times New Roman"/>
          <w:sz w:val="20"/>
          <w:szCs w:val="20"/>
          <w:color w:val="010000"/>
        </w:rPr>
        <w:t>Section 7</w:t>
      </w:r>
    </w:p>
    <w:p>
      <w:pPr>
        <w:ind w:left="478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153"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Each of the following is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160" w:hanging="644"/>
        <w:spacing w:after="0"/>
        <w:tabs>
          <w:tab w:leader="none" w:pos="1160"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to pay principal of a Loan when due;</w:t>
      </w:r>
    </w:p>
    <w:p>
      <w:pPr>
        <w:spacing w:after="0" w:line="188" w:lineRule="exact"/>
        <w:rPr>
          <w:rFonts w:ascii="Times New Roman" w:cs="Times New Roman" w:eastAsia="Times New Roman" w:hAnsi="Times New Roman"/>
          <w:sz w:val="20"/>
          <w:szCs w:val="20"/>
          <w:color w:val="auto"/>
        </w:rPr>
      </w:pPr>
    </w:p>
    <w:p>
      <w:pPr>
        <w:ind w:left="-140" w:right="120" w:firstLine="656"/>
        <w:spacing w:after="0" w:line="233" w:lineRule="auto"/>
        <w:tabs>
          <w:tab w:leader="none" w:pos="1144"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160" w:lineRule="exact"/>
        <w:rPr>
          <w:rFonts w:ascii="Times New Roman" w:cs="Times New Roman" w:eastAsia="Times New Roman" w:hAnsi="Times New Roman"/>
          <w:sz w:val="20"/>
          <w:szCs w:val="20"/>
          <w:color w:val="auto"/>
        </w:rPr>
      </w:pPr>
    </w:p>
    <w:p>
      <w:pPr>
        <w:ind w:left="1160" w:hanging="644"/>
        <w:spacing w:after="0"/>
        <w:tabs>
          <w:tab w:leader="none" w:pos="1160"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Borrower to comply with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40" w:right="240" w:firstLine="656"/>
        <w:spacing w:after="0" w:line="222" w:lineRule="auto"/>
        <w:tabs>
          <w:tab w:leader="none" w:pos="1144"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Borrower or any of its Restricted Subsidiaries to perform, or breach by the Borrower or any of its Restricted Subsidiaries of, any other covenant,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48" w:lineRule="exact"/>
        <w:rPr>
          <w:rFonts w:ascii="Times New Roman" w:cs="Times New Roman" w:eastAsia="Times New Roman" w:hAnsi="Times New Roman"/>
          <w:sz w:val="20"/>
          <w:szCs w:val="20"/>
          <w:color w:val="auto"/>
        </w:rPr>
      </w:pPr>
    </w:p>
    <w:p>
      <w:pPr>
        <w:ind w:left="-140" w:right="40" w:firstLine="656"/>
        <w:spacing w:after="0" w:line="215" w:lineRule="auto"/>
        <w:tabs>
          <w:tab w:leader="none" w:pos="1146"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47" w:lineRule="exact"/>
        <w:rPr>
          <w:rFonts w:ascii="Times New Roman" w:cs="Times New Roman" w:eastAsia="Times New Roman" w:hAnsi="Times New Roman"/>
          <w:sz w:val="20"/>
          <w:szCs w:val="20"/>
          <w:color w:val="auto"/>
        </w:rPr>
      </w:pPr>
    </w:p>
    <w:p>
      <w:pPr>
        <w:ind w:left="1160" w:hanging="644"/>
        <w:spacing w:after="0"/>
        <w:tabs>
          <w:tab w:leader="none" w:pos="1160"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Significant Subsidiary, pursuant to or within the meaning of any Debtor Relief Law:</w:t>
      </w:r>
    </w:p>
    <w:p>
      <w:pPr>
        <w:spacing w:after="0" w:line="188" w:lineRule="exact"/>
        <w:rPr>
          <w:rFonts w:ascii="Times New Roman" w:cs="Times New Roman" w:eastAsia="Times New Roman" w:hAnsi="Times New Roman"/>
          <w:sz w:val="20"/>
          <w:szCs w:val="20"/>
          <w:color w:val="auto"/>
        </w:rPr>
      </w:pPr>
    </w:p>
    <w:p>
      <w:pPr>
        <w:ind w:left="1800" w:hanging="636"/>
        <w:spacing w:after="0"/>
        <w:tabs>
          <w:tab w:leader="none" w:pos="1800"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commences proceedings to be adjudicated bankrupt or insolvent;</w:t>
      </w:r>
    </w:p>
    <w:p>
      <w:pPr>
        <w:spacing w:after="0" w:line="188" w:lineRule="exact"/>
        <w:rPr>
          <w:rFonts w:ascii="Times New Roman" w:cs="Times New Roman" w:eastAsia="Times New Roman" w:hAnsi="Times New Roman"/>
          <w:sz w:val="20"/>
          <w:szCs w:val="20"/>
          <w:color w:val="010000"/>
        </w:rPr>
      </w:pPr>
    </w:p>
    <w:p>
      <w:pPr>
        <w:ind w:left="520" w:right="200" w:firstLine="644"/>
        <w:spacing w:after="0" w:line="226" w:lineRule="auto"/>
        <w:tabs>
          <w:tab w:leader="none" w:pos="1804"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60" w:lineRule="exact"/>
        <w:rPr>
          <w:rFonts w:ascii="Times New Roman" w:cs="Times New Roman" w:eastAsia="Times New Roman" w:hAnsi="Times New Roman"/>
          <w:sz w:val="20"/>
          <w:szCs w:val="20"/>
          <w:color w:val="010000"/>
        </w:rPr>
      </w:pPr>
    </w:p>
    <w:p>
      <w:pPr>
        <w:ind w:left="520" w:right="560" w:firstLine="644"/>
        <w:spacing w:after="0" w:line="233" w:lineRule="auto"/>
        <w:tabs>
          <w:tab w:leader="none" w:pos="1804"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consents to the appointment of a receiver, interim receiver, receiver and manager, liquidator, assignee, trustee, sequestrator or other similar official of it or for all or substantially all of its property; or</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makes a general assignment for the benefit of its creditors;</w:t>
      </w:r>
    </w:p>
    <w:p>
      <w:pPr>
        <w:spacing w:after="0" w:line="188" w:lineRule="exact"/>
        <w:rPr>
          <w:rFonts w:ascii="Times New Roman" w:cs="Times New Roman" w:eastAsia="Times New Roman" w:hAnsi="Times New Roman"/>
          <w:sz w:val="20"/>
          <w:szCs w:val="20"/>
          <w:color w:val="010000"/>
        </w:rPr>
      </w:pPr>
    </w:p>
    <w:p>
      <w:pPr>
        <w:ind w:left="1160" w:hanging="644"/>
        <w:spacing w:after="0"/>
        <w:tabs>
          <w:tab w:leader="none" w:pos="1160" w:val="left"/>
        </w:tabs>
        <w:numPr>
          <w:ilvl w:val="0"/>
          <w:numId w:val="8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Debtor Relief Law that:</w:t>
      </w:r>
    </w:p>
    <w:p>
      <w:pPr>
        <w:spacing w:after="0" w:line="175" w:lineRule="exact"/>
        <w:rPr>
          <w:rFonts w:ascii="Times New Roman" w:cs="Times New Roman" w:eastAsia="Times New Roman" w:hAnsi="Times New Roman"/>
          <w:sz w:val="20"/>
          <w:szCs w:val="20"/>
          <w:color w:val="auto"/>
        </w:rPr>
      </w:pPr>
    </w:p>
    <w:p>
      <w:pPr>
        <w:ind w:left="520" w:right="660" w:firstLine="644"/>
        <w:spacing w:after="0"/>
        <w:tabs>
          <w:tab w:leader="none" w:pos="1804"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for relief against the Borrower or any Significant Subsidiary in a proceeding in which the Borrower or any Significant Subsidiary is to be adjudicated bankrupt or insolvent;</w:t>
      </w:r>
    </w:p>
    <w:p>
      <w:pPr>
        <w:spacing w:after="0" w:line="161" w:lineRule="exact"/>
        <w:rPr>
          <w:rFonts w:ascii="Times New Roman" w:cs="Times New Roman" w:eastAsia="Times New Roman" w:hAnsi="Times New Roman"/>
          <w:sz w:val="20"/>
          <w:szCs w:val="20"/>
          <w:color w:val="010000"/>
        </w:rPr>
      </w:pPr>
    </w:p>
    <w:p>
      <w:pPr>
        <w:jc w:val="both"/>
        <w:ind w:left="520" w:firstLine="644"/>
        <w:spacing w:after="0" w:line="226" w:lineRule="auto"/>
        <w:tabs>
          <w:tab w:leader="none" w:pos="1804"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160" w:lineRule="exact"/>
        <w:rPr>
          <w:rFonts w:ascii="Times New Roman" w:cs="Times New Roman" w:eastAsia="Times New Roman" w:hAnsi="Times New Roman"/>
          <w:sz w:val="20"/>
          <w:szCs w:val="20"/>
          <w:color w:val="010000"/>
        </w:rPr>
      </w:pPr>
    </w:p>
    <w:p>
      <w:pPr>
        <w:ind w:left="1800" w:hanging="636"/>
        <w:spacing w:after="0"/>
        <w:tabs>
          <w:tab w:leader="none" w:pos="1800" w:val="left"/>
        </w:tabs>
        <w:numPr>
          <w:ilvl w:val="1"/>
          <w:numId w:val="8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orders the liquidation, dissolution or winding up of the Borrower or any Significant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060"/>
          </w:cols>
          <w:pgMar w:left="460" w:top="1394" w:right="37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20"/>
          <w:szCs w:val="20"/>
          <w:color w:val="auto"/>
        </w:rPr>
        <w:t>and the order or decree remains unstayed and in effect for 60 consecutive days;</w:t>
      </w:r>
    </w:p>
    <w:p>
      <w:pPr>
        <w:spacing w:after="0" w:line="22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79" w:lineRule="exact"/>
        <w:rPr>
          <w:sz w:val="20"/>
          <w:szCs w:val="20"/>
          <w:color w:val="auto"/>
        </w:rPr>
      </w:pPr>
    </w:p>
    <w:p>
      <w:pPr>
        <w:ind w:right="560" w:firstLine="656"/>
        <w:spacing w:after="0" w:line="251" w:lineRule="auto"/>
        <w:tabs>
          <w:tab w:leader="none" w:pos="1284" w:val="left"/>
        </w:tabs>
        <w:numPr>
          <w:ilvl w:val="0"/>
          <w:numId w:val="8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5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of Control shall occur.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case of an Event of Default, then, and in every such event (other than an event with respect to the Borrower described in clause (f) or</w:t>
      </w:r>
    </w:p>
    <w:p>
      <w:pPr>
        <w:spacing w:after="0" w:line="22" w:lineRule="exact"/>
        <w:rPr>
          <w:sz w:val="20"/>
          <w:szCs w:val="20"/>
          <w:color w:val="auto"/>
        </w:rPr>
      </w:pPr>
    </w:p>
    <w:p>
      <w:pPr>
        <w:ind w:right="60" w:firstLine="8"/>
        <w:spacing w:after="0" w:line="260" w:lineRule="auto"/>
        <w:tabs>
          <w:tab w:leader="none" w:pos="280" w:val="left"/>
        </w:tabs>
        <w:numPr>
          <w:ilvl w:val="0"/>
          <w:numId w:val="8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this Section), and at any time thereafter during the continuance of such event, the Administrative Agent may take any and all of the following actions: (A) at the request of the Required Lenders, the Administrative Agent shall, by notice to the Borrower, (i) terminate the Revolving Commitments, and thereupon the Revolving Commitments shall terminate immediately and (ii) require that the Borrower provide cash collateral as required in </w:t>
      </w:r>
      <w:r>
        <w:rPr>
          <w:rFonts w:ascii="Times New Roman" w:cs="Times New Roman" w:eastAsia="Times New Roman" w:hAnsi="Times New Roman"/>
          <w:sz w:val="19"/>
          <w:szCs w:val="19"/>
          <w:u w:val="single" w:color="auto"/>
          <w:color w:val="auto"/>
        </w:rPr>
        <w:t>Section 2.4(j)</w:t>
      </w:r>
      <w:r>
        <w:rPr>
          <w:rFonts w:ascii="Times New Roman" w:cs="Times New Roman" w:eastAsia="Times New Roman" w:hAnsi="Times New Roman"/>
          <w:sz w:val="19"/>
          <w:szCs w:val="19"/>
          <w:color w:val="auto"/>
        </w:rPr>
        <w:t xml:space="preserve"> and (B) at the request of the Required Lenders, the Administrative Agent shall, by notice to the Borrower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w:t>
      </w:r>
    </w:p>
    <w:p>
      <w:pPr>
        <w:spacing w:after="0" w:line="3" w:lineRule="exact"/>
        <w:rPr>
          <w:rFonts w:ascii="Times New Roman" w:cs="Times New Roman" w:eastAsia="Times New Roman" w:hAnsi="Times New Roman"/>
          <w:sz w:val="19"/>
          <w:szCs w:val="19"/>
          <w:color w:val="auto"/>
        </w:rPr>
      </w:pPr>
    </w:p>
    <w:p>
      <w:pPr>
        <w:ind w:firstLine="8"/>
        <w:spacing w:after="0" w:line="250" w:lineRule="auto"/>
        <w:tabs>
          <w:tab w:leader="none" w:pos="291" w:val="left"/>
        </w:tabs>
        <w:numPr>
          <w:ilvl w:val="0"/>
          <w:numId w:val="8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Issuing Banks all rights and remedies available to it, the Lenders and the Issuing Banks under the Loan Documents and applicable law. In case of any event with respect to the Borrower described in clause (f) or (g) of this Section, the Commitments shall automatically terminate and the principal of the Loans then outstanding, together with accrued interest thereon and all fees and other obligations of the Borrower accrued hereunder, shall automatically become due and payable, and the obligation of the Borrower to cash collateralize the DC Exposure as provided in clause (ii) above shall automatically become effective, in each case, without presentment, demand, protest or other notice of any kind, all of which are hereby waived by the Borrower.</w:t>
      </w:r>
    </w:p>
    <w:p>
      <w:pPr>
        <w:spacing w:after="0" w:line="19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In the event of a declaration of acceleration of the Loans because an Event of Default described in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 xml:space="preserve"> has occurred and is continuing, the declaration of acceleration of the Loans shall be automatically annulled if the event of default or payment default triggering such Event of Default pursuant to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Loans would not conflict with any judgment or decree of a court of competent jurisdiction and (2) all existing Events of Default, except nonpayment of principal, premium or interest on the Loans that became due solely because of the acceleration of the Loans,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20"/>
          </w:cols>
          <w:pgMar w:left="320" w:top="1414" w:right="359" w:bottom="1440" w:gutter="0" w:footer="0" w:header="0"/>
        </w:sectPr>
      </w:pPr>
    </w:p>
    <w:bookmarkStart w:id="631" w:name="page632"/>
    <w:bookmarkEnd w:id="631"/>
    <w:p>
      <w:pPr>
        <w:jc w:val="center"/>
        <w:ind w:right="540"/>
        <w:spacing w:after="0"/>
        <w:rPr>
          <w:sz w:val="20"/>
          <w:szCs w:val="20"/>
          <w:color w:val="auto"/>
        </w:rPr>
      </w:pPr>
      <w:r>
        <w:rPr>
          <w:rFonts w:ascii="Times New Roman" w:cs="Times New Roman" w:eastAsia="Times New Roman" w:hAnsi="Times New Roman"/>
          <w:sz w:val="20"/>
          <w:szCs w:val="20"/>
          <w:color w:val="010000"/>
        </w:rPr>
        <w:t>Section 8</w:t>
      </w: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The Agents</w:t>
      </w:r>
    </w:p>
    <w:p>
      <w:pPr>
        <w:spacing w:after="0" w:line="153" w:lineRule="exact"/>
        <w:rPr>
          <w:sz w:val="20"/>
          <w:szCs w:val="20"/>
          <w:color w:val="auto"/>
        </w:rPr>
      </w:pPr>
    </w:p>
    <w:p>
      <w:pPr>
        <w:ind w:right="1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Each Lender and each Issuing Bank hereby irrevocably designates and appoints the Administrative Agent as the agent of such Lender under this Agreement and the other Loan Documents, and each such Lender and Issuing Bank irrevocably</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authorizes the Administrative Agent, in such capacity, to take such action on its behalf under the provisions of this Agreement and the other Loan Documents and to exercise such powers and perform such duties as are expressly delegated to the Administrative Agent by the terms of</w:t>
      </w:r>
    </w:p>
    <w:p>
      <w:pPr>
        <w:spacing w:after="0" w:line="211" w:lineRule="auto"/>
        <w:rPr>
          <w:sz w:val="20"/>
          <w:szCs w:val="20"/>
          <w:color w:val="auto"/>
        </w:rPr>
      </w:pPr>
      <w:r>
        <w:rPr>
          <w:rFonts w:ascii="Times New Roman" w:cs="Times New Roman" w:eastAsia="Times New Roman" w:hAnsi="Times New Roman"/>
          <w:sz w:val="20"/>
          <w:szCs w:val="20"/>
          <w:color w:val="auto"/>
        </w:rPr>
        <w:t>this Agreement and the other Loan Documents, together with such other powers as are reasonably incidental thereto. The provisions of this</w:t>
      </w:r>
    </w:p>
    <w:p>
      <w:pPr>
        <w:ind w:right="40"/>
        <w:spacing w:after="0" w:line="215" w:lineRule="auto"/>
        <w:rPr>
          <w:sz w:val="20"/>
          <w:szCs w:val="20"/>
          <w:color w:val="auto"/>
        </w:rPr>
      </w:pPr>
      <w:r>
        <w:rPr>
          <w:rFonts w:ascii="Times New Roman" w:cs="Times New Roman" w:eastAsia="Times New Roman" w:hAnsi="Times New Roman"/>
          <w:sz w:val="19"/>
          <w:szCs w:val="19"/>
          <w:color w:val="auto"/>
        </w:rPr>
        <w:t>Section are solely for the benefit of the Administrative Agent and the Lenders, and neither the Borrower nor any other Loan Party shall have rights as a third-party beneficiary of any of such provisions nor shall the provisions of this Section modify the rights of the Borrower and any</w:t>
      </w:r>
    </w:p>
    <w:p>
      <w:pPr>
        <w:spacing w:after="0" w:line="222" w:lineRule="auto"/>
        <w:rPr>
          <w:sz w:val="20"/>
          <w:szCs w:val="20"/>
          <w:color w:val="auto"/>
        </w:rPr>
      </w:pPr>
      <w:r>
        <w:rPr>
          <w:rFonts w:ascii="Times New Roman" w:cs="Times New Roman" w:eastAsia="Times New Roman" w:hAnsi="Times New Roman"/>
          <w:sz w:val="19"/>
          <w:szCs w:val="19"/>
          <w:color w:val="auto"/>
        </w:rPr>
        <w:t>other Loan Party under the other portions of this Agreement. Notwithstanding any provision to the contrary elsewhere in this Agreement, the</w:t>
      </w:r>
    </w:p>
    <w:p>
      <w:pPr>
        <w:ind w:right="160"/>
        <w:spacing w:after="0" w:line="215" w:lineRule="auto"/>
        <w:rPr>
          <w:sz w:val="20"/>
          <w:szCs w:val="20"/>
          <w:color w:val="auto"/>
        </w:rPr>
      </w:pPr>
      <w:r>
        <w:rPr>
          <w:rFonts w:ascii="Times New Roman" w:cs="Times New Roman" w:eastAsia="Times New Roman" w:hAnsi="Times New Roman"/>
          <w:sz w:val="19"/>
          <w:szCs w:val="19"/>
          <w:color w:val="auto"/>
        </w:rPr>
        <w:t>Administrative Agent shall not have any duties or responsibilities, except those expressly set forth herein, or any fiduciary relationship with any Lender or Issuing Bank, and no implied covenants, functions, responsibilities, duties, obligations or liabilities shall be read into this</w:t>
      </w:r>
    </w:p>
    <w:p>
      <w:pPr>
        <w:spacing w:after="0" w:line="211" w:lineRule="auto"/>
        <w:rPr>
          <w:sz w:val="20"/>
          <w:szCs w:val="20"/>
          <w:color w:val="auto"/>
        </w:rPr>
      </w:pPr>
      <w:r>
        <w:rPr>
          <w:rFonts w:ascii="Times New Roman" w:cs="Times New Roman" w:eastAsia="Times New Roman" w:hAnsi="Times New Roman"/>
          <w:sz w:val="20"/>
          <w:szCs w:val="20"/>
          <w:color w:val="auto"/>
        </w:rPr>
        <w:t>Agreement or any other Loan Document or otherwise exist against the Administrative Agent. The Person serving as the Administrative</w:t>
      </w:r>
    </w:p>
    <w:p>
      <w:pPr>
        <w:ind w:right="140"/>
        <w:spacing w:after="0" w:line="215" w:lineRule="auto"/>
        <w:rPr>
          <w:sz w:val="20"/>
          <w:szCs w:val="20"/>
          <w:color w:val="auto"/>
        </w:rPr>
      </w:pPr>
      <w:r>
        <w:rPr>
          <w:rFonts w:ascii="Times New Roman" w:cs="Times New Roman" w:eastAsia="Times New Roman" w:hAnsi="Times New Roman"/>
          <w:sz w:val="19"/>
          <w:szCs w:val="19"/>
          <w:color w:val="auto"/>
        </w:rPr>
        <w:t>Agent hereunder shall have the same rights and powers in its capacity as a Lender as any other Lender and may exercise the same as though it were not the Administrative Agent, and the term “Lender” or “Lenders” shall, unless otherwise expressly indicated or unless the context</w:t>
      </w:r>
    </w:p>
    <w:p>
      <w:pPr>
        <w:spacing w:after="0"/>
        <w:rPr>
          <w:sz w:val="20"/>
          <w:szCs w:val="20"/>
          <w:color w:val="auto"/>
        </w:rPr>
      </w:pPr>
      <w:r>
        <w:rPr>
          <w:rFonts w:ascii="Times New Roman" w:cs="Times New Roman" w:eastAsia="Times New Roman" w:hAnsi="Times New Roman"/>
          <w:sz w:val="20"/>
          <w:szCs w:val="20"/>
          <w:color w:val="auto"/>
        </w:rPr>
        <w:t>otherwise requires, include the Person serving as the Administrative Agent hereunder in its individual capacity.</w:t>
      </w:r>
    </w:p>
    <w:p>
      <w:pPr>
        <w:spacing w:after="0" w:line="167" w:lineRule="exact"/>
        <w:rPr>
          <w:sz w:val="20"/>
          <w:szCs w:val="20"/>
          <w:color w:val="auto"/>
        </w:rPr>
      </w:pPr>
    </w:p>
    <w:p>
      <w:pPr>
        <w:ind w:right="380" w:firstLine="648"/>
        <w:spacing w:after="0" w:line="21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and the other Loan Documents by or through agents or attorneys in fact and shall be entitled to advice of counsel concerning all matters pertaining to such</w:t>
      </w:r>
    </w:p>
    <w:p>
      <w:pPr>
        <w:spacing w:after="0" w:line="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duties. The Administrative Agent shall not be responsible for the negligence or misconduct of any agents or attorneys in fact selected by it with reasonable care.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 Use of the term “agent” in the Agreement or in any other Loan Documents (or any other similar</w:t>
      </w:r>
    </w:p>
    <w:p>
      <w:pPr>
        <w:ind w:right="20"/>
        <w:spacing w:after="0" w:line="215" w:lineRule="auto"/>
        <w:rPr>
          <w:sz w:val="20"/>
          <w:szCs w:val="20"/>
          <w:color w:val="auto"/>
        </w:rPr>
      </w:pPr>
      <w:r>
        <w:rPr>
          <w:rFonts w:ascii="Times New Roman" w:cs="Times New Roman" w:eastAsia="Times New Roman" w:hAnsi="Times New Roman"/>
          <w:sz w:val="19"/>
          <w:szCs w:val="19"/>
          <w:color w:val="auto"/>
        </w:rPr>
        <w:t>term) with reference to the Administrative Agent does not connote (and is not intended to connote), any fiduciary or other implied (or express) obligation arising under agency doctrine of any applicable law, regardless of whether a Default or Event of Default has occurred and</w:t>
      </w:r>
    </w:p>
    <w:p>
      <w:pPr>
        <w:spacing w:after="0" w:line="211" w:lineRule="auto"/>
        <w:rPr>
          <w:sz w:val="20"/>
          <w:szCs w:val="20"/>
          <w:color w:val="auto"/>
        </w:rPr>
      </w:pPr>
      <w:r>
        <w:rPr>
          <w:rFonts w:ascii="Times New Roman" w:cs="Times New Roman" w:eastAsia="Times New Roman" w:hAnsi="Times New Roman"/>
          <w:sz w:val="20"/>
          <w:szCs w:val="20"/>
          <w:color w:val="auto"/>
        </w:rPr>
        <w:t>is continuing. Instead such term is used as a matter of market custom, and is intended to create or reflect only an administrative relationship</w:t>
      </w:r>
    </w:p>
    <w:p>
      <w:pPr>
        <w:ind w:right="520"/>
        <w:spacing w:after="0" w:line="215" w:lineRule="auto"/>
        <w:rPr>
          <w:sz w:val="20"/>
          <w:szCs w:val="20"/>
          <w:color w:val="auto"/>
        </w:rPr>
      </w:pPr>
      <w:r>
        <w:rPr>
          <w:rFonts w:ascii="Times New Roman" w:cs="Times New Roman" w:eastAsia="Times New Roman" w:hAnsi="Times New Roman"/>
          <w:sz w:val="19"/>
          <w:szCs w:val="19"/>
          <w:color w:val="auto"/>
        </w:rPr>
        <w:t>between the contracting parties. The Administrative Agent shall not have any duty to take any discretionary action or exercise any discretionary power, except discretionary rights and powers expressly contemplated by the Agreement that the Administrative Agent is</w:t>
      </w:r>
    </w:p>
    <w:p>
      <w:pPr>
        <w:spacing w:after="0" w:line="211" w:lineRule="auto"/>
        <w:rPr>
          <w:sz w:val="20"/>
          <w:szCs w:val="20"/>
          <w:color w:val="auto"/>
        </w:rPr>
      </w:pPr>
      <w:r>
        <w:rPr>
          <w:rFonts w:ascii="Times New Roman" w:cs="Times New Roman" w:eastAsia="Times New Roman" w:hAnsi="Times New Roman"/>
          <w:sz w:val="20"/>
          <w:szCs w:val="20"/>
          <w:color w:val="auto"/>
        </w:rPr>
        <w:t>required to exercise and only so long as so directed in writing to take such discretionary action by the “Required Lenders” provided,</w:t>
      </w:r>
    </w:p>
    <w:p>
      <w:pPr>
        <w:ind w:right="80"/>
        <w:spacing w:after="0" w:line="215" w:lineRule="auto"/>
        <w:rPr>
          <w:sz w:val="20"/>
          <w:szCs w:val="20"/>
          <w:color w:val="auto"/>
        </w:rPr>
      </w:pPr>
      <w:r>
        <w:rPr>
          <w:rFonts w:ascii="Times New Roman" w:cs="Times New Roman" w:eastAsia="Times New Roman" w:hAnsi="Times New Roman"/>
          <w:sz w:val="19"/>
          <w:szCs w:val="19"/>
          <w:color w:val="auto"/>
        </w:rPr>
        <w:t>however, that the Administrative Agent shall not be required to take any action that, in its opinion or the opinion of its counsel, may expose the Administrative Agent to liability or that is contrary to any Loan Document or Applicable Law, including, for the avoidance of doubt, any</w:t>
      </w:r>
    </w:p>
    <w:p>
      <w:pPr>
        <w:spacing w:after="0" w:line="211" w:lineRule="auto"/>
        <w:rPr>
          <w:sz w:val="20"/>
          <w:szCs w:val="20"/>
          <w:color w:val="auto"/>
        </w:rPr>
      </w:pPr>
      <w:r>
        <w:rPr>
          <w:rFonts w:ascii="Times New Roman" w:cs="Times New Roman" w:eastAsia="Times New Roman" w:hAnsi="Times New Roman"/>
          <w:sz w:val="20"/>
          <w:szCs w:val="20"/>
          <w:color w:val="auto"/>
        </w:rPr>
        <w:t>action that may be in violation of the automatic stay or that may effect a forfeiture, modification or termination of a property interest in</w:t>
      </w:r>
    </w:p>
    <w:p>
      <w:pPr>
        <w:ind w:right="60"/>
        <w:spacing w:after="0" w:line="215" w:lineRule="auto"/>
        <w:rPr>
          <w:sz w:val="20"/>
          <w:szCs w:val="20"/>
          <w:color w:val="auto"/>
        </w:rPr>
      </w:pPr>
      <w:r>
        <w:rPr>
          <w:rFonts w:ascii="Times New Roman" w:cs="Times New Roman" w:eastAsia="Times New Roman" w:hAnsi="Times New Roman"/>
          <w:sz w:val="19"/>
          <w:szCs w:val="19"/>
          <w:color w:val="auto"/>
        </w:rPr>
        <w:t>violation of any applicable bankruptcy/insolvency laws and the Administrative Agent shall in all cases be fully justified in failing or refusing to act under the Agreement or any other Loan Document unless it first receives further assurances of its indemnification from the Lenders</w:t>
      </w:r>
    </w:p>
    <w:p>
      <w:pPr>
        <w:spacing w:after="0" w:line="211" w:lineRule="auto"/>
        <w:rPr>
          <w:sz w:val="20"/>
          <w:szCs w:val="20"/>
          <w:color w:val="auto"/>
        </w:rPr>
      </w:pPr>
      <w:r>
        <w:rPr>
          <w:rFonts w:ascii="Times New Roman" w:cs="Times New Roman" w:eastAsia="Times New Roman" w:hAnsi="Times New Roman"/>
          <w:sz w:val="20"/>
          <w:szCs w:val="20"/>
          <w:color w:val="auto"/>
        </w:rPr>
        <w:t>that the Administrative Agent reasonably believes it may require, including prepayment of any related expenses and any other protection it</w:t>
      </w:r>
    </w:p>
    <w:p>
      <w:pPr>
        <w:ind w:right="380"/>
        <w:spacing w:after="0" w:line="215" w:lineRule="auto"/>
        <w:rPr>
          <w:sz w:val="20"/>
          <w:szCs w:val="20"/>
          <w:color w:val="auto"/>
        </w:rPr>
      </w:pPr>
      <w:r>
        <w:rPr>
          <w:rFonts w:ascii="Times New Roman" w:cs="Times New Roman" w:eastAsia="Times New Roman" w:hAnsi="Times New Roman"/>
          <w:sz w:val="19"/>
          <w:szCs w:val="19"/>
          <w:color w:val="auto"/>
        </w:rPr>
        <w:t>requires against any and all costs, expenses and liabilities it may incur in taking or continuing to take any such discretionary action at the direction of the Required Lenders. The Administrative Agent shall not have any duty to disclose, and shall not be liable for the failure to</w:t>
      </w:r>
    </w:p>
    <w:p>
      <w:pPr>
        <w:spacing w:after="0" w:line="222" w:lineRule="auto"/>
        <w:rPr>
          <w:sz w:val="20"/>
          <w:szCs w:val="20"/>
          <w:color w:val="auto"/>
        </w:rPr>
      </w:pPr>
      <w:r>
        <w:rPr>
          <w:rFonts w:ascii="Times New Roman" w:cs="Times New Roman" w:eastAsia="Times New Roman" w:hAnsi="Times New Roman"/>
          <w:sz w:val="19"/>
          <w:szCs w:val="19"/>
          <w:color w:val="auto"/>
        </w:rPr>
        <w:t>disclose, except as expressly set forth in the Agreement and in the other Loan Documents, any information relating to the borrower or any of</w:t>
      </w:r>
    </w:p>
    <w:p>
      <w:pPr>
        <w:ind w:right="360"/>
        <w:spacing w:after="0" w:line="215" w:lineRule="auto"/>
        <w:rPr>
          <w:sz w:val="20"/>
          <w:szCs w:val="20"/>
          <w:color w:val="auto"/>
        </w:rPr>
      </w:pPr>
      <w:r>
        <w:rPr>
          <w:rFonts w:ascii="Times New Roman" w:cs="Times New Roman" w:eastAsia="Times New Roman" w:hAnsi="Times New Roman"/>
          <w:sz w:val="19"/>
          <w:szCs w:val="19"/>
          <w:color w:val="auto"/>
        </w:rPr>
        <w:t>its affiliates that is communicated to or obtained by the Administrative Agent or any of its affiliates in any capacity. The Administrative Agent shall not be responsible for or have any duty to ascertain or inquire into (i) any statement, warranty or representation made in or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the Loan Agreement or any other Loan Document, (ii) the contents of any certificate, report or other document delivered</w:t>
      </w:r>
    </w:p>
    <w:p>
      <w:pPr>
        <w:ind w:right="20"/>
        <w:spacing w:after="0" w:line="215" w:lineRule="auto"/>
        <w:rPr>
          <w:sz w:val="20"/>
          <w:szCs w:val="20"/>
          <w:color w:val="auto"/>
        </w:rPr>
      </w:pPr>
      <w:r>
        <w:rPr>
          <w:rFonts w:ascii="Times New Roman" w:cs="Times New Roman" w:eastAsia="Times New Roman" w:hAnsi="Times New Roman"/>
          <w:sz w:val="19"/>
          <w:szCs w:val="19"/>
          <w:color w:val="auto"/>
        </w:rPr>
        <w:t>hereunder or thereunder or in connection herewith or therewith, (iii) the performance or observance of any covenant, agreement or other term or condition set forth herein or therein or the occurrence of any default, (iv) the validity, enforceability, effectiveness or genuineness of this</w:t>
      </w:r>
    </w:p>
    <w:p>
      <w:pPr>
        <w:spacing w:after="0" w:line="228" w:lineRule="auto"/>
        <w:rPr>
          <w:sz w:val="20"/>
          <w:szCs w:val="20"/>
          <w:color w:val="auto"/>
        </w:rPr>
      </w:pPr>
      <w:r>
        <w:rPr>
          <w:rFonts w:ascii="Times New Roman" w:cs="Times New Roman" w:eastAsia="Times New Roman" w:hAnsi="Times New Roman"/>
          <w:sz w:val="20"/>
          <w:szCs w:val="20"/>
          <w:color w:val="auto"/>
        </w:rPr>
        <w:t>Agreement, any other Loan Document or any other agreement, instrument or document, or (v) the satisfaction of any conditions precedent set forth in the Loan Agreement, other than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20"/>
          </w:cols>
          <w:pgMar w:left="320" w:top="1394" w:right="35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20"/>
          <w:szCs w:val="20"/>
          <w:color w:val="auto"/>
        </w:rPr>
        <w:t>confirm receipt of items expressly required to be delivered to the Administrative Agent. The exculpatory provisions of this Section shall</w:t>
      </w:r>
    </w:p>
    <w:p>
      <w:pPr>
        <w:ind w:right="520"/>
        <w:spacing w:after="0" w:line="221" w:lineRule="auto"/>
        <w:rPr>
          <w:sz w:val="20"/>
          <w:szCs w:val="20"/>
          <w:color w:val="auto"/>
        </w:rPr>
      </w:pPr>
      <w:r>
        <w:rPr>
          <w:rFonts w:ascii="Times New Roman" w:cs="Times New Roman" w:eastAsia="Times New Roman" w:hAnsi="Times New Roman"/>
          <w:sz w:val="20"/>
          <w:szCs w:val="20"/>
          <w:color w:val="auto"/>
        </w:rPr>
        <w:t>apply to any such sub-agent and to the affiliates of the Administrative Agent and any such sub-agent, and shall apply to their respective activities in connection with the syndication of the Revolving Facility as well as the activities of the Administrative Agent.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u w:val="single" w:color="auto"/>
          <w:color w:val="auto"/>
        </w:rPr>
        <w:t>Reliance by the Administrative Agent</w:t>
      </w:r>
      <w:r>
        <w:rPr>
          <w:rFonts w:ascii="Times New Roman" w:cs="Times New Roman" w:eastAsia="Times New Roman" w:hAnsi="Times New Roman"/>
          <w:sz w:val="19"/>
          <w:szCs w:val="19"/>
          <w:color w:val="auto"/>
        </w:rPr>
        <w:t>. The Administrative Agent shall be entitled to rely, and shall be fully protected in</w:t>
      </w:r>
    </w:p>
    <w:p>
      <w:pPr>
        <w:ind w:right="340"/>
        <w:spacing w:after="0" w:line="215" w:lineRule="auto"/>
        <w:rPr>
          <w:sz w:val="20"/>
          <w:szCs w:val="20"/>
          <w:color w:val="auto"/>
        </w:rPr>
      </w:pPr>
      <w:r>
        <w:rPr>
          <w:rFonts w:ascii="Times New Roman" w:cs="Times New Roman" w:eastAsia="Times New Roman" w:hAnsi="Times New Roman"/>
          <w:sz w:val="19"/>
          <w:szCs w:val="19"/>
          <w:color w:val="auto"/>
        </w:rPr>
        <w:t>relying, upon any instrument, writing, resolution, notice, consent, certificate, affidavit, letter, telecopy, email message, statement, order or other document or conversation believed by it to be genuine and correct and to have been signed, sent or made by the proper Person or</w:t>
      </w:r>
    </w:p>
    <w:p>
      <w:pPr>
        <w:spacing w:after="0" w:line="211" w:lineRule="auto"/>
        <w:rPr>
          <w:sz w:val="20"/>
          <w:szCs w:val="20"/>
          <w:color w:val="auto"/>
        </w:rPr>
      </w:pPr>
      <w:r>
        <w:rPr>
          <w:rFonts w:ascii="Times New Roman" w:cs="Times New Roman" w:eastAsia="Times New Roman" w:hAnsi="Times New Roman"/>
          <w:sz w:val="20"/>
          <w:szCs w:val="20"/>
          <w:color w:val="auto"/>
        </w:rPr>
        <w:t>Persons and upon advice and statements of legal counsel (including counsel to the Borrower), independent accountants and other experts</w:t>
      </w:r>
    </w:p>
    <w:p>
      <w:pPr>
        <w:ind w:right="80"/>
        <w:spacing w:after="0" w:line="215" w:lineRule="auto"/>
        <w:rPr>
          <w:sz w:val="20"/>
          <w:szCs w:val="20"/>
          <w:color w:val="auto"/>
        </w:rPr>
      </w:pPr>
      <w:r>
        <w:rPr>
          <w:rFonts w:ascii="Times New Roman" w:cs="Times New Roman" w:eastAsia="Times New Roman" w:hAnsi="Times New Roman"/>
          <w:sz w:val="19"/>
          <w:szCs w:val="19"/>
          <w:color w:val="auto"/>
        </w:rPr>
        <w:t>reasonably selected by the Administrative Agent. The Administrative Agent also may rely upon any statement made to it orally or by telephone and believed by it to have been made to the proper Person, and shall not incur any liability for relying thereon.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shall be fully justified in failing or refusing to take any action under this Agreement or any other Loan Document unless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Administrative Agent shall first receive such advice or concurrence of the Required Lenders (or, if so specified by this Agreement, all Lenders and Issuing Banks) as it deems appropriate or it shall first be indemnified to its satisfaction by the Lenders and Issuing Banks against</w:t>
      </w:r>
    </w:p>
    <w:p>
      <w:pPr>
        <w:spacing w:after="0" w:line="211" w:lineRule="auto"/>
        <w:rPr>
          <w:sz w:val="20"/>
          <w:szCs w:val="20"/>
          <w:color w:val="auto"/>
        </w:rPr>
      </w:pPr>
      <w:r>
        <w:rPr>
          <w:rFonts w:ascii="Times New Roman" w:cs="Times New Roman" w:eastAsia="Times New Roman" w:hAnsi="Times New Roman"/>
          <w:sz w:val="20"/>
          <w:szCs w:val="20"/>
          <w:color w:val="auto"/>
        </w:rPr>
        <w:t>any and all liability and expense that may be incurred by it by reason of taking or continuing to take any such action. In determining</w:t>
      </w:r>
    </w:p>
    <w:p>
      <w:pPr>
        <w:ind w:right="580"/>
        <w:spacing w:after="0" w:line="215" w:lineRule="auto"/>
        <w:rPr>
          <w:sz w:val="20"/>
          <w:szCs w:val="20"/>
          <w:color w:val="auto"/>
        </w:rPr>
      </w:pPr>
      <w:r>
        <w:rPr>
          <w:rFonts w:ascii="Times New Roman" w:cs="Times New Roman" w:eastAsia="Times New Roman" w:hAnsi="Times New Roman"/>
          <w:sz w:val="19"/>
          <w:szCs w:val="19"/>
          <w:color w:val="auto"/>
        </w:rPr>
        <w:t>compliance with any condition to the making of a loan, or the issuance, extension, renewal or increase of a Documentary Credit, the Administrative Agent may presume that such condition is satisfactory to such Lender or Issuing Bank unless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receives notice to the contrary from such Lender or Issuing Bank prior to the making of such loan or the issuance of such Documentary</w:t>
      </w:r>
    </w:p>
    <w:p>
      <w:pPr>
        <w:ind w:right="340"/>
        <w:spacing w:after="0" w:line="215" w:lineRule="auto"/>
        <w:rPr>
          <w:sz w:val="20"/>
          <w:szCs w:val="20"/>
          <w:color w:val="auto"/>
        </w:rPr>
      </w:pPr>
      <w:r>
        <w:rPr>
          <w:rFonts w:ascii="Times New Roman" w:cs="Times New Roman" w:eastAsia="Times New Roman" w:hAnsi="Times New Roman"/>
          <w:sz w:val="19"/>
          <w:szCs w:val="19"/>
          <w:color w:val="auto"/>
        </w:rPr>
        <w:t>Credit. The Administrative Agent shall in all cases be fully protected in acting, or in refraining from acting, under this Agreement and the other Loan Documents in accordance with a request of the Required Lenders (or, if so specified by this Agreement or any other Loan</w:t>
      </w:r>
    </w:p>
    <w:p>
      <w:pPr>
        <w:ind w:right="160"/>
        <w:spacing w:after="0" w:line="215" w:lineRule="auto"/>
        <w:rPr>
          <w:sz w:val="20"/>
          <w:szCs w:val="20"/>
          <w:color w:val="auto"/>
        </w:rPr>
      </w:pPr>
      <w:r>
        <w:rPr>
          <w:rFonts w:ascii="Times New Roman" w:cs="Times New Roman" w:eastAsia="Times New Roman" w:hAnsi="Times New Roman"/>
          <w:sz w:val="19"/>
          <w:szCs w:val="19"/>
          <w:color w:val="auto"/>
        </w:rPr>
        <w:t>Document, all Lenders and Issuing Banks), and such request and any action taken or failure to act pursuant thereto shall be binding upon all the Lenders and Issuing Banks and all future holders of the Loans. The Administrative Agent shall not be liable for any action taken or not</w:t>
      </w:r>
    </w:p>
    <w:p>
      <w:pPr>
        <w:ind w:right="180"/>
        <w:spacing w:after="0" w:line="228" w:lineRule="auto"/>
        <w:rPr>
          <w:sz w:val="20"/>
          <w:szCs w:val="20"/>
          <w:color w:val="auto"/>
        </w:rPr>
      </w:pPr>
      <w:r>
        <w:rPr>
          <w:rFonts w:ascii="Times New Roman" w:cs="Times New Roman" w:eastAsia="Times New Roman" w:hAnsi="Times New Roman"/>
          <w:sz w:val="20"/>
          <w:szCs w:val="20"/>
          <w:color w:val="auto"/>
        </w:rPr>
        <w:t>taken by it (i) in accordance with the advice of any such counsel, accountants or experts or (ii) in the absence of its own gross negligence or willful misconduct as determined by a court of competent jurisdiction by final and nonappealable judgment.</w:t>
      </w:r>
    </w:p>
    <w:p>
      <w:pPr>
        <w:spacing w:after="0" w:line="149" w:lineRule="exact"/>
        <w:rPr>
          <w:sz w:val="20"/>
          <w:szCs w:val="20"/>
          <w:color w:val="auto"/>
        </w:rPr>
      </w:pPr>
    </w:p>
    <w:p>
      <w:pPr>
        <w:ind w:right="300" w:firstLine="648"/>
        <w:spacing w:after="0" w:line="234"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The Administrative Agent shall not be deemed to have knowledge or notice of the occurrence of any Default or Event of Default unless it has received written notice from a Lender, Issuing Bank or the Borrower referring to this Agreement,</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describing such Default or Event of Default and stating that such notice is a “notice of default”. In the event that the Administrative Agent receives such a notice, it shall give notice thereof to the Lenders and Issuing Banks. The Administrative Agent shall take such action with</w:t>
      </w:r>
    </w:p>
    <w:p>
      <w:pPr>
        <w:spacing w:after="0" w:line="211" w:lineRule="auto"/>
        <w:rPr>
          <w:sz w:val="20"/>
          <w:szCs w:val="20"/>
          <w:color w:val="auto"/>
        </w:rPr>
      </w:pPr>
      <w:r>
        <w:rPr>
          <w:rFonts w:ascii="Times New Roman" w:cs="Times New Roman" w:eastAsia="Times New Roman" w:hAnsi="Times New Roman"/>
          <w:sz w:val="20"/>
          <w:szCs w:val="20"/>
          <w:color w:val="auto"/>
        </w:rPr>
        <w:t>respect to such Default or Event of Default as shall be reasonably directed by the Required Lenders (or, if so specified by this Agreement or</w:t>
      </w:r>
    </w:p>
    <w:p>
      <w:pPr>
        <w:ind w:right="120"/>
        <w:spacing w:after="0" w:line="215" w:lineRule="auto"/>
        <w:rPr>
          <w:sz w:val="20"/>
          <w:szCs w:val="20"/>
          <w:color w:val="auto"/>
        </w:rPr>
      </w:pPr>
      <w:r>
        <w:rPr>
          <w:rFonts w:ascii="Times New Roman" w:cs="Times New Roman" w:eastAsia="Times New Roman" w:hAnsi="Times New Roman"/>
          <w:sz w:val="19"/>
          <w:szCs w:val="19"/>
          <w:color w:val="auto"/>
        </w:rPr>
        <w:t xml:space="preserve">any other Loan Document, all Lenders and Issuing Banks);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and until the Administrative Agent shall have received such directions, the Administrative Agent may (but shall not be obligated to) take such action, or refrain from taking such action, with respect to</w:t>
      </w:r>
    </w:p>
    <w:p>
      <w:pPr>
        <w:spacing w:after="0" w:line="222" w:lineRule="auto"/>
        <w:rPr>
          <w:sz w:val="20"/>
          <w:szCs w:val="20"/>
          <w:color w:val="auto"/>
        </w:rPr>
      </w:pPr>
      <w:r>
        <w:rPr>
          <w:rFonts w:ascii="Times New Roman" w:cs="Times New Roman" w:eastAsia="Times New Roman" w:hAnsi="Times New Roman"/>
          <w:sz w:val="19"/>
          <w:szCs w:val="19"/>
          <w:color w:val="auto"/>
        </w:rPr>
        <w:t>such Default or Event of Default as the Administrative Agent shall deem advisable in the best interests of the Lenders and Issuing Banks. The</w:t>
      </w:r>
    </w:p>
    <w:p>
      <w:pPr>
        <w:jc w:val="both"/>
        <w:ind w:right="120"/>
        <w:spacing w:after="0" w:line="215" w:lineRule="auto"/>
        <w:rPr>
          <w:sz w:val="20"/>
          <w:szCs w:val="20"/>
          <w:color w:val="auto"/>
        </w:rPr>
      </w:pPr>
      <w:r>
        <w:rPr>
          <w:rFonts w:ascii="Times New Roman" w:cs="Times New Roman" w:eastAsia="Times New Roman" w:hAnsi="Times New Roman"/>
          <w:sz w:val="19"/>
          <w:szCs w:val="19"/>
          <w:color w:val="auto"/>
        </w:rPr>
        <w:t>Administrative Agent shall not be obligated to follow any direction by Required Lenders if the Administrative Agent reasonably determines that such direction is in conflict with any provisions of any applicable law, and the Administrative Agent shall not, under any circumstances,</w:t>
      </w:r>
    </w:p>
    <w:p>
      <w:pPr>
        <w:spacing w:after="0" w:line="211" w:lineRule="auto"/>
        <w:rPr>
          <w:sz w:val="20"/>
          <w:szCs w:val="20"/>
          <w:color w:val="auto"/>
        </w:rPr>
      </w:pPr>
      <w:r>
        <w:rPr>
          <w:rFonts w:ascii="Times New Roman" w:cs="Times New Roman" w:eastAsia="Times New Roman" w:hAnsi="Times New Roman"/>
          <w:sz w:val="20"/>
          <w:szCs w:val="20"/>
          <w:color w:val="auto"/>
        </w:rPr>
        <w:t>be liable to any Lenders, Issuing Banks, the Borrower or any other person or entity for following the direction of Required Lenders. At all</w:t>
      </w:r>
    </w:p>
    <w:p>
      <w:pPr>
        <w:ind w:right="140"/>
        <w:spacing w:after="0" w:line="221" w:lineRule="auto"/>
        <w:rPr>
          <w:sz w:val="20"/>
          <w:szCs w:val="20"/>
          <w:color w:val="auto"/>
        </w:rPr>
      </w:pPr>
      <w:r>
        <w:rPr>
          <w:rFonts w:ascii="Times New Roman" w:cs="Times New Roman" w:eastAsia="Times New Roman" w:hAnsi="Times New Roman"/>
          <w:sz w:val="20"/>
          <w:szCs w:val="20"/>
          <w:color w:val="auto"/>
        </w:rPr>
        <w:t>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Non-Reliance on the Agent and Other Lenders</w:t>
      </w:r>
      <w:r>
        <w:rPr>
          <w:rFonts w:ascii="Times New Roman" w:cs="Times New Roman" w:eastAsia="Times New Roman" w:hAnsi="Times New Roman"/>
          <w:sz w:val="19"/>
          <w:szCs w:val="19"/>
          <w:color w:val="auto"/>
        </w:rPr>
        <w:t>. Each Lender and each Issuing Bank expressly acknowledges that neither the</w:t>
      </w:r>
    </w:p>
    <w:p>
      <w:pPr>
        <w:ind w:right="60"/>
        <w:spacing w:after="0" w:line="215" w:lineRule="auto"/>
        <w:rPr>
          <w:sz w:val="20"/>
          <w:szCs w:val="20"/>
          <w:color w:val="auto"/>
        </w:rPr>
      </w:pPr>
      <w:r>
        <w:rPr>
          <w:rFonts w:ascii="Times New Roman" w:cs="Times New Roman" w:eastAsia="Times New Roman" w:hAnsi="Times New Roman"/>
          <w:sz w:val="19"/>
          <w:szCs w:val="19"/>
          <w:color w:val="auto"/>
        </w:rPr>
        <w:t>Agent nor any of its officers, directors, employees, agents, attorneys in fact or affiliates have made any representations or warranties to it and that no act by any Agent hereafter taken, including any review of the affairs of a Loan Party or any affiliate of a Loan Party, shall be deemed</w:t>
      </w:r>
    </w:p>
    <w:p>
      <w:pPr>
        <w:spacing w:after="0" w:line="211" w:lineRule="auto"/>
        <w:rPr>
          <w:sz w:val="20"/>
          <w:szCs w:val="20"/>
          <w:color w:val="auto"/>
        </w:rPr>
      </w:pPr>
      <w:r>
        <w:rPr>
          <w:rFonts w:ascii="Times New Roman" w:cs="Times New Roman" w:eastAsia="Times New Roman" w:hAnsi="Times New Roman"/>
          <w:sz w:val="20"/>
          <w:szCs w:val="20"/>
          <w:color w:val="auto"/>
        </w:rPr>
        <w:t>to constitute any representation or warranty by any Agent to any Lender or Issuing Bank. Each Lender and Issuing Bank represents to the</w:t>
      </w:r>
    </w:p>
    <w:p>
      <w:pPr>
        <w:ind w:right="200"/>
        <w:spacing w:after="0" w:line="215" w:lineRule="auto"/>
        <w:rPr>
          <w:sz w:val="20"/>
          <w:szCs w:val="20"/>
          <w:color w:val="auto"/>
        </w:rPr>
      </w:pPr>
      <w:r>
        <w:rPr>
          <w:rFonts w:ascii="Times New Roman" w:cs="Times New Roman" w:eastAsia="Times New Roman" w:hAnsi="Times New Roman"/>
          <w:sz w:val="19"/>
          <w:szCs w:val="19"/>
          <w:color w:val="auto"/>
        </w:rPr>
        <w:t>Agent that it has, independently and without reliance upon any Agent, any other Lender or any Issuing Bank, and based on such documents and information as it has deemed appropriate, made its own appraisal of and investigation into the business, operations, property, financial</w:t>
      </w:r>
    </w:p>
    <w:p>
      <w:pPr>
        <w:ind w:right="200"/>
        <w:spacing w:after="0" w:line="228" w:lineRule="auto"/>
        <w:rPr>
          <w:sz w:val="20"/>
          <w:szCs w:val="20"/>
          <w:color w:val="auto"/>
        </w:rPr>
      </w:pPr>
      <w:r>
        <w:rPr>
          <w:rFonts w:ascii="Times New Roman" w:cs="Times New Roman" w:eastAsia="Times New Roman" w:hAnsi="Times New Roman"/>
          <w:sz w:val="20"/>
          <w:szCs w:val="20"/>
          <w:color w:val="auto"/>
        </w:rPr>
        <w:t>and other condition and creditworthiness of the Loan Parties and their affiliates and made its own decision to make its Loans hereunder and enter into this Agreement. Each Lender and Issuing Bank also represents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5" w:right="33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20"/>
          <w:szCs w:val="20"/>
          <w:color w:val="auto"/>
        </w:rPr>
        <w:t>will, independently and without reliance upon any Agent, any other Lender or any Issuing Bank, and based on such documents and</w:t>
      </w:r>
    </w:p>
    <w:p>
      <w:pPr>
        <w:ind w:right="100"/>
        <w:spacing w:after="0" w:line="215" w:lineRule="auto"/>
        <w:rPr>
          <w:sz w:val="20"/>
          <w:szCs w:val="20"/>
          <w:color w:val="auto"/>
        </w:rPr>
      </w:pPr>
      <w:r>
        <w:rPr>
          <w:rFonts w:ascii="Times New Roman" w:cs="Times New Roman" w:eastAsia="Times New Roman" w:hAnsi="Times New Roman"/>
          <w:sz w:val="19"/>
          <w:szCs w:val="19"/>
          <w:color w:val="auto"/>
        </w:rPr>
        <w:t>information as it shall deem appropriate at the time, continue to make its own credit analysis, appraisals and decisions in taking or not taking action under this Agreement and the other Loan Documents, and to make such investigation as it deems necessary to inform itself as to the</w:t>
      </w:r>
    </w:p>
    <w:p>
      <w:pPr>
        <w:spacing w:after="0" w:line="211" w:lineRule="auto"/>
        <w:rPr>
          <w:sz w:val="20"/>
          <w:szCs w:val="20"/>
          <w:color w:val="auto"/>
        </w:rPr>
      </w:pPr>
      <w:r>
        <w:rPr>
          <w:rFonts w:ascii="Times New Roman" w:cs="Times New Roman" w:eastAsia="Times New Roman" w:hAnsi="Times New Roman"/>
          <w:sz w:val="20"/>
          <w:szCs w:val="20"/>
          <w:color w:val="auto"/>
        </w:rPr>
        <w:t>business, operations, property, financial and other condition and creditworthiness of the Loan Parties and their affiliates. Except for notices,</w:t>
      </w:r>
    </w:p>
    <w:p>
      <w:pPr>
        <w:ind w:right="80"/>
        <w:spacing w:after="0" w:line="215" w:lineRule="auto"/>
        <w:rPr>
          <w:sz w:val="20"/>
          <w:szCs w:val="20"/>
          <w:color w:val="auto"/>
        </w:rPr>
      </w:pPr>
      <w:r>
        <w:rPr>
          <w:rFonts w:ascii="Times New Roman" w:cs="Times New Roman" w:eastAsia="Times New Roman" w:hAnsi="Times New Roman"/>
          <w:sz w:val="19"/>
          <w:szCs w:val="19"/>
          <w:color w:val="auto"/>
        </w:rPr>
        <w:t>reports and other documents expressly required to be furnished to the Lenders and Issuing Banks by the Administrative Agent hereunder, the Administrative Agent shall not have any duty or responsibility to provide any Lender or Issuing Bank with any credit or other information</w:t>
      </w:r>
    </w:p>
    <w:p>
      <w:pPr>
        <w:spacing w:after="0" w:line="211" w:lineRule="auto"/>
        <w:rPr>
          <w:sz w:val="20"/>
          <w:szCs w:val="20"/>
          <w:color w:val="auto"/>
        </w:rPr>
      </w:pPr>
      <w:r>
        <w:rPr>
          <w:rFonts w:ascii="Times New Roman" w:cs="Times New Roman" w:eastAsia="Times New Roman" w:hAnsi="Times New Roman"/>
          <w:sz w:val="20"/>
          <w:szCs w:val="20"/>
          <w:color w:val="auto"/>
        </w:rPr>
        <w:t>concerning the business, operations, property, condition (financial or otherwise), prospects or creditworthiness of any Loan Party or any</w:t>
      </w:r>
    </w:p>
    <w:p>
      <w:pPr>
        <w:ind w:right="280"/>
        <w:spacing w:after="0" w:line="221" w:lineRule="auto"/>
        <w:rPr>
          <w:sz w:val="20"/>
          <w:szCs w:val="20"/>
          <w:color w:val="auto"/>
        </w:rPr>
      </w:pPr>
      <w:r>
        <w:rPr>
          <w:rFonts w:ascii="Times New Roman" w:cs="Times New Roman" w:eastAsia="Times New Roman" w:hAnsi="Times New Roman"/>
          <w:sz w:val="20"/>
          <w:szCs w:val="20"/>
          <w:color w:val="auto"/>
        </w:rPr>
        <w:t>affiliate of a Loan Party that may come into the possession of the Administrative Agent or any of its officers, directors, employees, agents, attorneys in fact or affiliates.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To the extent the Borrower fails to pay any amount required to be paid by it to the Administrative Agent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any other agent under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the Lenders and Issuing Banks severally agree to indemnify the Agent in its capacity as such (to the extent not reimbursed by the Borrower and without limiting the obligation of the Borrower to do so), ratably according to their respective Revolving</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Loan Percentage in effect on the date on which indemnification is sought under this </w:t>
      </w:r>
      <w:r>
        <w:rPr>
          <w:rFonts w:ascii="Times New Roman" w:cs="Times New Roman" w:eastAsia="Times New Roman" w:hAnsi="Times New Roman"/>
          <w:sz w:val="19"/>
          <w:szCs w:val="19"/>
          <w:u w:val="single" w:color="auto"/>
          <w:color w:val="auto"/>
        </w:rPr>
        <w:t>Section 8.7</w:t>
      </w:r>
      <w:r>
        <w:rPr>
          <w:rFonts w:ascii="Times New Roman" w:cs="Times New Roman" w:eastAsia="Times New Roman" w:hAnsi="Times New Roman"/>
          <w:sz w:val="19"/>
          <w:szCs w:val="19"/>
          <w:color w:val="auto"/>
        </w:rPr>
        <w:t xml:space="preserve"> (or, if indemnification is sought after the date</w:t>
      </w:r>
    </w:p>
    <w:p>
      <w:pPr>
        <w:ind w:right="280"/>
        <w:spacing w:after="0" w:line="215" w:lineRule="auto"/>
        <w:rPr>
          <w:sz w:val="20"/>
          <w:szCs w:val="20"/>
          <w:color w:val="auto"/>
        </w:rPr>
      </w:pPr>
      <w:r>
        <w:rPr>
          <w:rFonts w:ascii="Times New Roman" w:cs="Times New Roman" w:eastAsia="Times New Roman" w:hAnsi="Times New Roman"/>
          <w:sz w:val="19"/>
          <w:szCs w:val="19"/>
          <w:color w:val="auto"/>
        </w:rPr>
        <w:t>upon which the Commitments shall have terminated and the Loans shall have been paid in full, ratably in accordance with such Revolving Loan Percentage immediately prior to such date), from and against any and all liabilities, obligations, losses, damages, penalties, actions,</w:t>
      </w:r>
    </w:p>
    <w:p>
      <w:pPr>
        <w:spacing w:after="0" w:line="211" w:lineRule="auto"/>
        <w:rPr>
          <w:sz w:val="20"/>
          <w:szCs w:val="20"/>
          <w:color w:val="auto"/>
        </w:rPr>
      </w:pPr>
      <w:r>
        <w:rPr>
          <w:rFonts w:ascii="Times New Roman" w:cs="Times New Roman" w:eastAsia="Times New Roman" w:hAnsi="Times New Roman"/>
          <w:sz w:val="20"/>
          <w:szCs w:val="20"/>
          <w:color w:val="auto"/>
        </w:rPr>
        <w:t>judgments, suits, costs, expenses or disbursements of any kind whatsoever that may at any time (whether before or after the payment of the</w:t>
      </w:r>
    </w:p>
    <w:p>
      <w:pPr>
        <w:spacing w:after="0" w:line="215" w:lineRule="auto"/>
        <w:rPr>
          <w:sz w:val="20"/>
          <w:szCs w:val="20"/>
          <w:color w:val="auto"/>
        </w:rPr>
      </w:pPr>
      <w:r>
        <w:rPr>
          <w:rFonts w:ascii="Times New Roman" w:cs="Times New Roman" w:eastAsia="Times New Roman" w:hAnsi="Times New Roman"/>
          <w:sz w:val="19"/>
          <w:szCs w:val="19"/>
          <w:color w:val="auto"/>
        </w:rPr>
        <w:t>Loans) be imposed on, incurred by or asserted against such Agent, in any way relating to or arising out of, the Commitments, this Agreement, any of the other Loan Documents or any documents contemplated by or referred to herein or therein or the transactions contemplated hereby</w:t>
      </w: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or thereby or any action taken or omitted by such Agent under or in connection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 the payment of any portion of such liabilities, obligations, losses, damages, penalties, actions, judgments, suits, costs, expenses or</w:t>
      </w:r>
    </w:p>
    <w:p>
      <w:pPr>
        <w:spacing w:after="0" w:line="211" w:lineRule="auto"/>
        <w:rPr>
          <w:sz w:val="20"/>
          <w:szCs w:val="20"/>
          <w:color w:val="auto"/>
        </w:rPr>
      </w:pPr>
      <w:r>
        <w:rPr>
          <w:rFonts w:ascii="Times New Roman" w:cs="Times New Roman" w:eastAsia="Times New Roman" w:hAnsi="Times New Roman"/>
          <w:sz w:val="20"/>
          <w:szCs w:val="20"/>
          <w:color w:val="auto"/>
        </w:rPr>
        <w:t>disbursements that are found by a final and nonappealable decision of a court of competent jurisdiction to have resulted from such Agent’s,</w:t>
      </w:r>
    </w:p>
    <w:p>
      <w:pPr>
        <w:ind w:right="440"/>
        <w:spacing w:after="0" w:line="221" w:lineRule="auto"/>
        <w:rPr>
          <w:sz w:val="20"/>
          <w:szCs w:val="20"/>
          <w:color w:val="auto"/>
        </w:rPr>
      </w:pPr>
      <w:r>
        <w:rPr>
          <w:rFonts w:ascii="Times New Roman" w:cs="Times New Roman" w:eastAsia="Times New Roman" w:hAnsi="Times New Roman"/>
          <w:sz w:val="20"/>
          <w:szCs w:val="20"/>
          <w:color w:val="auto"/>
        </w:rPr>
        <w:t xml:space="preserve">gross negligence or willful misconduct. The agreements in this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shall survive the payment of the Loans and all other amounts payable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Agent in its Individual Capacity</w:t>
      </w:r>
      <w:r>
        <w:rPr>
          <w:rFonts w:ascii="Times New Roman" w:cs="Times New Roman" w:eastAsia="Times New Roman" w:hAnsi="Times New Roman"/>
          <w:sz w:val="19"/>
          <w:szCs w:val="19"/>
          <w:color w:val="auto"/>
        </w:rPr>
        <w:t>. The Agent and its affiliates may make loans to, accept deposits from and generally engage</w:t>
      </w:r>
    </w:p>
    <w:p>
      <w:pPr>
        <w:ind w:right="120"/>
        <w:spacing w:after="0" w:line="215" w:lineRule="auto"/>
        <w:rPr>
          <w:sz w:val="20"/>
          <w:szCs w:val="20"/>
          <w:color w:val="auto"/>
        </w:rPr>
      </w:pPr>
      <w:r>
        <w:rPr>
          <w:rFonts w:ascii="Times New Roman" w:cs="Times New Roman" w:eastAsia="Times New Roman" w:hAnsi="Times New Roman"/>
          <w:sz w:val="19"/>
          <w:szCs w:val="19"/>
          <w:color w:val="auto"/>
        </w:rPr>
        <w:t>in any kind of business with any Loan Party as though such Agent were not an Agent. With respect to its Loans made or renewed by it, the Agent shall have the same rights and powers under this Agreement and the other Loan Documents as any Lender and may exercise the same</w:t>
      </w:r>
    </w:p>
    <w:p>
      <w:pPr>
        <w:spacing w:after="0"/>
        <w:rPr>
          <w:sz w:val="20"/>
          <w:szCs w:val="20"/>
          <w:color w:val="auto"/>
        </w:rPr>
      </w:pPr>
      <w:r>
        <w:rPr>
          <w:rFonts w:ascii="Times New Roman" w:cs="Times New Roman" w:eastAsia="Times New Roman" w:hAnsi="Times New Roman"/>
          <w:sz w:val="20"/>
          <w:szCs w:val="20"/>
          <w:color w:val="auto"/>
        </w:rPr>
        <w:t>as though it were not an Agent, and the terms “Lender” and “Lenders” shall include the Agent.</w:t>
      </w:r>
    </w:p>
    <w:p>
      <w:pPr>
        <w:spacing w:after="0" w:line="16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30 days’ notice to the Lenders, Issuing Bank and any Loan Party. If the Administrative Agent shall resign as Administrative Agent under this Agreement and the</w:t>
      </w:r>
    </w:p>
    <w:p>
      <w:pPr>
        <w:spacing w:after="0" w:line="212" w:lineRule="auto"/>
        <w:rPr>
          <w:sz w:val="20"/>
          <w:szCs w:val="20"/>
          <w:color w:val="auto"/>
        </w:rPr>
      </w:pPr>
      <w:r>
        <w:rPr>
          <w:rFonts w:ascii="Times New Roman" w:cs="Times New Roman" w:eastAsia="Times New Roman" w:hAnsi="Times New Roman"/>
          <w:sz w:val="20"/>
          <w:szCs w:val="20"/>
          <w:color w:val="auto"/>
        </w:rPr>
        <w:t>other Loan Documents, then the Required Lenders shall appoint from among the Lenders and Issuing Banks a successor agent for the</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Lenders and Issuing Banks, which successor agent shall be subject to approval by the Borrower (which approval shall not be unreasonably withheld or delayed), whereupon such successor agent shall succeed to the rights, powers and duties of the Administrative Agent, and the</w:t>
      </w:r>
    </w:p>
    <w:p>
      <w:pPr>
        <w:spacing w:after="0" w:line="222" w:lineRule="auto"/>
        <w:rPr>
          <w:sz w:val="20"/>
          <w:szCs w:val="20"/>
          <w:color w:val="auto"/>
        </w:rPr>
      </w:pPr>
      <w:r>
        <w:rPr>
          <w:rFonts w:ascii="Times New Roman" w:cs="Times New Roman" w:eastAsia="Times New Roman" w:hAnsi="Times New Roman"/>
          <w:sz w:val="19"/>
          <w:szCs w:val="19"/>
          <w:color w:val="auto"/>
        </w:rPr>
        <w:t>term “Administrative Agent” shall mean such successor agent effective upon such appointment and approval, and the former Administrative</w:t>
      </w:r>
    </w:p>
    <w:p>
      <w:pPr>
        <w:ind w:right="80"/>
        <w:spacing w:after="0" w:line="204" w:lineRule="auto"/>
        <w:rPr>
          <w:sz w:val="20"/>
          <w:szCs w:val="20"/>
          <w:color w:val="auto"/>
        </w:rPr>
      </w:pPr>
      <w:r>
        <w:rPr>
          <w:rFonts w:ascii="Times New Roman" w:cs="Times New Roman" w:eastAsia="Times New Roman" w:hAnsi="Times New Roman"/>
          <w:sz w:val="20"/>
          <w:szCs w:val="20"/>
          <w:color w:val="auto"/>
        </w:rPr>
        <w:t>Agent’s rights, powers and duties as an Administrative Agent shall be terminated, without any other or further act or deed on the part of such former Administrative Agent or any of the parties to this Agreement or any holders of the Loans. If no successor agent has accepted</w:t>
      </w:r>
    </w:p>
    <w:p>
      <w:pPr>
        <w:spacing w:after="0" w:line="211" w:lineRule="auto"/>
        <w:rPr>
          <w:sz w:val="20"/>
          <w:szCs w:val="20"/>
          <w:color w:val="auto"/>
        </w:rPr>
      </w:pPr>
      <w:r>
        <w:rPr>
          <w:rFonts w:ascii="Times New Roman" w:cs="Times New Roman" w:eastAsia="Times New Roman" w:hAnsi="Times New Roman"/>
          <w:sz w:val="20"/>
          <w:szCs w:val="20"/>
          <w:color w:val="auto"/>
        </w:rPr>
        <w:t>appointment as an Administrative Agent by the date that is ten (10) days following the retiring Administrative Agent’s notice of resignation,</w:t>
      </w:r>
    </w:p>
    <w:p>
      <w:pPr>
        <w:spacing w:after="0" w:line="1" w:lineRule="exact"/>
        <w:rPr>
          <w:sz w:val="20"/>
          <w:szCs w:val="20"/>
          <w:color w:val="auto"/>
        </w:rPr>
      </w:pPr>
    </w:p>
    <w:p>
      <w:pPr>
        <w:ind w:right="540"/>
        <w:spacing w:after="0" w:line="215" w:lineRule="auto"/>
        <w:rPr>
          <w:sz w:val="20"/>
          <w:szCs w:val="20"/>
          <w:color w:val="auto"/>
        </w:rPr>
      </w:pPr>
      <w:r>
        <w:rPr>
          <w:rFonts w:ascii="Times New Roman" w:cs="Times New Roman" w:eastAsia="Times New Roman" w:hAnsi="Times New Roman"/>
          <w:sz w:val="19"/>
          <w:szCs w:val="19"/>
          <w:color w:val="auto"/>
        </w:rPr>
        <w:t>the retiring Administrative Agent’s resignation shall nevertheless thereupon become effective, and the Lenders and Issuing Banks shall assume and perform all of the duties of the Administrative Agent hereunder until such time, if any, as the Required Lenders appoint a</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successor agent as provided for above. After the retiring Administrative Agent’s resignation, the provisions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9.5</w:t>
      </w:r>
    </w:p>
    <w:p>
      <w:pPr>
        <w:ind w:right="160"/>
        <w:spacing w:after="0" w:line="221" w:lineRule="auto"/>
        <w:rPr>
          <w:sz w:val="20"/>
          <w:szCs w:val="20"/>
          <w:color w:val="auto"/>
        </w:rPr>
      </w:pPr>
      <w:r>
        <w:rPr>
          <w:rFonts w:ascii="Times New Roman" w:cs="Times New Roman" w:eastAsia="Times New Roman" w:hAnsi="Times New Roman"/>
          <w:sz w:val="20"/>
          <w:szCs w:val="20"/>
          <w:color w:val="auto"/>
        </w:rPr>
        <w:t>shall inure to its benefit as to any actions taken or omitted to be taken by it while it was Administrative Agent under this Agreement and the other Loan Documents.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4" w:right="339" w:bottom="1440" w:gutter="0" w:footer="0" w:header="0"/>
        </w:sectPr>
      </w:pPr>
    </w:p>
    <w:bookmarkStart w:id="634" w:name="page635"/>
    <w:bookmarkEnd w:id="634"/>
    <w:p>
      <w:pPr>
        <w:ind w:left="520"/>
        <w:spacing w:after="0"/>
        <w:tabs>
          <w:tab w:leader="none" w:pos="112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20"/>
          <w:szCs w:val="20"/>
          <w:u w:val="single" w:color="auto"/>
          <w:color w:val="auto"/>
        </w:rPr>
        <w:t>Payments</w:t>
      </w:r>
    </w:p>
    <w:p>
      <w:pPr>
        <w:spacing w:after="0" w:line="189" w:lineRule="exact"/>
        <w:rPr>
          <w:sz w:val="20"/>
          <w:szCs w:val="20"/>
          <w:color w:val="auto"/>
        </w:rPr>
      </w:pPr>
    </w:p>
    <w:p>
      <w:pPr>
        <w:ind w:left="-140" w:firstLine="656"/>
        <w:spacing w:after="0" w:line="210" w:lineRule="auto"/>
        <w:tabs>
          <w:tab w:leader="none" w:pos="1146" w:val="left"/>
        </w:tabs>
        <w:numPr>
          <w:ilvl w:val="0"/>
          <w:numId w:val="8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or Issuing Bank, or any Person who has received funds on behalf of a Lender or Issuing Bank (any such Lender, Issuing Bank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such Lender or Issuing Bank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7" w:lineRule="exact"/>
        <w:rPr>
          <w:rFonts w:ascii="Times New Roman" w:cs="Times New Roman" w:eastAsia="Times New Roman" w:hAnsi="Times New Roman"/>
          <w:sz w:val="20"/>
          <w:szCs w:val="20"/>
          <w:color w:val="auto"/>
        </w:rPr>
      </w:pPr>
    </w:p>
    <w:p>
      <w:pPr>
        <w:ind w:left="-140" w:right="260" w:firstLine="656"/>
        <w:spacing w:after="0" w:line="227" w:lineRule="auto"/>
        <w:tabs>
          <w:tab w:leader="none" w:pos="1144" w:val="left"/>
        </w:tabs>
        <w:numPr>
          <w:ilvl w:val="0"/>
          <w:numId w:val="8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(y) that was not preceded or accompanied by a Payment Notice, or (z) that such Payment Recipient otherwise becomes aware was transmitted, or received, in error or by mistake (in whole or in part) in each case:</w:t>
      </w:r>
    </w:p>
    <w:p>
      <w:pPr>
        <w:spacing w:after="0" w:line="150" w:lineRule="exact"/>
        <w:rPr>
          <w:rFonts w:ascii="Times New Roman" w:cs="Times New Roman" w:eastAsia="Times New Roman" w:hAnsi="Times New Roman"/>
          <w:sz w:val="19"/>
          <w:szCs w:val="19"/>
          <w:color w:val="auto"/>
        </w:rPr>
      </w:pPr>
    </w:p>
    <w:p>
      <w:pPr>
        <w:ind w:left="520" w:right="100" w:firstLine="644"/>
        <w:spacing w:after="0"/>
        <w:tabs>
          <w:tab w:leader="none" w:pos="1814" w:val="left"/>
        </w:tabs>
        <w:numPr>
          <w:ilvl w:val="1"/>
          <w:numId w:val="8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error may have been made (in the case of immediately preceding clauses (x) or (y)) or an error has been made (in the case of immediately preceding clause (z)) with respect to such payment, prepayment or repayment; and</w:t>
      </w:r>
    </w:p>
    <w:p>
      <w:pPr>
        <w:spacing w:after="0" w:line="161" w:lineRule="exact"/>
        <w:rPr>
          <w:rFonts w:ascii="Times New Roman" w:cs="Times New Roman" w:eastAsia="Times New Roman" w:hAnsi="Times New Roman"/>
          <w:sz w:val="20"/>
          <w:szCs w:val="20"/>
          <w:color w:val="auto"/>
        </w:rPr>
      </w:pPr>
    </w:p>
    <w:p>
      <w:pPr>
        <w:ind w:left="520" w:right="160" w:firstLine="644"/>
        <w:spacing w:after="0" w:line="226" w:lineRule="auto"/>
        <w:tabs>
          <w:tab w:leader="none" w:pos="1815" w:val="left"/>
        </w:tabs>
        <w:numPr>
          <w:ilvl w:val="1"/>
          <w:numId w:val="8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160" w:lineRule="exact"/>
        <w:rPr>
          <w:rFonts w:ascii="Times New Roman" w:cs="Times New Roman" w:eastAsia="Times New Roman" w:hAnsi="Times New Roman"/>
          <w:sz w:val="20"/>
          <w:szCs w:val="20"/>
          <w:color w:val="auto"/>
        </w:rPr>
      </w:pPr>
    </w:p>
    <w:p>
      <w:pPr>
        <w:ind w:left="-140" w:right="40" w:firstLine="656"/>
        <w:spacing w:after="0" w:line="222" w:lineRule="auto"/>
        <w:tabs>
          <w:tab w:leader="none" w:pos="1146" w:val="left"/>
        </w:tabs>
        <w:numPr>
          <w:ilvl w:val="0"/>
          <w:numId w:val="8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from any source, against any amount due to the Administrative Agent under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under the indemnification provisions of this Agreement.</w:t>
      </w:r>
    </w:p>
    <w:p>
      <w:pPr>
        <w:spacing w:after="0" w:line="148" w:lineRule="exact"/>
        <w:rPr>
          <w:rFonts w:ascii="Times New Roman" w:cs="Times New Roman" w:eastAsia="Times New Roman" w:hAnsi="Times New Roman"/>
          <w:sz w:val="20"/>
          <w:szCs w:val="20"/>
          <w:color w:val="auto"/>
        </w:rPr>
      </w:pPr>
    </w:p>
    <w:p>
      <w:pPr>
        <w:ind w:left="-140" w:firstLine="656"/>
        <w:spacing w:after="0" w:line="214" w:lineRule="auto"/>
        <w:tabs>
          <w:tab w:leader="none" w:pos="1144" w:val="left"/>
        </w:tabs>
        <w:numPr>
          <w:ilvl w:val="0"/>
          <w:numId w:val="8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from any Lender or Issuing Bank that has received such Erroneous Payment (or portion thereof) (or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request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in an amount equal to the Erroneous Payment Return Deficiency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00"/>
          </w:cols>
          <w:pgMar w:left="460" w:top="1400" w:right="33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20"/>
          <w:szCs w:val="20"/>
          <w:color w:val="auto"/>
        </w:rPr>
        <w:t>instance), and is hereby (together with the Borrower) deemed to execute and deliver an Assignment and Acceptance (or, to the extent</w:t>
      </w:r>
    </w:p>
    <w:p>
      <w:pPr>
        <w:spacing w:after="0" w:line="215" w:lineRule="auto"/>
        <w:rPr>
          <w:sz w:val="20"/>
          <w:szCs w:val="20"/>
          <w:color w:val="auto"/>
        </w:rPr>
      </w:pPr>
      <w:r>
        <w:rPr>
          <w:rFonts w:ascii="Times New Roman" w:cs="Times New Roman" w:eastAsia="Times New Roman" w:hAnsi="Times New Roman"/>
          <w:sz w:val="19"/>
          <w:szCs w:val="19"/>
          <w:color w:val="auto"/>
        </w:rPr>
        <w:t>applicable, an agreement incorporating an Assignment and Assumption by reference pursuant to an approved electronic platform as to which the Administrative Agent and such parties are participants) with respect to such Erroneous Payment Deficiency Assignment, and such Lender</w:t>
      </w:r>
    </w:p>
    <w:p>
      <w:pPr>
        <w:spacing w:after="0" w:line="222" w:lineRule="auto"/>
        <w:rPr>
          <w:sz w:val="20"/>
          <w:szCs w:val="20"/>
          <w:color w:val="auto"/>
        </w:rPr>
      </w:pPr>
      <w:r>
        <w:rPr>
          <w:rFonts w:ascii="Times New Roman" w:cs="Times New Roman" w:eastAsia="Times New Roman" w:hAnsi="Times New Roman"/>
          <w:sz w:val="19"/>
          <w:szCs w:val="19"/>
          <w:color w:val="auto"/>
        </w:rPr>
        <w:t>or Issuing Bank shall deliver any Notes evidencing such Loans to the Borrower or the Administrative Agent, (ii) the Administrative Agent as</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assignee Lender shall be deemed to acquire the Erroneous Payment Deficiency Assignment, (iii) upon such deemed acquisition, the Administrative Agent as the assignee Lender shall become a Lender or Issuing Bank, as applicable, hereunder with respect to such Erroneous</w:t>
      </w:r>
    </w:p>
    <w:p>
      <w:pPr>
        <w:spacing w:after="0" w:line="211" w:lineRule="auto"/>
        <w:rPr>
          <w:sz w:val="20"/>
          <w:szCs w:val="20"/>
          <w:color w:val="auto"/>
        </w:rPr>
      </w:pPr>
      <w:r>
        <w:rPr>
          <w:rFonts w:ascii="Times New Roman" w:cs="Times New Roman" w:eastAsia="Times New Roman" w:hAnsi="Times New Roman"/>
          <w:sz w:val="20"/>
          <w:szCs w:val="20"/>
          <w:color w:val="auto"/>
        </w:rPr>
        <w:t>Payment Deficiency Assignment and the assigning Lender or assigning Issuing Bank shall cease to be a Lender or Issuing Bank, as</w:t>
      </w:r>
    </w:p>
    <w:p>
      <w:pPr>
        <w:ind w:right="80"/>
        <w:spacing w:after="0" w:line="215" w:lineRule="auto"/>
        <w:rPr>
          <w:sz w:val="20"/>
          <w:szCs w:val="20"/>
          <w:color w:val="auto"/>
        </w:rPr>
      </w:pPr>
      <w:r>
        <w:rPr>
          <w:rFonts w:ascii="Times New Roman" w:cs="Times New Roman" w:eastAsia="Times New Roman" w:hAnsi="Times New Roman"/>
          <w:sz w:val="19"/>
          <w:szCs w:val="19"/>
          <w:color w:val="auto"/>
        </w:rPr>
        <w:t>applicable, hereunder with respect to such Erroneous Payment Deficiency Assignment, excluding, for the avoidance of doubt, its obligations under the indemnification provisions of this Agreement and its applicable Commitments which shall survive as to such assigning Lender or</w:t>
      </w:r>
    </w:p>
    <w:p>
      <w:pPr>
        <w:spacing w:after="0" w:line="222" w:lineRule="auto"/>
        <w:rPr>
          <w:sz w:val="20"/>
          <w:szCs w:val="20"/>
          <w:color w:val="auto"/>
        </w:rPr>
      </w:pPr>
      <w:r>
        <w:rPr>
          <w:rFonts w:ascii="Times New Roman" w:cs="Times New Roman" w:eastAsia="Times New Roman" w:hAnsi="Times New Roman"/>
          <w:sz w:val="19"/>
          <w:szCs w:val="19"/>
          <w:color w:val="auto"/>
        </w:rPr>
        <w:t>assigning Issuing Bank and (iv) the Administrative Agent may reflect in the Register its ownership interest in the Revolving Loans subject to</w:t>
      </w:r>
    </w:p>
    <w:p>
      <w:pPr>
        <w:spacing w:after="0" w:line="215" w:lineRule="auto"/>
        <w:rPr>
          <w:sz w:val="20"/>
          <w:szCs w:val="20"/>
          <w:color w:val="auto"/>
        </w:rPr>
      </w:pPr>
      <w:r>
        <w:rPr>
          <w:rFonts w:ascii="Times New Roman" w:cs="Times New Roman" w:eastAsia="Times New Roman" w:hAnsi="Times New Roman"/>
          <w:sz w:val="19"/>
          <w:szCs w:val="19"/>
          <w:color w:val="auto"/>
        </w:rPr>
        <w:t>the Erroneous Payment Deficiency Assignment. The Administrative Agent may, in its discretion, sell any Revolving Loans acquired pursuant to an Erroneous Payment Deficiency Assignment and upon receipt of the proceeds of such sale, the Erroneous Payment Return Deficiency</w:t>
      </w:r>
    </w:p>
    <w:p>
      <w:pPr>
        <w:spacing w:after="0" w:line="211" w:lineRule="auto"/>
        <w:rPr>
          <w:sz w:val="20"/>
          <w:szCs w:val="20"/>
          <w:color w:val="auto"/>
        </w:rPr>
      </w:pPr>
      <w:r>
        <w:rPr>
          <w:rFonts w:ascii="Times New Roman" w:cs="Times New Roman" w:eastAsia="Times New Roman" w:hAnsi="Times New Roman"/>
          <w:sz w:val="20"/>
          <w:szCs w:val="20"/>
          <w:color w:val="auto"/>
        </w:rPr>
        <w:t>owing by the applicable Lender shall be reduced by the net proceeds of the sale of such Revolving Loan (or portion thereof), and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shall retain all other rights, remedies and claims against such lender (and/or against any recipient that receives funds on its respective behalf). For the avoidance of doubt, no Erroneous Payment Deficiency Assignment will reduce the Commitments of any</w:t>
      </w:r>
    </w:p>
    <w:p>
      <w:pPr>
        <w:spacing w:after="0" w:line="211" w:lineRule="auto"/>
        <w:rPr>
          <w:sz w:val="20"/>
          <w:szCs w:val="20"/>
          <w:color w:val="auto"/>
        </w:rPr>
      </w:pPr>
      <w:r>
        <w:rPr>
          <w:rFonts w:ascii="Times New Roman" w:cs="Times New Roman" w:eastAsia="Times New Roman" w:hAnsi="Times New Roman"/>
          <w:sz w:val="20"/>
          <w:szCs w:val="20"/>
          <w:color w:val="auto"/>
        </w:rPr>
        <w:t>Lender or Issuing Bank and such Commitments shall remain available in accordance with the terms of this Agreement. In addition, each</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party hereto agrees that, except to the extent that the Administrative Agent has sold a Revolving Loan (or portion thereof) acquired pursuant to an Erroneous Payment Deficiency Assignment, and irrespective of whether the Administrative Agent may be equitably subrogated, the</w:t>
      </w:r>
    </w:p>
    <w:p>
      <w:pPr>
        <w:ind w:right="380"/>
        <w:spacing w:after="0" w:line="221" w:lineRule="auto"/>
        <w:rPr>
          <w:sz w:val="20"/>
          <w:szCs w:val="20"/>
          <w:color w:val="auto"/>
        </w:rPr>
      </w:pPr>
      <w:r>
        <w:rPr>
          <w:rFonts w:ascii="Times New Roman" w:cs="Times New Roman" w:eastAsia="Times New Roman" w:hAnsi="Times New Roman"/>
          <w:sz w:val="20"/>
          <w:szCs w:val="20"/>
          <w:color w:val="auto"/>
        </w:rPr>
        <w:t>Administrative Agent shall be contractually subrogated to all the rights and interests of the applicable Lender under the Loan Documents with respect to each Erroneous Payment Return Deficiency.</w:t>
      </w:r>
    </w:p>
    <w:p>
      <w:pPr>
        <w:spacing w:after="0" w:line="162" w:lineRule="exact"/>
        <w:rPr>
          <w:sz w:val="20"/>
          <w:szCs w:val="20"/>
          <w:color w:val="auto"/>
        </w:rPr>
      </w:pPr>
    </w:p>
    <w:p>
      <w:pPr>
        <w:ind w:right="20" w:firstLine="656"/>
        <w:spacing w:after="0" w:line="222" w:lineRule="auto"/>
        <w:tabs>
          <w:tab w:leader="none" w:pos="1286" w:val="left"/>
        </w:tabs>
        <w:numPr>
          <w:ilvl w:val="0"/>
          <w:numId w:val="8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8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8" w:lineRule="exact"/>
        <w:rPr>
          <w:rFonts w:ascii="Times New Roman" w:cs="Times New Roman" w:eastAsia="Times New Roman" w:hAnsi="Times New Roman"/>
          <w:sz w:val="20"/>
          <w:szCs w:val="20"/>
          <w:color w:val="auto"/>
        </w:rPr>
      </w:pPr>
    </w:p>
    <w:p>
      <w:pPr>
        <w:ind w:right="140" w:firstLine="656"/>
        <w:spacing w:after="0" w:line="230" w:lineRule="auto"/>
        <w:tabs>
          <w:tab w:leader="none" w:pos="1284" w:val="left"/>
        </w:tabs>
        <w:numPr>
          <w:ilvl w:val="0"/>
          <w:numId w:val="8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agreements and waivers under this Section 8.11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19"/>
          <w:szCs w:val="19"/>
          <w:u w:val="single" w:color="auto"/>
          <w:color w:val="auto"/>
        </w:rPr>
        <w:t>Other Terms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300" w:firstLine="656"/>
        <w:spacing w:after="0"/>
        <w:tabs>
          <w:tab w:leader="none" w:pos="1286" w:val="left"/>
        </w:tabs>
        <w:numPr>
          <w:ilvl w:val="0"/>
          <w:numId w:val="8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take any action or refuse to take any action which the Administrative Agent regards as necessary for the Administrative Agent to comply with any applicable law, regulation or court order.</w:t>
      </w:r>
    </w:p>
    <w:p>
      <w:pPr>
        <w:spacing w:after="0" w:line="147" w:lineRule="exact"/>
        <w:rPr>
          <w:rFonts w:ascii="Times New Roman" w:cs="Times New Roman" w:eastAsia="Times New Roman" w:hAnsi="Times New Roman"/>
          <w:sz w:val="20"/>
          <w:szCs w:val="20"/>
          <w:color w:val="auto"/>
        </w:rPr>
      </w:pPr>
    </w:p>
    <w:p>
      <w:pPr>
        <w:ind w:right="280" w:firstLine="656"/>
        <w:spacing w:after="0" w:line="222" w:lineRule="auto"/>
        <w:tabs>
          <w:tab w:leader="none" w:pos="1284" w:val="left"/>
        </w:tabs>
        <w:numPr>
          <w:ilvl w:val="0"/>
          <w:numId w:val="8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each reference to any discretion of the Administrative Agent herein or to any action that is required to be satisfactory to any Administrative Agent or determined by any Administrative Agent, shall be deemed to refer to the Administrative Agent taking direction from the Lenders or the Required Lenders with respect to such discretion or approval, as applicable.</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Enforcement by the Administrative Agent</w:t>
      </w:r>
      <w:r>
        <w:rPr>
          <w:rFonts w:ascii="Times New Roman" w:cs="Times New Roman" w:eastAsia="Times New Roman" w:hAnsi="Times New Roman"/>
          <w:sz w:val="20"/>
          <w:szCs w:val="20"/>
          <w:color w:val="auto"/>
        </w:rPr>
        <w:t xml:space="preserve"> . All rights of action under this Agreement and under the Notes hereunder may be enforced by the Administrative Agent and any suit or proceeding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20"/>
          </w:cols>
          <w:pgMar w:left="320" w:top="1394" w:right="35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20"/>
          <w:szCs w:val="20"/>
          <w:color w:val="auto"/>
        </w:rPr>
        <w:t>by the Administrative Agent in furtherance of such enforcement shall be brought in its name as Administrative Agent without the necessity</w:t>
      </w:r>
    </w:p>
    <w:p>
      <w:pPr>
        <w:ind w:right="20"/>
        <w:spacing w:after="0" w:line="221" w:lineRule="auto"/>
        <w:rPr>
          <w:sz w:val="20"/>
          <w:szCs w:val="20"/>
          <w:color w:val="auto"/>
        </w:rPr>
      </w:pPr>
      <w:r>
        <w:rPr>
          <w:rFonts w:ascii="Times New Roman" w:cs="Times New Roman" w:eastAsia="Times New Roman" w:hAnsi="Times New Roman"/>
          <w:sz w:val="20"/>
          <w:szCs w:val="20"/>
          <w:color w:val="auto"/>
        </w:rPr>
        <w:t>of joining as plaintiffs or defendants any other Lenders or Issuing Banks, and the recovery of any judgment shall be for the benefit of Lenders and Issuing Banks subject to the expenses of the Administrative Agent.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Withholding Tax</w:t>
      </w:r>
      <w:r>
        <w:rPr>
          <w:rFonts w:ascii="Times New Roman" w:cs="Times New Roman" w:eastAsia="Times New Roman" w:hAnsi="Times New Roman"/>
          <w:sz w:val="19"/>
          <w:szCs w:val="19"/>
          <w:color w:val="auto"/>
        </w:rPr>
        <w:t>. Each Lender and Issuing Bank shall severally indemnify the Administrative Agent, within 10 days after</w:t>
      </w:r>
    </w:p>
    <w:p>
      <w:pPr>
        <w:ind w:right="200"/>
        <w:spacing w:after="0" w:line="215" w:lineRule="auto"/>
        <w:rPr>
          <w:sz w:val="20"/>
          <w:szCs w:val="20"/>
          <w:color w:val="auto"/>
        </w:rPr>
      </w:pPr>
      <w:r>
        <w:rPr>
          <w:rFonts w:ascii="Times New Roman" w:cs="Times New Roman" w:eastAsia="Times New Roman" w:hAnsi="Times New Roman"/>
          <w:sz w:val="19"/>
          <w:szCs w:val="19"/>
          <w:color w:val="auto"/>
        </w:rPr>
        <w:t>demand therefor, for (i) any Non-Excluded Taxes or Other Taxes attributable to such Lender or Issuing Bank (but only to the extent that the Borrower has not already indemnified the Administrative Agent for such Non-Excluded Taxes or Other Taxes and without limiting the</w:t>
      </w:r>
    </w:p>
    <w:p>
      <w:pPr>
        <w:spacing w:after="0" w:line="211" w:lineRule="auto"/>
        <w:rPr>
          <w:sz w:val="20"/>
          <w:szCs w:val="20"/>
          <w:color w:val="auto"/>
        </w:rPr>
      </w:pPr>
      <w:r>
        <w:rPr>
          <w:rFonts w:ascii="Times New Roman" w:cs="Times New Roman" w:eastAsia="Times New Roman" w:hAnsi="Times New Roman"/>
          <w:sz w:val="20"/>
          <w:szCs w:val="20"/>
          <w:color w:val="auto"/>
        </w:rPr>
        <w:t>obligation of the Borrower to do so), (ii) any Taxes attributable to such Lender or Issuing Bank’s failure to comply with the provisions of</w:t>
      </w:r>
    </w:p>
    <w:p>
      <w:pPr>
        <w:ind w:right="100"/>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or Issuing Bank, in each case, that are payable or paid by the Administrative Agent in connection with any Loan Document, and any reasonable expenses</w:t>
      </w:r>
    </w:p>
    <w:p>
      <w:pPr>
        <w:spacing w:after="0" w:line="211" w:lineRule="auto"/>
        <w:rPr>
          <w:sz w:val="20"/>
          <w:szCs w:val="20"/>
          <w:color w:val="auto"/>
        </w:rPr>
      </w:pPr>
      <w:r>
        <w:rPr>
          <w:rFonts w:ascii="Times New Roman" w:cs="Times New Roman" w:eastAsia="Times New Roman" w:hAnsi="Times New Roman"/>
          <w:sz w:val="20"/>
          <w:szCs w:val="20"/>
          <w:color w:val="auto"/>
        </w:rPr>
        <w:t>arising therefrom or with respect thereto, whether or not such Taxes were correctly or legally imposed or asserted by the relevant</w:t>
      </w:r>
    </w:p>
    <w:p>
      <w:pPr>
        <w:spacing w:after="0" w:line="215" w:lineRule="auto"/>
        <w:rPr>
          <w:sz w:val="20"/>
          <w:szCs w:val="20"/>
          <w:color w:val="auto"/>
        </w:rPr>
      </w:pPr>
      <w:r>
        <w:rPr>
          <w:rFonts w:ascii="Times New Roman" w:cs="Times New Roman" w:eastAsia="Times New Roman" w:hAnsi="Times New Roman"/>
          <w:sz w:val="19"/>
          <w:szCs w:val="19"/>
          <w:color w:val="auto"/>
        </w:rPr>
        <w:t>Governmental Authority. A certificate as to the amount of such payment or liability delivered to any Lender or Issuing Bank by the Administrative Agent shall be conclusive absent manifest error. Each Lender and Issuing Bank hereby authorizes the Administrative Agent to</w:t>
      </w:r>
    </w:p>
    <w:p>
      <w:pPr>
        <w:spacing w:after="0" w:line="222" w:lineRule="auto"/>
        <w:rPr>
          <w:sz w:val="20"/>
          <w:szCs w:val="20"/>
          <w:color w:val="auto"/>
        </w:rPr>
      </w:pPr>
      <w:r>
        <w:rPr>
          <w:rFonts w:ascii="Times New Roman" w:cs="Times New Roman" w:eastAsia="Times New Roman" w:hAnsi="Times New Roman"/>
          <w:sz w:val="19"/>
          <w:szCs w:val="19"/>
          <w:color w:val="auto"/>
        </w:rPr>
        <w:t>set off and apply any and all amounts at any time owing to such Lender and Issuing Bank under this Agreement or any other Loan Document</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against any amount due to the Administrative Agent under this </w:t>
      </w:r>
      <w:r>
        <w:rPr>
          <w:rFonts w:ascii="Times New Roman" w:cs="Times New Roman" w:eastAsia="Times New Roman" w:hAnsi="Times New Roman"/>
          <w:sz w:val="19"/>
          <w:szCs w:val="19"/>
          <w:u w:val="single" w:color="auto"/>
          <w:color w:val="auto"/>
        </w:rPr>
        <w:t>Section 8.14</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Section 8.14</w:t>
      </w:r>
      <w:r>
        <w:rPr>
          <w:rFonts w:ascii="Times New Roman" w:cs="Times New Roman" w:eastAsia="Times New Roman" w:hAnsi="Times New Roman"/>
          <w:sz w:val="19"/>
          <w:szCs w:val="19"/>
          <w:color w:val="auto"/>
        </w:rPr>
        <w:t xml:space="preserve"> shall survive the resignation and/or replacement of the Administrative Agent, any assignment of rights by, or the replacement of, a Lender or Issuing Bank, the</w:t>
      </w:r>
    </w:p>
    <w:p>
      <w:pPr>
        <w:spacing w:after="0"/>
        <w:rPr>
          <w:sz w:val="20"/>
          <w:szCs w:val="20"/>
          <w:color w:val="auto"/>
        </w:rPr>
      </w:pPr>
      <w:r>
        <w:rPr>
          <w:rFonts w:ascii="Times New Roman" w:cs="Times New Roman" w:eastAsia="Times New Roman" w:hAnsi="Times New Roman"/>
          <w:sz w:val="20"/>
          <w:szCs w:val="20"/>
          <w:color w:val="auto"/>
        </w:rPr>
        <w:t>termination of this Agreement and the repayment, satisfaction or discharge of all other Obligations.</w:t>
      </w:r>
    </w:p>
    <w:p>
      <w:pPr>
        <w:spacing w:after="0" w:line="167"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 (a) Each Lender (x) represents and warrants, as of the date such Person became a Lender party hereto, to, and (y) covenants, from the date such Person became a Lender party hereto to the date such Person ceases being a Lender party</w:t>
      </w:r>
    </w:p>
    <w:p>
      <w:pPr>
        <w:ind w:right="160"/>
        <w:spacing w:after="0" w:line="221" w:lineRule="auto"/>
        <w:rPr>
          <w:sz w:val="20"/>
          <w:szCs w:val="20"/>
          <w:color w:val="auto"/>
        </w:rPr>
      </w:pPr>
      <w:r>
        <w:rPr>
          <w:rFonts w:ascii="Times New Roman" w:cs="Times New Roman" w:eastAsia="Times New Roman" w:hAnsi="Times New Roman"/>
          <w:sz w:val="20"/>
          <w:szCs w:val="20"/>
          <w:color w:val="auto"/>
        </w:rPr>
        <w:t>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75" w:lineRule="exact"/>
        <w:rPr>
          <w:sz w:val="20"/>
          <w:szCs w:val="20"/>
          <w:color w:val="auto"/>
        </w:rPr>
      </w:pPr>
    </w:p>
    <w:p>
      <w:pPr>
        <w:jc w:val="both"/>
        <w:ind w:left="660" w:right="540" w:firstLine="644"/>
        <w:spacing w:after="0" w:line="261" w:lineRule="auto"/>
        <w:tabs>
          <w:tab w:leader="none" w:pos="1544" w:val="left"/>
        </w:tabs>
        <w:numPr>
          <w:ilvl w:val="0"/>
          <w:numId w:val="8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Documentary Credits, the Commitments, or this Agreement.</w:t>
      </w:r>
    </w:p>
    <w:p>
      <w:pPr>
        <w:spacing w:after="0" w:line="208" w:lineRule="exact"/>
        <w:rPr>
          <w:rFonts w:ascii="Times New Roman" w:cs="Times New Roman" w:eastAsia="Times New Roman" w:hAnsi="Times New Roman"/>
          <w:sz w:val="20"/>
          <w:szCs w:val="20"/>
          <w:color w:val="auto"/>
        </w:rPr>
      </w:pPr>
    </w:p>
    <w:p>
      <w:pPr>
        <w:ind w:left="660" w:right="120" w:firstLine="644"/>
        <w:spacing w:after="0" w:line="251" w:lineRule="auto"/>
        <w:tabs>
          <w:tab w:leader="none" w:pos="1599" w:val="left"/>
        </w:tabs>
        <w:numPr>
          <w:ilvl w:val="0"/>
          <w:numId w:val="8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for exemptive relief thereunder are satisfied, with respect to such Lender’s entrance into, participation in, administration of and performance of the Loans, the Documentary Credits, the Commitments and this Agreement.</w:t>
      </w:r>
    </w:p>
    <w:p>
      <w:pPr>
        <w:spacing w:after="0" w:line="219" w:lineRule="exact"/>
        <w:rPr>
          <w:rFonts w:ascii="Times New Roman" w:cs="Times New Roman" w:eastAsia="Times New Roman" w:hAnsi="Times New Roman"/>
          <w:sz w:val="20"/>
          <w:szCs w:val="20"/>
          <w:color w:val="auto"/>
        </w:rPr>
      </w:pPr>
    </w:p>
    <w:p>
      <w:pPr>
        <w:ind w:left="660" w:right="60" w:firstLine="644"/>
        <w:spacing w:after="0" w:line="253" w:lineRule="auto"/>
        <w:tabs>
          <w:tab w:leader="none" w:pos="1654" w:val="left"/>
        </w:tabs>
        <w:numPr>
          <w:ilvl w:val="0"/>
          <w:numId w:val="8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Documentary Credits, the Commitments and this Agreement, (C) the entrance into, participation in, administration of and performance of the Loans, the Documentary Credits, the Commitments and this Agreement satisfies the requirements of sub-sections (b) through (g) of Part I of PTE 84-14 and (D) to the best knowledge of such Lender, the requirements of subsection (a) of Part I of PTE 84-14 are satisfied with respect to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5" w:right="339" w:bottom="1440" w:gutter="0" w:footer="0" w:header="0"/>
        </w:sectPr>
      </w:pPr>
    </w:p>
    <w:bookmarkStart w:id="637" w:name="page638"/>
    <w:bookmarkEnd w:id="637"/>
    <w:p>
      <w:pPr>
        <w:ind w:left="660" w:right="100"/>
        <w:spacing w:after="0" w:line="283" w:lineRule="auto"/>
        <w:rPr>
          <w:sz w:val="20"/>
          <w:szCs w:val="20"/>
          <w:color w:val="auto"/>
        </w:rPr>
      </w:pPr>
      <w:r>
        <w:rPr>
          <w:rFonts w:ascii="Times New Roman" w:cs="Times New Roman" w:eastAsia="Times New Roman" w:hAnsi="Times New Roman"/>
          <w:sz w:val="20"/>
          <w:szCs w:val="20"/>
          <w:color w:val="auto"/>
        </w:rPr>
        <w:t>entrance into, participation in, administration of and performance of the Loans, the Documentary Credits, the Commitments and this Agreement, or</w:t>
      </w:r>
    </w:p>
    <w:p>
      <w:pPr>
        <w:spacing w:after="0" w:line="173" w:lineRule="exact"/>
        <w:rPr>
          <w:sz w:val="20"/>
          <w:szCs w:val="20"/>
          <w:color w:val="auto"/>
        </w:rPr>
      </w:pPr>
    </w:p>
    <w:p>
      <w:pPr>
        <w:ind w:left="660" w:firstLine="644"/>
        <w:spacing w:after="0" w:line="283" w:lineRule="auto"/>
        <w:tabs>
          <w:tab w:leader="none" w:pos="1654" w:val="left"/>
        </w:tabs>
        <w:numPr>
          <w:ilvl w:val="1"/>
          <w:numId w:val="8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73" w:lineRule="exact"/>
        <w:rPr>
          <w:rFonts w:ascii="Times New Roman" w:cs="Times New Roman" w:eastAsia="Times New Roman" w:hAnsi="Times New Roman"/>
          <w:sz w:val="20"/>
          <w:szCs w:val="20"/>
          <w:color w:val="auto"/>
        </w:rPr>
      </w:pPr>
    </w:p>
    <w:p>
      <w:pPr>
        <w:ind w:right="20" w:firstLine="656"/>
        <w:spacing w:after="0" w:line="253" w:lineRule="auto"/>
        <w:tabs>
          <w:tab w:leader="none" w:pos="928" w:val="left"/>
        </w:tabs>
        <w:numPr>
          <w:ilvl w:val="0"/>
          <w:numId w:val="8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Documentary Credits,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Section 9</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8"/>
        <w:spacing w:after="0" w:line="209" w:lineRule="auto"/>
        <w:tabs>
          <w:tab w:leader="none" w:pos="638" w:val="left"/>
        </w:tabs>
        <w:numPr>
          <w:ilvl w:val="0"/>
          <w:numId w:val="8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2.10, Section 2.21 and Section 2.25, none of this Agreement, any Note, any other Loan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waiver and no such amendment, supplement or modification shall (A)(i) forgive the principal amount or extend the final scheduled date of maturity of any Loan, (ii)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Commitment (it being understood that a waiver of any Event of Default or Default shall not be deemed to be an increase in the amount of or extension of the expiration date of any Lender’s Commitments), (iv) release all or substantially all of the Guarantors (except as expressly permitted by the Loan Documents, including in accordance with Section 9.14) or (v) amend, modify or waive any provision of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 xml:space="preserve">, in each case without the written consent of each Lender directly affected thereby, (B) without the consent of all the Lenders, (i) amend, modify or waive any provision of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Commitments are included on the Closing Date), or (iii) change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any other pro rata sharing provisions set forth herein in a manner that would alter the pro rata sharing of payments required thereby (other than as permitted thereby or by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or (iv) extend any Documentary Credit beyond the Revolving Maturity Date, or to modify Section 2.4(c) in any way which would permit the same (C) amend,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20"/>
          <w:szCs w:val="20"/>
          <w:color w:val="auto"/>
        </w:rPr>
        <w:t xml:space="preserve">waive any provision of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any other provision of this Agreement or the other Loan Documents, which affects, the rights, duties or</w:t>
      </w:r>
    </w:p>
    <w:p>
      <w:pPr>
        <w:ind w:right="100"/>
        <w:spacing w:after="0" w:line="204" w:lineRule="auto"/>
        <w:rPr>
          <w:sz w:val="20"/>
          <w:szCs w:val="20"/>
          <w:color w:val="auto"/>
        </w:rPr>
      </w:pPr>
      <w:r>
        <w:rPr>
          <w:rFonts w:ascii="Times New Roman" w:cs="Times New Roman" w:eastAsia="Times New Roman" w:hAnsi="Times New Roman"/>
          <w:sz w:val="20"/>
          <w:szCs w:val="20"/>
          <w:color w:val="auto"/>
        </w:rPr>
        <w:t xml:space="preserve">obligations of the Administrative Agent without the written consent of the Administrative Agent and (D) require consent of any Person to an amendment to this Agreement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other than the Borrower and each Lender participating in the respective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Extension;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w:t>
      </w:r>
    </w:p>
    <w:p>
      <w:pPr>
        <w:spacing w:after="0" w:line="1" w:lineRule="exact"/>
        <w:rPr>
          <w:sz w:val="20"/>
          <w:szCs w:val="20"/>
          <w:color w:val="auto"/>
        </w:rPr>
      </w:pPr>
    </w:p>
    <w:p>
      <w:pPr>
        <w:jc w:val="both"/>
        <w:ind w:right="120"/>
        <w:spacing w:after="0" w:line="215" w:lineRule="auto"/>
        <w:rPr>
          <w:sz w:val="20"/>
          <w:szCs w:val="20"/>
          <w:color w:val="auto"/>
        </w:rPr>
      </w:pPr>
      <w:r>
        <w:rPr>
          <w:rFonts w:ascii="Times New Roman" w:cs="Times New Roman" w:eastAsia="Times New Roman" w:hAnsi="Times New Roman"/>
          <w:sz w:val="19"/>
          <w:szCs w:val="19"/>
          <w:color w:val="auto"/>
        </w:rPr>
        <w:t>or Issuing Banks hereunder without the prior written consent of the Administrative Agent and Issuing Banks. Any such waiver and any such amendment, supplement or modification shall apply equally to each of the Lenders and shall be binding upon the Loan Parties, the Lenders,</w:t>
      </w:r>
    </w:p>
    <w:p>
      <w:pPr>
        <w:spacing w:after="0" w:line="222" w:lineRule="auto"/>
        <w:rPr>
          <w:sz w:val="20"/>
          <w:szCs w:val="20"/>
          <w:color w:val="auto"/>
        </w:rPr>
      </w:pPr>
      <w:r>
        <w:rPr>
          <w:rFonts w:ascii="Times New Roman" w:cs="Times New Roman" w:eastAsia="Times New Roman" w:hAnsi="Times New Roman"/>
          <w:sz w:val="19"/>
          <w:szCs w:val="19"/>
          <w:color w:val="auto"/>
        </w:rPr>
        <w:t>the Administrative Agent and all future holders of the Loans. In the case of any waiver, the Loan Parties, the Lenders and the Administrative</w:t>
      </w:r>
    </w:p>
    <w:p>
      <w:pPr>
        <w:ind w:right="320"/>
        <w:spacing w:after="0" w:line="215" w:lineRule="auto"/>
        <w:rPr>
          <w:sz w:val="20"/>
          <w:szCs w:val="20"/>
          <w:color w:val="auto"/>
        </w:rPr>
      </w:pPr>
      <w:r>
        <w:rPr>
          <w:rFonts w:ascii="Times New Roman" w:cs="Times New Roman" w:eastAsia="Times New Roman" w:hAnsi="Times New Roman"/>
          <w:sz w:val="19"/>
          <w:szCs w:val="19"/>
          <w:color w:val="auto"/>
        </w:rPr>
        <w:t>Agent shall be restored to their former position and rights hereunder and under any other Loan Documents, and any Default or Event of Default waived shall be deemed to have not occurred or to be cured and not continuing, as the parties may agree; but no such waiver shall</w:t>
      </w:r>
    </w:p>
    <w:p>
      <w:pPr>
        <w:spacing w:after="0"/>
        <w:rPr>
          <w:sz w:val="20"/>
          <w:szCs w:val="20"/>
          <w:color w:val="auto"/>
        </w:rPr>
      </w:pPr>
      <w:r>
        <w:rPr>
          <w:rFonts w:ascii="Times New Roman" w:cs="Times New Roman" w:eastAsia="Times New Roman" w:hAnsi="Times New Roman"/>
          <w:sz w:val="20"/>
          <w:szCs w:val="20"/>
          <w:color w:val="auto"/>
        </w:rPr>
        <w:t>extend to any subsequent or other Default or Event of Default, or impair any right consequent thereon.</w:t>
      </w:r>
    </w:p>
    <w:p>
      <w:pPr>
        <w:spacing w:after="0" w:line="167" w:lineRule="exact"/>
        <w:rPr>
          <w:sz w:val="20"/>
          <w:szCs w:val="20"/>
          <w:color w:val="auto"/>
        </w:rPr>
      </w:pPr>
    </w:p>
    <w:p>
      <w:pPr>
        <w:ind w:firstLine="8"/>
        <w:spacing w:after="0" w:line="213" w:lineRule="auto"/>
        <w:tabs>
          <w:tab w:leader="none" w:pos="636" w:val="left"/>
        </w:tabs>
        <w:numPr>
          <w:ilvl w:val="0"/>
          <w:numId w:val="8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Section 9.1,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Issuing Bank (and each such Lender and Issuing Bank expressly consents), without any further action or the consent of any other party to any Loan Document, to make any technical amendments to any Subsidiary Guaranty to correct any cross-references therein to any provision of this Agreement that may be necessary in order to properly reflect the amendments made to this Agreement.</w:t>
      </w:r>
    </w:p>
    <w:p>
      <w:pPr>
        <w:spacing w:after="0" w:line="147" w:lineRule="exact"/>
        <w:rPr>
          <w:rFonts w:ascii="Times New Roman" w:cs="Times New Roman" w:eastAsia="Times New Roman" w:hAnsi="Times New Roman"/>
          <w:sz w:val="20"/>
          <w:szCs w:val="20"/>
          <w:color w:val="auto"/>
        </w:rPr>
      </w:pPr>
    </w:p>
    <w:p>
      <w:pPr>
        <w:ind w:firstLine="656"/>
        <w:spacing w:after="0" w:line="218" w:lineRule="auto"/>
        <w:tabs>
          <w:tab w:leader="none" w:pos="1286" w:val="left"/>
        </w:tabs>
        <w:numPr>
          <w:ilvl w:val="1"/>
          <w:numId w:val="8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300" w:firstLine="656"/>
        <w:spacing w:after="0" w:line="220" w:lineRule="auto"/>
        <w:tabs>
          <w:tab w:leader="none" w:pos="1286" w:val="left"/>
        </w:tabs>
        <w:numPr>
          <w:ilvl w:val="0"/>
          <w:numId w:val="8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and Issuing Banks, or to such other address as may be hereafter notified by the respective parties hereto and any future parties:</w:t>
      </w:r>
    </w:p>
    <w:p>
      <w:pPr>
        <w:spacing w:after="0" w:line="16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The Borrower:</w:t>
      </w:r>
      <w:r>
        <w:rPr>
          <w:sz w:val="20"/>
          <w:szCs w:val="20"/>
          <w:color w:val="auto"/>
        </w:rPr>
        <w:tab/>
      </w:r>
      <w:r>
        <w:rPr>
          <w:rFonts w:ascii="Times New Roman" w:cs="Times New Roman" w:eastAsia="Times New Roman" w:hAnsi="Times New Roman"/>
          <w:sz w:val="19"/>
          <w:szCs w:val="19"/>
          <w:color w:val="auto"/>
        </w:rPr>
        <w:t>Micron Technology,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8000 S. Federal Way</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Boise, ID 83716-9632</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Wilson Sonsini Goodrich &amp; Rosati</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650 Page Mill Road</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Palo Alto, CA 94304</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Erik Franks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5" w:right="339" w:bottom="1440" w:gutter="0" w:footer="0" w:header="0"/>
        </w:sectPr>
      </w:pPr>
    </w:p>
    <w:bookmarkStart w:id="639" w:name="page640"/>
    <w:bookmarkEnd w:id="639"/>
    <w:p>
      <w:pPr>
        <w:ind w:left="3900"/>
        <w:spacing w:after="0"/>
        <w:rPr>
          <w:sz w:val="20"/>
          <w:szCs w:val="20"/>
          <w:color w:val="auto"/>
        </w:rPr>
      </w:pPr>
      <w:r>
        <w:rPr>
          <w:rFonts w:ascii="Times New Roman" w:cs="Times New Roman" w:eastAsia="Times New Roman" w:hAnsi="Times New Roman"/>
          <w:sz w:val="20"/>
          <w:szCs w:val="20"/>
          <w:color w:val="auto"/>
        </w:rPr>
        <w:t>Email: efranks@wsgr.com</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No.: 650-493-6811</w:t>
      </w:r>
    </w:p>
    <w:p>
      <w:pPr>
        <w:spacing w:after="0" w:line="200"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0"/>
          <w:szCs w:val="20"/>
          <w:color w:val="auto"/>
        </w:rPr>
        <w:t>The Administrative Agent:</w:t>
      </w:r>
      <w:r>
        <w:rPr>
          <w:sz w:val="20"/>
          <w:szCs w:val="20"/>
          <w:color w:val="auto"/>
        </w:rPr>
        <w:tab/>
      </w:r>
      <w:r>
        <w:rPr>
          <w:rFonts w:ascii="Times New Roman" w:cs="Times New Roman" w:eastAsia="Times New Roman" w:hAnsi="Times New Roman"/>
          <w:sz w:val="19"/>
          <w:szCs w:val="19"/>
          <w:color w:val="auto"/>
        </w:rPr>
        <w:t>HSBC Bank USA, National Association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66 Hudson Boulevard</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Loan Agency</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Email: ctlany.loanagency@us.hsbc.com</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Simpson Thacher &amp; Bartlett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425 Lexington Ave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Attention: Justin M. Lungstrum</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Telecopier No.: 212-455-2502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56"/>
        <w:spacing w:after="0" w:line="211" w:lineRule="auto"/>
        <w:tabs>
          <w:tab w:leader="none" w:pos="1284" w:val="left"/>
        </w:tabs>
        <w:numPr>
          <w:ilvl w:val="0"/>
          <w:numId w:val="8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Lenders and Issuing Banks hereunder may be delivered or furnished by electronic communications (including e-mail and Internet or intranet websites or other information platform)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2.7(e)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2.23(d)</w:t>
      </w:r>
      <w:r>
        <w:rPr>
          <w:rFonts w:ascii="Times New Roman" w:cs="Times New Roman" w:eastAsia="Times New Roman" w:hAnsi="Times New Roman"/>
          <w:sz w:val="20"/>
          <w:szCs w:val="20"/>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6" w:lineRule="exact"/>
        <w:rPr>
          <w:rFonts w:ascii="Times New Roman" w:cs="Times New Roman" w:eastAsia="Times New Roman" w:hAnsi="Times New Roman"/>
          <w:sz w:val="20"/>
          <w:szCs w:val="20"/>
          <w:color w:val="auto"/>
        </w:rPr>
      </w:pPr>
    </w:p>
    <w:p>
      <w:pPr>
        <w:ind w:right="100" w:firstLine="656"/>
        <w:spacing w:after="0" w:line="222" w:lineRule="auto"/>
        <w:tabs>
          <w:tab w:leader="none" w:pos="1286" w:val="left"/>
        </w:tabs>
        <w:numPr>
          <w:ilvl w:val="0"/>
          <w:numId w:val="8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48" w:lineRule="exact"/>
        <w:rPr>
          <w:rFonts w:ascii="Times New Roman" w:cs="Times New Roman" w:eastAsia="Times New Roman" w:hAnsi="Times New Roman"/>
          <w:sz w:val="20"/>
          <w:szCs w:val="20"/>
          <w:color w:val="auto"/>
        </w:rPr>
      </w:pPr>
    </w:p>
    <w:p>
      <w:pPr>
        <w:ind w:right="20" w:firstLine="656"/>
        <w:spacing w:after="0" w:line="212" w:lineRule="auto"/>
        <w:tabs>
          <w:tab w:leader="none" w:pos="1284" w:val="left"/>
        </w:tabs>
        <w:numPr>
          <w:ilvl w:val="0"/>
          <w:numId w:val="8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any of its respective officers, directors, employees, agents, advisors or representatives in connection with the Platform or the Approved Electronic Communications. In no event shall the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640" w:name="page641"/>
    <w:bookmarkEnd w:id="640"/>
    <w:p>
      <w:pPr>
        <w:ind w:right="20"/>
        <w:spacing w:after="0"/>
        <w:rPr>
          <w:sz w:val="20"/>
          <w:szCs w:val="20"/>
          <w:color w:val="auto"/>
        </w:rPr>
      </w:pPr>
      <w:r>
        <w:rPr>
          <w:rFonts w:ascii="Times New Roman" w:cs="Times New Roman" w:eastAsia="Times New Roman" w:hAnsi="Times New Roman"/>
          <w:sz w:val="20"/>
          <w:szCs w:val="20"/>
          <w:color w:val="auto"/>
        </w:rPr>
        <w:t>approved electronic platform except where such liabilities result from the Agent’s bad faith, willful misconduct, gross negligence or material breach as determined in a final, nonappealable judgment by a court of competent jurisdiction.</w:t>
      </w:r>
    </w:p>
    <w:p>
      <w:pPr>
        <w:spacing w:after="0" w:line="148" w:lineRule="exact"/>
        <w:rPr>
          <w:sz w:val="20"/>
          <w:szCs w:val="20"/>
          <w:color w:val="auto"/>
        </w:rPr>
      </w:pPr>
    </w:p>
    <w:p>
      <w:pPr>
        <w:ind w:right="260" w:firstLine="656"/>
        <w:spacing w:after="0" w:line="230" w:lineRule="auto"/>
        <w:tabs>
          <w:tab w:leader="none" w:pos="1286" w:val="left"/>
        </w:tabs>
        <w:numPr>
          <w:ilvl w:val="0"/>
          <w:numId w:val="8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the Lenders, Issuing Banks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4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any Lender or any Issuing Bank, any right, remedy, power or privilege hereunder or under the other Loan Documents shall operate as</w:t>
      </w:r>
    </w:p>
    <w:p>
      <w:pPr>
        <w:spacing w:after="0" w:line="2"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a waiver thereof; nor shall any single or partial exercise of any right, remedy, power or privilege hereunder preclude any other or further exercise thereof or the exercise of any other right, remedy, power or privilege. The rights, remedies, powers and privileges herein provided</w:t>
      </w:r>
    </w:p>
    <w:p>
      <w:pPr>
        <w:spacing w:after="0"/>
        <w:rPr>
          <w:sz w:val="20"/>
          <w:szCs w:val="20"/>
          <w:color w:val="auto"/>
        </w:rPr>
      </w:pPr>
      <w:r>
        <w:rPr>
          <w:rFonts w:ascii="Times New Roman" w:cs="Times New Roman" w:eastAsia="Times New Roman" w:hAnsi="Times New Roman"/>
          <w:sz w:val="20"/>
          <w:szCs w:val="20"/>
          <w:color w:val="auto"/>
        </w:rPr>
        <w:t>are cumulative and not exclusive of any rights, remedies, powers and privileges provided by law.</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 Documents and in any document, certificate or statement delivered pursuant hereto or in connection herewith shall survive the execution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delivery of this Agreement and the making of the Loans and the other extensions of credit hereunder.</w:t>
      </w:r>
    </w:p>
    <w:p>
      <w:pPr>
        <w:spacing w:after="0" w:line="167"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Payment of Expenses</w:t>
      </w:r>
      <w:r>
        <w:rPr>
          <w:rFonts w:ascii="Times New Roman" w:cs="Times New Roman" w:eastAsia="Times New Roman" w:hAnsi="Times New Roman"/>
          <w:sz w:val="19"/>
          <w:szCs w:val="19"/>
          <w:color w:val="auto"/>
        </w:rPr>
        <w:t>. The Borrower agrees (a) to pay or reimburse the Administrative Agent for all its reasonable out-of-pocket costs and expenses reasonably incurred in connection with (i) the development, negotiation, preparation, execution and delivery of</w:t>
      </w:r>
    </w:p>
    <w:p>
      <w:pPr>
        <w:spacing w:after="0" w:line="222" w:lineRule="auto"/>
        <w:rPr>
          <w:sz w:val="20"/>
          <w:szCs w:val="20"/>
          <w:color w:val="auto"/>
        </w:rPr>
      </w:pPr>
      <w:r>
        <w:rPr>
          <w:rFonts w:ascii="Times New Roman" w:cs="Times New Roman" w:eastAsia="Times New Roman" w:hAnsi="Times New Roman"/>
          <w:sz w:val="19"/>
          <w:szCs w:val="19"/>
          <w:color w:val="auto"/>
        </w:rPr>
        <w:t>this Agreement, the Notes and any other documents prepared in connection herewith or therewith, including any amendment, supplement or</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modification to any of the foregoing and (ii) the consummation and administration of the transactions contemplated hereby and thereby, and the reasonable fees and disbursements of one counsel to the Administrative Agent and the Arrangers, taken as a whole (and to the extent</w:t>
      </w:r>
    </w:p>
    <w:p>
      <w:pPr>
        <w:spacing w:after="0" w:line="215" w:lineRule="auto"/>
        <w:rPr>
          <w:sz w:val="20"/>
          <w:szCs w:val="20"/>
          <w:color w:val="auto"/>
        </w:rPr>
      </w:pPr>
      <w:r>
        <w:rPr>
          <w:rFonts w:ascii="Times New Roman" w:cs="Times New Roman" w:eastAsia="Times New Roman" w:hAnsi="Times New Roman"/>
          <w:sz w:val="19"/>
          <w:szCs w:val="19"/>
          <w:color w:val="auto"/>
        </w:rPr>
        <w:t>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w:t>
      </w:r>
    </w:p>
    <w:p>
      <w:pPr>
        <w:ind w:right="20" w:firstLine="8"/>
        <w:spacing w:after="0" w:line="208" w:lineRule="auto"/>
        <w:tabs>
          <w:tab w:leader="none" w:pos="280" w:val="left"/>
        </w:tabs>
        <w:numPr>
          <w:ilvl w:val="0"/>
          <w:numId w:val="8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or reimburse the Administrative Agent, each Lender and each Issuing Bank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Lenders and Issuing Banks and each of their respective affiliates, taken as a whole (other than during an Event of Default, in which case, the Administrative Agent shall be entitled to its own counsel separate from the Lenders and the Issuing Banks)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Administrative Agent, each Issuing Bank and each of their respective Affiliates, directors, officers, employees, representatives, partners, advisors and agents (each,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Documentary Credits, the other Loan Documents or the use of the proceeds of the Loans or Documentary Credits or any of the foregoing (including any refusal by an Issuing Bank to honor a demand for payment under a Documentary Credit if the documents presented in connection with such demand do not strictly comply with the terms of such Documentary Credit) in connection with (i) the violation of, 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 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have no obligation hereunder to any Indemnitee with respect to indemnified liabilities to the extent determined by the final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80"/>
          </w:cols>
          <w:pgMar w:left="320" w:top="1400" w:right="39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20"/>
          <w:szCs w:val="20"/>
          <w:color w:val="auto"/>
        </w:rPr>
        <w:t>appealable judgment of a court of competent jurisdiction to have resulted from the bad faith, gross negligence or willful misconduct of such</w:t>
      </w:r>
    </w:p>
    <w:p>
      <w:pPr>
        <w:ind w:right="580"/>
        <w:spacing w:after="0" w:line="215" w:lineRule="auto"/>
        <w:rPr>
          <w:sz w:val="20"/>
          <w:szCs w:val="20"/>
          <w:color w:val="auto"/>
        </w:rPr>
      </w:pPr>
      <w:r>
        <w:rPr>
          <w:rFonts w:ascii="Times New Roman" w:cs="Times New Roman" w:eastAsia="Times New Roman" w:hAnsi="Times New Roman"/>
          <w:sz w:val="19"/>
          <w:szCs w:val="19"/>
          <w:color w:val="auto"/>
        </w:rPr>
        <w:t xml:space="preserve">Indemnitee or any of such Indemnitee’s Related Persons;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Borrower shall in no event be responsible for consequential, indirect, special or punitive damages to any Indemnitee pursuant to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except such consequential, indirect,</w:t>
      </w:r>
    </w:p>
    <w:p>
      <w:pPr>
        <w:spacing w:after="0" w:line="211" w:lineRule="auto"/>
        <w:rPr>
          <w:sz w:val="20"/>
          <w:szCs w:val="20"/>
          <w:color w:val="auto"/>
        </w:rPr>
      </w:pPr>
      <w:r>
        <w:rPr>
          <w:rFonts w:ascii="Times New Roman" w:cs="Times New Roman" w:eastAsia="Times New Roman" w:hAnsi="Times New Roman"/>
          <w:sz w:val="20"/>
          <w:szCs w:val="20"/>
          <w:color w:val="auto"/>
        </w:rPr>
        <w:t>special or punitive damages required to be paid by such Indemnitee in respect of any indemnified liabilities. Without limiting the foregoing,</w:t>
      </w:r>
    </w:p>
    <w:p>
      <w:pPr>
        <w:ind w:right="120"/>
        <w:spacing w:after="0" w:line="215" w:lineRule="auto"/>
        <w:rPr>
          <w:sz w:val="20"/>
          <w:szCs w:val="20"/>
          <w:color w:val="auto"/>
        </w:rPr>
      </w:pPr>
      <w:r>
        <w:rPr>
          <w:rFonts w:ascii="Times New Roman" w:cs="Times New Roman" w:eastAsia="Times New Roman" w:hAnsi="Times New Roman"/>
          <w:sz w:val="19"/>
          <w:szCs w:val="19"/>
          <w:color w:val="auto"/>
        </w:rPr>
        <w:t>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w:t>
      </w:r>
    </w:p>
    <w:p>
      <w:pPr>
        <w:spacing w:after="0" w:line="222" w:lineRule="auto"/>
        <w:rPr>
          <w:sz w:val="20"/>
          <w:szCs w:val="20"/>
          <w:color w:val="auto"/>
        </w:rPr>
      </w:pPr>
      <w:r>
        <w:rPr>
          <w:rFonts w:ascii="Times New Roman" w:cs="Times New Roman" w:eastAsia="Times New Roman" w:hAnsi="Times New Roman"/>
          <w:sz w:val="19"/>
          <w:szCs w:val="19"/>
          <w:color w:val="auto"/>
        </w:rPr>
        <w:t>penalties, fines, liabilities, settlements, damages, costs and expenses of whatever kind or nature, under or related to Environmental Laws, that</w:t>
      </w:r>
    </w:p>
    <w:p>
      <w:pPr>
        <w:ind w:right="80"/>
        <w:spacing w:after="0" w:line="215" w:lineRule="auto"/>
        <w:rPr>
          <w:sz w:val="20"/>
          <w:szCs w:val="20"/>
          <w:color w:val="auto"/>
        </w:rPr>
      </w:pPr>
      <w:r>
        <w:rPr>
          <w:rFonts w:ascii="Times New Roman" w:cs="Times New Roman" w:eastAsia="Times New Roman" w:hAnsi="Times New Roman"/>
          <w:sz w:val="19"/>
          <w:szCs w:val="19"/>
          <w:color w:val="auto"/>
        </w:rPr>
        <w:t>any of them might have by statute or otherwise against any Indemnitee. To the extent permitted by applicable law, no party to this agreement shall assert, and each Loan Party hereby waives, on behalf of itself and its Subsidiaries, any claim against any Indemnitee and its affiliates,</w:t>
      </w:r>
    </w:p>
    <w:p>
      <w:pPr>
        <w:spacing w:after="0" w:line="211" w:lineRule="auto"/>
        <w:rPr>
          <w:sz w:val="20"/>
          <w:szCs w:val="20"/>
          <w:color w:val="auto"/>
        </w:rPr>
      </w:pPr>
      <w:r>
        <w:rPr>
          <w:rFonts w:ascii="Times New Roman" w:cs="Times New Roman" w:eastAsia="Times New Roman" w:hAnsi="Times New Roman"/>
          <w:sz w:val="20"/>
          <w:szCs w:val="20"/>
          <w:color w:val="auto"/>
        </w:rPr>
        <w:t>directors, officers, employees, attorneys, representatives, agents or sub-agents, on any theory of liability, for special, indirect, consequential</w:t>
      </w:r>
    </w:p>
    <w:p>
      <w:pPr>
        <w:ind w:right="100"/>
        <w:spacing w:after="0" w:line="204" w:lineRule="auto"/>
        <w:rPr>
          <w:sz w:val="20"/>
          <w:szCs w:val="20"/>
          <w:color w:val="auto"/>
        </w:rPr>
      </w:pPr>
      <w:r>
        <w:rPr>
          <w:rFonts w:ascii="Times New Roman" w:cs="Times New Roman" w:eastAsia="Times New Roman" w:hAnsi="Times New Roman"/>
          <w:sz w:val="20"/>
          <w:szCs w:val="20"/>
          <w:color w:val="auto"/>
        </w:rPr>
        <w:t>or punitive damages (as opposed to direct or actual damages) (whether or not the claim therefor is based on contract, tort or duty imposed by any applicable legal requirement) arising out of, in connection with, as a result of, or in any way related to, this Agreement or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 or any agreement or instrument contemplated hereby or thereby or referred to herein or therein, the transactions contemplated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hereby or thereby, any Loan or the use of the proceeds thereof or any act or omission or event occurring in connection therewith, and the each Loan Party hereby waives, releases and agrees, on behalf of itself and each of its respective Subsidiaries, not to sue upon any such claim or</w:t>
      </w:r>
    </w:p>
    <w:p>
      <w:pPr>
        <w:spacing w:after="0" w:line="211" w:lineRule="auto"/>
        <w:rPr>
          <w:sz w:val="20"/>
          <w:szCs w:val="20"/>
          <w:color w:val="auto"/>
        </w:rPr>
      </w:pPr>
      <w:r>
        <w:rPr>
          <w:rFonts w:ascii="Times New Roman" w:cs="Times New Roman" w:eastAsia="Times New Roman" w:hAnsi="Times New Roman"/>
          <w:sz w:val="20"/>
          <w:szCs w:val="20"/>
          <w:color w:val="auto"/>
        </w:rPr>
        <w:t>any such damages, whether or not accrued and whether or not known or suspected to exist in its favor. No Indemnitee referred to in clause</w:t>
      </w:r>
    </w:p>
    <w:p>
      <w:pPr>
        <w:ind w:right="360"/>
        <w:spacing w:after="0" w:line="215" w:lineRule="auto"/>
        <w:rPr>
          <w:sz w:val="20"/>
          <w:szCs w:val="20"/>
          <w:color w:val="auto"/>
        </w:rPr>
      </w:pPr>
      <w:r>
        <w:rPr>
          <w:rFonts w:ascii="Times New Roman" w:cs="Times New Roman" w:eastAsia="Times New Roman" w:hAnsi="Times New Roman"/>
          <w:sz w:val="19"/>
          <w:szCs w:val="19"/>
          <w:color w:val="auto"/>
        </w:rPr>
        <w:t>above shall be liable for any damages arising from the use by unintended recipients of any information or other materials distributed by it through telecommunications, electronic or other information transmission systems in connection with the Agreement or the other Loan</w:t>
      </w:r>
    </w:p>
    <w:p>
      <w:pPr>
        <w:ind w:right="160"/>
        <w:spacing w:after="0" w:line="215" w:lineRule="auto"/>
        <w:rPr>
          <w:sz w:val="20"/>
          <w:szCs w:val="20"/>
          <w:color w:val="auto"/>
        </w:rPr>
      </w:pPr>
      <w:r>
        <w:rPr>
          <w:rFonts w:ascii="Times New Roman" w:cs="Times New Roman" w:eastAsia="Times New Roman" w:hAnsi="Times New Roman"/>
          <w:sz w:val="19"/>
          <w:szCs w:val="19"/>
          <w:color w:val="auto"/>
        </w:rPr>
        <w:t xml:space="preserve">Documents or the transactions contemplated thereby. All amounts due under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shall be payable not later than 10 days after written demand therefor. The agreements in this Section shall survive the termination of this Agreement and repayment of the Loans and all</w:t>
      </w:r>
    </w:p>
    <w:p>
      <w:pPr>
        <w:ind w:right="280"/>
        <w:spacing w:after="0" w:line="228" w:lineRule="auto"/>
        <w:rPr>
          <w:sz w:val="20"/>
          <w:szCs w:val="20"/>
          <w:color w:val="auto"/>
        </w:rPr>
      </w:pPr>
      <w:r>
        <w:rPr>
          <w:rFonts w:ascii="Times New Roman" w:cs="Times New Roman" w:eastAsia="Times New Roman" w:hAnsi="Times New Roman"/>
          <w:sz w:val="20"/>
          <w:szCs w:val="20"/>
          <w:color w:val="auto"/>
        </w:rPr>
        <w:t xml:space="preserve">other amounts payable hereunder. This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100" w:firstLine="656"/>
        <w:spacing w:after="0" w:line="220" w:lineRule="auto"/>
        <w:tabs>
          <w:tab w:leader="none" w:pos="1286" w:val="left"/>
        </w:tabs>
        <w:numPr>
          <w:ilvl w:val="0"/>
          <w:numId w:val="8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except that (i) unless otherwise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hereof, the Borrower may not assign or otherwise transfer any of its rights or obligations hereunder without the prior written consent of each Lender and Issuing Bank (and any attempted assignment or transfer by the Borrower without such consent shall be null and void) and (ii) no Lender may assign or otherwise transfer its rights or obligations hereunder except in accordance with this Section.</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(each, an</w:t>
      </w:r>
    </w:p>
    <w:p>
      <w:pPr>
        <w:ind w:right="2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all or a portion of its rights and obligations under this Agreement (including all or a portion of its Commitments and the Loans at the time owing to it) with the prior written consent of:</w:t>
      </w:r>
    </w:p>
    <w:p>
      <w:pPr>
        <w:spacing w:after="0" w:line="149" w:lineRule="exact"/>
        <w:rPr>
          <w:sz w:val="20"/>
          <w:szCs w:val="20"/>
          <w:color w:val="auto"/>
        </w:rPr>
      </w:pPr>
    </w:p>
    <w:p>
      <w:pPr>
        <w:ind w:left="1300" w:right="120" w:firstLine="652"/>
        <w:spacing w:after="0" w:line="222" w:lineRule="auto"/>
        <w:tabs>
          <w:tab w:leader="none" w:pos="2587" w:val="left"/>
        </w:tabs>
        <w:numPr>
          <w:ilvl w:val="0"/>
          <w:numId w:val="8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(such consent not to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Borrower shall be required for an assignment to a Lender, a depository institution affiliate of a Lender having access to discount window credit of the Federal Reserve or, if an Event of Default under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has occurred and is continuing, any other Person;</w:t>
      </w:r>
    </w:p>
    <w:p>
      <w:pPr>
        <w:spacing w:after="0" w:line="161" w:lineRule="exact"/>
        <w:rPr>
          <w:rFonts w:ascii="Times New Roman" w:cs="Times New Roman" w:eastAsia="Times New Roman" w:hAnsi="Times New Roman"/>
          <w:sz w:val="20"/>
          <w:szCs w:val="20"/>
          <w:color w:val="010000"/>
        </w:rPr>
      </w:pPr>
    </w:p>
    <w:p>
      <w:pPr>
        <w:ind w:left="1300" w:right="140" w:firstLine="652"/>
        <w:spacing w:after="0" w:line="226" w:lineRule="auto"/>
        <w:tabs>
          <w:tab w:leader="none" w:pos="2590" w:val="left"/>
        </w:tabs>
        <w:numPr>
          <w:ilvl w:val="0"/>
          <w:numId w:val="8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(such consent not to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 Lender, an affiliate of a Lender or an Approved Fund; and</w:t>
      </w:r>
    </w:p>
    <w:p>
      <w:pPr>
        <w:spacing w:after="0" w:line="160" w:lineRule="exact"/>
        <w:rPr>
          <w:rFonts w:ascii="Times New Roman" w:cs="Times New Roman" w:eastAsia="Times New Roman" w:hAnsi="Times New Roman"/>
          <w:sz w:val="20"/>
          <w:szCs w:val="20"/>
          <w:color w:val="010000"/>
        </w:rPr>
      </w:pPr>
    </w:p>
    <w:p>
      <w:pPr>
        <w:ind w:left="1300" w:right="100" w:firstLine="652"/>
        <w:spacing w:after="0" w:line="266" w:lineRule="auto"/>
        <w:tabs>
          <w:tab w:leader="none" w:pos="2590" w:val="left"/>
        </w:tabs>
        <w:numPr>
          <w:ilvl w:val="0"/>
          <w:numId w:val="8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Issuing Bank (such consent not to be unreasonably withheld, delayed or conditioned),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Issuing Banks shall be required for an assignment to a Lender, an affiliate of a Lender or an Approved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4" w:right="339" w:bottom="1440" w:gutter="0" w:footer="0" w:header="0"/>
        </w:sectPr>
      </w:pPr>
    </w:p>
    <w:bookmarkStart w:id="642" w:name="page643"/>
    <w:bookmarkEnd w:id="642"/>
    <w:p>
      <w:pPr>
        <w:ind w:left="1940" w:hanging="636"/>
        <w:spacing w:after="0"/>
        <w:tabs>
          <w:tab w:leader="none" w:pos="1940" w:val="left"/>
        </w:tabs>
        <w:numPr>
          <w:ilvl w:val="0"/>
          <w:numId w:val="8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auto"/>
        </w:rPr>
      </w:pPr>
    </w:p>
    <w:p>
      <w:pPr>
        <w:ind w:left="1300" w:right="60" w:firstLine="652"/>
        <w:spacing w:after="0" w:line="215" w:lineRule="auto"/>
        <w:tabs>
          <w:tab w:leader="none" w:pos="2587" w:val="left"/>
        </w:tabs>
        <w:numPr>
          <w:ilvl w:val="1"/>
          <w:numId w:val="8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no such consent of the Borrower shall be required if an Event of Default under </w:t>
      </w:r>
      <w:r>
        <w:rPr>
          <w:rFonts w:ascii="Times New Roman" w:cs="Times New Roman" w:eastAsia="Times New Roman" w:hAnsi="Times New Roman"/>
          <w:sz w:val="20"/>
          <w:szCs w:val="20"/>
          <w:u w:val="single" w:color="auto"/>
          <w:color w:val="auto"/>
        </w:rPr>
        <w:t>Section 7.1(a),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has occurred and is continuing and (2) such amounts shall be aggregated in respect of each Lender and its affiliates or Approved Funds, if any;</w:t>
      </w:r>
    </w:p>
    <w:p>
      <w:pPr>
        <w:spacing w:after="0" w:line="150" w:lineRule="exact"/>
        <w:rPr>
          <w:rFonts w:ascii="Times New Roman" w:cs="Times New Roman" w:eastAsia="Times New Roman" w:hAnsi="Times New Roman"/>
          <w:sz w:val="20"/>
          <w:szCs w:val="20"/>
          <w:color w:val="010000"/>
        </w:rPr>
      </w:pPr>
    </w:p>
    <w:p>
      <w:pPr>
        <w:ind w:left="1300" w:right="20" w:firstLine="652"/>
        <w:spacing w:after="0" w:line="222" w:lineRule="auto"/>
        <w:tabs>
          <w:tab w:leader="none" w:pos="2590" w:val="left"/>
        </w:tabs>
        <w:numPr>
          <w:ilvl w:val="1"/>
          <w:numId w:val="8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and (2) the assigning Lender shall have paid in full any amounts owing by it to the Administrative Agent;</w:t>
      </w:r>
    </w:p>
    <w:p>
      <w:pPr>
        <w:spacing w:after="0" w:line="161" w:lineRule="exact"/>
        <w:rPr>
          <w:rFonts w:ascii="Times New Roman" w:cs="Times New Roman" w:eastAsia="Times New Roman" w:hAnsi="Times New Roman"/>
          <w:sz w:val="20"/>
          <w:szCs w:val="20"/>
          <w:color w:val="010000"/>
        </w:rPr>
      </w:pPr>
    </w:p>
    <w:p>
      <w:pPr>
        <w:ind w:left="1300" w:firstLine="652"/>
        <w:spacing w:after="0" w:line="220" w:lineRule="auto"/>
        <w:tabs>
          <w:tab w:leader="none" w:pos="2590" w:val="left"/>
        </w:tabs>
        <w:numPr>
          <w:ilvl w:val="1"/>
          <w:numId w:val="8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47" w:lineRule="exact"/>
        <w:rPr>
          <w:rFonts w:ascii="Times New Roman" w:cs="Times New Roman" w:eastAsia="Times New Roman" w:hAnsi="Times New Roman"/>
          <w:sz w:val="20"/>
          <w:szCs w:val="20"/>
          <w:color w:val="010000"/>
        </w:rPr>
      </w:pPr>
    </w:p>
    <w:p>
      <w:pPr>
        <w:ind w:left="1300" w:right="60" w:firstLine="652"/>
        <w:spacing w:after="0" w:line="222" w:lineRule="auto"/>
        <w:tabs>
          <w:tab w:leader="none" w:pos="2587" w:val="left"/>
        </w:tabs>
        <w:numPr>
          <w:ilvl w:val="1"/>
          <w:numId w:val="8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partial assignment shall be made as an assignment of a proportionate part of all the assigning Lender’s rights and obligations under this Agreement with respect to any single Class of Loans and related Commitments, except that this clause (D) shall not prohibit any Lender from assigning all or a portion of its rights and obligations among separate Classes on a non- pro rata basis; and</w:t>
      </w:r>
    </w:p>
    <w:p>
      <w:pPr>
        <w:spacing w:after="0" w:line="161" w:lineRule="exact"/>
        <w:rPr>
          <w:rFonts w:ascii="Times New Roman" w:cs="Times New Roman" w:eastAsia="Times New Roman" w:hAnsi="Times New Roman"/>
          <w:sz w:val="20"/>
          <w:szCs w:val="20"/>
          <w:color w:val="010000"/>
        </w:rPr>
      </w:pPr>
    </w:p>
    <w:p>
      <w:pPr>
        <w:ind w:left="1300" w:right="260" w:firstLine="652"/>
        <w:spacing w:after="0" w:line="233" w:lineRule="auto"/>
        <w:tabs>
          <w:tab w:leader="none" w:pos="2592" w:val="left"/>
        </w:tabs>
        <w:numPr>
          <w:ilvl w:val="1"/>
          <w:numId w:val="8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the Loan Parties, their respective Affiliates, any natural person or a Defaulting Lender shall be an Assignee hereunder.</w:t>
      </w:r>
    </w:p>
    <w:p>
      <w:pPr>
        <w:spacing w:after="0" w:line="174"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9"/>
          <w:szCs w:val="19"/>
          <w:color w:val="auto"/>
        </w:rPr>
        <w:t xml:space="preserve">For the purposes of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ind w:left="660" w:right="40" w:firstLine="644"/>
        <w:spacing w:after="0" w:line="222" w:lineRule="auto"/>
        <w:tabs>
          <w:tab w:leader="none" w:pos="1955" w:val="left"/>
        </w:tabs>
        <w:numPr>
          <w:ilvl w:val="0"/>
          <w:numId w:val="8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9.5</w:t>
      </w:r>
      <w:r>
        <w:rPr>
          <w:rFonts w:ascii="Times New Roman" w:cs="Times New Roman" w:eastAsia="Times New Roman" w:hAnsi="Times New Roman"/>
          <w:sz w:val="19"/>
          <w:szCs w:val="19"/>
          <w:color w:val="auto"/>
        </w:rPr>
        <w:t xml:space="preserve"> for the period of time in which it was a Lender hereunder; provided, that except to the extent not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paragraph (c)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00"/>
          </w:cols>
          <w:pgMar w:left="320" w:top="1400" w:right="379" w:bottom="1440" w:gutter="0" w:footer="0" w:header="0"/>
        </w:sectPr>
      </w:pPr>
    </w:p>
    <w:bookmarkStart w:id="643" w:name="page644"/>
    <w:bookmarkEnd w:id="643"/>
    <w:p>
      <w:pPr>
        <w:ind w:left="652" w:right="60" w:firstLine="644"/>
        <w:spacing w:after="0" w:line="215" w:lineRule="auto"/>
        <w:tabs>
          <w:tab w:leader="none" w:pos="1948" w:val="left"/>
        </w:tabs>
        <w:numPr>
          <w:ilvl w:val="2"/>
          <w:numId w:val="8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Commitments of, and principal amount (and interest amounts)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47" w:lineRule="exact"/>
        <w:rPr>
          <w:rFonts w:ascii="Times New Roman" w:cs="Times New Roman" w:eastAsia="Times New Roman" w:hAnsi="Times New Roman"/>
          <w:sz w:val="20"/>
          <w:szCs w:val="20"/>
          <w:color w:val="auto"/>
        </w:rPr>
      </w:pPr>
    </w:p>
    <w:p>
      <w:pPr>
        <w:ind w:left="652" w:firstLine="644"/>
        <w:spacing w:after="0" w:line="215" w:lineRule="auto"/>
        <w:tabs>
          <w:tab w:leader="none" w:pos="1937" w:val="left"/>
        </w:tabs>
        <w:numPr>
          <w:ilvl w:val="2"/>
          <w:numId w:val="8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 (iii) give notice of such acceptance and recordation to the transferor Lender, the Assignee and the Borrower.</w:t>
      </w:r>
    </w:p>
    <w:p>
      <w:pPr>
        <w:spacing w:after="0" w:line="160" w:lineRule="exact"/>
        <w:rPr>
          <w:rFonts w:ascii="Times New Roman" w:cs="Times New Roman" w:eastAsia="Times New Roman" w:hAnsi="Times New Roman"/>
          <w:sz w:val="20"/>
          <w:szCs w:val="20"/>
          <w:color w:val="auto"/>
        </w:rPr>
      </w:pPr>
    </w:p>
    <w:p>
      <w:pPr>
        <w:ind w:left="-8" w:right="400" w:firstLine="656"/>
        <w:spacing w:after="0" w:line="221" w:lineRule="auto"/>
        <w:tabs>
          <w:tab w:leader="none" w:pos="1278" w:val="left"/>
        </w:tabs>
        <w:numPr>
          <w:ilvl w:val="1"/>
          <w:numId w:val="8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without the consent of or notice to the Borrower, the Administrative Agent or any Issuing Bank, sell participations to one or more banks or other entities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w:t>
      </w:r>
    </w:p>
    <w:p>
      <w:pPr>
        <w:ind w:left="-8" w:firstLine="8"/>
        <w:spacing w:after="0" w:line="220" w:lineRule="auto"/>
        <w:tabs>
          <w:tab w:leader="none" w:pos="305" w:val="left"/>
        </w:tabs>
        <w:numPr>
          <w:ilvl w:val="0"/>
          <w:numId w:val="8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Times New Roman" w:cs="Times New Roman" w:eastAsia="Times New Roman" w:hAnsi="Times New Roman"/>
          <w:sz w:val="19"/>
          <w:szCs w:val="19"/>
          <w:u w:val="single" w:color="auto"/>
          <w:color w:val="auto"/>
        </w:rPr>
        <w:t>Section 9.1(a)</w:t>
      </w:r>
      <w:r>
        <w:rPr>
          <w:rFonts w:ascii="Times New Roman" w:cs="Times New Roman" w:eastAsia="Times New Roman" w:hAnsi="Times New Roman"/>
          <w:sz w:val="19"/>
          <w:szCs w:val="19"/>
          <w:color w:val="auto"/>
        </w:rPr>
        <w:t xml:space="preserve"> and (2) directly affects such Participant. Subject to paragraph (c)(i)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(subject to the requirements and limitations of such sections and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2.22</w:t>
      </w:r>
      <w:r>
        <w:rPr>
          <w:rFonts w:ascii="Times New Roman" w:cs="Times New Roman" w:eastAsia="Times New Roman" w:hAnsi="Times New Roman"/>
          <w:sz w:val="19"/>
          <w:szCs w:val="19"/>
          <w:color w:val="auto"/>
        </w:rPr>
        <w:t xml:space="preserve"> and it being understood that the documentation required under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9.7(b)</w:t>
      </w:r>
      <w:r>
        <w:rPr>
          <w:rFonts w:ascii="Times New Roman" w:cs="Times New Roman" w:eastAsia="Times New Roman" w:hAnsi="Times New Roman"/>
          <w:sz w:val="19"/>
          <w:szCs w:val="19"/>
          <w:color w:val="auto"/>
        </w:rPr>
        <w:t xml:space="preserve"> as though it were a Lender, provided such Participant shall be subject to </w:t>
      </w:r>
      <w:r>
        <w:rPr>
          <w:rFonts w:ascii="Times New Roman" w:cs="Times New Roman" w:eastAsia="Times New Roman" w:hAnsi="Times New Roman"/>
          <w:sz w:val="19"/>
          <w:szCs w:val="19"/>
          <w:u w:val="single" w:color="auto"/>
          <w:color w:val="auto"/>
        </w:rPr>
        <w:t>Section 9.7(a)</w:t>
      </w:r>
      <w:r>
        <w:rPr>
          <w:rFonts w:ascii="Times New Roman" w:cs="Times New Roman" w:eastAsia="Times New Roman" w:hAnsi="Times New Roman"/>
          <w:sz w:val="19"/>
          <w:szCs w:val="19"/>
          <w:color w:val="auto"/>
        </w:rPr>
        <w:t xml:space="preserve"> as though it were a Lender.</w:t>
      </w:r>
    </w:p>
    <w:p>
      <w:pPr>
        <w:spacing w:after="0" w:line="168" w:lineRule="exact"/>
        <w:rPr>
          <w:rFonts w:ascii="Times New Roman" w:cs="Times New Roman" w:eastAsia="Times New Roman" w:hAnsi="Times New Roman"/>
          <w:sz w:val="19"/>
          <w:szCs w:val="19"/>
          <w:color w:val="auto"/>
        </w:rPr>
      </w:pPr>
    </w:p>
    <w:p>
      <w:pPr>
        <w:ind w:left="652" w:right="20" w:firstLine="644"/>
        <w:spacing w:after="0" w:line="222" w:lineRule="auto"/>
        <w:tabs>
          <w:tab w:leader="none" w:pos="1946" w:val="left"/>
        </w:tabs>
        <w:numPr>
          <w:ilvl w:val="2"/>
          <w:numId w:val="8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48" w:lineRule="exact"/>
        <w:rPr>
          <w:rFonts w:ascii="Times New Roman" w:cs="Times New Roman" w:eastAsia="Times New Roman" w:hAnsi="Times New Roman"/>
          <w:sz w:val="20"/>
          <w:szCs w:val="20"/>
          <w:color w:val="auto"/>
        </w:rPr>
      </w:pPr>
    </w:p>
    <w:p>
      <w:pPr>
        <w:ind w:left="652" w:right="100" w:firstLine="644"/>
        <w:spacing w:after="0" w:line="218" w:lineRule="auto"/>
        <w:tabs>
          <w:tab w:leader="none" w:pos="1947" w:val="left"/>
        </w:tabs>
        <w:numPr>
          <w:ilvl w:val="2"/>
          <w:numId w:val="8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2"/>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32"/>
          </w:cols>
          <w:pgMar w:left="328" w:top="1400" w:right="339" w:bottom="1440" w:gutter="0" w:footer="0" w:header="0"/>
        </w:sectPr>
      </w:pPr>
    </w:p>
    <w:bookmarkStart w:id="644" w:name="page645"/>
    <w:bookmarkEnd w:id="644"/>
    <w:p>
      <w:pPr>
        <w:ind w:left="660"/>
        <w:spacing w:after="0"/>
        <w:rPr>
          <w:sz w:val="20"/>
          <w:szCs w:val="20"/>
          <w:color w:val="auto"/>
        </w:rPr>
      </w:pPr>
      <w:r>
        <w:rPr>
          <w:rFonts w:ascii="Times New Roman" w:cs="Times New Roman" w:eastAsia="Times New Roman" w:hAnsi="Times New Roman"/>
          <w:sz w:val="20"/>
          <w:szCs w:val="20"/>
          <w:color w:val="auto"/>
        </w:rPr>
        <w:t>obligation to disclose all or any portion of a Participant Register to any Person (including the identity of any Participant or any</w:t>
      </w:r>
    </w:p>
    <w:p>
      <w:pPr>
        <w:ind w:left="660" w:right="340"/>
        <w:spacing w:after="0" w:line="204" w:lineRule="auto"/>
        <w:rPr>
          <w:sz w:val="20"/>
          <w:szCs w:val="20"/>
          <w:color w:val="auto"/>
        </w:rPr>
      </w:pPr>
      <w:r>
        <w:rPr>
          <w:rFonts w:ascii="Times New Roman" w:cs="Times New Roman" w:eastAsia="Times New Roman" w:hAnsi="Times New Roman"/>
          <w:sz w:val="20"/>
          <w:szCs w:val="20"/>
          <w:color w:val="auto"/>
        </w:rPr>
        <w:t>information relating to a Participant’s interest in any Loans) except to the extent that such disclosure is necessary to establish that such Loan is in registered form under Section 5f.103-1(c) of the United States Treasury Regulations or, if different, 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Sections 871(h) or 881(c) of the Code.</w:t>
      </w:r>
    </w:p>
    <w:p>
      <w:pPr>
        <w:spacing w:after="0" w:line="167" w:lineRule="exact"/>
        <w:rPr>
          <w:sz w:val="20"/>
          <w:szCs w:val="20"/>
          <w:color w:val="auto"/>
        </w:rPr>
      </w:pPr>
    </w:p>
    <w:p>
      <w:pPr>
        <w:ind w:right="20" w:firstLine="656"/>
        <w:spacing w:after="0" w:line="222" w:lineRule="auto"/>
        <w:tabs>
          <w:tab w:leader="none" w:pos="1284" w:val="left"/>
        </w:tabs>
        <w:numPr>
          <w:ilvl w:val="0"/>
          <w:numId w:val="8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48" w:lineRule="exact"/>
        <w:rPr>
          <w:rFonts w:ascii="Times New Roman" w:cs="Times New Roman" w:eastAsia="Times New Roman" w:hAnsi="Times New Roman"/>
          <w:sz w:val="20"/>
          <w:szCs w:val="20"/>
          <w:color w:val="auto"/>
        </w:rPr>
      </w:pPr>
    </w:p>
    <w:p>
      <w:pPr>
        <w:ind w:right="40" w:firstLine="656"/>
        <w:spacing w:after="0" w:line="218" w:lineRule="auto"/>
        <w:tabs>
          <w:tab w:leader="none" w:pos="1286" w:val="left"/>
        </w:tabs>
        <w:numPr>
          <w:ilvl w:val="0"/>
          <w:numId w:val="8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the Borrower authorizes each Lender to disclose to any Transferee and any prospective Transferee (in each case which agrees to comply with the provisions of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or confidentiality requirements no less restrictive on such prospective transferee than those set forth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11" w:lineRule="auto"/>
        <w:tabs>
          <w:tab w:leader="none" w:pos="1286" w:val="left"/>
        </w:tabs>
        <w:numPr>
          <w:ilvl w:val="0"/>
          <w:numId w:val="8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any other Loan Document or a court order expressly provides or permits for payments to be allocated to a particular Lender or Issuing Bank or to the Lenders and Issuing Banks, if any Lender or Issuing Bank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receive any payment of all or part of the Obligations owing to it (other than in connection with an assignment or participation made pursuant to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or receive any collateral in respect thereof (whether voluntarily or involuntarily, by setoff or otherwise), in a greater proportion than any such payment to or collateral received by any other Lender or Issuing Bank, if any, in respect of the Obligations owing to such other Lender or Issuing Bank, such Benefited Lender shall purchase for cash from the other Lenders and Issuing Banks a participating interest in such portion of the Obligations owing to each such other Lender and Issuing Bank, or shall provide such other Lenders and Issuing Banks with the benefits of any such collateral, as shall be necessary to cause such Benefited Lender to share the excess payment or benefits of such collateral ratably with each of the Lenders and Issuing Banks;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Times New Roman" w:cs="Times New Roman" w:eastAsia="Times New Roman" w:hAnsi="Times New Roman"/>
          <w:sz w:val="20"/>
          <w:szCs w:val="20"/>
          <w:u w:val="single" w:color="auto"/>
          <w:color w:val="auto"/>
        </w:rPr>
        <w:t>Section 9.7(a)</w:t>
      </w:r>
      <w:r>
        <w:rPr>
          <w:rFonts w:ascii="Times New Roman" w:cs="Times New Roman" w:eastAsia="Times New Roman" w:hAnsi="Times New Roman"/>
          <w:sz w:val="20"/>
          <w:szCs w:val="20"/>
          <w:color w:val="auto"/>
        </w:rPr>
        <w:t xml:space="preserve">, no extension of Loans that is permitted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constitute a payment of any of such Loans for purposes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firstLine="656"/>
        <w:spacing w:after="0" w:line="212" w:lineRule="auto"/>
        <w:tabs>
          <w:tab w:leader="none" w:pos="1284" w:val="left"/>
        </w:tabs>
        <w:numPr>
          <w:ilvl w:val="0"/>
          <w:numId w:val="8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and remedies of the Lenders and Issuing Banks provided by law, each Lender and Issuing Bank shall have the right, unless otherwise agreed in writing by such Lender or Issuing Bank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such Issuing Bank, any affiliate thereof or any of their respective branches or agencies to or for the credit or the account of the Borrower. Each Lender and Issuing Bank agrees promptly to notify the Borrower and the Administrative Agent after any such application made by such Lender or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application.</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by one or more of the parties to this Agreement on any number of separate</w:t>
      </w:r>
    </w:p>
    <w:p>
      <w:pPr>
        <w:ind w:right="60"/>
        <w:spacing w:after="0" w:line="233" w:lineRule="auto"/>
        <w:rPr>
          <w:sz w:val="20"/>
          <w:szCs w:val="20"/>
          <w:color w:val="auto"/>
        </w:rPr>
      </w:pPr>
      <w:r>
        <w:rPr>
          <w:rFonts w:ascii="Times New Roman" w:cs="Times New Roman" w:eastAsia="Times New Roman" w:hAnsi="Times New Roman"/>
          <w:sz w:val="19"/>
          <w:szCs w:val="19"/>
          <w:color w:val="auto"/>
        </w:rPr>
        <w:t>counterparts, and all of said counterparts taken together shall be deemed to constitute one and the same instrument. Delivery of an executed signature page of this Agreement by facsimile or email transmission shall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20"/>
          </w:cols>
          <w:pgMar w:left="320" w:top="1395" w:right="35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9"/>
          <w:szCs w:val="19"/>
          <w:color w:val="auto"/>
        </w:rPr>
        <w:t>The words “execution”, “signed”, “signature” and words of like import in this Agreement or in any other Loan Document shall be deemed to</w:t>
      </w:r>
    </w:p>
    <w:p>
      <w:pPr>
        <w:spacing w:after="0" w:line="6"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include electronic signatures or the keeping of records in electronic form, each of which shall be of the same legal effect, validity or enforceability as a manually executed signature or the use of a paper-based recordkeeping system, as the case may be, to the extent and as</w:t>
      </w:r>
    </w:p>
    <w:p>
      <w:pPr>
        <w:ind w:right="220"/>
        <w:spacing w:after="0" w:line="228" w:lineRule="auto"/>
        <w:rPr>
          <w:sz w:val="20"/>
          <w:szCs w:val="20"/>
          <w:color w:val="auto"/>
        </w:rPr>
      </w:pPr>
      <w:r>
        <w:rPr>
          <w:rFonts w:ascii="Times New Roman" w:cs="Times New Roman" w:eastAsia="Times New Roman" w:hAnsi="Times New Roman"/>
          <w:sz w:val="20"/>
          <w:szCs w:val="20"/>
          <w:color w:val="auto"/>
        </w:rPr>
        <w:t>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9"/>
          <w:szCs w:val="19"/>
          <w:color w:val="auto"/>
        </w:rPr>
        <w:t xml:space="preserve">9.9.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4" w:lineRule="exact"/>
        <w:rPr>
          <w:sz w:val="20"/>
          <w:szCs w:val="20"/>
          <w:color w:val="auto"/>
        </w:rPr>
      </w:pPr>
    </w:p>
    <w:p>
      <w:pPr>
        <w:ind w:right="700" w:firstLine="648"/>
        <w:spacing w:after="0" w:line="234"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and the other Loan Documents represent the entire agreement of the Borrower, the Administrative Agent and the Lenders with respect to the subject matter hereof and thereof, and there are no promises, undertakings,</w:t>
      </w:r>
    </w:p>
    <w:p>
      <w:pPr>
        <w:spacing w:after="0" w:line="1" w:lineRule="exact"/>
        <w:rPr>
          <w:sz w:val="20"/>
          <w:szCs w:val="20"/>
          <w:color w:val="auto"/>
        </w:rPr>
      </w:pPr>
    </w:p>
    <w:p>
      <w:pPr>
        <w:ind w:right="580"/>
        <w:spacing w:after="0" w:line="221" w:lineRule="auto"/>
        <w:rPr>
          <w:sz w:val="20"/>
          <w:szCs w:val="20"/>
          <w:color w:val="auto"/>
        </w:rPr>
      </w:pPr>
      <w:r>
        <w:rPr>
          <w:rFonts w:ascii="Times New Roman" w:cs="Times New Roman" w:eastAsia="Times New Roman" w:hAnsi="Times New Roman"/>
          <w:sz w:val="20"/>
          <w:szCs w:val="20"/>
          <w:color w:val="auto"/>
        </w:rPr>
        <w:t>representations or warranties by the Administrative Agent or any Lender relative to the subject matter hereof not expressly set forth or referred to herein or in the other Loan Documents.</w:t>
      </w:r>
    </w:p>
    <w:p>
      <w:pPr>
        <w:spacing w:after="0" w:line="15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RIGHTS AND OBLIGATIONS OF THE PARTIES UNDER THIS</w:t>
      </w:r>
    </w:p>
    <w:p>
      <w:pPr>
        <w:spacing w:after="0" w:line="221" w:lineRule="auto"/>
        <w:rPr>
          <w:sz w:val="20"/>
          <w:szCs w:val="20"/>
          <w:color w:val="auto"/>
        </w:rPr>
      </w:pPr>
      <w:r>
        <w:rPr>
          <w:rFonts w:ascii="Times New Roman" w:cs="Times New Roman" w:eastAsia="Times New Roman" w:hAnsi="Times New Roman"/>
          <w:sz w:val="20"/>
          <w:szCs w:val="20"/>
          <w:color w:val="auto"/>
        </w:rPr>
        <w:t>AGREEMENT SHALL BE GOVERNED BY, AND CONSTRUED AND INTERPRETED IN ACCORDANCE WITH, THE LAW OF THE STATE OF NEW YORK.</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17" w:lineRule="auto"/>
        <w:tabs>
          <w:tab w:leader="none" w:pos="1286" w:val="left"/>
        </w:tabs>
        <w:numPr>
          <w:ilvl w:val="0"/>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clause (b)(iii)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each party hereto hereby irrevocably and unconditionally submits for itself and its property in any legal action or proceeding (whether in tort, law or in equity)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w:t>
      </w:r>
    </w:p>
    <w:p>
      <w:pPr>
        <w:spacing w:after="0" w:line="175" w:lineRule="exact"/>
        <w:rPr>
          <w:rFonts w:ascii="Times New Roman" w:cs="Times New Roman" w:eastAsia="Times New Roman" w:hAnsi="Times New Roman"/>
          <w:sz w:val="20"/>
          <w:szCs w:val="20"/>
          <w:color w:val="auto"/>
        </w:rPr>
      </w:pPr>
    </w:p>
    <w:p>
      <w:pPr>
        <w:ind w:left="660" w:right="60" w:firstLine="644"/>
        <w:spacing w:after="0" w:line="230" w:lineRule="auto"/>
        <w:tabs>
          <w:tab w:leader="none" w:pos="1954" w:val="left"/>
        </w:tabs>
        <w:numPr>
          <w:ilvl w:val="1"/>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48" w:lineRule="exact"/>
        <w:rPr>
          <w:rFonts w:ascii="Times New Roman" w:cs="Times New Roman" w:eastAsia="Times New Roman" w:hAnsi="Times New Roman"/>
          <w:sz w:val="20"/>
          <w:szCs w:val="20"/>
          <w:color w:val="auto"/>
        </w:rPr>
      </w:pPr>
    </w:p>
    <w:p>
      <w:pPr>
        <w:ind w:left="660" w:right="400" w:firstLine="644"/>
        <w:spacing w:after="0" w:line="230" w:lineRule="auto"/>
        <w:tabs>
          <w:tab w:leader="none" w:pos="1955" w:val="left"/>
        </w:tabs>
        <w:numPr>
          <w:ilvl w:val="1"/>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at such other address of which the Administrative Agent shall have been notified pursuant thereto;</w:t>
      </w:r>
    </w:p>
    <w:p>
      <w:pPr>
        <w:spacing w:after="0" w:line="148" w:lineRule="exact"/>
        <w:rPr>
          <w:rFonts w:ascii="Times New Roman" w:cs="Times New Roman" w:eastAsia="Times New Roman" w:hAnsi="Times New Roman"/>
          <w:sz w:val="20"/>
          <w:szCs w:val="20"/>
          <w:color w:val="auto"/>
        </w:rPr>
      </w:pPr>
    </w:p>
    <w:p>
      <w:pPr>
        <w:ind w:left="660" w:right="180" w:firstLine="644"/>
        <w:spacing w:after="0"/>
        <w:tabs>
          <w:tab w:leader="none" w:pos="1956" w:val="left"/>
        </w:tabs>
        <w:numPr>
          <w:ilvl w:val="1"/>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5" w:val="left"/>
        </w:tabs>
        <w:numPr>
          <w:ilvl w:val="1"/>
          <w:numId w:val="8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The Borrower hereby acknowledges that:</w:t>
      </w:r>
    </w:p>
    <w:p>
      <w:pPr>
        <w:spacing w:after="0" w:line="189" w:lineRule="exact"/>
        <w:rPr>
          <w:sz w:val="20"/>
          <w:szCs w:val="20"/>
          <w:color w:val="auto"/>
        </w:rPr>
      </w:pPr>
    </w:p>
    <w:p>
      <w:pPr>
        <w:ind w:left="1300" w:hanging="644"/>
        <w:spacing w:after="0"/>
        <w:tabs>
          <w:tab w:leader="none" w:pos="1300" w:val="left"/>
        </w:tabs>
        <w:numPr>
          <w:ilvl w:val="0"/>
          <w:numId w:val="8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20"/>
          </w:cols>
          <w:pgMar w:left="320" w:top="1400" w:right="359" w:bottom="1440" w:gutter="0" w:footer="0" w:header="0"/>
        </w:sectPr>
      </w:pPr>
    </w:p>
    <w:bookmarkStart w:id="646" w:name="page647"/>
    <w:bookmarkEnd w:id="646"/>
    <w:p>
      <w:pPr>
        <w:ind w:right="160" w:firstLine="656"/>
        <w:spacing w:after="0"/>
        <w:tabs>
          <w:tab w:leader="none" w:pos="1284" w:val="left"/>
        </w:tabs>
        <w:numPr>
          <w:ilvl w:val="0"/>
          <w:numId w:val="8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this Agreement or any of the other Loan Documents, the Arrangers shall have no powers, duties, responsibilities or liabilities with respect to this Agreement and the other Loan Documents;</w:t>
      </w:r>
    </w:p>
    <w:p>
      <w:pPr>
        <w:spacing w:after="0" w:line="147" w:lineRule="exact"/>
        <w:rPr>
          <w:rFonts w:ascii="Times New Roman" w:cs="Times New Roman" w:eastAsia="Times New Roman" w:hAnsi="Times New Roman"/>
          <w:sz w:val="20"/>
          <w:szCs w:val="20"/>
          <w:color w:val="auto"/>
        </w:rPr>
      </w:pPr>
    </w:p>
    <w:p>
      <w:pPr>
        <w:ind w:right="180" w:firstLine="656"/>
        <w:spacing w:after="0"/>
        <w:tabs>
          <w:tab w:leader="none" w:pos="1286" w:val="left"/>
        </w:tabs>
        <w:numPr>
          <w:ilvl w:val="0"/>
          <w:numId w:val="8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the Arrangers, the Lenders, the Issuing Banks and their Affiliates may have economic interests that conflict with those of the Borrower; and</w:t>
      </w:r>
    </w:p>
    <w:p>
      <w:pPr>
        <w:spacing w:after="0" w:line="161" w:lineRule="exact"/>
        <w:rPr>
          <w:rFonts w:ascii="Times New Roman" w:cs="Times New Roman" w:eastAsia="Times New Roman" w:hAnsi="Times New Roman"/>
          <w:sz w:val="20"/>
          <w:szCs w:val="20"/>
          <w:color w:val="auto"/>
        </w:rPr>
      </w:pPr>
    </w:p>
    <w:p>
      <w:pPr>
        <w:ind w:right="900" w:firstLine="656"/>
        <w:spacing w:after="0" w:line="233" w:lineRule="auto"/>
        <w:tabs>
          <w:tab w:leader="none" w:pos="1284" w:val="left"/>
        </w:tabs>
        <w:numPr>
          <w:ilvl w:val="0"/>
          <w:numId w:val="8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among the Issuing Banks or among the Borrower and the Lenders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Guarantors; Release of Guarantors.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9.15.</w:t>
      </w:r>
    </w:p>
    <w:p>
      <w:pPr>
        <w:spacing w:after="0" w:line="180" w:lineRule="exact"/>
        <w:rPr>
          <w:sz w:val="20"/>
          <w:szCs w:val="20"/>
          <w:color w:val="auto"/>
        </w:rPr>
      </w:pPr>
    </w:p>
    <w:p>
      <w:pPr>
        <w:ind w:right="20" w:firstLine="656"/>
        <w:spacing w:after="0" w:line="230" w:lineRule="auto"/>
        <w:tabs>
          <w:tab w:leader="none" w:pos="1286" w:val="left"/>
        </w:tabs>
        <w:numPr>
          <w:ilvl w:val="1"/>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pacing w:after="0" w:line="148" w:lineRule="exact"/>
        <w:rPr>
          <w:rFonts w:ascii="Times New Roman" w:cs="Times New Roman" w:eastAsia="Times New Roman" w:hAnsi="Times New Roman"/>
          <w:sz w:val="20"/>
          <w:szCs w:val="20"/>
          <w:color w:val="auto"/>
        </w:rPr>
      </w:pPr>
    </w:p>
    <w:p>
      <w:pPr>
        <w:ind w:firstLine="656"/>
        <w:spacing w:after="0" w:line="213" w:lineRule="auto"/>
        <w:tabs>
          <w:tab w:leader="none" w:pos="1284" w:val="left"/>
        </w:tabs>
        <w:numPr>
          <w:ilvl w:val="1"/>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Administrative Agent is hereby irrevocably authorized by each Lender and Issuing Bank (and each such Lender and Issuing Bank hereby expressly consents) (without requirement of notice to or consent of any Lender or Issuing Bank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 9.1(a), including, in each case and without limitation, any sale, transfer or other disposition of any Guarantor (other than to the Borrower or another Guarantor), and (ii) under the circumstances described in paragraph (c) below (and, upon the consummation of any such transaction in preceding clause (i) or (ii), such Guarantor shall be released from its obligations hereunder).</w:t>
      </w:r>
    </w:p>
    <w:p>
      <w:pPr>
        <w:spacing w:after="0" w:line="161" w:lineRule="exact"/>
        <w:rPr>
          <w:rFonts w:ascii="Times New Roman" w:cs="Times New Roman" w:eastAsia="Times New Roman" w:hAnsi="Times New Roman"/>
          <w:sz w:val="20"/>
          <w:szCs w:val="20"/>
          <w:color w:val="auto"/>
        </w:rPr>
      </w:pPr>
    </w:p>
    <w:p>
      <w:pPr>
        <w:ind w:firstLine="656"/>
        <w:spacing w:after="0" w:line="216" w:lineRule="auto"/>
        <w:tabs>
          <w:tab w:leader="none" w:pos="1286" w:val="left"/>
        </w:tabs>
        <w:numPr>
          <w:ilvl w:val="1"/>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Lenders and Issuing Banks hereby agree, and the Administrative Agent is hereby irrevocably authorized by each Lender and Issuing Bank (without requirement of notice to or consent of any Lender or Issuing Bank)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of the Obligations by any Guarantor will terminate upon:</w:t>
      </w:r>
    </w:p>
    <w:p>
      <w:pPr>
        <w:spacing w:after="0" w:line="188" w:lineRule="exact"/>
        <w:rPr>
          <w:rFonts w:ascii="Times New Roman" w:cs="Times New Roman" w:eastAsia="Times New Roman" w:hAnsi="Times New Roman"/>
          <w:sz w:val="20"/>
          <w:szCs w:val="20"/>
          <w:color w:val="auto"/>
        </w:rPr>
      </w:pPr>
    </w:p>
    <w:p>
      <w:pPr>
        <w:ind w:left="660" w:right="40" w:firstLine="644"/>
        <w:spacing w:after="0" w:line="233" w:lineRule="auto"/>
        <w:tabs>
          <w:tab w:leader="none" w:pos="1954" w:val="left"/>
        </w:tabs>
        <w:numPr>
          <w:ilvl w:val="2"/>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or other disposition (including by way of consolidation or merger) of the Capital Stock of such Guarantor such that such Guarantor is no longer a Restricted Subsidiary of the Borrower; and</w:t>
      </w:r>
    </w:p>
    <w:p>
      <w:pPr>
        <w:spacing w:after="0" w:line="160" w:lineRule="exact"/>
        <w:rPr>
          <w:rFonts w:ascii="Times New Roman" w:cs="Times New Roman" w:eastAsia="Times New Roman" w:hAnsi="Times New Roman"/>
          <w:sz w:val="20"/>
          <w:szCs w:val="20"/>
          <w:color w:val="auto"/>
        </w:rPr>
      </w:pPr>
    </w:p>
    <w:p>
      <w:pPr>
        <w:ind w:left="660" w:right="480" w:firstLine="644"/>
        <w:spacing w:after="0" w:line="226" w:lineRule="auto"/>
        <w:tabs>
          <w:tab w:leader="none" w:pos="1955" w:val="left"/>
        </w:tabs>
        <w:numPr>
          <w:ilvl w:val="2"/>
          <w:numId w:val="8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73" w:lineRule="exact"/>
        <w:rPr>
          <w:rFonts w:ascii="Times New Roman" w:cs="Times New Roman" w:eastAsia="Times New Roman" w:hAnsi="Times New Roman"/>
          <w:sz w:val="20"/>
          <w:szCs w:val="20"/>
          <w:color w:val="auto"/>
        </w:rPr>
      </w:pPr>
    </w:p>
    <w:p>
      <w:pPr>
        <w:ind w:right="200" w:firstLine="8"/>
        <w:spacing w:after="0" w:line="283" w:lineRule="auto"/>
        <w:tabs>
          <w:tab w:leader="none" w:pos="729" w:val="left"/>
        </w:tabs>
        <w:numPr>
          <w:ilvl w:val="0"/>
          <w:numId w:val="8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execute any documents reasonably required in order to evidence the release of any Guarantor from its obligations under its Guarantee pursuant to the foregoing.</w:t>
      </w:r>
    </w:p>
    <w:p>
      <w:pPr>
        <w:spacing w:after="0" w:line="127" w:lineRule="exact"/>
        <w:rPr>
          <w:sz w:val="20"/>
          <w:szCs w:val="20"/>
          <w:color w:val="auto"/>
        </w:rPr>
      </w:pPr>
    </w:p>
    <w:p>
      <w:pPr>
        <w:jc w:val="center"/>
        <w:ind w:right="-59"/>
        <w:spacing w:after="0"/>
        <w:tabs>
          <w:tab w:leader="none" w:pos="220" w:val="left"/>
        </w:tabs>
        <w:rPr>
          <w:sz w:val="20"/>
          <w:szCs w:val="20"/>
          <w:color w:val="auto"/>
        </w:rPr>
      </w:pPr>
      <w:r>
        <w:rPr>
          <w:rFonts w:ascii="Times New Roman" w:cs="Times New Roman" w:eastAsia="Times New Roman" w:hAnsi="Times New Roman"/>
          <w:sz w:val="20"/>
          <w:szCs w:val="20"/>
          <w:color w:val="auto"/>
        </w:rPr>
        <w:t>9.16.</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The Agent, each Arranger, each Lender, each Issuing Bank agrees to keep confidential all non-public</w:t>
      </w:r>
    </w:p>
    <w:p>
      <w:pPr>
        <w:ind w:right="120"/>
        <w:spacing w:after="0" w:line="215" w:lineRule="auto"/>
        <w:rPr>
          <w:sz w:val="20"/>
          <w:szCs w:val="20"/>
          <w:color w:val="auto"/>
        </w:rPr>
      </w:pPr>
      <w:r>
        <w:rPr>
          <w:rFonts w:ascii="Times New Roman" w:cs="Times New Roman" w:eastAsia="Times New Roman" w:hAnsi="Times New Roman"/>
          <w:sz w:val="19"/>
          <w:szCs w:val="19"/>
          <w:color w:val="auto"/>
        </w:rPr>
        <w:t xml:space="preserve">information provided to it by any Loan Party, the Administrative Agent or any Lender pursuant to or in connection with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prevent any Agent, any Arranger, any Lender or Issuing Bank from disclosing any such information (a) to</w:t>
      </w:r>
    </w:p>
    <w:p>
      <w:pPr>
        <w:spacing w:after="0"/>
        <w:rPr>
          <w:sz w:val="20"/>
          <w:szCs w:val="20"/>
          <w:color w:val="auto"/>
        </w:rPr>
      </w:pPr>
      <w:r>
        <w:rPr>
          <w:rFonts w:ascii="Times New Roman" w:cs="Times New Roman" w:eastAsia="Times New Roman" w:hAnsi="Times New Roman"/>
          <w:sz w:val="20"/>
          <w:szCs w:val="20"/>
          <w:color w:val="auto"/>
        </w:rPr>
        <w:t>the Administrative Agent, any other Lender or any affiliate thereof (so long as such affiliate agrees to be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00" w:right="33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20"/>
          <w:szCs w:val="20"/>
          <w:color w:val="auto"/>
        </w:rPr>
        <w:t xml:space="preserve">by the provisions of 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(b) subject to an agreement to comply with provisions no less restrictive than 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or to</w:t>
      </w:r>
    </w:p>
    <w:p>
      <w:pPr>
        <w:ind w:right="340"/>
        <w:spacing w:after="0" w:line="215" w:lineRule="auto"/>
        <w:rPr>
          <w:sz w:val="20"/>
          <w:szCs w:val="20"/>
          <w:color w:val="auto"/>
        </w:rPr>
      </w:pPr>
      <w:r>
        <w:rPr>
          <w:rFonts w:ascii="Times New Roman" w:cs="Times New Roman" w:eastAsia="Times New Roman" w:hAnsi="Times New Roman"/>
          <w:sz w:val="19"/>
          <w:szCs w:val="19"/>
          <w:color w:val="auto"/>
        </w:rPr>
        <w:t>any actual or prospective Transferee (or any professional advisor to such counterparty), (c) to its employees, directors, officers, agents, attorneys, accountants, partners and other professional advisors (including insurance brokers) or those of any of its affiliates, (d) upon the</w:t>
      </w:r>
    </w:p>
    <w:p>
      <w:pPr>
        <w:spacing w:after="0" w:line="211" w:lineRule="auto"/>
        <w:rPr>
          <w:sz w:val="20"/>
          <w:szCs w:val="20"/>
          <w:color w:val="auto"/>
        </w:rPr>
      </w:pPr>
      <w:r>
        <w:rPr>
          <w:rFonts w:ascii="Times New Roman" w:cs="Times New Roman" w:eastAsia="Times New Roman" w:hAnsi="Times New Roman"/>
          <w:sz w:val="20"/>
          <w:szCs w:val="20"/>
          <w:color w:val="auto"/>
        </w:rPr>
        <w:t>request or demand, or in accordance with the requirements (including reporting requirements), of any Governmental Authority having</w:t>
      </w:r>
    </w:p>
    <w:p>
      <w:pPr>
        <w:ind w:right="260"/>
        <w:spacing w:after="0" w:line="204" w:lineRule="auto"/>
        <w:rPr>
          <w:sz w:val="20"/>
          <w:szCs w:val="20"/>
          <w:color w:val="auto"/>
        </w:rPr>
      </w:pPr>
      <w:r>
        <w:rPr>
          <w:rFonts w:ascii="Times New Roman" w:cs="Times New Roman" w:eastAsia="Times New Roman" w:hAnsi="Times New Roman"/>
          <w:sz w:val="20"/>
          <w:szCs w:val="20"/>
          <w:color w:val="auto"/>
        </w:rPr>
        <w:t xml:space="preserve">jurisdiction over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permitted by law, such Lender shall promptly notify the applicable Loan Party of such disclosure (except with respect to any audit or examination conducted by bank accountants or any governmental bank authority</w:t>
      </w:r>
    </w:p>
    <w:p>
      <w:pPr>
        <w:spacing w:after="0" w:line="211" w:lineRule="auto"/>
        <w:rPr>
          <w:sz w:val="20"/>
          <w:szCs w:val="20"/>
          <w:color w:val="auto"/>
        </w:rPr>
      </w:pPr>
      <w:r>
        <w:rPr>
          <w:rFonts w:ascii="Times New Roman" w:cs="Times New Roman" w:eastAsia="Times New Roman" w:hAnsi="Times New Roman"/>
          <w:sz w:val="20"/>
          <w:szCs w:val="20"/>
          <w:color w:val="auto"/>
        </w:rPr>
        <w:t>exercising examination or regulatory authority), in response to any order of any court or other Governmental Authority or as may otherwise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be required pursuant to any Requirement of Law or other legal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permitted by law, such Lender shall promptly notify the applicable Loan Party of such disclosure (except with respect to any audit or examination conducted by bank accountants</w:t>
      </w:r>
    </w:p>
    <w:p>
      <w:pPr>
        <w:spacing w:after="0" w:line="211" w:lineRule="auto"/>
        <w:rPr>
          <w:sz w:val="20"/>
          <w:szCs w:val="20"/>
          <w:color w:val="auto"/>
        </w:rPr>
      </w:pPr>
      <w:r>
        <w:rPr>
          <w:rFonts w:ascii="Times New Roman" w:cs="Times New Roman" w:eastAsia="Times New Roman" w:hAnsi="Times New Roman"/>
          <w:sz w:val="20"/>
          <w:szCs w:val="20"/>
          <w:color w:val="auto"/>
        </w:rPr>
        <w:t>or any governmental bank authority exercising examination or regulatory authority), (e) if requested or required to do so in connection with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litigation or similar proceeding;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permitted by law, such Lender shall promptly notify the applicable Loan Party of such disclosure, (f) to the extent such information has been independently developed by such Lender or that has been publicly disclosed</w:t>
      </w:r>
    </w:p>
    <w:p>
      <w:pPr>
        <w:spacing w:after="0" w:line="211" w:lineRule="auto"/>
        <w:rPr>
          <w:sz w:val="20"/>
          <w:szCs w:val="20"/>
          <w:color w:val="auto"/>
        </w:rPr>
      </w:pPr>
      <w:r>
        <w:rPr>
          <w:rFonts w:ascii="Times New Roman" w:cs="Times New Roman" w:eastAsia="Times New Roman" w:hAnsi="Times New Roman"/>
          <w:sz w:val="20"/>
          <w:szCs w:val="20"/>
          <w:color w:val="auto"/>
        </w:rPr>
        <w:t>other than in breach of this Agreement, (g) to the National Association of Insurance Commissioners or any similar organization or any</w:t>
      </w:r>
    </w:p>
    <w:p>
      <w:pPr>
        <w:ind w:right="200"/>
        <w:spacing w:after="0" w:line="215" w:lineRule="auto"/>
        <w:rPr>
          <w:sz w:val="20"/>
          <w:szCs w:val="20"/>
          <w:color w:val="auto"/>
        </w:rPr>
      </w:pPr>
      <w:r>
        <w:rPr>
          <w:rFonts w:ascii="Times New Roman" w:cs="Times New Roman" w:eastAsia="Times New Roman" w:hAnsi="Times New Roman"/>
          <w:sz w:val="19"/>
          <w:szCs w:val="19"/>
          <w:color w:val="auto"/>
        </w:rPr>
        <w:t>nationally recognized rating agency that requires access to information about a Lender’s investment portfolio in connection with ratings issued with respect to such Lender, (h) in connection with the exercise of any remedy hereunder or under any other Loan Document and (i)</w:t>
      </w:r>
    </w:p>
    <w:p>
      <w:pPr>
        <w:spacing w:after="0"/>
        <w:rPr>
          <w:sz w:val="20"/>
          <w:szCs w:val="20"/>
          <w:color w:val="auto"/>
        </w:rPr>
      </w:pPr>
      <w:r>
        <w:rPr>
          <w:rFonts w:ascii="Times New Roman" w:cs="Times New Roman" w:eastAsia="Times New Roman" w:hAnsi="Times New Roman"/>
          <w:sz w:val="20"/>
          <w:szCs w:val="20"/>
          <w:color w:val="auto"/>
        </w:rPr>
        <w:t>any other disclosure with the written consent of the Borrower.</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9"/>
          <w:szCs w:val="19"/>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6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The Borrower acknowledges that certain of the Lenders may be “public-side” Lenders (Lenders that do not wish to receive material non-public information with respect to the Borrower, its subsidiaries or their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and, if documents required to be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77" w:lineRule="exact"/>
        <w:rPr>
          <w:sz w:val="20"/>
          <w:szCs w:val="20"/>
          <w:color w:val="auto"/>
        </w:rPr>
      </w:pPr>
    </w:p>
    <w:p>
      <w:pPr>
        <w:ind w:right="680" w:firstLine="648"/>
        <w:spacing w:after="0" w:line="283"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20"/>
          </w:cols>
          <w:pgMar w:left="320" w:top="1394" w:right="359" w:bottom="1440" w:gutter="0" w:footer="0" w:header="0"/>
        </w:sectPr>
      </w:pPr>
    </w:p>
    <w:bookmarkStart w:id="648" w:name="page649"/>
    <w:bookmarkEnd w:id="648"/>
    <w:p>
      <w:pPr>
        <w:jc w:val="center"/>
        <w:ind w:right="-39"/>
        <w:spacing w:after="0"/>
        <w:tabs>
          <w:tab w:leader="none" w:pos="220" w:val="left"/>
        </w:tabs>
        <w:rPr>
          <w:sz w:val="20"/>
          <w:szCs w:val="20"/>
          <w:color w:val="auto"/>
        </w:rPr>
      </w:pPr>
      <w:r>
        <w:rPr>
          <w:rFonts w:ascii="Times New Roman" w:cs="Times New Roman" w:eastAsia="Times New Roman" w:hAnsi="Times New Roman"/>
          <w:sz w:val="20"/>
          <w:szCs w:val="20"/>
          <w:color w:val="auto"/>
        </w:rPr>
        <w:t>9.17.</w:t>
      </w:r>
      <w:r>
        <w:rPr>
          <w:sz w:val="20"/>
          <w:szCs w:val="20"/>
          <w:color w:val="auto"/>
        </w:rPr>
        <w:tab/>
      </w:r>
      <w:r>
        <w:rPr>
          <w:rFonts w:ascii="Times New Roman" w:cs="Times New Roman" w:eastAsia="Times New Roman" w:hAnsi="Times New Roman"/>
          <w:sz w:val="19"/>
          <w:szCs w:val="19"/>
          <w:u w:val="single" w:color="auto"/>
          <w:color w:val="auto"/>
        </w:rPr>
        <w:t>WAIVERS OF JURY TRIAL</w:t>
      </w:r>
      <w:r>
        <w:rPr>
          <w:rFonts w:ascii="Times New Roman" w:cs="Times New Roman" w:eastAsia="Times New Roman" w:hAnsi="Times New Roman"/>
          <w:sz w:val="19"/>
          <w:szCs w:val="19"/>
          <w:color w:val="auto"/>
        </w:rPr>
        <w:t>. THE BORROWER, THE ADMINISTRATIVE AGENT, THE LENDERS AND THE</w:t>
      </w:r>
    </w:p>
    <w:p>
      <w:pPr>
        <w:ind w:right="260"/>
        <w:spacing w:after="0" w:line="204" w:lineRule="auto"/>
        <w:rPr>
          <w:sz w:val="20"/>
          <w:szCs w:val="20"/>
          <w:color w:val="auto"/>
        </w:rPr>
      </w:pPr>
      <w:r>
        <w:rPr>
          <w:rFonts w:ascii="Times New Roman" w:cs="Times New Roman" w:eastAsia="Times New Roman" w:hAnsi="Times New Roman"/>
          <w:sz w:val="20"/>
          <w:szCs w:val="20"/>
          <w:color w:val="auto"/>
        </w:rPr>
        <w:t>ISSUING BANKS HEREBY IRREVOCABLY AND UNCONDITIONALLY WAIVE TRIAL BY JURY IN ANY LEGAL ACTION OR PROCEEDING RELATING TO THIS AGREEMENT OR ANY OTHER LOAN DOCUMENT OR THE TRANSACTIONS</w:t>
      </w:r>
    </w:p>
    <w:p>
      <w:pPr>
        <w:spacing w:after="0" w:line="223" w:lineRule="auto"/>
        <w:rPr>
          <w:sz w:val="20"/>
          <w:szCs w:val="20"/>
          <w:color w:val="auto"/>
        </w:rPr>
      </w:pPr>
      <w:r>
        <w:rPr>
          <w:rFonts w:ascii="Times New Roman" w:cs="Times New Roman" w:eastAsia="Times New Roman" w:hAnsi="Times New Roman"/>
          <w:sz w:val="19"/>
          <w:szCs w:val="19"/>
          <w:color w:val="auto"/>
        </w:rPr>
        <w:t>CONTEMPLATED HEREBY OR THEREBY (WHETHER BASED ON CONTRACT, TORT OR ANY OTHER THEORY) OR FOR ANY</w:t>
      </w:r>
    </w:p>
    <w:p>
      <w:pPr>
        <w:ind w:right="20"/>
        <w:spacing w:after="0" w:line="215" w:lineRule="auto"/>
        <w:rPr>
          <w:sz w:val="20"/>
          <w:szCs w:val="20"/>
          <w:color w:val="auto"/>
        </w:rPr>
      </w:pPr>
      <w:r>
        <w:rPr>
          <w:rFonts w:ascii="Times New Roman" w:cs="Times New Roman" w:eastAsia="Times New Roman" w:hAnsi="Times New Roman"/>
          <w:sz w:val="19"/>
          <w:szCs w:val="19"/>
          <w:color w:val="auto"/>
        </w:rPr>
        <w:t>COUNTERCLAIM THEREIN. EACH PARTY HERETO (A) CERTIFIES THAT NO REPRESENTATIVE, AGENT OR ATTORNEY OF ANY OTHER PERSON HAS REPRESENTED, EXPRESSLY OR OTHERWISE, THAT SUCH OTHER PERSON WOULD NOT, IN THE</w:t>
      </w:r>
    </w:p>
    <w:p>
      <w:pPr>
        <w:spacing w:after="0" w:line="211" w:lineRule="auto"/>
        <w:rPr>
          <w:sz w:val="20"/>
          <w:szCs w:val="20"/>
          <w:color w:val="auto"/>
        </w:rPr>
      </w:pPr>
      <w:r>
        <w:rPr>
          <w:rFonts w:ascii="Times New Roman" w:cs="Times New Roman" w:eastAsia="Times New Roman" w:hAnsi="Times New Roman"/>
          <w:sz w:val="20"/>
          <w:szCs w:val="20"/>
          <w:color w:val="auto"/>
        </w:rPr>
        <w:t>EVENT OF LITIGATION, SEEK TO ENFORCE THE FOREGOING WAIVER AND (B) ACKNOWLEDGES THAT IT AND THE</w:t>
      </w:r>
    </w:p>
    <w:p>
      <w:pPr>
        <w:ind w:right="40"/>
        <w:spacing w:after="0" w:line="221" w:lineRule="auto"/>
        <w:rPr>
          <w:sz w:val="20"/>
          <w:szCs w:val="20"/>
          <w:color w:val="auto"/>
        </w:rPr>
      </w:pPr>
      <w:r>
        <w:rPr>
          <w:rFonts w:ascii="Times New Roman" w:cs="Times New Roman" w:eastAsia="Times New Roman" w:hAnsi="Times New Roman"/>
          <w:sz w:val="20"/>
          <w:szCs w:val="20"/>
          <w:color w:val="auto"/>
        </w:rPr>
        <w:t>OTHER PARTIES HERETO HAVE BEEN INDUCED TO ENTER INTO THIS AGREEMENT AND THE OTHER LOAN DOCUMENTS BY, AMONG OTHER THINGS, THE MUTUAL WAIVERS AND CERTIFICATIONS IN THIS SECTION.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9.18.</w:t>
      </w:r>
      <w:r>
        <w:rPr>
          <w:sz w:val="20"/>
          <w:szCs w:val="20"/>
          <w:color w:val="auto"/>
        </w:rPr>
        <w:tab/>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Each Lender that is subject to the requirements of the Patriot Act hereby notifies each Loan Party that pursuant</w:t>
      </w:r>
    </w:p>
    <w:p>
      <w:pPr>
        <w:ind w:right="60"/>
        <w:spacing w:after="0" w:line="215" w:lineRule="auto"/>
        <w:rPr>
          <w:sz w:val="20"/>
          <w:szCs w:val="20"/>
          <w:color w:val="auto"/>
        </w:rPr>
      </w:pPr>
      <w:r>
        <w:rPr>
          <w:rFonts w:ascii="Times New Roman" w:cs="Times New Roman" w:eastAsia="Times New Roman" w:hAnsi="Times New Roman"/>
          <w:sz w:val="19"/>
          <w:szCs w:val="19"/>
          <w:color w:val="auto"/>
        </w:rPr>
        <w:t>to the requirements of the Patriot Act, it is required to obtain, verify and record information that identifies each Loan Party, which information includes the name and address of such Loan Party and other information that will allow such Lender to identify such Loan Party</w:t>
      </w:r>
    </w:p>
    <w:p>
      <w:pPr>
        <w:spacing w:after="0" w:line="211" w:lineRule="auto"/>
        <w:rPr>
          <w:sz w:val="20"/>
          <w:szCs w:val="20"/>
          <w:color w:val="auto"/>
        </w:rPr>
      </w:pPr>
      <w:r>
        <w:rPr>
          <w:rFonts w:ascii="Times New Roman" w:cs="Times New Roman" w:eastAsia="Times New Roman" w:hAnsi="Times New Roman"/>
          <w:sz w:val="20"/>
          <w:szCs w:val="20"/>
          <w:color w:val="auto"/>
        </w:rPr>
        <w:t>in accordance with the Patriot Act. The Borrower shall, and shall cause each of its Subsidiaries to, provide, to the extent commercially</w:t>
      </w:r>
    </w:p>
    <w:p>
      <w:pPr>
        <w:ind w:right="340"/>
        <w:spacing w:after="0" w:line="221" w:lineRule="auto"/>
        <w:rPr>
          <w:sz w:val="20"/>
          <w:szCs w:val="20"/>
          <w:color w:val="auto"/>
        </w:rPr>
      </w:pPr>
      <w:r>
        <w:rPr>
          <w:rFonts w:ascii="Times New Roman" w:cs="Times New Roman" w:eastAsia="Times New Roman" w:hAnsi="Times New Roman"/>
          <w:sz w:val="20"/>
          <w:szCs w:val="20"/>
          <w:color w:val="auto"/>
        </w:rPr>
        <w:t>reasonable, such information and take such actions as are reasonably requested by each Lender and the Administrative Agent to maintain compliance with the Patriot Act.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9.19.</w:t>
      </w:r>
      <w:r>
        <w:rPr>
          <w:sz w:val="20"/>
          <w:szCs w:val="20"/>
          <w:color w:val="auto"/>
        </w:rPr>
        <w:tab/>
      </w:r>
      <w:r>
        <w:rPr>
          <w:rFonts w:ascii="Times New Roman" w:cs="Times New Roman" w:eastAsia="Times New Roman" w:hAnsi="Times New Roman"/>
          <w:sz w:val="19"/>
          <w:szCs w:val="19"/>
          <w:u w:val="single" w:color="auto"/>
          <w:color w:val="auto"/>
        </w:rPr>
        <w:t>No Fiduciary Duty</w:t>
      </w:r>
      <w:r>
        <w:rPr>
          <w:rFonts w:ascii="Times New Roman" w:cs="Times New Roman" w:eastAsia="Times New Roman" w:hAnsi="Times New Roman"/>
          <w:sz w:val="19"/>
          <w:szCs w:val="19"/>
          <w:color w:val="auto"/>
        </w:rPr>
        <w:t>. The Agent, each Lender, the Arrangers, the Issuing Banks and their respective Affiliates (collectively,</w:t>
      </w:r>
    </w:p>
    <w:p>
      <w:pPr>
        <w:ind w:right="40"/>
        <w:spacing w:after="0" w:line="215" w:lineRule="auto"/>
        <w:rPr>
          <w:sz w:val="20"/>
          <w:szCs w:val="20"/>
          <w:color w:val="auto"/>
        </w:rPr>
      </w:pPr>
      <w:r>
        <w:rPr>
          <w:rFonts w:ascii="Times New Roman" w:cs="Times New Roman" w:eastAsia="Times New Roman" w:hAnsi="Times New Roman"/>
          <w:sz w:val="19"/>
          <w:szCs w:val="19"/>
          <w:color w:val="auto"/>
        </w:rPr>
        <w:t>solely for purposes of this paragraph,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may have economic interests that conflict with those of the Borrower, its stockholders and/or its affiliates. The Borrower agrees that nothing in the Loan Documents or otherwise will be deemed to create an advisory, fiduciary or</w:t>
      </w:r>
    </w:p>
    <w:p>
      <w:pPr>
        <w:ind w:right="120"/>
        <w:spacing w:after="0" w:line="215" w:lineRule="auto"/>
        <w:rPr>
          <w:sz w:val="20"/>
          <w:szCs w:val="20"/>
          <w:color w:val="auto"/>
        </w:rPr>
      </w:pPr>
      <w:r>
        <w:rPr>
          <w:rFonts w:ascii="Times New Roman" w:cs="Times New Roman" w:eastAsia="Times New Roman" w:hAnsi="Times New Roman"/>
          <w:sz w:val="19"/>
          <w:szCs w:val="19"/>
          <w:color w:val="auto"/>
        </w:rPr>
        <w:t>agency relationship or fiduciary or other implied duty between any Lender, on the one hand, and the Borrower, its stockholders or its affiliates, on the other. The Borrower acknowledges and agrees that (i) the transactions contemplated by the Loan Documents (including the</w:t>
      </w:r>
    </w:p>
    <w:p>
      <w:pPr>
        <w:spacing w:after="0" w:line="211" w:lineRule="auto"/>
        <w:rPr>
          <w:sz w:val="20"/>
          <w:szCs w:val="20"/>
          <w:color w:val="auto"/>
        </w:rPr>
      </w:pPr>
      <w:r>
        <w:rPr>
          <w:rFonts w:ascii="Times New Roman" w:cs="Times New Roman" w:eastAsia="Times New Roman" w:hAnsi="Times New Roman"/>
          <w:sz w:val="20"/>
          <w:szCs w:val="20"/>
          <w:color w:val="auto"/>
        </w:rPr>
        <w:t>exercise of rights and remedies hereunder and thereunder) are arm’s-length commercial transactions between the Lenders, on the one hand,</w:t>
      </w:r>
    </w:p>
    <w:p>
      <w:pPr>
        <w:ind w:right="80"/>
        <w:spacing w:after="0" w:line="215" w:lineRule="auto"/>
        <w:rPr>
          <w:sz w:val="20"/>
          <w:szCs w:val="20"/>
          <w:color w:val="auto"/>
        </w:rPr>
      </w:pPr>
      <w:r>
        <w:rPr>
          <w:rFonts w:ascii="Times New Roman" w:cs="Times New Roman" w:eastAsia="Times New Roman" w:hAnsi="Times New Roman"/>
          <w:sz w:val="19"/>
          <w:szCs w:val="19"/>
          <w:color w:val="auto"/>
        </w:rPr>
        <w:t>and the Borrower, on the other, and (ii) in connection therewith and with the process leading thereto, (x) no Lender has assumed an advisory or fiduciary responsibility in favor of the Borrower, its stockholders or its affiliates with respect to the transactions contemplated hereby (or</w:t>
      </w:r>
    </w:p>
    <w:p>
      <w:pPr>
        <w:spacing w:after="0" w:line="211" w:lineRule="auto"/>
        <w:rPr>
          <w:sz w:val="20"/>
          <w:szCs w:val="20"/>
          <w:color w:val="auto"/>
        </w:rPr>
      </w:pPr>
      <w:r>
        <w:rPr>
          <w:rFonts w:ascii="Times New Roman" w:cs="Times New Roman" w:eastAsia="Times New Roman" w:hAnsi="Times New Roman"/>
          <w:sz w:val="20"/>
          <w:szCs w:val="20"/>
          <w:color w:val="auto"/>
        </w:rPr>
        <w:t>the exercise of rights or remedies with respect thereto) or the process leading thereto (irrespective of whether any Lender has advised, is</w:t>
      </w:r>
    </w:p>
    <w:p>
      <w:pPr>
        <w:ind w:right="380"/>
        <w:spacing w:after="0" w:line="215" w:lineRule="auto"/>
        <w:rPr>
          <w:sz w:val="20"/>
          <w:szCs w:val="20"/>
          <w:color w:val="auto"/>
        </w:rPr>
      </w:pPr>
      <w:r>
        <w:rPr>
          <w:rFonts w:ascii="Times New Roman" w:cs="Times New Roman" w:eastAsia="Times New Roman" w:hAnsi="Times New Roman"/>
          <w:sz w:val="19"/>
          <w:szCs w:val="19"/>
          <w:color w:val="auto"/>
        </w:rPr>
        <w:t>currently advising or will advise the Borrower, its stockholders or its affiliates on other matters) or any other obligation to the Borrower except the obligations expressly set forth in the Loan Documents and (y) each Lender is acting solely as principal and not as the agent or</w:t>
      </w:r>
    </w:p>
    <w:p>
      <w:pPr>
        <w:spacing w:after="0" w:line="211" w:lineRule="auto"/>
        <w:rPr>
          <w:sz w:val="20"/>
          <w:szCs w:val="20"/>
          <w:color w:val="auto"/>
        </w:rPr>
      </w:pPr>
      <w:r>
        <w:rPr>
          <w:rFonts w:ascii="Times New Roman" w:cs="Times New Roman" w:eastAsia="Times New Roman" w:hAnsi="Times New Roman"/>
          <w:sz w:val="20"/>
          <w:szCs w:val="20"/>
          <w:color w:val="auto"/>
        </w:rPr>
        <w:t>fiduciary of the Borrower, its management, stockholders, creditors or any other Person. The Borrower acknowledges and agrees that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w:t>
      </w:r>
    </w:p>
    <w:p>
      <w:pPr>
        <w:spacing w:after="0" w:line="211" w:lineRule="auto"/>
        <w:rPr>
          <w:sz w:val="20"/>
          <w:szCs w:val="20"/>
          <w:color w:val="auto"/>
        </w:rPr>
      </w:pPr>
      <w:r>
        <w:rPr>
          <w:rFonts w:ascii="Times New Roman" w:cs="Times New Roman" w:eastAsia="Times New Roman" w:hAnsi="Times New Roman"/>
          <w:sz w:val="20"/>
          <w:szCs w:val="20"/>
          <w:color w:val="auto"/>
        </w:rPr>
        <w:t>Lender has rendered advisory services of any nature or respect, or owes a fiduciary or similar duty to the Borrower, in connection with such</w:t>
      </w:r>
    </w:p>
    <w:p>
      <w:pPr>
        <w:spacing w:after="0" w:line="215" w:lineRule="auto"/>
        <w:rPr>
          <w:sz w:val="20"/>
          <w:szCs w:val="20"/>
          <w:color w:val="auto"/>
        </w:rPr>
      </w:pPr>
      <w:r>
        <w:rPr>
          <w:rFonts w:ascii="Times New Roman" w:cs="Times New Roman" w:eastAsia="Times New Roman" w:hAnsi="Times New Roman"/>
          <w:sz w:val="19"/>
          <w:szCs w:val="19"/>
          <w:color w:val="auto"/>
        </w:rPr>
        <w:t>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w:t>
      </w:r>
    </w:p>
    <w:p>
      <w:pPr>
        <w:spacing w:after="0" w:line="222" w:lineRule="auto"/>
        <w:rPr>
          <w:sz w:val="20"/>
          <w:szCs w:val="20"/>
          <w:color w:val="auto"/>
        </w:rPr>
      </w:pPr>
      <w:r>
        <w:rPr>
          <w:rFonts w:ascii="Times New Roman" w:cs="Times New Roman" w:eastAsia="Times New Roman" w:hAnsi="Times New Roman"/>
          <w:sz w:val="19"/>
          <w:szCs w:val="19"/>
          <w:color w:val="auto"/>
        </w:rPr>
        <w:t>capacity, as applicable, as a Lender hereunder. Without limiting any other provision of this Article, none of such Arrangers in their respective</w:t>
      </w:r>
    </w:p>
    <w:p>
      <w:pPr>
        <w:ind w:right="80"/>
        <w:spacing w:after="0" w:line="221" w:lineRule="auto"/>
        <w:rPr>
          <w:sz w:val="20"/>
          <w:szCs w:val="20"/>
          <w:color w:val="auto"/>
        </w:rPr>
      </w:pPr>
      <w:r>
        <w:rPr>
          <w:rFonts w:ascii="Times New Roman" w:cs="Times New Roman" w:eastAsia="Times New Roman" w:hAnsi="Times New Roman"/>
          <w:sz w:val="20"/>
          <w:szCs w:val="20"/>
          <w:color w:val="auto"/>
        </w:rPr>
        <w:t>capacities as such shall have or be deemed to have any fiduciary relationship with any Lender, the Administrative Agent or any other Person by reason of this Agreement or any other Loan Document.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9.20.</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w:t>
      </w:r>
    </w:p>
    <w:p>
      <w:pPr>
        <w:ind w:right="80"/>
        <w:spacing w:after="0" w:line="215" w:lineRule="auto"/>
        <w:rPr>
          <w:sz w:val="20"/>
          <w:szCs w:val="20"/>
          <w:color w:val="auto"/>
        </w:rPr>
      </w:pPr>
      <w:r>
        <w:rPr>
          <w:rFonts w:ascii="Times New Roman" w:cs="Times New Roman" w:eastAsia="Times New Roman" w:hAnsi="Times New Roman"/>
          <w:sz w:val="19"/>
          <w:szCs w:val="19"/>
          <w:color w:val="auto"/>
        </w:rPr>
        <w:t>any Loan Document or in any other agreement, arrangement or understanding among any such parties, each party hereto acknowledges that any liability of any Affected Financial Institution arising under any Loan Document, to the extent such liability is unsecured, may be subject</w:t>
      </w:r>
    </w:p>
    <w:p>
      <w:pPr>
        <w:ind w:right="20"/>
        <w:spacing w:after="0" w:line="228" w:lineRule="auto"/>
        <w:rPr>
          <w:sz w:val="20"/>
          <w:szCs w:val="20"/>
          <w:color w:val="auto"/>
        </w:rPr>
      </w:pPr>
      <w:r>
        <w:rPr>
          <w:rFonts w:ascii="Times New Roman" w:cs="Times New Roman" w:eastAsia="Times New Roman" w:hAnsi="Times New Roman"/>
          <w:sz w:val="20"/>
          <w:szCs w:val="20"/>
          <w:color w:val="auto"/>
        </w:rPr>
        <w:t>to the write-down and conversion powers of the applicable Resolution Authority and agrees and consents to, and acknowledges and agrees to be bound by:</w:t>
      </w:r>
    </w:p>
    <w:p>
      <w:pPr>
        <w:spacing w:after="0" w:line="149" w:lineRule="exact"/>
        <w:rPr>
          <w:sz w:val="20"/>
          <w:szCs w:val="20"/>
          <w:color w:val="auto"/>
        </w:rPr>
      </w:pPr>
    </w:p>
    <w:p>
      <w:pPr>
        <w:ind w:right="360" w:firstLine="656"/>
        <w:spacing w:after="0"/>
        <w:tabs>
          <w:tab w:leader="none" w:pos="1286" w:val="left"/>
        </w:tabs>
        <w:numPr>
          <w:ilvl w:val="0"/>
          <w:numId w:val="8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00"/>
          </w:cols>
          <w:pgMar w:left="320" w:top="1395" w:right="379" w:bottom="1440" w:gutter="0" w:footer="0" w:header="0"/>
        </w:sectPr>
      </w:pPr>
    </w:p>
    <w:bookmarkStart w:id="649" w:name="page650"/>
    <w:bookmarkEnd w:id="649"/>
    <w:p>
      <w:pPr>
        <w:ind w:left="1300" w:hanging="644"/>
        <w:spacing w:after="0"/>
        <w:tabs>
          <w:tab w:leader="none" w:pos="1300" w:val="left"/>
        </w:tabs>
        <w:numPr>
          <w:ilvl w:val="0"/>
          <w:numId w:val="8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8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left="660" w:right="60" w:firstLine="644"/>
        <w:spacing w:after="0" w:line="258" w:lineRule="auto"/>
        <w:tabs>
          <w:tab w:leader="none" w:pos="1737" w:val="left"/>
        </w:tabs>
        <w:numPr>
          <w:ilvl w:val="1"/>
          <w:numId w:val="8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1"/>
          <w:numId w:val="8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 xml:space="preserve">9.21. </w:t>
      </w:r>
      <w:r>
        <w:rPr>
          <w:rFonts w:ascii="Times New Roman" w:cs="Times New Roman" w:eastAsia="Times New Roman" w:hAnsi="Times New Roman"/>
          <w:sz w:val="19"/>
          <w:szCs w:val="19"/>
          <w:u w:val="single" w:color="auto"/>
          <w:color w:val="auto"/>
        </w:rPr>
        <w:t>Interest Rate Limitations</w:t>
      </w:r>
      <w:r>
        <w:rPr>
          <w:rFonts w:ascii="Times New Roman" w:cs="Times New Roman" w:eastAsia="Times New Roman" w:hAnsi="Times New Roman"/>
          <w:sz w:val="19"/>
          <w:szCs w:val="19"/>
          <w:color w:val="auto"/>
        </w:rPr>
        <w:t>. Notwithstanding anything herein to the contrary, if at any time the interest rate applicable to any Loan or participation in any payment or disbursement made by an Issuing Bank pursuant to a Documentary Credit, together with all Charges,</w:t>
      </w:r>
    </w:p>
    <w:p>
      <w:pPr>
        <w:spacing w:after="0" w:line="211" w:lineRule="auto"/>
        <w:rPr>
          <w:sz w:val="20"/>
          <w:szCs w:val="20"/>
          <w:color w:val="auto"/>
        </w:rPr>
      </w:pPr>
      <w:r>
        <w:rPr>
          <w:rFonts w:ascii="Times New Roman" w:cs="Times New Roman" w:eastAsia="Times New Roman" w:hAnsi="Times New Roman"/>
          <w:sz w:val="20"/>
          <w:szCs w:val="20"/>
          <w:color w:val="auto"/>
        </w:rPr>
        <w:t>shall exceed the maximum lawful rate (the “Maximum Rate”) which may be contracted for, charged, taken, received or reserved by the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Lender holding such Loan or participation in accordance with applicable law, the rate of interest payable in respect of such Loan or participation hereunder, together with all Charges payable in respect thereof, shall be limited to the Maximum Rate and, to the extent lawful,</w:t>
      </w:r>
    </w:p>
    <w:p>
      <w:pPr>
        <w:spacing w:after="0" w:line="211" w:lineRule="auto"/>
        <w:rPr>
          <w:sz w:val="20"/>
          <w:szCs w:val="20"/>
          <w:color w:val="auto"/>
        </w:rPr>
      </w:pPr>
      <w:r>
        <w:rPr>
          <w:rFonts w:ascii="Times New Roman" w:cs="Times New Roman" w:eastAsia="Times New Roman" w:hAnsi="Times New Roman"/>
          <w:sz w:val="20"/>
          <w:szCs w:val="20"/>
          <w:color w:val="auto"/>
        </w:rPr>
        <w:t>the interest and Charges that would have been payable in respect of such Loan or participation but were not payable as a result of the</w:t>
      </w:r>
    </w:p>
    <w:p>
      <w:pPr>
        <w:ind w:right="200"/>
        <w:spacing w:after="0" w:line="215" w:lineRule="auto"/>
        <w:rPr>
          <w:sz w:val="20"/>
          <w:szCs w:val="20"/>
          <w:color w:val="auto"/>
        </w:rPr>
      </w:pPr>
      <w:r>
        <w:rPr>
          <w:rFonts w:ascii="Times New Roman" w:cs="Times New Roman" w:eastAsia="Times New Roman" w:hAnsi="Times New Roman"/>
          <w:sz w:val="19"/>
          <w:szCs w:val="19"/>
          <w:color w:val="auto"/>
        </w:rPr>
        <w:t>operation of this Section 9.20 shall be cumulated and the interest and Charges payable to such Lender in respect of other Loans or participations or periods shall be increased (but not above the Maximum Rate therefor) until such cumulated amount, together with interest</w:t>
      </w:r>
    </w:p>
    <w:p>
      <w:pPr>
        <w:spacing w:after="0"/>
        <w:rPr>
          <w:sz w:val="20"/>
          <w:szCs w:val="20"/>
          <w:color w:val="auto"/>
        </w:rPr>
      </w:pPr>
      <w:r>
        <w:rPr>
          <w:rFonts w:ascii="Times New Roman" w:cs="Times New Roman" w:eastAsia="Times New Roman" w:hAnsi="Times New Roman"/>
          <w:sz w:val="20"/>
          <w:szCs w:val="20"/>
          <w:color w:val="auto"/>
        </w:rPr>
        <w:t>thereon at the Federal Funds Effective Rate to the date of repayment, shall have been received by such Lender.</w:t>
      </w:r>
    </w:p>
    <w:p>
      <w:pPr>
        <w:spacing w:after="0" w:line="16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0"/>
          <w:szCs w:val="20"/>
          <w:color w:val="auto"/>
        </w:rPr>
        <w:t xml:space="preserve">9.22.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In connection with the termination of the Existing Credit Agreement, the Borrower’s repayment of outstanding loans under the Existing Credit Agreement is on a day that is not the last day of an Interest Period (as defined in the Existing</w:t>
      </w:r>
    </w:p>
    <w:p>
      <w:pPr>
        <w:spacing w:after="0" w:line="1"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20"/>
          <w:szCs w:val="20"/>
          <w:color w:val="auto"/>
        </w:rPr>
        <w:t>Credit Agreement). Each Lender that is a party to the Existing Credit Agreement hereby waives its rights to indemnification and payment under Section 2.17 of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20"/>
          </w:cols>
          <w:pgMar w:left="320" w:top="1400" w:right="359" w:bottom="1440" w:gutter="0" w:footer="0" w:header="0"/>
        </w:sectPr>
      </w:pPr>
    </w:p>
    <w:bookmarkStart w:id="650" w:name="page651"/>
    <w:bookmarkEnd w:id="650"/>
    <w:p>
      <w:pPr>
        <w:ind w:left="20"/>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HEREOF, the parties hereto have caused this Agreement to be duly executed as of the day and the year first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200" w:lineRule="exact"/>
        <w:rPr>
          <w:sz w:val="20"/>
          <w:szCs w:val="20"/>
          <w:color w:val="auto"/>
        </w:rPr>
      </w:pPr>
    </w:p>
    <w:p>
      <w:pPr>
        <w:spacing w:after="0" w:line="35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064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Name: Gregory Routin</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Micron Confidential</w:t>
      </w:r>
    </w:p>
    <w:p>
      <w:pPr>
        <w:ind w:left="4760"/>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360"/>
          </w:cols>
          <w:pgMar w:left="320" w:top="181" w:right="1219" w:bottom="1440" w:gutter="0" w:footer="0" w:header="0"/>
        </w:sectPr>
      </w:pPr>
    </w:p>
    <w:bookmarkStart w:id="651" w:name="page652"/>
    <w:bookmarkEnd w:id="651"/>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814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Daniel Gonzalez</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2" w:name="page653"/>
    <w:bookmarkEnd w:id="652"/>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Illene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1023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Illene Hernandez</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3" w:name="page654"/>
    <w:bookmarkEnd w:id="653"/>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Puneet Lakhotia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604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Puneet Lakhotia</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4" w:name="page655"/>
    <w:bookmarkEnd w:id="654"/>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Nicole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130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Nicole Rodriguez</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3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9772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Valentin Detry</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5" w:name="page656"/>
    <w:bookmarkEnd w:id="655"/>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right="519"/>
        <w:spacing w:after="0" w:line="287" w:lineRule="auto"/>
        <w:rPr>
          <w:sz w:val="20"/>
          <w:szCs w:val="20"/>
          <w:color w:val="auto"/>
        </w:rPr>
      </w:pPr>
      <w:r>
        <w:rPr>
          <w:rFonts w:ascii="Times New Roman" w:cs="Times New Roman" w:eastAsia="Times New Roman" w:hAnsi="Times New Roman"/>
          <w:sz w:val="20"/>
          <w:szCs w:val="20"/>
          <w:b w:val="1"/>
          <w:bCs w:val="1"/>
          <w:color w:val="auto"/>
        </w:rPr>
        <w:t>CREDIT AGRICOLE CORPORATE AND INVESTMENT BANK, as a Lender and as an Issuing Bank</w:t>
      </w:r>
    </w:p>
    <w:p>
      <w:pPr>
        <w:spacing w:after="0" w:line="200" w:lineRule="exact"/>
        <w:rPr>
          <w:sz w:val="20"/>
          <w:szCs w:val="20"/>
          <w:color w:val="auto"/>
        </w:rPr>
      </w:pPr>
    </w:p>
    <w:p>
      <w:pPr>
        <w:spacing w:after="0" w:line="266"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7226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22630"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Jill Wong</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ind w:left="4740"/>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6" w:name="page657"/>
    <w:bookmarkEnd w:id="656"/>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DBS BANK LTD.</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Kate Khoo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7886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Kate Khoo</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7" w:name="page658"/>
    <w:bookmarkEnd w:id="657"/>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MIZUHO BANK, LTD,</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9563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956310"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Edward Sacks</w:t>
      </w:r>
    </w:p>
    <w:p>
      <w:pPr>
        <w:spacing w:after="0" w:line="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8" w:name="page659"/>
    <w:bookmarkEnd w:id="658"/>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MUFG Bank, Ltd.,</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830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Lillian Kim</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59" w:name="page660"/>
    <w:bookmarkEnd w:id="659"/>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1169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Alfonso Brigham</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0" w:name="page661"/>
    <w:bookmarkEnd w:id="660"/>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Wells Fargo Bank, N.A.,</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 and as an Issuing Bank</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Remy Timbillah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636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Remy Timbillah</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1" w:name="page662"/>
    <w:bookmarkEnd w:id="661"/>
    <w:p>
      <w:pPr>
        <w:ind w:left="20"/>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Canadian Imperial Bank of Commerce, New York Branch, as a Lender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Ronak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-5080</wp:posOffset>
            </wp:positionV>
            <wp:extent cx="1174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 Ronak Shah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Executive Director &amp;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39"/>
          </w:cols>
          <w:pgMar w:left="320" w:top="181" w:right="1440" w:bottom="1440" w:gutter="0" w:footer="0" w:header="0"/>
        </w:sectPr>
      </w:pPr>
    </w:p>
    <w:bookmarkStart w:id="662" w:name="page663"/>
    <w:bookmarkEnd w:id="662"/>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right="279"/>
        <w:spacing w:after="0" w:line="287" w:lineRule="auto"/>
        <w:rPr>
          <w:sz w:val="20"/>
          <w:szCs w:val="20"/>
          <w:color w:val="auto"/>
        </w:rPr>
      </w:pPr>
      <w:r>
        <w:rPr>
          <w:rFonts w:ascii="Times New Roman" w:cs="Times New Roman" w:eastAsia="Times New Roman" w:hAnsi="Times New Roman"/>
          <w:sz w:val="20"/>
          <w:szCs w:val="20"/>
          <w:b w:val="1"/>
          <w:bCs w:val="1"/>
          <w:color w:val="auto"/>
        </w:rPr>
        <w:t>Industrial and Commercial Bank of China Limited, New York Branch, as a Lender</w:t>
      </w:r>
    </w:p>
    <w:p>
      <w:pPr>
        <w:spacing w:after="0" w:line="200" w:lineRule="exact"/>
        <w:rPr>
          <w:sz w:val="20"/>
          <w:szCs w:val="20"/>
          <w:color w:val="auto"/>
        </w:rPr>
      </w:pPr>
    </w:p>
    <w:p>
      <w:pPr>
        <w:spacing w:after="0" w:line="266"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863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Tony Huang</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3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26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Yuanyuan Peng</w:t>
      </w:r>
    </w:p>
    <w:p>
      <w:pPr>
        <w:spacing w:after="0" w:line="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ind w:left="4740"/>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3" w:name="page664"/>
    <w:bookmarkEnd w:id="663"/>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MORGAN STANLEY BANK, N.A.,</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Micheal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9353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Micheal King</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4" w:name="page665"/>
    <w:bookmarkEnd w:id="664"/>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line="287" w:lineRule="auto"/>
        <w:rPr>
          <w:sz w:val="20"/>
          <w:szCs w:val="20"/>
          <w:color w:val="auto"/>
        </w:rPr>
      </w:pPr>
      <w:r>
        <w:rPr>
          <w:rFonts w:ascii="Times New Roman" w:cs="Times New Roman" w:eastAsia="Times New Roman" w:hAnsi="Times New Roman"/>
          <w:sz w:val="20"/>
          <w:szCs w:val="20"/>
          <w:b w:val="1"/>
          <w:bCs w:val="1"/>
          <w:color w:val="auto"/>
        </w:rPr>
        <w:t>OVERSEA-CHINESE BANKING CORPORATION LIMITED, NEW YORK AGENCY, as a Lender</w:t>
      </w:r>
    </w:p>
    <w:p>
      <w:pPr>
        <w:spacing w:after="0" w:line="200" w:lineRule="exact"/>
        <w:rPr>
          <w:sz w:val="20"/>
          <w:szCs w:val="20"/>
          <w:color w:val="auto"/>
        </w:rPr>
      </w:pPr>
    </w:p>
    <w:p>
      <w:pPr>
        <w:spacing w:after="0" w:line="266"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Charles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8724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Charles Ong</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Title: Managing Director and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ind w:left="4740"/>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460"/>
          </w:cols>
          <w:pgMar w:left="340" w:top="181" w:right="1099" w:bottom="1440" w:gutter="0" w:footer="0" w:header="0"/>
        </w:sectPr>
      </w:pPr>
    </w:p>
    <w:bookmarkStart w:id="665" w:name="page666"/>
    <w:bookmarkEnd w:id="665"/>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Dominique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151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Dominique Carter</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6" w:name="page667"/>
    <w:bookmarkEnd w:id="666"/>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Irelen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7956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Irelen Mak</w:t>
      </w: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7" w:name="page668"/>
    <w:bookmarkEnd w:id="667"/>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The Bank of Nova Scotia,</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Luke Copley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8934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Luke Copley</w:t>
      </w:r>
    </w:p>
    <w:p>
      <w:pPr>
        <w:spacing w:after="0" w:line="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8" w:name="page669"/>
    <w:bookmarkEnd w:id="668"/>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The Toronto-Dominion Bank, New York Branch,</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9975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David Perlman</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69" w:name="page670"/>
    <w:bookmarkEnd w:id="669"/>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Commerzbank AG, New York Branch,</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Paolo de Alessandrini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3436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Paolo de Alessandrini</w:t>
      </w:r>
    </w:p>
    <w:p>
      <w:pPr>
        <w:spacing w:after="0" w:line="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33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Jeff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8769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876935"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Jeff Sullivan</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70" w:name="page671"/>
    <w:bookmarkEnd w:id="670"/>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Standard Chartered Bank,</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979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Kristopher Tracy</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71" w:name="page672"/>
    <w:bookmarkEnd w:id="671"/>
    <w:p>
      <w:pPr>
        <w:spacing w:after="0"/>
        <w:rPr>
          <w:sz w:val="20"/>
          <w:szCs w:val="20"/>
          <w:color w:val="auto"/>
        </w:rPr>
      </w:pPr>
      <w:r>
        <w:rPr>
          <w:rFonts w:ascii="Arial" w:cs="Arial" w:eastAsia="Arial" w:hAnsi="Arial"/>
          <w:sz w:val="22"/>
          <w:szCs w:val="22"/>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a Lender</w:t>
      </w:r>
    </w:p>
    <w:p>
      <w:pPr>
        <w:spacing w:after="0" w:line="200" w:lineRule="exact"/>
        <w:rPr>
          <w:sz w:val="20"/>
          <w:szCs w:val="20"/>
          <w:color w:val="auto"/>
        </w:rPr>
      </w:pPr>
    </w:p>
    <w:p>
      <w:pPr>
        <w:spacing w:after="0" w:line="324"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Lukas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-10795</wp:posOffset>
            </wp:positionV>
            <wp:extent cx="10331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Name: Lukas Coleman</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Micron Confidential</w:t>
      </w:r>
    </w:p>
    <w:p>
      <w:pPr>
        <w:jc w:val="right"/>
        <w:ind w:right="819"/>
        <w:spacing w:after="0"/>
        <w:rPr>
          <w:sz w:val="20"/>
          <w:szCs w:val="20"/>
          <w:color w:val="auto"/>
        </w:rPr>
      </w:pPr>
      <w:r>
        <w:rPr>
          <w:rFonts w:ascii="Times New Roman" w:cs="Times New Roman" w:eastAsia="Times New Roman" w:hAnsi="Times New Roman"/>
          <w:sz w:val="18"/>
          <w:szCs w:val="18"/>
          <w:color w:val="auto"/>
        </w:rPr>
        <w:t>[Signature Page to Micron Technology, Inc. Credit Agreement]</w:t>
      </w:r>
    </w:p>
    <w:p>
      <w:pPr>
        <w:sectPr>
          <w:pgSz w:w="11900" w:h="16838" w:orient="portrait"/>
          <w:cols w:equalWidth="0" w:num="1">
            <w:col w:w="10119"/>
          </w:cols>
          <w:pgMar w:left="340" w:top="181" w:right="1440" w:bottom="1440" w:gutter="0" w:footer="0" w:header="0"/>
        </w:sectPr>
      </w:pPr>
    </w:p>
    <w:bookmarkStart w:id="672" w:name="page673"/>
    <w:bookmarkEnd w:id="672"/>
    <w:p>
      <w:pPr>
        <w:ind w:left="10180"/>
        <w:spacing w:after="0"/>
        <w:rPr>
          <w:sz w:val="20"/>
          <w:szCs w:val="20"/>
          <w:color w:val="auto"/>
        </w:rPr>
      </w:pPr>
      <w:r>
        <w:rPr>
          <w:rFonts w:ascii="Calibri" w:cs="Calibri" w:eastAsia="Calibri" w:hAnsi="Calibri"/>
          <w:sz w:val="20"/>
          <w:szCs w:val="20"/>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20"/>
        <w:spacing w:after="0" w:line="314" w:lineRule="auto"/>
        <w:rPr>
          <w:sz w:val="20"/>
          <w:szCs w:val="20"/>
          <w:color w:val="auto"/>
        </w:rPr>
      </w:pPr>
      <w:r>
        <w:rPr>
          <w:rFonts w:ascii="Arial" w:cs="Arial" w:eastAsia="Arial" w:hAnsi="Arial"/>
          <w:sz w:val="14"/>
          <w:szCs w:val="14"/>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12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NO. 1 TO DIRECT FUNDING AGREEMENT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 xml:space="preserve">This AMENDMENT NO. 1 TO DIRECT FUNDING AGREEMENT </w:t>
      </w:r>
      <w:r>
        <w:rPr>
          <w:rFonts w:ascii="Calibri" w:cs="Calibri" w:eastAsia="Calibri" w:hAnsi="Calibri"/>
          <w:sz w:val="20"/>
          <w:szCs w:val="20"/>
          <w:color w:val="auto"/>
        </w:rPr>
        <w:t>dated as of January 17, 2025 (this “</w:t>
      </w:r>
      <w:r>
        <w:rPr>
          <w:rFonts w:ascii="Calibri" w:cs="Calibri" w:eastAsia="Calibri" w:hAnsi="Calibri"/>
          <w:sz w:val="20"/>
          <w:szCs w:val="20"/>
          <w:b w:val="1"/>
          <w:bCs w:val="1"/>
          <w:color w:val="auto"/>
        </w:rPr>
        <w:t>Amendment</w:t>
      </w:r>
      <w:r>
        <w:rPr>
          <w:rFonts w:ascii="Calibri" w:cs="Calibri" w:eastAsia="Calibri" w:hAnsi="Calibri"/>
          <w:sz w:val="20"/>
          <w:szCs w:val="20"/>
          <w:color w:val="auto"/>
        </w:rPr>
        <w:t>”), by and between</w:t>
      </w:r>
    </w:p>
    <w:p>
      <w:pPr>
        <w:spacing w:after="0" w:line="9" w:lineRule="exact"/>
        <w:rPr>
          <w:sz w:val="20"/>
          <w:szCs w:val="20"/>
          <w:color w:val="auto"/>
        </w:rPr>
      </w:pPr>
    </w:p>
    <w:p>
      <w:pPr>
        <w:jc w:val="both"/>
        <w:ind w:firstLine="8"/>
        <w:spacing w:after="0" w:line="233" w:lineRule="auto"/>
        <w:tabs>
          <w:tab w:leader="none" w:pos="312" w:val="left"/>
        </w:tabs>
        <w:numPr>
          <w:ilvl w:val="0"/>
          <w:numId w:val="854"/>
        </w:numPr>
        <w:rPr>
          <w:rFonts w:ascii="Calibri" w:cs="Calibri" w:eastAsia="Calibri" w:hAnsi="Calibri"/>
          <w:sz w:val="20"/>
          <w:szCs w:val="20"/>
          <w:color w:val="auto"/>
        </w:rPr>
      </w:pPr>
      <w:r>
        <w:rPr>
          <w:rFonts w:ascii="Calibri" w:cs="Calibri" w:eastAsia="Calibri" w:hAnsi="Calibri"/>
          <w:sz w:val="20"/>
          <w:szCs w:val="20"/>
          <w:color w:val="auto"/>
        </w:rPr>
        <w:t>MICRON IDAHO SEMICONDUCTOR MANUFACUTRING (TRITON) LLC, a Delaware limited liability company as the recipient (the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and (b) the UNITED STATES DEPARTMENT OF COMMERCE (the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and together with the Recipient,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 agency of the United States of America, actng by and through the Secretary of Commerce (or appropriate authorized representatve thereof).</w:t>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RECITALS</w:t>
      </w:r>
    </w:p>
    <w:p>
      <w:pPr>
        <w:spacing w:after="0" w:line="211"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has entered into that certain Direct Funding Agreement dated as of December 9, 2024 (and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amended, restated, supplemented or modifed and in efect from tme to tme,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by and among the Recipient and the Department, setng forth, among other things, certain terms and conditons associated with the Award (as defned therein);</w:t>
      </w:r>
    </w:p>
    <w:p>
      <w:pPr>
        <w:spacing w:after="0" w:line="211" w:lineRule="exact"/>
        <w:rPr>
          <w:sz w:val="20"/>
          <w:szCs w:val="20"/>
          <w:color w:val="auto"/>
        </w:rPr>
      </w:pPr>
    </w:p>
    <w:p>
      <w:pPr>
        <w:jc w:val="both"/>
        <w:ind w:right="20"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determined that it intends to utlize equipment in the Project that is manufactured by [***] and would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consttute Prohibited Equipment;</w:t>
      </w:r>
    </w:p>
    <w:p>
      <w:pPr>
        <w:spacing w:after="0" w:line="212" w:lineRule="exact"/>
        <w:rPr>
          <w:sz w:val="20"/>
          <w:szCs w:val="20"/>
          <w:color w:val="auto"/>
        </w:rPr>
      </w:pPr>
    </w:p>
    <w:p>
      <w:pPr>
        <w:jc w:val="both"/>
        <w:ind w:firstLine="638"/>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desires to (a) obtain consent from the Department in respect of any Potental Event of Default or Event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Default that may arise as a result of the future installaton of the [***] Equipment, and (b) amend the Agreement in order to permit the Recipient to use the [***] Equipment;</w:t>
      </w:r>
    </w:p>
    <w:p>
      <w:pPr>
        <w:spacing w:after="0" w:line="211" w:lineRule="exact"/>
        <w:rPr>
          <w:sz w:val="20"/>
          <w:szCs w:val="20"/>
          <w:color w:val="auto"/>
        </w:rPr>
      </w:pPr>
    </w:p>
    <w:p>
      <w:pPr>
        <w:jc w:val="both"/>
        <w:ind w:right="20"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determined that there is no available market alternatve to the [***] Equipment in quanttes or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satsfactory quality to support the Project that presents a reasonable substtute for the [***] Equipment;</w:t>
      </w:r>
    </w:p>
    <w:p>
      <w:pPr>
        <w:spacing w:after="0" w:line="199" w:lineRule="exact"/>
        <w:rPr>
          <w:sz w:val="20"/>
          <w:szCs w:val="20"/>
          <w:color w:val="auto"/>
        </w:rPr>
      </w:pPr>
    </w:p>
    <w:p>
      <w:pPr>
        <w:jc w:val="both"/>
        <w:ind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on the terms and conditons set forth herein the Department is willing to consent to the use and installaton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Equipment in the Project;</w:t>
      </w:r>
    </w:p>
    <w:p>
      <w:pPr>
        <w:spacing w:after="0" w:line="203" w:lineRule="exact"/>
        <w:rPr>
          <w:sz w:val="20"/>
          <w:szCs w:val="20"/>
          <w:color w:val="auto"/>
        </w:rPr>
      </w:pPr>
    </w:p>
    <w:p>
      <w:pPr>
        <w:ind w:left="64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Partes agree to amend the Agreement on the terms set out herein; and</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Secton 10.5 (</w:t>
      </w:r>
      <w:r>
        <w:rPr>
          <w:rFonts w:ascii="Calibri" w:cs="Calibri" w:eastAsia="Calibri" w:hAnsi="Calibri"/>
          <w:sz w:val="20"/>
          <w:szCs w:val="20"/>
          <w:i w:val="1"/>
          <w:iCs w:val="1"/>
          <w:color w:val="auto"/>
        </w:rPr>
        <w:t>Waiver and Amendment</w:t>
      </w:r>
      <w:r>
        <w:rPr>
          <w:rFonts w:ascii="Calibri" w:cs="Calibri" w:eastAsia="Calibri" w:hAnsi="Calibri"/>
          <w:sz w:val="20"/>
          <w:szCs w:val="20"/>
          <w:color w:val="auto"/>
        </w:rPr>
        <w:t>) of the Agreement, neither the Agreement nor any provision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therein may be amended, waived, discharged, or terminated unless such amendment, waiver, discharge, or terminaton is in writng and executed by the Recipient and the Department.</w:t>
      </w:r>
    </w:p>
    <w:p>
      <w:pPr>
        <w:spacing w:after="0" w:line="227"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b w:val="1"/>
          <w:bCs w:val="1"/>
          <w:color w:val="auto"/>
        </w:rPr>
        <w:t>NOW</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THEREFORE</w:t>
      </w:r>
      <w:r>
        <w:rPr>
          <w:rFonts w:ascii="Calibri" w:cs="Calibri" w:eastAsia="Calibri" w:hAnsi="Calibri"/>
          <w:sz w:val="20"/>
          <w:szCs w:val="20"/>
          <w:color w:val="auto"/>
        </w:rPr>
        <w:t>, in consideraton of the premises and mutual agreements herein contained and other good and valuable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consideraton, receipt and sufciency of which are hereby acknowledged, the Partes agree as follows:</w:t>
      </w:r>
    </w:p>
    <w:p>
      <w:pPr>
        <w:spacing w:after="0" w:line="18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 RULES OF INTERPRETATION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1.1.</w:t>
      </w:r>
      <w:r>
        <w:rPr>
          <w:sz w:val="20"/>
          <w:szCs w:val="20"/>
          <w:color w:val="auto"/>
        </w:rPr>
        <w:tab/>
      </w:r>
      <w:r>
        <w:rPr>
          <w:rFonts w:ascii="Calibri" w:cs="Calibri" w:eastAsia="Calibri" w:hAnsi="Calibri"/>
          <w:sz w:val="20"/>
          <w:szCs w:val="20"/>
          <w:b w:val="1"/>
          <w:bCs w:val="1"/>
          <w:color w:val="auto"/>
        </w:rPr>
        <w:t>Defned Terms.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alibri" w:cs="Calibri" w:eastAsia="Calibri" w:hAnsi="Calibri"/>
          <w:sz w:val="18"/>
          <w:szCs w:val="18"/>
          <w:color w:val="auto"/>
        </w:rPr>
        <w:t>ID PROJECT</w:t>
      </w:r>
    </w:p>
    <w:p>
      <w:pPr>
        <w:spacing w:after="0" w:line="235" w:lineRule="auto"/>
        <w:rPr>
          <w:sz w:val="20"/>
          <w:szCs w:val="20"/>
          <w:color w:val="auto"/>
        </w:rPr>
      </w:pPr>
      <w:r>
        <w:rPr>
          <w:rFonts w:ascii="Calibri" w:cs="Calibri" w:eastAsia="Calibri" w:hAnsi="Calibri"/>
          <w:sz w:val="18"/>
          <w:szCs w:val="18"/>
          <w:color w:val="auto"/>
        </w:rPr>
        <w:t>AWARD ID NO.</w:t>
      </w:r>
    </w:p>
    <w:p>
      <w:pPr>
        <w:ind w:left="160"/>
        <w:spacing w:after="0" w:line="236" w:lineRule="auto"/>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06" w:right="339" w:bottom="1440" w:gutter="0" w:footer="0" w:header="0"/>
        </w:sectPr>
      </w:pPr>
    </w:p>
    <w:bookmarkStart w:id="673" w:name="page674"/>
    <w:bookmarkEnd w:id="673"/>
    <w:p>
      <w:pPr>
        <w:jc w:val="both"/>
        <w:spacing w:after="0" w:line="234" w:lineRule="auto"/>
        <w:rPr>
          <w:sz w:val="20"/>
          <w:szCs w:val="20"/>
          <w:color w:val="auto"/>
        </w:rPr>
      </w:pPr>
      <w:r>
        <w:rPr>
          <w:rFonts w:ascii="Calibri" w:cs="Calibri" w:eastAsia="Calibri" w:hAnsi="Calibri"/>
          <w:sz w:val="20"/>
          <w:szCs w:val="20"/>
          <w:color w:val="auto"/>
        </w:rPr>
        <w:t>Except as otherwise expressly provided herein, the Partes agree that capitalized terms used in this Amendment (including such terms used in the preamble and recitals above) shall have the meanings given to them (directly or by reference) in the Agreement.</w:t>
      </w:r>
    </w:p>
    <w:p>
      <w:pPr>
        <w:spacing w:after="0" w:line="17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1.2.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xml:space="preserve"> The rules of interpretaton set forth in Annex B (</w:t>
      </w:r>
      <w:r>
        <w:rPr>
          <w:rFonts w:ascii="Calibri" w:cs="Calibri" w:eastAsia="Calibri" w:hAnsi="Calibri"/>
          <w:sz w:val="20"/>
          <w:szCs w:val="20"/>
          <w:i w:val="1"/>
          <w:iCs w:val="1"/>
          <w:color w:val="auto"/>
        </w:rPr>
        <w:t>Rules of Interpretaton</w:t>
      </w:r>
      <w:r>
        <w:rPr>
          <w:rFonts w:ascii="Calibri" w:cs="Calibri" w:eastAsia="Calibri" w:hAnsi="Calibri"/>
          <w:sz w:val="20"/>
          <w:szCs w:val="20"/>
          <w:color w:val="auto"/>
        </w:rPr>
        <w:t>) of the Agreement shall apply to this Amendment as if set forth herein.</w:t>
      </w:r>
    </w:p>
    <w:p>
      <w:pPr>
        <w:spacing w:after="0" w:line="200" w:lineRule="exact"/>
        <w:rPr>
          <w:sz w:val="20"/>
          <w:szCs w:val="20"/>
          <w:color w:val="auto"/>
        </w:rPr>
      </w:pPr>
    </w:p>
    <w:p>
      <w:pPr>
        <w:spacing w:after="0" w:line="381" w:lineRule="exact"/>
        <w:rPr>
          <w:sz w:val="20"/>
          <w:szCs w:val="20"/>
          <w:color w:val="auto"/>
        </w:rPr>
      </w:pPr>
    </w:p>
    <w:p>
      <w:pPr>
        <w:ind w:left="4940"/>
        <w:spacing w:after="0"/>
        <w:rPr>
          <w:sz w:val="20"/>
          <w:szCs w:val="20"/>
          <w:color w:val="auto"/>
        </w:rPr>
      </w:pPr>
      <w:r>
        <w:rPr>
          <w:rFonts w:ascii="Calibri" w:cs="Calibri" w:eastAsia="Calibri" w:hAnsi="Calibri"/>
          <w:sz w:val="20"/>
          <w:szCs w:val="20"/>
          <w:b w:val="1"/>
          <w:bCs w:val="1"/>
          <w:color w:val="auto"/>
        </w:rPr>
        <w:t>Artcle 2</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AMENDMENTS TO AGREEMENT</w:t>
      </w:r>
    </w:p>
    <w:p>
      <w:pPr>
        <w:spacing w:after="0" w:line="147" w:lineRule="exact"/>
        <w:rPr>
          <w:sz w:val="20"/>
          <w:szCs w:val="20"/>
          <w:color w:val="auto"/>
        </w:rPr>
      </w:pPr>
    </w:p>
    <w:p>
      <w:pPr>
        <w:ind w:left="660"/>
        <w:spacing w:after="0"/>
        <w:tabs>
          <w:tab w:leader="none" w:pos="2000" w:val="left"/>
        </w:tabs>
        <w:rPr>
          <w:sz w:val="20"/>
          <w:szCs w:val="20"/>
          <w:color w:val="auto"/>
        </w:rPr>
      </w:pPr>
      <w:r>
        <w:rPr>
          <w:rFonts w:ascii="Calibri" w:cs="Calibri" w:eastAsia="Calibri" w:hAnsi="Calibri"/>
          <w:sz w:val="20"/>
          <w:szCs w:val="20"/>
          <w:color w:val="auto"/>
        </w:rPr>
        <w:t>Secton 2.1.</w:t>
      </w:r>
      <w:r>
        <w:rPr>
          <w:sz w:val="20"/>
          <w:szCs w:val="20"/>
          <w:color w:val="auto"/>
        </w:rPr>
        <w:tab/>
      </w:r>
      <w:r>
        <w:rPr>
          <w:rFonts w:ascii="Calibri" w:cs="Calibri" w:eastAsia="Calibri" w:hAnsi="Calibri"/>
          <w:sz w:val="20"/>
          <w:szCs w:val="20"/>
          <w:b w:val="1"/>
          <w:bCs w:val="1"/>
          <w:color w:val="auto"/>
        </w:rPr>
        <w:t>Amendment to Secton 2.1.2 of Annex D (</w:t>
      </w:r>
      <w:r>
        <w:rPr>
          <w:rFonts w:ascii="Calibri" w:cs="Calibri" w:eastAsia="Calibri" w:hAnsi="Calibri"/>
          <w:sz w:val="20"/>
          <w:szCs w:val="20"/>
          <w:b w:val="1"/>
          <w:bCs w:val="1"/>
          <w:i w:val="1"/>
          <w:iCs w:val="1"/>
          <w:color w:val="auto"/>
        </w:rPr>
        <w:t>Program Requirements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2.1.2 of Annex D (Program</w:t>
      </w:r>
    </w:p>
    <w:p>
      <w:pPr>
        <w:spacing w:after="0" w:line="199" w:lineRule="auto"/>
        <w:rPr>
          <w:sz w:val="20"/>
          <w:szCs w:val="20"/>
          <w:color w:val="auto"/>
        </w:rPr>
      </w:pPr>
      <w:r>
        <w:rPr>
          <w:rFonts w:ascii="Calibri" w:cs="Calibri" w:eastAsia="Calibri" w:hAnsi="Calibri"/>
          <w:sz w:val="20"/>
          <w:szCs w:val="20"/>
          <w:color w:val="auto"/>
        </w:rPr>
        <w:t>Requirements) is hereby amended and restated in its entrety as follows:</w:t>
      </w:r>
    </w:p>
    <w:p>
      <w:pPr>
        <w:spacing w:after="0" w:line="184" w:lineRule="exact"/>
        <w:rPr>
          <w:sz w:val="20"/>
          <w:szCs w:val="20"/>
          <w:color w:val="auto"/>
        </w:rPr>
      </w:pPr>
    </w:p>
    <w:p>
      <w:pPr>
        <w:ind w:left="66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u w:val="single" w:color="auto"/>
          <w:color w:val="auto"/>
        </w:rPr>
        <w:t>Absent a consent or waiver from the Department and subject to any exceptons set forth on Schedule I (Excepted Equipment)</w:t>
      </w:r>
      <w:r>
        <w:rPr>
          <w:rFonts w:ascii="Calibri" w:cs="Calibri" w:eastAsia="Calibri" w:hAnsi="Calibri"/>
          <w:sz w:val="20"/>
          <w:szCs w:val="20"/>
          <w:color w:val="auto"/>
        </w:rPr>
        <w:t xml:space="preserve"> </w:t>
      </w:r>
      <w:r>
        <w:rPr>
          <w:rFonts w:ascii="Calibri" w:cs="Calibri" w:eastAsia="Calibri" w:hAnsi="Calibri"/>
          <w:sz w:val="20"/>
          <w:szCs w:val="20"/>
          <w:b w:val="1"/>
          <w:bCs w:val="1"/>
          <w:u w:val="single" w:color="auto"/>
          <w:color w:val="auto"/>
        </w:rPr>
        <w:t>of this Agreement (as it may be amended from tme to tme in accordance with the terms hereof), each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strike w:val="1"/>
        </w:rPr>
        <w:t>Each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Recipient shall</w:t>
      </w:r>
    </w:p>
    <w:p>
      <w:pPr>
        <w:ind w:left="660"/>
        <w:spacing w:after="0" w:line="226" w:lineRule="auto"/>
        <w:rPr>
          <w:sz w:val="20"/>
          <w:szCs w:val="20"/>
          <w:color w:val="auto"/>
        </w:rPr>
      </w:pPr>
      <w:r>
        <w:rPr>
          <w:rFonts w:ascii="Calibri" w:cs="Calibri" w:eastAsia="Calibri" w:hAnsi="Calibri"/>
          <w:sz w:val="20"/>
          <w:szCs w:val="20"/>
          <w:color w:val="auto"/>
        </w:rPr>
        <w:t>not knowingly use or install in any Project completed, fully assembled Prohibited Equipment.”</w:t>
      </w:r>
    </w:p>
    <w:p>
      <w:pPr>
        <w:spacing w:after="0" w:line="226"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2.2. </w:t>
      </w:r>
      <w:r>
        <w:rPr>
          <w:rFonts w:ascii="Calibri" w:cs="Calibri" w:eastAsia="Calibri" w:hAnsi="Calibri"/>
          <w:sz w:val="20"/>
          <w:szCs w:val="20"/>
          <w:b w:val="1"/>
          <w:bCs w:val="1"/>
          <w:color w:val="auto"/>
        </w:rPr>
        <w:t>Amendment to add Schedule I to the Agreement.</w:t>
      </w:r>
      <w:r>
        <w:rPr>
          <w:rFonts w:ascii="Calibri" w:cs="Calibri" w:eastAsia="Calibri" w:hAnsi="Calibri"/>
          <w:sz w:val="20"/>
          <w:szCs w:val="20"/>
          <w:color w:val="auto"/>
        </w:rPr>
        <w:t xml:space="preserve"> The Agreement is hereby amended by adding Schedule I (Excepted Equipment), atached hereto as Annex A of this First Waiver.</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EFFECTIVE DATE</w:t>
      </w:r>
    </w:p>
    <w:p>
      <w:pPr>
        <w:spacing w:after="0" w:line="184"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b w:val="1"/>
          <w:bCs w:val="1"/>
          <w:color w:val="auto"/>
        </w:rPr>
        <w:t xml:space="preserve">Secton 3.1. </w:t>
      </w:r>
      <w:r>
        <w:rPr>
          <w:rFonts w:ascii="Calibri" w:cs="Calibri" w:eastAsia="Calibri" w:hAnsi="Calibri"/>
          <w:sz w:val="20"/>
          <w:szCs w:val="20"/>
          <w:color w:val="auto"/>
        </w:rPr>
        <w:t>This Amendment shall become efectve only upon the date on which each of the following conditons precedent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have been satsfed or waived by the Department (the “</w:t>
      </w:r>
      <w:r>
        <w:rPr>
          <w:rFonts w:ascii="Calibri" w:cs="Calibri" w:eastAsia="Calibri" w:hAnsi="Calibri"/>
          <w:sz w:val="20"/>
          <w:szCs w:val="20"/>
          <w:b w:val="1"/>
          <w:bCs w:val="1"/>
          <w:color w:val="auto"/>
        </w:rPr>
        <w:t>Amendment No. 1 Efectve Date</w:t>
      </w:r>
      <w:r>
        <w:rPr>
          <w:rFonts w:ascii="Calibri" w:cs="Calibri" w:eastAsia="Calibri" w:hAnsi="Calibri"/>
          <w:sz w:val="20"/>
          <w:szCs w:val="20"/>
          <w:color w:val="auto"/>
        </w:rPr>
        <w:t>”), each of which shall be in form and substance and otherwise satsfactory to The Department:</w:t>
      </w:r>
    </w:p>
    <w:p>
      <w:pPr>
        <w:spacing w:after="0" w:line="171" w:lineRule="exact"/>
        <w:rPr>
          <w:sz w:val="20"/>
          <w:szCs w:val="20"/>
          <w:color w:val="auto"/>
        </w:rPr>
      </w:pPr>
    </w:p>
    <w:p>
      <w:pPr>
        <w:ind w:firstLine="1952"/>
        <w:spacing w:after="0" w:line="214" w:lineRule="auto"/>
        <w:tabs>
          <w:tab w:leader="none" w:pos="2596" w:val="left"/>
        </w:tabs>
        <w:numPr>
          <w:ilvl w:val="0"/>
          <w:numId w:val="855"/>
        </w:numPr>
        <w:rPr>
          <w:rFonts w:ascii="Calibri" w:cs="Calibri" w:eastAsia="Calibri" w:hAnsi="Calibri"/>
          <w:sz w:val="20"/>
          <w:szCs w:val="20"/>
          <w:color w:val="auto"/>
        </w:rPr>
      </w:pPr>
      <w:r>
        <w:rPr>
          <w:rFonts w:ascii="Calibri" w:cs="Calibri" w:eastAsia="Calibri" w:hAnsi="Calibri"/>
          <w:sz w:val="20"/>
          <w:szCs w:val="20"/>
          <w:color w:val="auto"/>
        </w:rPr>
        <w:t>each of the Partes shall have executed this Amendment and delivered its executed counterpart to this Amendment to each other Party;</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855"/>
        </w:numPr>
        <w:rPr>
          <w:rFonts w:ascii="Calibri" w:cs="Calibri" w:eastAsia="Calibri" w:hAnsi="Calibri"/>
          <w:sz w:val="20"/>
          <w:szCs w:val="20"/>
          <w:color w:val="auto"/>
        </w:rPr>
      </w:pPr>
      <w:r>
        <w:rPr>
          <w:rFonts w:ascii="Calibri" w:cs="Calibri" w:eastAsia="Calibri" w:hAnsi="Calibri"/>
          <w:sz w:val="20"/>
          <w:szCs w:val="20"/>
          <w:color w:val="auto"/>
        </w:rPr>
        <w:t>the representatons and warrantes set forth in Artcle 5 hereto are true and correct; and</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855"/>
        </w:numPr>
        <w:rPr>
          <w:rFonts w:ascii="Calibri" w:cs="Calibri" w:eastAsia="Calibri" w:hAnsi="Calibri"/>
          <w:sz w:val="20"/>
          <w:szCs w:val="20"/>
          <w:color w:val="auto"/>
        </w:rPr>
      </w:pPr>
      <w:r>
        <w:rPr>
          <w:rFonts w:ascii="Calibri" w:cs="Calibri" w:eastAsia="Calibri" w:hAnsi="Calibri"/>
          <w:sz w:val="20"/>
          <w:szCs w:val="20"/>
          <w:color w:val="auto"/>
        </w:rPr>
        <w:t>afer giving efect to the waiver set forth in Artcle 2 hereto, no Potental Event of Default or Event of Default shall have occurred and be contnuing.</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REPRESENTATIONS AND WARRANTIES</w:t>
      </w:r>
    </w:p>
    <w:p>
      <w:pPr>
        <w:spacing w:after="0" w:line="171" w:lineRule="exact"/>
        <w:rPr>
          <w:sz w:val="20"/>
          <w:szCs w:val="20"/>
          <w:color w:val="auto"/>
        </w:rPr>
      </w:pPr>
    </w:p>
    <w:p>
      <w:pPr>
        <w:ind w:right="20" w:firstLine="648"/>
        <w:spacing w:after="0" w:line="208" w:lineRule="auto"/>
        <w:rPr>
          <w:sz w:val="20"/>
          <w:szCs w:val="20"/>
          <w:color w:val="auto"/>
        </w:rPr>
      </w:pPr>
      <w:r>
        <w:rPr>
          <w:rFonts w:ascii="Calibri" w:cs="Calibri" w:eastAsia="Calibri" w:hAnsi="Calibri"/>
          <w:sz w:val="20"/>
          <w:szCs w:val="20"/>
          <w:color w:val="auto"/>
        </w:rPr>
        <w:t>Secton 4.1. The Recipient hereby represents and warrants as of the date hereof and as of the Amendment No. 1 Efectve Date that:</w:t>
      </w:r>
    </w:p>
    <w:p>
      <w:pPr>
        <w:spacing w:after="0" w:line="171" w:lineRule="exact"/>
        <w:rPr>
          <w:sz w:val="20"/>
          <w:szCs w:val="20"/>
          <w:color w:val="auto"/>
        </w:rPr>
      </w:pPr>
    </w:p>
    <w:p>
      <w:pPr>
        <w:jc w:val="both"/>
        <w:ind w:firstLine="1952"/>
        <w:spacing w:after="0" w:line="203" w:lineRule="auto"/>
        <w:tabs>
          <w:tab w:leader="none" w:pos="2596" w:val="left"/>
        </w:tabs>
        <w:numPr>
          <w:ilvl w:val="0"/>
          <w:numId w:val="856"/>
        </w:numPr>
        <w:rPr>
          <w:rFonts w:ascii="Calibri" w:cs="Calibri" w:eastAsia="Calibri" w:hAnsi="Calibri"/>
          <w:sz w:val="20"/>
          <w:szCs w:val="20"/>
          <w:color w:val="auto"/>
        </w:rPr>
      </w:pPr>
      <w:r>
        <w:rPr>
          <w:rFonts w:ascii="Calibri" w:cs="Calibri" w:eastAsia="Calibri" w:hAnsi="Calibri"/>
          <w:sz w:val="20"/>
          <w:szCs w:val="20"/>
          <w:color w:val="auto"/>
        </w:rPr>
        <w:t>the Recipient (a) is a limited liability company, duly organized, validly existng and in good standing under the laws of the State of Delaware; (b) is duly qualifed to do business in the State of Idaho and in each other jurisdicton where the failure to so qualify could reasonably be expected to have a Material Adverse Efect; and (c) has all requisite power and authority to execute, deliver, perform and observe the terms and conditons under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412" w:right="339" w:bottom="1440" w:gutter="0" w:footer="0" w:header="0"/>
        </w:sectPr>
      </w:pPr>
    </w:p>
    <w:bookmarkStart w:id="674" w:name="page675"/>
    <w:bookmarkEnd w:id="674"/>
    <w:p>
      <w:pPr>
        <w:jc w:val="both"/>
        <w:ind w:firstLine="1952"/>
        <w:spacing w:after="0" w:line="199" w:lineRule="auto"/>
        <w:tabs>
          <w:tab w:leader="none" w:pos="2592" w:val="left"/>
        </w:tabs>
        <w:numPr>
          <w:ilvl w:val="0"/>
          <w:numId w:val="857"/>
        </w:numPr>
        <w:rPr>
          <w:rFonts w:ascii="Calibri" w:cs="Calibri" w:eastAsia="Calibri" w:hAnsi="Calibri"/>
          <w:sz w:val="20"/>
          <w:szCs w:val="20"/>
          <w:color w:val="auto"/>
        </w:rPr>
      </w:pPr>
      <w:r>
        <w:rPr>
          <w:rFonts w:ascii="Calibri" w:cs="Calibri" w:eastAsia="Calibri" w:hAnsi="Calibri"/>
          <w:sz w:val="20"/>
          <w:szCs w:val="20"/>
          <w:color w:val="auto"/>
        </w:rPr>
        <w:t>the Recipient has duly authorized, executed and delivered this Amendment, and neither its executon and delivery thereof nor its consummaton of the transactons contemplated hereby or thereby nor its compliance with the terms of this this Amendment or thereof does or will (i) contravene its Organizatonal Documents or any Applicable Laws in any material respects; (ii) contravene or result in any breach or consttute any default under any material Governmental Judgment; (iii) contravene or result in any breach or consttute any default under, or result in or require the creaton of any Lien upon any of its material Propertes under any material agreement or instrument to which it is a party or by which it or any of its Propertes may be bound, except for any Permited Liens; or (iv) require the consent or approval of any Person other than the Required Approvals and any other consents or approvals that have been obtained and are in full force and efect; and</w:t>
      </w:r>
    </w:p>
    <w:p>
      <w:pPr>
        <w:spacing w:after="0" w:line="162"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857"/>
        </w:numPr>
        <w:rPr>
          <w:rFonts w:ascii="Calibri" w:cs="Calibri" w:eastAsia="Calibri" w:hAnsi="Calibri"/>
          <w:sz w:val="20"/>
          <w:szCs w:val="20"/>
          <w:color w:val="auto"/>
        </w:rPr>
      </w:pPr>
      <w:r>
        <w:rPr>
          <w:rFonts w:ascii="Calibri" w:cs="Calibri" w:eastAsia="Calibri" w:hAnsi="Calibri"/>
          <w:sz w:val="20"/>
          <w:szCs w:val="20"/>
          <w:color w:val="auto"/>
        </w:rPr>
        <w:t>all representatons and warrantes of the Recipient provided in Artcle 6 (</w:t>
      </w:r>
      <w:r>
        <w:rPr>
          <w:rFonts w:ascii="Calibri" w:cs="Calibri" w:eastAsia="Calibri" w:hAnsi="Calibri"/>
          <w:sz w:val="20"/>
          <w:szCs w:val="20"/>
          <w:i w:val="1"/>
          <w:iCs w:val="1"/>
          <w:color w:val="auto"/>
        </w:rPr>
        <w:t>Representatons and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Warrantes</w:t>
      </w:r>
      <w:r>
        <w:rPr>
          <w:rFonts w:ascii="Calibri" w:cs="Calibri" w:eastAsia="Calibri" w:hAnsi="Calibri"/>
          <w:sz w:val="20"/>
          <w:szCs w:val="20"/>
          <w:color w:val="auto"/>
        </w:rPr>
        <w:t>) of the Agreement are true and correct in all material respects (except to the extent any such representaton and warranty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itself is qualifed by “materiality,” “Material Adverse Efect” or a similar qualifer, in which case it shall be true and correct in all respects) as of the date the representaton and warranty is made (or deemed made), except to the extent such representaton or warranty is made only as of a specifc date or tme (in which event such representaton or warranty shall be true and correct as of such date or tme).</w:t>
      </w:r>
    </w:p>
    <w:p>
      <w:pPr>
        <w:spacing w:after="0" w:line="15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5.1.</w:t>
      </w:r>
      <w:r>
        <w:rPr>
          <w:sz w:val="20"/>
          <w:szCs w:val="20"/>
          <w:color w:val="auto"/>
        </w:rPr>
        <w:tab/>
      </w:r>
      <w:r>
        <w:rPr>
          <w:rFonts w:ascii="Calibri" w:cs="Calibri" w:eastAsia="Calibri" w:hAnsi="Calibri"/>
          <w:sz w:val="20"/>
          <w:szCs w:val="20"/>
          <w:b w:val="1"/>
          <w:bCs w:val="1"/>
          <w:color w:val="auto"/>
        </w:rPr>
        <w:t>Entre Agreement.</w:t>
      </w:r>
    </w:p>
    <w:p>
      <w:pPr>
        <w:spacing w:after="0" w:line="198"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This Amendment, including any agreement, document, or instrument atached to this Amendment or referred to herein, integrates all the terms and conditons mentoned herein or incidental to this Amendment and supersedes all prior drafs, discussions, term sheets, commitments, negotatons, agreements, and understandings, oral or writen, of the Partes in respect to the subject mater of this Amendment.</w:t>
      </w:r>
    </w:p>
    <w:p>
      <w:pPr>
        <w:spacing w:after="0" w:line="172"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5.2. </w:t>
      </w:r>
      <w:r>
        <w:rPr>
          <w:rFonts w:ascii="Calibri" w:cs="Calibri" w:eastAsia="Calibri" w:hAnsi="Calibri"/>
          <w:sz w:val="20"/>
          <w:szCs w:val="20"/>
          <w:b w:val="1"/>
          <w:bCs w:val="1"/>
          <w:color w:val="auto"/>
        </w:rPr>
        <w:t>Incorporated Provisions</w:t>
      </w:r>
      <w:r>
        <w:rPr>
          <w:rFonts w:ascii="Calibri" w:cs="Calibri" w:eastAsia="Calibri" w:hAnsi="Calibri"/>
          <w:sz w:val="20"/>
          <w:szCs w:val="20"/>
          <w:color w:val="auto"/>
        </w:rPr>
        <w:t>. The provisions set forth in Sectons 10.5 (</w:t>
      </w:r>
      <w:r>
        <w:rPr>
          <w:rFonts w:ascii="Calibri" w:cs="Calibri" w:eastAsia="Calibri" w:hAnsi="Calibri"/>
          <w:sz w:val="20"/>
          <w:szCs w:val="20"/>
          <w:i w:val="1"/>
          <w:iCs w:val="1"/>
          <w:color w:val="auto"/>
        </w:rPr>
        <w:t>Waiver and Amendment</w:t>
      </w:r>
      <w:r>
        <w:rPr>
          <w:rFonts w:ascii="Calibri" w:cs="Calibri" w:eastAsia="Calibri" w:hAnsi="Calibri"/>
          <w:sz w:val="20"/>
          <w:szCs w:val="20"/>
          <w:color w:val="auto"/>
        </w:rPr>
        <w:t>), 10.7 (</w:t>
      </w:r>
      <w:r>
        <w:rPr>
          <w:rFonts w:ascii="Calibri" w:cs="Calibri" w:eastAsia="Calibri" w:hAnsi="Calibri"/>
          <w:sz w:val="20"/>
          <w:szCs w:val="20"/>
          <w:i w:val="1"/>
          <w:iCs w:val="1"/>
          <w:color w:val="auto"/>
        </w:rPr>
        <w:t>Governing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Law</w:t>
      </w:r>
      <w:r>
        <w:rPr>
          <w:rFonts w:ascii="Calibri" w:cs="Calibri" w:eastAsia="Calibri" w:hAnsi="Calibri"/>
          <w:sz w:val="20"/>
          <w:szCs w:val="20"/>
          <w:color w:val="auto"/>
        </w:rPr>
        <w:t>), 10.8 (</w:t>
      </w:r>
      <w:r>
        <w:rPr>
          <w:rFonts w:ascii="Calibri" w:cs="Calibri" w:eastAsia="Calibri" w:hAnsi="Calibri"/>
          <w:sz w:val="20"/>
          <w:szCs w:val="20"/>
          <w:i w:val="1"/>
          <w:iCs w:val="1"/>
          <w:color w:val="auto"/>
        </w:rPr>
        <w:t>Severability</w:t>
      </w:r>
      <w:r>
        <w:rPr>
          <w:rFonts w:ascii="Calibri" w:cs="Calibri" w:eastAsia="Calibri" w:hAnsi="Calibri"/>
          <w:sz w:val="20"/>
          <w:szCs w:val="20"/>
          <w:color w:val="auto"/>
        </w:rPr>
        <w:t>), 10.10 (</w:t>
      </w:r>
      <w:r>
        <w:rPr>
          <w:rFonts w:ascii="Calibri" w:cs="Calibri" w:eastAsia="Calibri" w:hAnsi="Calibri"/>
          <w:sz w:val="20"/>
          <w:szCs w:val="20"/>
          <w:i w:val="1"/>
          <w:iCs w:val="1"/>
          <w:color w:val="auto"/>
        </w:rPr>
        <w:t>Waiver of Jury Trial</w:t>
      </w:r>
      <w:r>
        <w:rPr>
          <w:rFonts w:ascii="Calibri" w:cs="Calibri" w:eastAsia="Calibri" w:hAnsi="Calibri"/>
          <w:sz w:val="20"/>
          <w:szCs w:val="20"/>
          <w:color w:val="auto"/>
        </w:rPr>
        <w:t>), 10.11 (</w:t>
      </w:r>
      <w:r>
        <w:rPr>
          <w:rFonts w:ascii="Calibri" w:cs="Calibri" w:eastAsia="Calibri" w:hAnsi="Calibri"/>
          <w:sz w:val="20"/>
          <w:szCs w:val="20"/>
          <w:i w:val="1"/>
          <w:iCs w:val="1"/>
          <w:color w:val="auto"/>
        </w:rPr>
        <w:t>Consent to Jurisdicton</w:t>
      </w:r>
      <w:r>
        <w:rPr>
          <w:rFonts w:ascii="Calibri" w:cs="Calibri" w:eastAsia="Calibri" w:hAnsi="Calibri"/>
          <w:sz w:val="20"/>
          <w:szCs w:val="20"/>
          <w:color w:val="auto"/>
        </w:rPr>
        <w:t>), 10.13 (</w:t>
      </w:r>
      <w:r>
        <w:rPr>
          <w:rFonts w:ascii="Calibri" w:cs="Calibri" w:eastAsia="Calibri" w:hAnsi="Calibri"/>
          <w:sz w:val="20"/>
          <w:szCs w:val="20"/>
          <w:i w:val="1"/>
          <w:iCs w:val="1"/>
          <w:color w:val="auto"/>
        </w:rPr>
        <w:t>Successors and Assigns</w:t>
      </w:r>
      <w:r>
        <w:rPr>
          <w:rFonts w:ascii="Calibri" w:cs="Calibri" w:eastAsia="Calibri" w:hAnsi="Calibri"/>
          <w:sz w:val="20"/>
          <w:szCs w:val="20"/>
          <w:color w:val="auto"/>
        </w:rPr>
        <w:t>) and 10.18</w:t>
      </w:r>
    </w:p>
    <w:p>
      <w:pPr>
        <w:jc w:val="both"/>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Counterparts; Electronic Signatures</w:t>
      </w:r>
      <w:r>
        <w:rPr>
          <w:rFonts w:ascii="Calibri" w:cs="Calibri" w:eastAsia="Calibri" w:hAnsi="Calibri"/>
          <w:sz w:val="20"/>
          <w:szCs w:val="20"/>
          <w:color w:val="auto"/>
        </w:rPr>
        <w:t xml:space="preserve">) of the Agreement are hereby incorporated by reference into this Amendment, </w:t>
      </w:r>
      <w:r>
        <w:rPr>
          <w:rFonts w:ascii="Calibri" w:cs="Calibri" w:eastAsia="Calibri" w:hAnsi="Calibri"/>
          <w:sz w:val="20"/>
          <w:szCs w:val="20"/>
          <w:i w:val="1"/>
          <w:iCs w:val="1"/>
          <w:color w:val="auto"/>
        </w:rPr>
        <w:t>mutats mutandis</w:t>
      </w:r>
      <w:r>
        <w:rPr>
          <w:rFonts w:ascii="Calibri" w:cs="Calibri" w:eastAsia="Calibri" w:hAnsi="Calibri"/>
          <w:sz w:val="20"/>
          <w:szCs w:val="20"/>
          <w:color w:val="auto"/>
        </w:rPr>
        <w:t>, as if set out in full herein.</w:t>
      </w:r>
    </w:p>
    <w:p>
      <w:pPr>
        <w:spacing w:after="0" w:line="148"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5.3.</w:t>
      </w:r>
      <w:r>
        <w:rPr>
          <w:sz w:val="20"/>
          <w:szCs w:val="20"/>
          <w:color w:val="auto"/>
        </w:rPr>
        <w:tab/>
      </w:r>
      <w:r>
        <w:rPr>
          <w:rFonts w:ascii="Calibri" w:cs="Calibri" w:eastAsia="Calibri" w:hAnsi="Calibri"/>
          <w:sz w:val="20"/>
          <w:szCs w:val="20"/>
          <w:b w:val="1"/>
          <w:bCs w:val="1"/>
          <w:color w:val="auto"/>
        </w:rPr>
        <w:t>Reference to and Efect on the Agreement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5.3.1</w:t>
        <w:tab/>
        <w:t>This Amendment is hereby designated an Award Document for all purposes of the Agreement.</w:t>
      </w:r>
    </w:p>
    <w:p>
      <w:pPr>
        <w:spacing w:after="0" w:line="171"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5.3.2 On and afer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160" w:lineRule="exact"/>
        <w:rPr>
          <w:sz w:val="20"/>
          <w:szCs w:val="20"/>
          <w:color w:val="auto"/>
        </w:rPr>
      </w:pPr>
    </w:p>
    <w:p>
      <w:pPr>
        <w:jc w:val="both"/>
        <w:ind w:right="20" w:firstLine="1296"/>
        <w:spacing w:after="0"/>
        <w:rPr>
          <w:sz w:val="20"/>
          <w:szCs w:val="20"/>
          <w:color w:val="auto"/>
        </w:rPr>
      </w:pPr>
      <w:r>
        <w:rPr>
          <w:rFonts w:ascii="Calibri" w:cs="Calibri" w:eastAsia="Calibri" w:hAnsi="Calibri"/>
          <w:sz w:val="20"/>
          <w:szCs w:val="20"/>
          <w:color w:val="auto"/>
        </w:rPr>
        <w:t>5.3.3 Except as specifcally amended above, each of the Agreement and the other Financing Documents is and shall remain unchanged and in full force and efect and is hereby ratfed and confrmed. Nothing contained in this Amendment shall abrogate, prejudice, diminish or otherwise afect any powers, right, remedies or obligatons of any Person arising before the date of this Amendment.</w:t>
      </w:r>
    </w:p>
    <w:p>
      <w:pPr>
        <w:spacing w:after="0" w:line="253" w:lineRule="exact"/>
        <w:rPr>
          <w:sz w:val="20"/>
          <w:szCs w:val="20"/>
          <w:color w:val="auto"/>
        </w:rPr>
      </w:pPr>
    </w:p>
    <w:p>
      <w:pPr>
        <w:jc w:val="both"/>
        <w:ind w:right="20" w:firstLine="1296"/>
        <w:spacing w:after="0" w:line="209" w:lineRule="auto"/>
        <w:rPr>
          <w:sz w:val="20"/>
          <w:szCs w:val="20"/>
          <w:color w:val="auto"/>
        </w:rPr>
      </w:pPr>
      <w:r>
        <w:rPr>
          <w:rFonts w:ascii="Calibri" w:cs="Calibri" w:eastAsia="Calibri" w:hAnsi="Calibri"/>
          <w:sz w:val="20"/>
          <w:szCs w:val="20"/>
          <w:color w:val="auto"/>
        </w:rPr>
        <w:t>5.3.4 The executon, delivery and efectveness of this Amendment shall not, except as expressly provided herein, consttute an amendment of any acton or transacton, operate as a waiver or modifcaton of any right, power or remedy of any party to the Agreement or any other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5" w:right="339" w:bottom="1440" w:gutter="0" w:footer="0" w:header="0"/>
        </w:sectPr>
      </w:pPr>
    </w:p>
    <w:bookmarkStart w:id="675" w:name="page676"/>
    <w:bookmarkEnd w:id="675"/>
    <w:p>
      <w:pPr>
        <w:jc w:val="both"/>
        <w:spacing w:after="0" w:line="203" w:lineRule="auto"/>
        <w:rPr>
          <w:sz w:val="20"/>
          <w:szCs w:val="20"/>
          <w:color w:val="auto"/>
        </w:rPr>
      </w:pPr>
      <w:r>
        <w:rPr>
          <w:rFonts w:ascii="Calibri" w:cs="Calibri" w:eastAsia="Calibri" w:hAnsi="Calibri"/>
          <w:sz w:val="20"/>
          <w:szCs w:val="20"/>
          <w:color w:val="auto"/>
        </w:rPr>
        <w:t>Document, or consttute a waiver or modifcaton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diferent provisions under the Agreement or any other Financing Document, as the case may be, in the future.</w:t>
      </w:r>
    </w:p>
    <w:p>
      <w:pPr>
        <w:spacing w:after="0" w:line="17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1385" w:right="359" w:bottom="1440" w:gutter="0" w:footer="0" w:header="0"/>
        </w:sectPr>
      </w:pPr>
    </w:p>
    <w:bookmarkStart w:id="676" w:name="page677"/>
    <w:bookmarkEnd w:id="676"/>
    <w:p>
      <w:pPr>
        <w:ind w:firstLine="648"/>
        <w:spacing w:after="0" w:line="234" w:lineRule="auto"/>
        <w:rPr>
          <w:sz w:val="20"/>
          <w:szCs w:val="20"/>
          <w:color w:val="auto"/>
        </w:rPr>
      </w:pPr>
      <w:r>
        <w:rPr>
          <w:rFonts w:ascii="Calibri" w:cs="Calibri" w:eastAsia="Calibri" w:hAnsi="Calibri"/>
          <w:sz w:val="20"/>
          <w:szCs w:val="20"/>
          <w:color w:val="auto"/>
        </w:rPr>
        <w:t>IN WITNESS WHEREOF, the Partes have caused this Amendment to be executed and delivered by their respectve ofcers or representatves hereunto duly authorized as of the date frst writen above.</w:t>
      </w:r>
    </w:p>
    <w:p>
      <w:pPr>
        <w:spacing w:after="0" w:line="212" w:lineRule="exact"/>
        <w:rPr>
          <w:sz w:val="20"/>
          <w:szCs w:val="20"/>
          <w:color w:val="auto"/>
        </w:rPr>
      </w:pPr>
    </w:p>
    <w:p>
      <w:pPr>
        <w:ind w:left="3900" w:right="1680"/>
        <w:spacing w:after="0" w:line="234" w:lineRule="auto"/>
        <w:rPr>
          <w:sz w:val="20"/>
          <w:szCs w:val="20"/>
          <w:color w:val="auto"/>
        </w:rPr>
      </w:pPr>
      <w:r>
        <w:rPr>
          <w:rFonts w:ascii="Calibri" w:cs="Calibri" w:eastAsia="Calibri" w:hAnsi="Calibri"/>
          <w:sz w:val="20"/>
          <w:szCs w:val="20"/>
          <w:b w:val="1"/>
          <w:bCs w:val="1"/>
          <w:color w:val="auto"/>
        </w:rPr>
        <w:t>MICRON IDAHO SEMICONDUCTOR MANFUACTURING (TRITON) LLC</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Recipient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/s/ Scot Gatzemeier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-21590</wp:posOffset>
            </wp:positionV>
            <wp:extent cx="11849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3900"/>
        <w:spacing w:after="0" w:line="225" w:lineRule="auto"/>
        <w:rPr>
          <w:sz w:val="20"/>
          <w:szCs w:val="20"/>
          <w:color w:val="auto"/>
        </w:rPr>
      </w:pPr>
      <w:r>
        <w:rPr>
          <w:rFonts w:ascii="Calibri" w:cs="Calibri" w:eastAsia="Calibri" w:hAnsi="Calibri"/>
          <w:sz w:val="20"/>
          <w:szCs w:val="20"/>
          <w:color w:val="auto"/>
        </w:rPr>
        <w:t>Name: Scot Gatzemeier</w:t>
      </w:r>
    </w:p>
    <w:p>
      <w:pPr>
        <w:ind w:left="3900"/>
        <w:spacing w:after="0"/>
        <w:rPr>
          <w:sz w:val="20"/>
          <w:szCs w:val="20"/>
          <w:color w:val="auto"/>
        </w:rPr>
      </w:pPr>
      <w:r>
        <w:rPr>
          <w:rFonts w:ascii="Calibri" w:cs="Calibri" w:eastAsia="Calibri" w:hAnsi="Calibri"/>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ID Project - Signature Page to Amendment to Direct Funding Agreement</w:t>
      </w:r>
    </w:p>
    <w:p>
      <w:pPr>
        <w:sectPr>
          <w:pgSz w:w="11900" w:h="16838" w:orient="portrait"/>
          <w:cols w:equalWidth="0" w:num="1">
            <w:col w:w="11240"/>
          </w:cols>
          <w:pgMar w:left="320" w:top="1412" w:right="339" w:bottom="1440" w:gutter="0" w:footer="0" w:header="0"/>
        </w:sectPr>
      </w:pPr>
    </w:p>
    <w:bookmarkStart w:id="677" w:name="page678"/>
    <w:bookmarkEnd w:id="677"/>
    <w:p>
      <w:pPr>
        <w:spacing w:after="0" w:line="107" w:lineRule="exact"/>
        <w:rPr>
          <w:sz w:val="20"/>
          <w:szCs w:val="20"/>
          <w:color w:val="auto"/>
        </w:rPr>
      </w:pPr>
    </w:p>
    <w:p>
      <w:pPr>
        <w:ind w:left="2780"/>
        <w:spacing w:after="0" w:line="228" w:lineRule="auto"/>
        <w:rPr>
          <w:sz w:val="20"/>
          <w:szCs w:val="20"/>
          <w:color w:val="auto"/>
        </w:rPr>
      </w:pPr>
      <w:r>
        <w:rPr>
          <w:rFonts w:ascii="Calibri" w:cs="Calibri" w:eastAsia="Calibri" w:hAnsi="Calibri"/>
          <w:sz w:val="20"/>
          <w:szCs w:val="20"/>
          <w:b w:val="1"/>
          <w:bCs w:val="1"/>
          <w:color w:val="auto"/>
        </w:rPr>
        <w:t>UNITED STATES DEPARTMENT OF COMMERCE</w:t>
      </w:r>
      <w:r>
        <w:rPr>
          <w:rFonts w:ascii="Calibri" w:cs="Calibri" w:eastAsia="Calibri" w:hAnsi="Calibri"/>
          <w:sz w:val="20"/>
          <w:szCs w:val="20"/>
          <w:color w:val="auto"/>
        </w:rPr>
        <w:t>, an agency of the Federal Government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Calibri" w:cs="Calibri" w:eastAsia="Calibri" w:hAnsi="Calibri"/>
          <w:sz w:val="20"/>
          <w:szCs w:val="20"/>
          <w:color w:val="auto"/>
        </w:rPr>
        <w:t>/s/ Lynelle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-21590</wp:posOffset>
            </wp:positionV>
            <wp:extent cx="10299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2780"/>
        <w:spacing w:after="0" w:line="238" w:lineRule="auto"/>
        <w:rPr>
          <w:sz w:val="20"/>
          <w:szCs w:val="20"/>
          <w:color w:val="auto"/>
        </w:rPr>
      </w:pPr>
      <w:r>
        <w:rPr>
          <w:rFonts w:ascii="Calibri" w:cs="Calibri" w:eastAsia="Calibri" w:hAnsi="Calibri"/>
          <w:sz w:val="20"/>
          <w:szCs w:val="20"/>
          <w:color w:val="auto"/>
        </w:rPr>
        <w:t>Name: Lynelle McKay</w:t>
      </w:r>
    </w:p>
    <w:p>
      <w:pPr>
        <w:ind w:left="2780"/>
        <w:spacing w:after="0" w:line="226" w:lineRule="auto"/>
        <w:rPr>
          <w:sz w:val="20"/>
          <w:szCs w:val="20"/>
          <w:color w:val="auto"/>
        </w:rPr>
      </w:pPr>
      <w:r>
        <w:rPr>
          <w:rFonts w:ascii="Calibri" w:cs="Calibri" w:eastAsia="Calibri" w:hAnsi="Calibri"/>
          <w:sz w:val="20"/>
          <w:szCs w:val="20"/>
          <w:color w:val="auto"/>
        </w:rPr>
        <w:t>Title: CPO Director</w:t>
      </w:r>
    </w:p>
    <w:p>
      <w:pPr>
        <w:sectPr>
          <w:pgSz w:w="11900" w:h="16838" w:orient="portrait"/>
          <w:cols w:equalWidth="0" w:num="1">
            <w:col w:w="10100"/>
          </w:cols>
          <w:pgMar w:left="1440" w:top="1440" w:right="359" w:bottom="1440" w:gutter="0" w:footer="0" w:header="0"/>
        </w:sectPr>
      </w:pPr>
    </w:p>
    <w:bookmarkStart w:id="678" w:name="page679"/>
    <w:bookmarkEnd w:id="678"/>
    <w:p>
      <w:pPr>
        <w:ind w:left="10180"/>
        <w:spacing w:after="0"/>
        <w:rPr>
          <w:sz w:val="20"/>
          <w:szCs w:val="20"/>
          <w:color w:val="auto"/>
        </w:rPr>
      </w:pPr>
      <w:r>
        <w:rPr>
          <w:rFonts w:ascii="Calibri" w:cs="Calibri" w:eastAsia="Calibri" w:hAnsi="Calibri"/>
          <w:sz w:val="20"/>
          <w:szCs w:val="20"/>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20"/>
        <w:spacing w:after="0" w:line="314" w:lineRule="auto"/>
        <w:rPr>
          <w:sz w:val="20"/>
          <w:szCs w:val="20"/>
          <w:color w:val="auto"/>
        </w:rPr>
      </w:pPr>
      <w:r>
        <w:rPr>
          <w:rFonts w:ascii="Arial" w:cs="Arial" w:eastAsia="Arial" w:hAnsi="Arial"/>
          <w:sz w:val="14"/>
          <w:szCs w:val="14"/>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12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NO. 1 TO DIRECT FUNDING AGREEMENT</w:t>
      </w:r>
    </w:p>
    <w:p>
      <w:pPr>
        <w:spacing w:after="0" w:line="201" w:lineRule="exact"/>
        <w:rPr>
          <w:sz w:val="20"/>
          <w:szCs w:val="20"/>
          <w:color w:val="auto"/>
        </w:rPr>
      </w:pPr>
    </w:p>
    <w:p>
      <w:pPr>
        <w:ind w:left="660"/>
        <w:spacing w:after="0"/>
        <w:rPr>
          <w:sz w:val="20"/>
          <w:szCs w:val="20"/>
          <w:color w:val="auto"/>
        </w:rPr>
      </w:pPr>
      <w:r>
        <w:rPr>
          <w:rFonts w:ascii="Calibri" w:cs="Calibri" w:eastAsia="Calibri" w:hAnsi="Calibri"/>
          <w:sz w:val="20"/>
          <w:szCs w:val="20"/>
          <w:b w:val="1"/>
          <w:bCs w:val="1"/>
          <w:color w:val="auto"/>
        </w:rPr>
        <w:t xml:space="preserve">This AMENDMENT NO. 1 TO DIRECT FUNDING AGREEMENT </w:t>
      </w:r>
      <w:r>
        <w:rPr>
          <w:rFonts w:ascii="Calibri" w:cs="Calibri" w:eastAsia="Calibri" w:hAnsi="Calibri"/>
          <w:sz w:val="20"/>
          <w:szCs w:val="20"/>
          <w:color w:val="auto"/>
        </w:rPr>
        <w:t>dated as of January 17, 2025 (this “</w:t>
      </w:r>
      <w:r>
        <w:rPr>
          <w:rFonts w:ascii="Calibri" w:cs="Calibri" w:eastAsia="Calibri" w:hAnsi="Calibri"/>
          <w:sz w:val="20"/>
          <w:szCs w:val="20"/>
          <w:b w:val="1"/>
          <w:bCs w:val="1"/>
          <w:color w:val="auto"/>
        </w:rPr>
        <w:t>Amendment</w:t>
      </w:r>
      <w:r>
        <w:rPr>
          <w:rFonts w:ascii="Calibri" w:cs="Calibri" w:eastAsia="Calibri" w:hAnsi="Calibri"/>
          <w:sz w:val="20"/>
          <w:szCs w:val="20"/>
          <w:color w:val="auto"/>
        </w:rPr>
        <w:t>”), by and between</w:t>
      </w:r>
    </w:p>
    <w:p>
      <w:pPr>
        <w:spacing w:after="0" w:line="9" w:lineRule="exact"/>
        <w:rPr>
          <w:sz w:val="20"/>
          <w:szCs w:val="20"/>
          <w:color w:val="auto"/>
        </w:rPr>
      </w:pPr>
    </w:p>
    <w:p>
      <w:pPr>
        <w:jc w:val="both"/>
        <w:ind w:firstLine="8"/>
        <w:spacing w:after="0" w:line="233" w:lineRule="auto"/>
        <w:tabs>
          <w:tab w:leader="none" w:pos="267" w:val="left"/>
        </w:tabs>
        <w:numPr>
          <w:ilvl w:val="0"/>
          <w:numId w:val="858"/>
        </w:numPr>
        <w:rPr>
          <w:rFonts w:ascii="Calibri" w:cs="Calibri" w:eastAsia="Calibri" w:hAnsi="Calibri"/>
          <w:sz w:val="20"/>
          <w:szCs w:val="20"/>
          <w:color w:val="auto"/>
        </w:rPr>
      </w:pPr>
      <w:r>
        <w:rPr>
          <w:rFonts w:ascii="Calibri" w:cs="Calibri" w:eastAsia="Calibri" w:hAnsi="Calibri"/>
          <w:sz w:val="20"/>
          <w:szCs w:val="20"/>
          <w:color w:val="auto"/>
        </w:rPr>
        <w:t>MICRON NEW YORK SEMICONDUCTOR MANUFACUTRING LLC, a Delaware limited liability company as the recipient (the “</w:t>
      </w:r>
      <w:r>
        <w:rPr>
          <w:rFonts w:ascii="Calibri" w:cs="Calibri" w:eastAsia="Calibri" w:hAnsi="Calibri"/>
          <w:sz w:val="20"/>
          <w:szCs w:val="20"/>
          <w:b w:val="1"/>
          <w:bCs w:val="1"/>
          <w:color w:val="auto"/>
        </w:rPr>
        <w:t>Recipient</w:t>
      </w:r>
      <w:r>
        <w:rPr>
          <w:rFonts w:ascii="Calibri" w:cs="Calibri" w:eastAsia="Calibri" w:hAnsi="Calibri"/>
          <w:sz w:val="20"/>
          <w:szCs w:val="20"/>
          <w:color w:val="auto"/>
        </w:rPr>
        <w:t>”); and (b) the UNITED STATES DEPARTMENT OF COMMERCE (the “</w:t>
      </w:r>
      <w:r>
        <w:rPr>
          <w:rFonts w:ascii="Calibri" w:cs="Calibri" w:eastAsia="Calibri" w:hAnsi="Calibri"/>
          <w:sz w:val="20"/>
          <w:szCs w:val="20"/>
          <w:b w:val="1"/>
          <w:bCs w:val="1"/>
          <w:color w:val="auto"/>
        </w:rPr>
        <w:t>Department</w:t>
      </w:r>
      <w:r>
        <w:rPr>
          <w:rFonts w:ascii="Calibri" w:cs="Calibri" w:eastAsia="Calibri" w:hAnsi="Calibri"/>
          <w:sz w:val="20"/>
          <w:szCs w:val="20"/>
          <w:color w:val="auto"/>
        </w:rPr>
        <w:t>” and together with the Recipient,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 and each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 agency of the United States of America, actng by and through the Secretary of Commerce (or appropriate authorized representatve thereof).</w:t>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RECITALS</w:t>
      </w:r>
    </w:p>
    <w:p>
      <w:pPr>
        <w:spacing w:after="0" w:line="211"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has entered into that certain Direct Funding Agreement dated as of December 9, 2024 (and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amended, restated, supplemented or modifed and in efect from tme to tme,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by and among the Recipient and the Department, setng forth, among other things, certain terms and conditons associated with the Award (as defned therein);</w:t>
      </w:r>
    </w:p>
    <w:p>
      <w:pPr>
        <w:spacing w:after="0" w:line="211" w:lineRule="exact"/>
        <w:rPr>
          <w:sz w:val="20"/>
          <w:szCs w:val="20"/>
          <w:color w:val="auto"/>
        </w:rPr>
      </w:pPr>
    </w:p>
    <w:p>
      <w:pPr>
        <w:jc w:val="both"/>
        <w:ind w:right="20"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determined that it intends to utlize equipment in the Project that is manufactured by [***] and would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consttute Prohibited Equipment;</w:t>
      </w:r>
    </w:p>
    <w:p>
      <w:pPr>
        <w:spacing w:after="0" w:line="212" w:lineRule="exact"/>
        <w:rPr>
          <w:sz w:val="20"/>
          <w:szCs w:val="20"/>
          <w:color w:val="auto"/>
        </w:rPr>
      </w:pPr>
    </w:p>
    <w:p>
      <w:pPr>
        <w:jc w:val="both"/>
        <w:ind w:firstLine="638"/>
        <w:spacing w:after="0" w:line="236"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Recipient desires to (a) obtain consent from the Department in respect of any Potental Event of Default or Event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Default that may arise as a result of the future installaton of the [***], and (b) amend the Agreement in order to permit the Recipient to use the [***];</w:t>
      </w:r>
    </w:p>
    <w:p>
      <w:pPr>
        <w:spacing w:after="0" w:line="211" w:lineRule="exact"/>
        <w:rPr>
          <w:sz w:val="20"/>
          <w:szCs w:val="20"/>
          <w:color w:val="auto"/>
        </w:rPr>
      </w:pPr>
    </w:p>
    <w:p>
      <w:pPr>
        <w:jc w:val="both"/>
        <w:ind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Department determined that there is no available market alternatve to the [***] in quanttes or of satsfactory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quality to support the Project that presents a reasonable substtute for the [***];</w:t>
      </w:r>
    </w:p>
    <w:p>
      <w:pPr>
        <w:spacing w:after="0" w:line="199" w:lineRule="exact"/>
        <w:rPr>
          <w:sz w:val="20"/>
          <w:szCs w:val="20"/>
          <w:color w:val="auto"/>
        </w:rPr>
      </w:pPr>
    </w:p>
    <w:p>
      <w:pPr>
        <w:jc w:val="both"/>
        <w:ind w:firstLine="638"/>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on the terms and conditons set forth herein the Department is willing to consent to the use and installaton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in the Project;</w:t>
      </w:r>
    </w:p>
    <w:p>
      <w:pPr>
        <w:spacing w:after="0" w:line="203" w:lineRule="exact"/>
        <w:rPr>
          <w:sz w:val="20"/>
          <w:szCs w:val="20"/>
          <w:color w:val="auto"/>
        </w:rPr>
      </w:pPr>
    </w:p>
    <w:p>
      <w:pPr>
        <w:ind w:left="64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Partes agree to amend the Agreement on the terms set out herein; and</w:t>
      </w:r>
    </w:p>
    <w:p>
      <w:pPr>
        <w:spacing w:after="0" w:line="22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pursuant to Secton 10.5 (</w:t>
      </w:r>
      <w:r>
        <w:rPr>
          <w:rFonts w:ascii="Calibri" w:cs="Calibri" w:eastAsia="Calibri" w:hAnsi="Calibri"/>
          <w:sz w:val="20"/>
          <w:szCs w:val="20"/>
          <w:i w:val="1"/>
          <w:iCs w:val="1"/>
          <w:color w:val="auto"/>
        </w:rPr>
        <w:t>Waiver and Amendment</w:t>
      </w:r>
      <w:r>
        <w:rPr>
          <w:rFonts w:ascii="Calibri" w:cs="Calibri" w:eastAsia="Calibri" w:hAnsi="Calibri"/>
          <w:sz w:val="20"/>
          <w:szCs w:val="20"/>
          <w:color w:val="auto"/>
        </w:rPr>
        <w:t>) of the Agreement, neither the Agreement nor any provision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therein may be amended, waived, discharged, or terminated unless such amendment, waiver, discharge, or terminaton is in writng and executed by the Recipient and the Department.</w:t>
      </w:r>
    </w:p>
    <w:p>
      <w:pPr>
        <w:spacing w:after="0" w:line="227" w:lineRule="exact"/>
        <w:rPr>
          <w:sz w:val="20"/>
          <w:szCs w:val="20"/>
          <w:color w:val="auto"/>
        </w:rPr>
      </w:pPr>
    </w:p>
    <w:p>
      <w:pPr>
        <w:jc w:val="both"/>
        <w:ind w:right="20" w:firstLine="648"/>
        <w:spacing w:after="0" w:line="228" w:lineRule="auto"/>
        <w:rPr>
          <w:sz w:val="20"/>
          <w:szCs w:val="20"/>
          <w:color w:val="auto"/>
        </w:rPr>
      </w:pPr>
      <w:r>
        <w:rPr>
          <w:rFonts w:ascii="Calibri" w:cs="Calibri" w:eastAsia="Calibri" w:hAnsi="Calibri"/>
          <w:sz w:val="20"/>
          <w:szCs w:val="20"/>
          <w:b w:val="1"/>
          <w:bCs w:val="1"/>
          <w:color w:val="auto"/>
        </w:rPr>
        <w:t>NOW</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THEREFORE</w:t>
      </w:r>
      <w:r>
        <w:rPr>
          <w:rFonts w:ascii="Calibri" w:cs="Calibri" w:eastAsia="Calibri" w:hAnsi="Calibri"/>
          <w:sz w:val="20"/>
          <w:szCs w:val="20"/>
          <w:color w:val="auto"/>
        </w:rPr>
        <w:t>, in consideraton of the premises and mutual agreements herein contained and other good and valuable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consideraton, receipt and sufciency of which are hereby acknowledged, the Partes agree as follows:</w:t>
      </w:r>
    </w:p>
    <w:p>
      <w:pPr>
        <w:spacing w:after="0" w:line="188"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1</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 RULES OF INTERPRETATION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1.1.</w:t>
      </w:r>
      <w:r>
        <w:rPr>
          <w:sz w:val="20"/>
          <w:szCs w:val="20"/>
          <w:color w:val="auto"/>
        </w:rPr>
        <w:tab/>
      </w:r>
      <w:r>
        <w:rPr>
          <w:rFonts w:ascii="Calibri" w:cs="Calibri" w:eastAsia="Calibri" w:hAnsi="Calibri"/>
          <w:sz w:val="20"/>
          <w:szCs w:val="20"/>
          <w:b w:val="1"/>
          <w:bCs w:val="1"/>
          <w:color w:val="auto"/>
        </w:rPr>
        <w:t>Defned Terms.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alibri" w:cs="Calibri" w:eastAsia="Calibri" w:hAnsi="Calibri"/>
          <w:sz w:val="18"/>
          <w:szCs w:val="18"/>
          <w:color w:val="auto"/>
        </w:rPr>
        <w:t>NY PROJECT</w:t>
      </w:r>
    </w:p>
    <w:p>
      <w:pPr>
        <w:spacing w:after="0" w:line="235" w:lineRule="auto"/>
        <w:rPr>
          <w:sz w:val="20"/>
          <w:szCs w:val="20"/>
          <w:color w:val="auto"/>
        </w:rPr>
      </w:pPr>
      <w:r>
        <w:rPr>
          <w:rFonts w:ascii="Calibri" w:cs="Calibri" w:eastAsia="Calibri" w:hAnsi="Calibri"/>
          <w:sz w:val="18"/>
          <w:szCs w:val="18"/>
          <w:color w:val="auto"/>
        </w:rPr>
        <w:t>AWARD ID NO.</w:t>
      </w:r>
    </w:p>
    <w:p>
      <w:pPr>
        <w:ind w:left="160"/>
        <w:spacing w:after="0" w:line="236" w:lineRule="auto"/>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06" w:right="339" w:bottom="1440" w:gutter="0" w:footer="0" w:header="0"/>
        </w:sectPr>
      </w:pPr>
    </w:p>
    <w:bookmarkStart w:id="679" w:name="page680"/>
    <w:bookmarkEnd w:id="679"/>
    <w:p>
      <w:pPr>
        <w:jc w:val="both"/>
        <w:spacing w:after="0" w:line="234" w:lineRule="auto"/>
        <w:rPr>
          <w:sz w:val="20"/>
          <w:szCs w:val="20"/>
          <w:color w:val="auto"/>
        </w:rPr>
      </w:pPr>
      <w:r>
        <w:rPr>
          <w:rFonts w:ascii="Calibri" w:cs="Calibri" w:eastAsia="Calibri" w:hAnsi="Calibri"/>
          <w:sz w:val="20"/>
          <w:szCs w:val="20"/>
          <w:color w:val="auto"/>
        </w:rPr>
        <w:t>Except as otherwise expressly provided herein, the Partes agree that capitalized terms used in this Amendment (including such terms used in the preamble and recitals above) shall have the meanings given to them (directly or by reference) in the Agreement.</w:t>
      </w:r>
    </w:p>
    <w:p>
      <w:pPr>
        <w:spacing w:after="0" w:line="172"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1.2. </w:t>
      </w:r>
      <w:r>
        <w:rPr>
          <w:rFonts w:ascii="Calibri" w:cs="Calibri" w:eastAsia="Calibri" w:hAnsi="Calibri"/>
          <w:sz w:val="20"/>
          <w:szCs w:val="20"/>
          <w:b w:val="1"/>
          <w:bCs w:val="1"/>
          <w:color w:val="auto"/>
        </w:rPr>
        <w:t>Rules of Interpretaton.</w:t>
      </w:r>
      <w:r>
        <w:rPr>
          <w:rFonts w:ascii="Calibri" w:cs="Calibri" w:eastAsia="Calibri" w:hAnsi="Calibri"/>
          <w:sz w:val="20"/>
          <w:szCs w:val="20"/>
          <w:color w:val="auto"/>
        </w:rPr>
        <w:t xml:space="preserve"> The rules of interpretaton set forth in Annex B (</w:t>
      </w:r>
      <w:r>
        <w:rPr>
          <w:rFonts w:ascii="Calibri" w:cs="Calibri" w:eastAsia="Calibri" w:hAnsi="Calibri"/>
          <w:sz w:val="20"/>
          <w:szCs w:val="20"/>
          <w:i w:val="1"/>
          <w:iCs w:val="1"/>
          <w:color w:val="auto"/>
        </w:rPr>
        <w:t>Rules of Interpretaton</w:t>
      </w:r>
      <w:r>
        <w:rPr>
          <w:rFonts w:ascii="Calibri" w:cs="Calibri" w:eastAsia="Calibri" w:hAnsi="Calibri"/>
          <w:sz w:val="20"/>
          <w:szCs w:val="20"/>
          <w:color w:val="auto"/>
        </w:rPr>
        <w:t>) of the Agreement shall apply to this Amendment as if set forth herein.</w:t>
      </w:r>
    </w:p>
    <w:p>
      <w:pPr>
        <w:spacing w:after="0" w:line="200" w:lineRule="exact"/>
        <w:rPr>
          <w:sz w:val="20"/>
          <w:szCs w:val="20"/>
          <w:color w:val="auto"/>
        </w:rPr>
      </w:pPr>
    </w:p>
    <w:p>
      <w:pPr>
        <w:spacing w:after="0" w:line="381" w:lineRule="exact"/>
        <w:rPr>
          <w:sz w:val="20"/>
          <w:szCs w:val="20"/>
          <w:color w:val="auto"/>
        </w:rPr>
      </w:pPr>
    </w:p>
    <w:p>
      <w:pPr>
        <w:ind w:left="4940"/>
        <w:spacing w:after="0"/>
        <w:rPr>
          <w:sz w:val="20"/>
          <w:szCs w:val="20"/>
          <w:color w:val="auto"/>
        </w:rPr>
      </w:pPr>
      <w:r>
        <w:rPr>
          <w:rFonts w:ascii="Calibri" w:cs="Calibri" w:eastAsia="Calibri" w:hAnsi="Calibri"/>
          <w:sz w:val="20"/>
          <w:szCs w:val="20"/>
          <w:b w:val="1"/>
          <w:bCs w:val="1"/>
          <w:color w:val="auto"/>
        </w:rPr>
        <w:t>Artcle 2</w:t>
      </w:r>
    </w:p>
    <w:p>
      <w:pPr>
        <w:spacing w:after="0" w:line="1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AMENDMENTS TO AGREEMENT</w:t>
      </w:r>
    </w:p>
    <w:p>
      <w:pPr>
        <w:spacing w:after="0" w:line="147" w:lineRule="exact"/>
        <w:rPr>
          <w:sz w:val="20"/>
          <w:szCs w:val="20"/>
          <w:color w:val="auto"/>
        </w:rPr>
      </w:pPr>
    </w:p>
    <w:p>
      <w:pPr>
        <w:ind w:left="660"/>
        <w:spacing w:after="0"/>
        <w:tabs>
          <w:tab w:leader="none" w:pos="2000" w:val="left"/>
        </w:tabs>
        <w:rPr>
          <w:sz w:val="20"/>
          <w:szCs w:val="20"/>
          <w:color w:val="auto"/>
        </w:rPr>
      </w:pPr>
      <w:r>
        <w:rPr>
          <w:rFonts w:ascii="Calibri" w:cs="Calibri" w:eastAsia="Calibri" w:hAnsi="Calibri"/>
          <w:sz w:val="20"/>
          <w:szCs w:val="20"/>
          <w:color w:val="auto"/>
        </w:rPr>
        <w:t>Secton 2.1.</w:t>
      </w:r>
      <w:r>
        <w:rPr>
          <w:sz w:val="20"/>
          <w:szCs w:val="20"/>
          <w:color w:val="auto"/>
        </w:rPr>
        <w:tab/>
      </w:r>
      <w:r>
        <w:rPr>
          <w:rFonts w:ascii="Calibri" w:cs="Calibri" w:eastAsia="Calibri" w:hAnsi="Calibri"/>
          <w:sz w:val="20"/>
          <w:szCs w:val="20"/>
          <w:b w:val="1"/>
          <w:bCs w:val="1"/>
          <w:color w:val="auto"/>
        </w:rPr>
        <w:t>Amendment to Secton 2.1.2 of Annex D (</w:t>
      </w:r>
      <w:r>
        <w:rPr>
          <w:rFonts w:ascii="Calibri" w:cs="Calibri" w:eastAsia="Calibri" w:hAnsi="Calibri"/>
          <w:sz w:val="20"/>
          <w:szCs w:val="20"/>
          <w:b w:val="1"/>
          <w:bCs w:val="1"/>
          <w:i w:val="1"/>
          <w:iCs w:val="1"/>
          <w:color w:val="auto"/>
        </w:rPr>
        <w:t>Program Requirements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2.1.2 of Annex D (Program</w:t>
      </w:r>
    </w:p>
    <w:p>
      <w:pPr>
        <w:spacing w:after="0" w:line="199" w:lineRule="auto"/>
        <w:rPr>
          <w:sz w:val="20"/>
          <w:szCs w:val="20"/>
          <w:color w:val="auto"/>
        </w:rPr>
      </w:pPr>
      <w:r>
        <w:rPr>
          <w:rFonts w:ascii="Calibri" w:cs="Calibri" w:eastAsia="Calibri" w:hAnsi="Calibri"/>
          <w:sz w:val="20"/>
          <w:szCs w:val="20"/>
          <w:color w:val="auto"/>
        </w:rPr>
        <w:t>Requirements) is hereby amended and restated in its entrety as follows:</w:t>
      </w:r>
    </w:p>
    <w:p>
      <w:pPr>
        <w:spacing w:after="0" w:line="184" w:lineRule="exact"/>
        <w:rPr>
          <w:sz w:val="20"/>
          <w:szCs w:val="20"/>
          <w:color w:val="auto"/>
        </w:rPr>
      </w:pPr>
    </w:p>
    <w:p>
      <w:pPr>
        <w:ind w:left="66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u w:val="single" w:color="auto"/>
          <w:color w:val="auto"/>
        </w:rPr>
        <w:t>Absent a consent or waiver from the Department and subject to any exceptons set forth on Schedule I (Excepted Equipment)</w:t>
      </w:r>
      <w:r>
        <w:rPr>
          <w:rFonts w:ascii="Calibri" w:cs="Calibri" w:eastAsia="Calibri" w:hAnsi="Calibri"/>
          <w:sz w:val="20"/>
          <w:szCs w:val="20"/>
          <w:color w:val="auto"/>
        </w:rPr>
        <w:t xml:space="preserve"> </w:t>
      </w:r>
      <w:r>
        <w:rPr>
          <w:rFonts w:ascii="Calibri" w:cs="Calibri" w:eastAsia="Calibri" w:hAnsi="Calibri"/>
          <w:sz w:val="20"/>
          <w:szCs w:val="20"/>
          <w:b w:val="1"/>
          <w:bCs w:val="1"/>
          <w:u w:val="single" w:color="auto"/>
          <w:color w:val="auto"/>
        </w:rPr>
        <w:t>of this Agreement (as it may be amended from tme to tme in accordance with the terms hereof), each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strike w:val="1"/>
        </w:rPr>
        <w:t>Each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Recipient shall</w:t>
      </w:r>
    </w:p>
    <w:p>
      <w:pPr>
        <w:ind w:left="660"/>
        <w:spacing w:after="0" w:line="226" w:lineRule="auto"/>
        <w:rPr>
          <w:sz w:val="20"/>
          <w:szCs w:val="20"/>
          <w:color w:val="auto"/>
        </w:rPr>
      </w:pPr>
      <w:r>
        <w:rPr>
          <w:rFonts w:ascii="Calibri" w:cs="Calibri" w:eastAsia="Calibri" w:hAnsi="Calibri"/>
          <w:sz w:val="20"/>
          <w:szCs w:val="20"/>
          <w:color w:val="auto"/>
        </w:rPr>
        <w:t>not knowingly use or install in any Project completed, fully assembled Prohibited Equipment.”</w:t>
      </w:r>
    </w:p>
    <w:p>
      <w:pPr>
        <w:spacing w:after="0" w:line="226" w:lineRule="exact"/>
        <w:rPr>
          <w:sz w:val="20"/>
          <w:szCs w:val="20"/>
          <w:color w:val="auto"/>
        </w:rPr>
      </w:pPr>
    </w:p>
    <w:p>
      <w:pPr>
        <w:jc w:val="both"/>
        <w:ind w:right="20" w:firstLine="648"/>
        <w:spacing w:after="0" w:line="214" w:lineRule="auto"/>
        <w:rPr>
          <w:sz w:val="20"/>
          <w:szCs w:val="20"/>
          <w:color w:val="auto"/>
        </w:rPr>
      </w:pPr>
      <w:r>
        <w:rPr>
          <w:rFonts w:ascii="Calibri" w:cs="Calibri" w:eastAsia="Calibri" w:hAnsi="Calibri"/>
          <w:sz w:val="20"/>
          <w:szCs w:val="20"/>
          <w:color w:val="auto"/>
        </w:rPr>
        <w:t xml:space="preserve">Secton 2.2. </w:t>
      </w:r>
      <w:r>
        <w:rPr>
          <w:rFonts w:ascii="Calibri" w:cs="Calibri" w:eastAsia="Calibri" w:hAnsi="Calibri"/>
          <w:sz w:val="20"/>
          <w:szCs w:val="20"/>
          <w:b w:val="1"/>
          <w:bCs w:val="1"/>
          <w:color w:val="auto"/>
        </w:rPr>
        <w:t>Amendment to add Schedule I to the Agreement.</w:t>
      </w:r>
      <w:r>
        <w:rPr>
          <w:rFonts w:ascii="Calibri" w:cs="Calibri" w:eastAsia="Calibri" w:hAnsi="Calibri"/>
          <w:sz w:val="20"/>
          <w:szCs w:val="20"/>
          <w:color w:val="auto"/>
        </w:rPr>
        <w:t xml:space="preserve"> The Agreement is hereby amended by adding Schedule I (Excepted Equipment), atached hereto as Annex A of this First Waiver.</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3</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EFFECTIVE DATE</w:t>
      </w:r>
    </w:p>
    <w:p>
      <w:pPr>
        <w:spacing w:after="0" w:line="184"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b w:val="1"/>
          <w:bCs w:val="1"/>
          <w:color w:val="auto"/>
        </w:rPr>
        <w:t xml:space="preserve">Secton 3.1. </w:t>
      </w:r>
      <w:r>
        <w:rPr>
          <w:rFonts w:ascii="Calibri" w:cs="Calibri" w:eastAsia="Calibri" w:hAnsi="Calibri"/>
          <w:sz w:val="20"/>
          <w:szCs w:val="20"/>
          <w:color w:val="auto"/>
        </w:rPr>
        <w:t>This Amendment shall become efectve only upon the date on which each of the following conditons precedent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have been satsfed or waived by the Department (the “</w:t>
      </w:r>
      <w:r>
        <w:rPr>
          <w:rFonts w:ascii="Calibri" w:cs="Calibri" w:eastAsia="Calibri" w:hAnsi="Calibri"/>
          <w:sz w:val="20"/>
          <w:szCs w:val="20"/>
          <w:b w:val="1"/>
          <w:bCs w:val="1"/>
          <w:color w:val="auto"/>
        </w:rPr>
        <w:t>Amendment No. 1 Efectve Date</w:t>
      </w:r>
      <w:r>
        <w:rPr>
          <w:rFonts w:ascii="Calibri" w:cs="Calibri" w:eastAsia="Calibri" w:hAnsi="Calibri"/>
          <w:sz w:val="20"/>
          <w:szCs w:val="20"/>
          <w:color w:val="auto"/>
        </w:rPr>
        <w:t>”), each of which shall be in form and substance and otherwise satsfactory to The Department:</w:t>
      </w:r>
    </w:p>
    <w:p>
      <w:pPr>
        <w:spacing w:after="0" w:line="171" w:lineRule="exact"/>
        <w:rPr>
          <w:sz w:val="20"/>
          <w:szCs w:val="20"/>
          <w:color w:val="auto"/>
        </w:rPr>
      </w:pPr>
    </w:p>
    <w:p>
      <w:pPr>
        <w:ind w:firstLine="1952"/>
        <w:spacing w:after="0" w:line="214" w:lineRule="auto"/>
        <w:tabs>
          <w:tab w:leader="none" w:pos="2596" w:val="left"/>
        </w:tabs>
        <w:numPr>
          <w:ilvl w:val="0"/>
          <w:numId w:val="859"/>
        </w:numPr>
        <w:rPr>
          <w:rFonts w:ascii="Calibri" w:cs="Calibri" w:eastAsia="Calibri" w:hAnsi="Calibri"/>
          <w:sz w:val="20"/>
          <w:szCs w:val="20"/>
          <w:color w:val="auto"/>
        </w:rPr>
      </w:pPr>
      <w:r>
        <w:rPr>
          <w:rFonts w:ascii="Calibri" w:cs="Calibri" w:eastAsia="Calibri" w:hAnsi="Calibri"/>
          <w:sz w:val="20"/>
          <w:szCs w:val="20"/>
          <w:color w:val="auto"/>
        </w:rPr>
        <w:t>each of the Partes shall have executed this Amendment and delivered its executed counterpart to this Amendment to each other Party;</w:t>
      </w:r>
    </w:p>
    <w:p>
      <w:pPr>
        <w:spacing w:after="0" w:line="148" w:lineRule="exact"/>
        <w:rPr>
          <w:rFonts w:ascii="Calibri" w:cs="Calibri" w:eastAsia="Calibri" w:hAnsi="Calibri"/>
          <w:sz w:val="20"/>
          <w:szCs w:val="20"/>
          <w:color w:val="auto"/>
        </w:rPr>
      </w:pPr>
    </w:p>
    <w:p>
      <w:pPr>
        <w:ind w:left="2600" w:hanging="648"/>
        <w:spacing w:after="0"/>
        <w:tabs>
          <w:tab w:leader="none" w:pos="2600" w:val="left"/>
        </w:tabs>
        <w:numPr>
          <w:ilvl w:val="0"/>
          <w:numId w:val="859"/>
        </w:numPr>
        <w:rPr>
          <w:rFonts w:ascii="Calibri" w:cs="Calibri" w:eastAsia="Calibri" w:hAnsi="Calibri"/>
          <w:sz w:val="20"/>
          <w:szCs w:val="20"/>
          <w:color w:val="auto"/>
        </w:rPr>
      </w:pPr>
      <w:r>
        <w:rPr>
          <w:rFonts w:ascii="Calibri" w:cs="Calibri" w:eastAsia="Calibri" w:hAnsi="Calibri"/>
          <w:sz w:val="20"/>
          <w:szCs w:val="20"/>
          <w:color w:val="auto"/>
        </w:rPr>
        <w:t>the representatons and warrantes set forth in Artcle 5 hereto are true and correct; and</w:t>
      </w:r>
    </w:p>
    <w:p>
      <w:pPr>
        <w:spacing w:after="0" w:line="157" w:lineRule="exact"/>
        <w:rPr>
          <w:rFonts w:ascii="Calibri" w:cs="Calibri" w:eastAsia="Calibri" w:hAnsi="Calibri"/>
          <w:sz w:val="20"/>
          <w:szCs w:val="20"/>
          <w:color w:val="auto"/>
        </w:rPr>
      </w:pPr>
    </w:p>
    <w:p>
      <w:pPr>
        <w:ind w:right="20" w:firstLine="1952"/>
        <w:spacing w:after="0" w:line="214" w:lineRule="auto"/>
        <w:tabs>
          <w:tab w:leader="none" w:pos="2584" w:val="left"/>
        </w:tabs>
        <w:numPr>
          <w:ilvl w:val="0"/>
          <w:numId w:val="859"/>
        </w:numPr>
        <w:rPr>
          <w:rFonts w:ascii="Calibri" w:cs="Calibri" w:eastAsia="Calibri" w:hAnsi="Calibri"/>
          <w:sz w:val="20"/>
          <w:szCs w:val="20"/>
          <w:color w:val="auto"/>
        </w:rPr>
      </w:pPr>
      <w:r>
        <w:rPr>
          <w:rFonts w:ascii="Calibri" w:cs="Calibri" w:eastAsia="Calibri" w:hAnsi="Calibri"/>
          <w:sz w:val="20"/>
          <w:szCs w:val="20"/>
          <w:color w:val="auto"/>
        </w:rPr>
        <w:t>afer giving efect to the waiver set forth in Artcle 2 hereto, no Potental Event of Default or Event of Default shall have occurred and be contnuing.</w:t>
      </w:r>
    </w:p>
    <w:p>
      <w:pPr>
        <w:spacing w:after="0" w:line="149"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4</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REPRESENTATIONS AND WARRANTIES</w:t>
      </w:r>
    </w:p>
    <w:p>
      <w:pPr>
        <w:spacing w:after="0" w:line="171" w:lineRule="exact"/>
        <w:rPr>
          <w:sz w:val="20"/>
          <w:szCs w:val="20"/>
          <w:color w:val="auto"/>
        </w:rPr>
      </w:pPr>
    </w:p>
    <w:p>
      <w:pPr>
        <w:ind w:right="20" w:firstLine="648"/>
        <w:spacing w:after="0" w:line="208" w:lineRule="auto"/>
        <w:rPr>
          <w:sz w:val="20"/>
          <w:szCs w:val="20"/>
          <w:color w:val="auto"/>
        </w:rPr>
      </w:pPr>
      <w:r>
        <w:rPr>
          <w:rFonts w:ascii="Calibri" w:cs="Calibri" w:eastAsia="Calibri" w:hAnsi="Calibri"/>
          <w:sz w:val="20"/>
          <w:szCs w:val="20"/>
          <w:color w:val="auto"/>
        </w:rPr>
        <w:t>Secton 4.1. The Recipient hereby represents and warrants as of the date hereof and as of the Amendment No. 1 Efectve Date that:</w:t>
      </w:r>
    </w:p>
    <w:p>
      <w:pPr>
        <w:spacing w:after="0" w:line="171" w:lineRule="exact"/>
        <w:rPr>
          <w:sz w:val="20"/>
          <w:szCs w:val="20"/>
          <w:color w:val="auto"/>
        </w:rPr>
      </w:pPr>
    </w:p>
    <w:p>
      <w:pPr>
        <w:jc w:val="both"/>
        <w:ind w:firstLine="1952"/>
        <w:spacing w:after="0" w:line="203" w:lineRule="auto"/>
        <w:tabs>
          <w:tab w:leader="none" w:pos="2596" w:val="left"/>
        </w:tabs>
        <w:numPr>
          <w:ilvl w:val="0"/>
          <w:numId w:val="860"/>
        </w:numPr>
        <w:rPr>
          <w:rFonts w:ascii="Calibri" w:cs="Calibri" w:eastAsia="Calibri" w:hAnsi="Calibri"/>
          <w:sz w:val="20"/>
          <w:szCs w:val="20"/>
          <w:color w:val="auto"/>
        </w:rPr>
      </w:pPr>
      <w:r>
        <w:rPr>
          <w:rFonts w:ascii="Calibri" w:cs="Calibri" w:eastAsia="Calibri" w:hAnsi="Calibri"/>
          <w:sz w:val="20"/>
          <w:szCs w:val="20"/>
          <w:color w:val="auto"/>
        </w:rPr>
        <w:t>the Recipient (a) is a limited liability company, duly organized, validly existng and in good standing under the laws of the State of Delaware; (b) is duly qualifed to do business in the State of New York and in each other jurisdicton where the failure to so qualify could reasonably be expected to have a Material Adverse Efect; and (c) has all requisite power and authority to execute, deliver, perform and observe the terms and conditons under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412" w:right="339" w:bottom="1440" w:gutter="0" w:footer="0" w:header="0"/>
        </w:sectPr>
      </w:pPr>
    </w:p>
    <w:bookmarkStart w:id="680" w:name="page681"/>
    <w:bookmarkEnd w:id="680"/>
    <w:p>
      <w:pPr>
        <w:jc w:val="both"/>
        <w:ind w:firstLine="1952"/>
        <w:spacing w:after="0" w:line="199" w:lineRule="auto"/>
        <w:tabs>
          <w:tab w:leader="none" w:pos="2592" w:val="left"/>
        </w:tabs>
        <w:numPr>
          <w:ilvl w:val="0"/>
          <w:numId w:val="861"/>
        </w:numPr>
        <w:rPr>
          <w:rFonts w:ascii="Calibri" w:cs="Calibri" w:eastAsia="Calibri" w:hAnsi="Calibri"/>
          <w:sz w:val="20"/>
          <w:szCs w:val="20"/>
          <w:color w:val="auto"/>
        </w:rPr>
      </w:pPr>
      <w:r>
        <w:rPr>
          <w:rFonts w:ascii="Calibri" w:cs="Calibri" w:eastAsia="Calibri" w:hAnsi="Calibri"/>
          <w:sz w:val="20"/>
          <w:szCs w:val="20"/>
          <w:color w:val="auto"/>
        </w:rPr>
        <w:t>the Recipient has duly authorized, executed and delivered this Amendment, and neither its executon and delivery thereof nor its consummaton of the transactons contemplated hereby or thereby nor its compliance with the terms of this this Amendment or thereof does or will (i) contravene its Organizatonal Documents or any Applicable Laws in any material respects; (ii) contravene or result in any breach or consttute any default under any material Governmental Judgment; (iii) contravene or result in any breach or consttute any default under, or result in or require the creaton of any Lien upon any of its material Propertes under any material agreement or instrument to which it is a party or by which it or any of its Propertes may be bound, except for any Permited Liens; or (iv) require the consent or approval of any Person other than the Required Approvals and any other consents or approvals that have been obtained and are in full force and efect; and</w:t>
      </w:r>
    </w:p>
    <w:p>
      <w:pPr>
        <w:spacing w:after="0" w:line="162" w:lineRule="exact"/>
        <w:rPr>
          <w:rFonts w:ascii="Calibri" w:cs="Calibri" w:eastAsia="Calibri" w:hAnsi="Calibri"/>
          <w:sz w:val="20"/>
          <w:szCs w:val="20"/>
          <w:color w:val="auto"/>
        </w:rPr>
      </w:pPr>
    </w:p>
    <w:p>
      <w:pPr>
        <w:jc w:val="both"/>
        <w:ind w:firstLine="1952"/>
        <w:spacing w:after="0" w:line="202" w:lineRule="auto"/>
        <w:tabs>
          <w:tab w:leader="none" w:pos="2584" w:val="left"/>
        </w:tabs>
        <w:numPr>
          <w:ilvl w:val="0"/>
          <w:numId w:val="861"/>
        </w:numPr>
        <w:rPr>
          <w:rFonts w:ascii="Calibri" w:cs="Calibri" w:eastAsia="Calibri" w:hAnsi="Calibri"/>
          <w:sz w:val="20"/>
          <w:szCs w:val="20"/>
          <w:color w:val="auto"/>
        </w:rPr>
      </w:pPr>
      <w:r>
        <w:rPr>
          <w:rFonts w:ascii="Calibri" w:cs="Calibri" w:eastAsia="Calibri" w:hAnsi="Calibri"/>
          <w:sz w:val="20"/>
          <w:szCs w:val="20"/>
          <w:color w:val="auto"/>
        </w:rPr>
        <w:t>all representatons and warrantes of the Recipient provided in Artcle 6 (</w:t>
      </w:r>
      <w:r>
        <w:rPr>
          <w:rFonts w:ascii="Calibri" w:cs="Calibri" w:eastAsia="Calibri" w:hAnsi="Calibri"/>
          <w:sz w:val="20"/>
          <w:szCs w:val="20"/>
          <w:i w:val="1"/>
          <w:iCs w:val="1"/>
          <w:color w:val="auto"/>
        </w:rPr>
        <w:t>Representatons and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Warrantes</w:t>
      </w:r>
      <w:r>
        <w:rPr>
          <w:rFonts w:ascii="Calibri" w:cs="Calibri" w:eastAsia="Calibri" w:hAnsi="Calibri"/>
          <w:sz w:val="20"/>
          <w:szCs w:val="20"/>
          <w:color w:val="auto"/>
        </w:rPr>
        <w:t>) of the Agreement are true and correct in all material respects (except to the extent any such representaton and warranty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itself is qualifed by “materiality,” “Material Adverse Efect” or a similar qualifer, in which case it shall be true and correct in all respects) as of the date the representaton and warranty is made (or deemed made), except to the extent such representaton or warranty is made only as of a specifc date or tme (in which event such representaton or warranty shall be true and correct as of such date or tme).</w:t>
      </w:r>
    </w:p>
    <w:p>
      <w:pPr>
        <w:spacing w:after="0" w:line="151" w:lineRule="exact"/>
        <w:rPr>
          <w:sz w:val="20"/>
          <w:szCs w:val="20"/>
          <w:color w:val="auto"/>
        </w:rPr>
      </w:pPr>
    </w:p>
    <w:p>
      <w:pPr>
        <w:ind w:left="4980"/>
        <w:spacing w:after="0"/>
        <w:rPr>
          <w:sz w:val="20"/>
          <w:szCs w:val="20"/>
          <w:color w:val="auto"/>
        </w:rPr>
      </w:pPr>
      <w:r>
        <w:rPr>
          <w:rFonts w:ascii="Calibri" w:cs="Calibri" w:eastAsia="Calibri" w:hAnsi="Calibri"/>
          <w:sz w:val="20"/>
          <w:szCs w:val="20"/>
          <w:b w:val="1"/>
          <w:bCs w:val="1"/>
          <w:color w:val="auto"/>
        </w:rPr>
        <w:t>Artcle 5</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MISCELLANEOUS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5.1.</w:t>
      </w:r>
      <w:r>
        <w:rPr>
          <w:sz w:val="20"/>
          <w:szCs w:val="20"/>
          <w:color w:val="auto"/>
        </w:rPr>
        <w:tab/>
      </w:r>
      <w:r>
        <w:rPr>
          <w:rFonts w:ascii="Calibri" w:cs="Calibri" w:eastAsia="Calibri" w:hAnsi="Calibri"/>
          <w:sz w:val="20"/>
          <w:szCs w:val="20"/>
          <w:b w:val="1"/>
          <w:bCs w:val="1"/>
          <w:color w:val="auto"/>
        </w:rPr>
        <w:t>Entre Agreement.</w:t>
      </w:r>
    </w:p>
    <w:p>
      <w:pPr>
        <w:spacing w:after="0" w:line="198"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This Amendment, including any agreement, document, or instrument atached to this Amendment or referred to herein, integrates all the terms and conditons mentoned herein or incidental to this Amendment and supersedes all prior drafs, discussions, term sheets, commitments, negotatons, agreements, and understandings, oral or writen, of the Partes in respect to the subject mater of this Amendment.</w:t>
      </w:r>
    </w:p>
    <w:p>
      <w:pPr>
        <w:spacing w:after="0" w:line="172" w:lineRule="exact"/>
        <w:rPr>
          <w:sz w:val="20"/>
          <w:szCs w:val="20"/>
          <w:color w:val="auto"/>
        </w:rPr>
      </w:pPr>
    </w:p>
    <w:p>
      <w:pPr>
        <w:jc w:val="both"/>
        <w:ind w:firstLine="648"/>
        <w:spacing w:after="0" w:line="208" w:lineRule="auto"/>
        <w:rPr>
          <w:sz w:val="20"/>
          <w:szCs w:val="20"/>
          <w:color w:val="auto"/>
        </w:rPr>
      </w:pPr>
      <w:r>
        <w:rPr>
          <w:rFonts w:ascii="Calibri" w:cs="Calibri" w:eastAsia="Calibri" w:hAnsi="Calibri"/>
          <w:sz w:val="20"/>
          <w:szCs w:val="20"/>
          <w:color w:val="auto"/>
        </w:rPr>
        <w:t xml:space="preserve">Secton 5.2. </w:t>
      </w:r>
      <w:r>
        <w:rPr>
          <w:rFonts w:ascii="Calibri" w:cs="Calibri" w:eastAsia="Calibri" w:hAnsi="Calibri"/>
          <w:sz w:val="20"/>
          <w:szCs w:val="20"/>
          <w:b w:val="1"/>
          <w:bCs w:val="1"/>
          <w:color w:val="auto"/>
        </w:rPr>
        <w:t>Incorporated Provisions</w:t>
      </w:r>
      <w:r>
        <w:rPr>
          <w:rFonts w:ascii="Calibri" w:cs="Calibri" w:eastAsia="Calibri" w:hAnsi="Calibri"/>
          <w:sz w:val="20"/>
          <w:szCs w:val="20"/>
          <w:color w:val="auto"/>
        </w:rPr>
        <w:t>. The provisions set forth in Sectons 10.5 (</w:t>
      </w:r>
      <w:r>
        <w:rPr>
          <w:rFonts w:ascii="Calibri" w:cs="Calibri" w:eastAsia="Calibri" w:hAnsi="Calibri"/>
          <w:sz w:val="20"/>
          <w:szCs w:val="20"/>
          <w:i w:val="1"/>
          <w:iCs w:val="1"/>
          <w:color w:val="auto"/>
        </w:rPr>
        <w:t>Waiver and Amendment</w:t>
      </w:r>
      <w:r>
        <w:rPr>
          <w:rFonts w:ascii="Calibri" w:cs="Calibri" w:eastAsia="Calibri" w:hAnsi="Calibri"/>
          <w:sz w:val="20"/>
          <w:szCs w:val="20"/>
          <w:color w:val="auto"/>
        </w:rPr>
        <w:t>), 10.7 (</w:t>
      </w:r>
      <w:r>
        <w:rPr>
          <w:rFonts w:ascii="Calibri" w:cs="Calibri" w:eastAsia="Calibri" w:hAnsi="Calibri"/>
          <w:sz w:val="20"/>
          <w:szCs w:val="20"/>
          <w:i w:val="1"/>
          <w:iCs w:val="1"/>
          <w:color w:val="auto"/>
        </w:rPr>
        <w:t>Governing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Law</w:t>
      </w:r>
      <w:r>
        <w:rPr>
          <w:rFonts w:ascii="Calibri" w:cs="Calibri" w:eastAsia="Calibri" w:hAnsi="Calibri"/>
          <w:sz w:val="20"/>
          <w:szCs w:val="20"/>
          <w:color w:val="auto"/>
        </w:rPr>
        <w:t>), 10.8 (</w:t>
      </w:r>
      <w:r>
        <w:rPr>
          <w:rFonts w:ascii="Calibri" w:cs="Calibri" w:eastAsia="Calibri" w:hAnsi="Calibri"/>
          <w:sz w:val="20"/>
          <w:szCs w:val="20"/>
          <w:i w:val="1"/>
          <w:iCs w:val="1"/>
          <w:color w:val="auto"/>
        </w:rPr>
        <w:t>Severability</w:t>
      </w:r>
      <w:r>
        <w:rPr>
          <w:rFonts w:ascii="Calibri" w:cs="Calibri" w:eastAsia="Calibri" w:hAnsi="Calibri"/>
          <w:sz w:val="20"/>
          <w:szCs w:val="20"/>
          <w:color w:val="auto"/>
        </w:rPr>
        <w:t>), 10.10 (</w:t>
      </w:r>
      <w:r>
        <w:rPr>
          <w:rFonts w:ascii="Calibri" w:cs="Calibri" w:eastAsia="Calibri" w:hAnsi="Calibri"/>
          <w:sz w:val="20"/>
          <w:szCs w:val="20"/>
          <w:i w:val="1"/>
          <w:iCs w:val="1"/>
          <w:color w:val="auto"/>
        </w:rPr>
        <w:t>Waiver of Jury Trial</w:t>
      </w:r>
      <w:r>
        <w:rPr>
          <w:rFonts w:ascii="Calibri" w:cs="Calibri" w:eastAsia="Calibri" w:hAnsi="Calibri"/>
          <w:sz w:val="20"/>
          <w:szCs w:val="20"/>
          <w:color w:val="auto"/>
        </w:rPr>
        <w:t>), 10.11 (</w:t>
      </w:r>
      <w:r>
        <w:rPr>
          <w:rFonts w:ascii="Calibri" w:cs="Calibri" w:eastAsia="Calibri" w:hAnsi="Calibri"/>
          <w:sz w:val="20"/>
          <w:szCs w:val="20"/>
          <w:i w:val="1"/>
          <w:iCs w:val="1"/>
          <w:color w:val="auto"/>
        </w:rPr>
        <w:t>Consent to Jurisdicton</w:t>
      </w:r>
      <w:r>
        <w:rPr>
          <w:rFonts w:ascii="Calibri" w:cs="Calibri" w:eastAsia="Calibri" w:hAnsi="Calibri"/>
          <w:sz w:val="20"/>
          <w:szCs w:val="20"/>
          <w:color w:val="auto"/>
        </w:rPr>
        <w:t>), 10.13 (</w:t>
      </w:r>
      <w:r>
        <w:rPr>
          <w:rFonts w:ascii="Calibri" w:cs="Calibri" w:eastAsia="Calibri" w:hAnsi="Calibri"/>
          <w:sz w:val="20"/>
          <w:szCs w:val="20"/>
          <w:i w:val="1"/>
          <w:iCs w:val="1"/>
          <w:color w:val="auto"/>
        </w:rPr>
        <w:t>Successors and Assigns</w:t>
      </w:r>
      <w:r>
        <w:rPr>
          <w:rFonts w:ascii="Calibri" w:cs="Calibri" w:eastAsia="Calibri" w:hAnsi="Calibri"/>
          <w:sz w:val="20"/>
          <w:szCs w:val="20"/>
          <w:color w:val="auto"/>
        </w:rPr>
        <w:t>) and 10.18</w:t>
      </w:r>
    </w:p>
    <w:p>
      <w:pPr>
        <w:jc w:val="both"/>
        <w:spacing w:after="0" w:line="19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Counterparts; Electronic Signatures</w:t>
      </w:r>
      <w:r>
        <w:rPr>
          <w:rFonts w:ascii="Calibri" w:cs="Calibri" w:eastAsia="Calibri" w:hAnsi="Calibri"/>
          <w:sz w:val="20"/>
          <w:szCs w:val="20"/>
          <w:color w:val="auto"/>
        </w:rPr>
        <w:t xml:space="preserve">) of the Agreement are hereby incorporated by reference into this Amendment, </w:t>
      </w:r>
      <w:r>
        <w:rPr>
          <w:rFonts w:ascii="Calibri" w:cs="Calibri" w:eastAsia="Calibri" w:hAnsi="Calibri"/>
          <w:sz w:val="20"/>
          <w:szCs w:val="20"/>
          <w:i w:val="1"/>
          <w:iCs w:val="1"/>
          <w:color w:val="auto"/>
        </w:rPr>
        <w:t>mutats mutandis</w:t>
      </w:r>
      <w:r>
        <w:rPr>
          <w:rFonts w:ascii="Calibri" w:cs="Calibri" w:eastAsia="Calibri" w:hAnsi="Calibri"/>
          <w:sz w:val="20"/>
          <w:szCs w:val="20"/>
          <w:color w:val="auto"/>
        </w:rPr>
        <w:t>, as if set out in full herein.</w:t>
      </w:r>
    </w:p>
    <w:p>
      <w:pPr>
        <w:spacing w:after="0" w:line="148" w:lineRule="exact"/>
        <w:rPr>
          <w:sz w:val="20"/>
          <w:szCs w:val="20"/>
          <w:color w:val="auto"/>
        </w:rPr>
      </w:pPr>
    </w:p>
    <w:p>
      <w:pPr>
        <w:ind w:left="660"/>
        <w:spacing w:after="0"/>
        <w:tabs>
          <w:tab w:leader="none" w:pos="1940" w:val="left"/>
        </w:tabs>
        <w:rPr>
          <w:sz w:val="20"/>
          <w:szCs w:val="20"/>
          <w:color w:val="auto"/>
        </w:rPr>
      </w:pPr>
      <w:r>
        <w:rPr>
          <w:rFonts w:ascii="Calibri" w:cs="Calibri" w:eastAsia="Calibri" w:hAnsi="Calibri"/>
          <w:sz w:val="20"/>
          <w:szCs w:val="20"/>
          <w:color w:val="auto"/>
        </w:rPr>
        <w:t>Secton 5.3.</w:t>
      </w:r>
      <w:r>
        <w:rPr>
          <w:sz w:val="20"/>
          <w:szCs w:val="20"/>
          <w:color w:val="auto"/>
        </w:rPr>
        <w:tab/>
      </w:r>
      <w:r>
        <w:rPr>
          <w:rFonts w:ascii="Calibri" w:cs="Calibri" w:eastAsia="Calibri" w:hAnsi="Calibri"/>
          <w:sz w:val="20"/>
          <w:szCs w:val="20"/>
          <w:b w:val="1"/>
          <w:bCs w:val="1"/>
          <w:color w:val="auto"/>
        </w:rPr>
        <w:t>Reference to and Efect on the Agreement</w:t>
      </w:r>
    </w:p>
    <w:p>
      <w:pPr>
        <w:spacing w:after="0" w:line="147" w:lineRule="exact"/>
        <w:rPr>
          <w:sz w:val="20"/>
          <w:szCs w:val="20"/>
          <w:color w:val="auto"/>
        </w:rPr>
      </w:pPr>
    </w:p>
    <w:p>
      <w:pPr>
        <w:ind w:left="1300"/>
        <w:spacing w:after="0"/>
        <w:tabs>
          <w:tab w:leader="none" w:pos="1940" w:val="left"/>
        </w:tabs>
        <w:rPr>
          <w:sz w:val="20"/>
          <w:szCs w:val="20"/>
          <w:color w:val="auto"/>
        </w:rPr>
      </w:pPr>
      <w:r>
        <w:rPr>
          <w:rFonts w:ascii="Calibri" w:cs="Calibri" w:eastAsia="Calibri" w:hAnsi="Calibri"/>
          <w:sz w:val="20"/>
          <w:szCs w:val="20"/>
          <w:color w:val="auto"/>
        </w:rPr>
        <w:t>5.3.1</w:t>
        <w:tab/>
        <w:t>This Amendment is hereby designated an Award Document for all purposes of the Agreement.</w:t>
      </w:r>
    </w:p>
    <w:p>
      <w:pPr>
        <w:spacing w:after="0" w:line="171" w:lineRule="exact"/>
        <w:rPr>
          <w:sz w:val="20"/>
          <w:szCs w:val="20"/>
          <w:color w:val="auto"/>
        </w:rPr>
      </w:pPr>
    </w:p>
    <w:p>
      <w:pPr>
        <w:jc w:val="both"/>
        <w:ind w:firstLine="1296"/>
        <w:spacing w:after="0" w:line="203" w:lineRule="auto"/>
        <w:rPr>
          <w:sz w:val="20"/>
          <w:szCs w:val="20"/>
          <w:color w:val="auto"/>
        </w:rPr>
      </w:pPr>
      <w:r>
        <w:rPr>
          <w:rFonts w:ascii="Calibri" w:cs="Calibri" w:eastAsia="Calibri" w:hAnsi="Calibri"/>
          <w:sz w:val="20"/>
          <w:szCs w:val="20"/>
          <w:color w:val="auto"/>
        </w:rPr>
        <w:t>5.3.2 On and afer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160" w:lineRule="exact"/>
        <w:rPr>
          <w:sz w:val="20"/>
          <w:szCs w:val="20"/>
          <w:color w:val="auto"/>
        </w:rPr>
      </w:pPr>
    </w:p>
    <w:p>
      <w:pPr>
        <w:jc w:val="both"/>
        <w:ind w:right="20" w:firstLine="1296"/>
        <w:spacing w:after="0"/>
        <w:rPr>
          <w:sz w:val="20"/>
          <w:szCs w:val="20"/>
          <w:color w:val="auto"/>
        </w:rPr>
      </w:pPr>
      <w:r>
        <w:rPr>
          <w:rFonts w:ascii="Calibri" w:cs="Calibri" w:eastAsia="Calibri" w:hAnsi="Calibri"/>
          <w:sz w:val="20"/>
          <w:szCs w:val="20"/>
          <w:color w:val="auto"/>
        </w:rPr>
        <w:t>5.3.3 Except as specifcally amended above, each of the Agreement and the other Financing Documents is and shall remain unchanged and in full force and efect and is hereby ratfed and confrmed. Nothing contained in this Amendment shall abrogate, prejudice, diminish or otherwise afect any powers, right, remedies or obligatons of any Person arising before the date of this Amendment.</w:t>
      </w:r>
    </w:p>
    <w:p>
      <w:pPr>
        <w:spacing w:after="0" w:line="253" w:lineRule="exact"/>
        <w:rPr>
          <w:sz w:val="20"/>
          <w:szCs w:val="20"/>
          <w:color w:val="auto"/>
        </w:rPr>
      </w:pPr>
    </w:p>
    <w:p>
      <w:pPr>
        <w:jc w:val="both"/>
        <w:ind w:right="20" w:firstLine="1296"/>
        <w:spacing w:after="0" w:line="209" w:lineRule="auto"/>
        <w:rPr>
          <w:sz w:val="20"/>
          <w:szCs w:val="20"/>
          <w:color w:val="auto"/>
        </w:rPr>
      </w:pPr>
      <w:r>
        <w:rPr>
          <w:rFonts w:ascii="Calibri" w:cs="Calibri" w:eastAsia="Calibri" w:hAnsi="Calibri"/>
          <w:sz w:val="20"/>
          <w:szCs w:val="20"/>
          <w:color w:val="auto"/>
        </w:rPr>
        <w:t>5.3.4 The executon, delivery and efectveness of this Amendment shall not, except as expressly provided herein, consttute an amendment of any acton or transacton, operate as a waiver or modifcaton of any right, power or remedy of any party to the Agreement or any other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385" w:right="339" w:bottom="1440" w:gutter="0" w:footer="0" w:header="0"/>
        </w:sectPr>
      </w:pPr>
    </w:p>
    <w:bookmarkStart w:id="681" w:name="page682"/>
    <w:bookmarkEnd w:id="681"/>
    <w:p>
      <w:pPr>
        <w:jc w:val="both"/>
        <w:spacing w:after="0" w:line="203" w:lineRule="auto"/>
        <w:rPr>
          <w:sz w:val="20"/>
          <w:szCs w:val="20"/>
          <w:color w:val="auto"/>
        </w:rPr>
      </w:pPr>
      <w:r>
        <w:rPr>
          <w:rFonts w:ascii="Calibri" w:cs="Calibri" w:eastAsia="Calibri" w:hAnsi="Calibri"/>
          <w:sz w:val="20"/>
          <w:szCs w:val="20"/>
          <w:color w:val="auto"/>
        </w:rPr>
        <w:t>Document, or consttute a waiver or modifcaton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diferent provisions under the Agreement or any other Financing Document, as the case may be, in the future.</w:t>
      </w:r>
    </w:p>
    <w:p>
      <w:pPr>
        <w:spacing w:after="0" w:line="17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1385" w:right="359" w:bottom="1440" w:gutter="0" w:footer="0" w:header="0"/>
        </w:sectPr>
      </w:pPr>
    </w:p>
    <w:bookmarkStart w:id="682" w:name="page683"/>
    <w:bookmarkEnd w:id="682"/>
    <w:p>
      <w:pPr>
        <w:ind w:firstLine="648"/>
        <w:spacing w:after="0" w:line="234" w:lineRule="auto"/>
        <w:rPr>
          <w:sz w:val="20"/>
          <w:szCs w:val="20"/>
          <w:color w:val="auto"/>
        </w:rPr>
      </w:pPr>
      <w:r>
        <w:rPr>
          <w:rFonts w:ascii="Calibri" w:cs="Calibri" w:eastAsia="Calibri" w:hAnsi="Calibri"/>
          <w:sz w:val="20"/>
          <w:szCs w:val="20"/>
          <w:color w:val="auto"/>
        </w:rPr>
        <w:t>IN WITNESS WHEREOF, the Partes have caused this Amendment to be executed and delivered by their respectve ofcers or representatves hereunto duly authorized as of the date frst writen above.</w:t>
      </w:r>
    </w:p>
    <w:p>
      <w:pPr>
        <w:spacing w:after="0" w:line="203" w:lineRule="exact"/>
        <w:rPr>
          <w:sz w:val="20"/>
          <w:szCs w:val="20"/>
          <w:color w:val="auto"/>
        </w:rPr>
      </w:pPr>
    </w:p>
    <w:p>
      <w:pPr>
        <w:ind w:left="3900"/>
        <w:spacing w:after="0"/>
        <w:rPr>
          <w:sz w:val="20"/>
          <w:szCs w:val="20"/>
          <w:color w:val="auto"/>
        </w:rPr>
      </w:pPr>
      <w:r>
        <w:rPr>
          <w:rFonts w:ascii="Calibri" w:cs="Calibri" w:eastAsia="Calibri" w:hAnsi="Calibri"/>
          <w:sz w:val="20"/>
          <w:szCs w:val="20"/>
          <w:b w:val="1"/>
          <w:bCs w:val="1"/>
          <w:color w:val="auto"/>
        </w:rPr>
        <w:t>MICRON NEW YORK SEMICONDUCTOR MANFUACTURING LLC</w:t>
      </w:r>
      <w:r>
        <w:rPr>
          <w:rFonts w:ascii="Calibri" w:cs="Calibri" w:eastAsia="Calibri" w:hAnsi="Calibri"/>
          <w:sz w:val="20"/>
          <w:szCs w:val="20"/>
          <w:color w:val="auto"/>
        </w:rPr>
        <w:t>,</w:t>
      </w:r>
    </w:p>
    <w:p>
      <w:pPr>
        <w:ind w:left="3900"/>
        <w:spacing w:after="0" w:line="238" w:lineRule="auto"/>
        <w:rPr>
          <w:sz w:val="20"/>
          <w:szCs w:val="20"/>
          <w:color w:val="auto"/>
        </w:rPr>
      </w:pPr>
      <w:r>
        <w:rPr>
          <w:rFonts w:ascii="Calibri" w:cs="Calibri" w:eastAsia="Calibri" w:hAnsi="Calibri"/>
          <w:sz w:val="20"/>
          <w:szCs w:val="20"/>
          <w:color w:val="auto"/>
        </w:rPr>
        <w:t>as Recipient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/s/ Scot Gatzemeier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-21590</wp:posOffset>
            </wp:positionV>
            <wp:extent cx="11849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ind w:left="3900"/>
        <w:spacing w:after="0" w:line="225" w:lineRule="auto"/>
        <w:rPr>
          <w:sz w:val="20"/>
          <w:szCs w:val="20"/>
          <w:color w:val="auto"/>
        </w:rPr>
      </w:pPr>
      <w:r>
        <w:rPr>
          <w:rFonts w:ascii="Calibri" w:cs="Calibri" w:eastAsia="Calibri" w:hAnsi="Calibri"/>
          <w:sz w:val="20"/>
          <w:szCs w:val="20"/>
          <w:color w:val="auto"/>
        </w:rPr>
        <w:t>Name: Scot Gatzemeier</w:t>
      </w:r>
    </w:p>
    <w:p>
      <w:pPr>
        <w:ind w:left="3900"/>
        <w:spacing w:after="0"/>
        <w:rPr>
          <w:sz w:val="20"/>
          <w:szCs w:val="20"/>
          <w:color w:val="auto"/>
        </w:rPr>
      </w:pPr>
      <w:r>
        <w:rPr>
          <w:rFonts w:ascii="Calibri" w:cs="Calibri" w:eastAsia="Calibri" w:hAnsi="Calibri"/>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NY Project - Signature Page to Amendment to Direct Funding Agreement</w:t>
      </w:r>
    </w:p>
    <w:p>
      <w:pPr>
        <w:sectPr>
          <w:pgSz w:w="11900" w:h="16838" w:orient="portrait"/>
          <w:cols w:equalWidth="0" w:num="1">
            <w:col w:w="11240"/>
          </w:cols>
          <w:pgMar w:left="320" w:top="1412" w:right="339" w:bottom="1440" w:gutter="0" w:footer="0" w:header="0"/>
        </w:sectPr>
      </w:pPr>
    </w:p>
    <w:bookmarkStart w:id="683" w:name="page684"/>
    <w:bookmarkEnd w:id="683"/>
    <w:p>
      <w:pPr>
        <w:spacing w:after="0" w:line="107" w:lineRule="exact"/>
        <w:rPr>
          <w:sz w:val="20"/>
          <w:szCs w:val="20"/>
          <w:color w:val="auto"/>
        </w:rPr>
      </w:pPr>
    </w:p>
    <w:p>
      <w:pPr>
        <w:ind w:left="2780"/>
        <w:spacing w:after="0" w:line="228" w:lineRule="auto"/>
        <w:rPr>
          <w:sz w:val="20"/>
          <w:szCs w:val="20"/>
          <w:color w:val="auto"/>
        </w:rPr>
      </w:pPr>
      <w:r>
        <w:rPr>
          <w:rFonts w:ascii="Calibri" w:cs="Calibri" w:eastAsia="Calibri" w:hAnsi="Calibri"/>
          <w:sz w:val="20"/>
          <w:szCs w:val="20"/>
          <w:b w:val="1"/>
          <w:bCs w:val="1"/>
          <w:color w:val="auto"/>
        </w:rPr>
        <w:t>UNITED STATES DEPARTMENT OF COMMERCE</w:t>
      </w:r>
      <w:r>
        <w:rPr>
          <w:rFonts w:ascii="Calibri" w:cs="Calibri" w:eastAsia="Calibri" w:hAnsi="Calibri"/>
          <w:sz w:val="20"/>
          <w:szCs w:val="20"/>
          <w:color w:val="auto"/>
        </w:rPr>
        <w:t>, an agency of the Federal Government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Calibri" w:cs="Calibri" w:eastAsia="Calibri" w:hAnsi="Calibri"/>
          <w:sz w:val="20"/>
          <w:szCs w:val="20"/>
          <w:color w:val="auto"/>
        </w:rPr>
        <w:t>/s/ Lynelle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-20955</wp:posOffset>
            </wp:positionV>
            <wp:extent cx="10299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2780"/>
        <w:spacing w:after="0" w:line="238" w:lineRule="auto"/>
        <w:rPr>
          <w:sz w:val="20"/>
          <w:szCs w:val="20"/>
          <w:color w:val="auto"/>
        </w:rPr>
      </w:pPr>
      <w:r>
        <w:rPr>
          <w:rFonts w:ascii="Calibri" w:cs="Calibri" w:eastAsia="Calibri" w:hAnsi="Calibri"/>
          <w:sz w:val="20"/>
          <w:szCs w:val="20"/>
          <w:color w:val="auto"/>
        </w:rPr>
        <w:t>Name: Lynelle McKay</w:t>
      </w:r>
    </w:p>
    <w:p>
      <w:pPr>
        <w:ind w:left="3700"/>
        <w:spacing w:after="0" w:line="223" w:lineRule="auto"/>
        <w:rPr>
          <w:sz w:val="20"/>
          <w:szCs w:val="20"/>
          <w:color w:val="auto"/>
        </w:rPr>
      </w:pPr>
      <w:r>
        <w:rPr>
          <w:rFonts w:ascii="Calibri" w:cs="Calibri" w:eastAsia="Calibri" w:hAnsi="Calibri"/>
          <w:sz w:val="22"/>
          <w:szCs w:val="22"/>
          <w:color w:val="auto"/>
        </w:rPr>
        <w:t>Title: CPO Director</w:t>
      </w:r>
    </w:p>
    <w:p>
      <w:pPr>
        <w:sectPr>
          <w:pgSz w:w="11900" w:h="16838" w:orient="portrait"/>
          <w:cols w:equalWidth="0" w:num="1">
            <w:col w:w="10100"/>
          </w:cols>
          <w:pgMar w:left="1440" w:top="1440" w:right="359" w:bottom="1440" w:gutter="0" w:footer="0" w:header="0"/>
        </w:sectPr>
      </w:pPr>
    </w:p>
    <w:bookmarkStart w:id="684" w:name="page685"/>
    <w:bookmarkEnd w:id="684"/>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8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8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8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8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8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8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8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20, 2025</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989" w:right="339" w:bottom="1440" w:gutter="0" w:footer="0" w:header="0"/>
        </w:sectPr>
      </w:pPr>
    </w:p>
    <w:bookmarkStart w:id="685" w:name="page686"/>
    <w:bookmarkEnd w:id="685"/>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8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8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8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8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8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8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8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March 20, 2025</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686" w:name="page687"/>
    <w:bookmarkEnd w:id="686"/>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February 27,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March 20, 2025</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989" w:right="339" w:bottom="1440" w:gutter="0" w:footer="0" w:header="0"/>
        </w:sectPr>
      </w:pPr>
    </w:p>
    <w:bookmarkStart w:id="687" w:name="page688"/>
    <w:bookmarkEnd w:id="687"/>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February 27, 2025,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March 20, 2025</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C4FFF5B"/>
    <w:multiLevelType w:val="hybridMultilevel"/>
    <w:lvl w:ilvl="0">
      <w:lvlJc w:val="left"/>
      <w:lvlText w:val="☒"/>
      <w:numFmt w:val="bullet"/>
      <w:start w:val="1"/>
    </w:lvl>
  </w:abstractNum>
  <w:abstractNum w:abstractNumId="1">
    <w:nsid w:val="51B76675"/>
    <w:multiLevelType w:val="hybridMultilevel"/>
    <w:lvl w:ilvl="0">
      <w:lvlJc w:val="left"/>
      <w:lvlText w:val="☐"/>
      <w:numFmt w:val="bullet"/>
      <w:start w:val="1"/>
    </w:lvl>
  </w:abstractNum>
  <w:abstractNum w:abstractNumId="2">
    <w:nsid w:val="59A4BA71"/>
    <w:multiLevelType w:val="hybridMultilevel"/>
    <w:lvl w:ilvl="0">
      <w:lvlJc w:val="left"/>
      <w:lvlText w:val="(%1)"/>
      <w:numFmt w:val="decimal"/>
      <w:start w:val="1"/>
    </w:lvl>
  </w:abstractNum>
  <w:abstractNum w:abstractNumId="3">
    <w:nsid w:val="450B7FB6"/>
    <w:multiLevelType w:val="hybridMultilevel"/>
    <w:lvl w:ilvl="0">
      <w:lvlJc w:val="left"/>
      <w:lvlText w:val="(%1)"/>
      <w:numFmt w:val="decimal"/>
      <w:start w:val="1"/>
    </w:lvl>
  </w:abstractNum>
  <w:abstractNum w:abstractNumId="4">
    <w:nsid w:val="340BF64D"/>
    <w:multiLevelType w:val="hybridMultilevel"/>
    <w:lvl w:ilvl="0">
      <w:lvlJc w:val="left"/>
      <w:lvlText w:val="(%1)"/>
      <w:numFmt w:val="decimal"/>
      <w:start w:val="1"/>
    </w:lvl>
  </w:abstractNum>
  <w:abstractNum w:abstractNumId="5">
    <w:nsid w:val="69454021"/>
    <w:multiLevelType w:val="hybridMultilevel"/>
    <w:lvl w:ilvl="0">
      <w:lvlJc w:val="left"/>
      <w:lvlText w:val="(%1)"/>
      <w:numFmt w:val="decimal"/>
      <w:start w:val="1"/>
    </w:lvl>
  </w:abstractNum>
  <w:abstractNum w:abstractNumId="6">
    <w:nsid w:val="49F15C6B"/>
    <w:multiLevelType w:val="hybridMultilevel"/>
    <w:lvl w:ilvl="0">
      <w:lvlJc w:val="left"/>
      <w:lvlText w:val="(%1)"/>
      <w:numFmt w:val="decimal"/>
      <w:start w:val="1"/>
    </w:lvl>
  </w:abstractNum>
  <w:abstractNum w:abstractNumId="7">
    <w:nsid w:val="75F56228"/>
    <w:multiLevelType w:val="hybridMultilevel"/>
    <w:lvl w:ilvl="0">
      <w:lvlJc w:val="left"/>
      <w:lvlText w:val="•"/>
      <w:numFmt w:val="bullet"/>
      <w:start w:val="1"/>
    </w:lvl>
  </w:abstractNum>
  <w:abstractNum w:abstractNumId="8">
    <w:nsid w:val="1C618271"/>
    <w:multiLevelType w:val="hybridMultilevel"/>
    <w:lvl w:ilvl="0">
      <w:lvlJc w:val="left"/>
      <w:lvlText w:val="•"/>
      <w:numFmt w:val="bullet"/>
      <w:start w:val="1"/>
    </w:lvl>
  </w:abstractNum>
  <w:abstractNum w:abstractNumId="9">
    <w:nsid w:val="6505F02E"/>
    <w:multiLevelType w:val="hybridMultilevel"/>
    <w:lvl w:ilvl="0">
      <w:lvlJc w:val="left"/>
      <w:lvlText w:val="•"/>
      <w:numFmt w:val="bullet"/>
      <w:start w:val="1"/>
    </w:lvl>
  </w:abstractNum>
  <w:abstractNum w:abstractNumId="10">
    <w:nsid w:val="2FE5D025"/>
    <w:multiLevelType w:val="hybridMultilevel"/>
    <w:lvl w:ilvl="0">
      <w:lvlJc w:val="left"/>
      <w:lvlText w:val="•"/>
      <w:numFmt w:val="bullet"/>
      <w:start w:val="1"/>
    </w:lvl>
  </w:abstractNum>
  <w:abstractNum w:abstractNumId="11">
    <w:nsid w:val="30E1B1CF"/>
    <w:multiLevelType w:val="hybridMultilevel"/>
    <w:lvl w:ilvl="0">
      <w:lvlJc w:val="left"/>
      <w:lvlText w:val="•"/>
      <w:numFmt w:val="bullet"/>
      <w:start w:val="1"/>
    </w:lvl>
  </w:abstractNum>
  <w:abstractNum w:abstractNumId="12">
    <w:nsid w:val="C7A9237"/>
    <w:multiLevelType w:val="hybridMultilevel"/>
    <w:lvl w:ilvl="0">
      <w:lvlJc w:val="left"/>
      <w:lvlText w:val="•"/>
      <w:numFmt w:val="bullet"/>
      <w:start w:val="1"/>
    </w:lvl>
  </w:abstractNum>
  <w:abstractNum w:abstractNumId="13">
    <w:nsid w:val="676B3580"/>
    <w:multiLevelType w:val="hybridMultilevel"/>
    <w:lvl w:ilvl="0">
      <w:lvlJc w:val="left"/>
      <w:lvlText w:val="•"/>
      <w:numFmt w:val="bullet"/>
      <w:start w:val="1"/>
    </w:lvl>
  </w:abstractNum>
  <w:abstractNum w:abstractNumId="14">
    <w:nsid w:val="3193C8F9"/>
    <w:multiLevelType w:val="hybridMultilevel"/>
    <w:lvl w:ilvl="0">
      <w:lvlJc w:val="left"/>
      <w:lvlText w:val="\endash "/>
      <w:numFmt w:val="bullet"/>
      <w:start w:val="1"/>
    </w:lvl>
  </w:abstractNum>
  <w:abstractNum w:abstractNumId="15">
    <w:nsid w:val="5FA6C6DC"/>
    <w:multiLevelType w:val="hybridMultilevel"/>
    <w:lvl w:ilvl="0">
      <w:lvlJc w:val="left"/>
      <w:lvlText w:val="•"/>
      <w:numFmt w:val="bullet"/>
      <w:start w:val="1"/>
    </w:lvl>
  </w:abstractNum>
  <w:abstractNum w:abstractNumId="16">
    <w:nsid w:val="77933F62"/>
    <w:multiLevelType w:val="hybridMultilevel"/>
    <w:lvl w:ilvl="0">
      <w:lvlJc w:val="left"/>
      <w:lvlText w:val="•"/>
      <w:numFmt w:val="bullet"/>
      <w:start w:val="1"/>
    </w:lvl>
  </w:abstractNum>
  <w:abstractNum w:abstractNumId="17">
    <w:nsid w:val="6CB4EE9C"/>
    <w:multiLevelType w:val="hybridMultilevel"/>
    <w:lvl w:ilvl="0">
      <w:lvlJc w:val="left"/>
      <w:lvlText w:val="•"/>
      <w:numFmt w:val="bullet"/>
      <w:start w:val="1"/>
    </w:lvl>
  </w:abstractNum>
  <w:abstractNum w:abstractNumId="18">
    <w:nsid w:val="6A6D56D7"/>
    <w:multiLevelType w:val="hybridMultilevel"/>
    <w:lvl w:ilvl="0">
      <w:lvlJc w:val="left"/>
      <w:lvlText w:val="•"/>
      <w:numFmt w:val="bullet"/>
      <w:start w:val="1"/>
    </w:lvl>
  </w:abstractNum>
  <w:abstractNum w:abstractNumId="19">
    <w:nsid w:val="5B727F19"/>
    <w:multiLevelType w:val="hybridMultilevel"/>
    <w:lvl w:ilvl="0">
      <w:lvlJc w:val="left"/>
      <w:lvlText w:val="•"/>
      <w:numFmt w:val="bullet"/>
      <w:start w:val="1"/>
    </w:lvl>
  </w:abstractNum>
  <w:abstractNum w:abstractNumId="20">
    <w:nsid w:val="514E5CB0"/>
    <w:multiLevelType w:val="hybridMultilevel"/>
    <w:lvl w:ilvl="0">
      <w:lvlJc w:val="left"/>
      <w:lvlText w:val="•"/>
      <w:numFmt w:val="bullet"/>
      <w:start w:val="1"/>
    </w:lvl>
  </w:abstractNum>
  <w:abstractNum w:abstractNumId="21">
    <w:nsid w:val="4210D41E"/>
    <w:multiLevelType w:val="hybridMultilevel"/>
    <w:lvl w:ilvl="0">
      <w:lvlJc w:val="left"/>
      <w:lvlText w:val="•"/>
      <w:numFmt w:val="bullet"/>
      <w:start w:val="1"/>
    </w:lvl>
  </w:abstractNum>
  <w:abstractNum w:abstractNumId="22">
    <w:nsid w:val="4FF4CC6D"/>
    <w:multiLevelType w:val="hybridMultilevel"/>
    <w:lvl w:ilvl="0">
      <w:lvlJc w:val="left"/>
      <w:lvlText w:val="•"/>
      <w:numFmt w:val="bullet"/>
      <w:start w:val="1"/>
    </w:lvl>
  </w:abstractNum>
  <w:abstractNum w:abstractNumId="23">
    <w:nsid w:val="404EAF4A"/>
    <w:multiLevelType w:val="hybridMultilevel"/>
    <w:lvl w:ilvl="0">
      <w:lvlJc w:val="left"/>
      <w:lvlText w:val="•"/>
      <w:numFmt w:val="bullet"/>
      <w:start w:val="1"/>
    </w:lvl>
  </w:abstractNum>
  <w:abstractNum w:abstractNumId="24">
    <w:nsid w:val="4A16874F"/>
    <w:multiLevelType w:val="hybridMultilevel"/>
    <w:lvl w:ilvl="0">
      <w:lvlJc w:val="left"/>
      <w:lvlText w:val="•"/>
      <w:numFmt w:val="bullet"/>
      <w:start w:val="1"/>
    </w:lvl>
  </w:abstractNum>
  <w:abstractNum w:abstractNumId="25">
    <w:nsid w:val="55FEE0D1"/>
    <w:multiLevelType w:val="hybridMultilevel"/>
    <w:lvl w:ilvl="0">
      <w:lvlJc w:val="left"/>
      <w:lvlText w:val="•"/>
      <w:numFmt w:val="bullet"/>
      <w:start w:val="1"/>
    </w:lvl>
  </w:abstractNum>
  <w:abstractNum w:abstractNumId="26">
    <w:nsid w:val="3C5E07C"/>
    <w:multiLevelType w:val="hybridMultilevel"/>
    <w:lvl w:ilvl="0">
      <w:lvlJc w:val="left"/>
      <w:lvlText w:val="•"/>
      <w:numFmt w:val="bullet"/>
      <w:start w:val="1"/>
    </w:lvl>
  </w:abstractNum>
  <w:abstractNum w:abstractNumId="27">
    <w:nsid w:val="60C2D273"/>
    <w:multiLevelType w:val="hybridMultilevel"/>
    <w:lvl w:ilvl="0">
      <w:lvlJc w:val="left"/>
      <w:lvlText w:val="•"/>
      <w:numFmt w:val="bullet"/>
      <w:start w:val="1"/>
    </w:lvl>
  </w:abstractNum>
  <w:abstractNum w:abstractNumId="28">
    <w:nsid w:val="4CC32F1F"/>
    <w:multiLevelType w:val="hybridMultilevel"/>
    <w:lvl w:ilvl="0">
      <w:lvlJc w:val="left"/>
      <w:lvlText w:val="•"/>
      <w:numFmt w:val="bullet"/>
      <w:start w:val="1"/>
    </w:lvl>
  </w:abstractNum>
  <w:abstractNum w:abstractNumId="29">
    <w:nsid w:val="11CAC74A"/>
    <w:multiLevelType w:val="hybridMultilevel"/>
    <w:lvl w:ilvl="0">
      <w:lvlJc w:val="left"/>
      <w:lvlText w:val="•"/>
      <w:numFmt w:val="bullet"/>
      <w:start w:val="1"/>
    </w:lvl>
  </w:abstractNum>
  <w:abstractNum w:abstractNumId="30">
    <w:nsid w:val="126CADE9"/>
    <w:multiLevelType w:val="hybridMultilevel"/>
    <w:lvl w:ilvl="0">
      <w:lvlJc w:val="left"/>
      <w:lvlText w:val="^"/>
      <w:numFmt w:val="bullet"/>
      <w:start w:val="1"/>
    </w:lvl>
  </w:abstractNum>
  <w:abstractNum w:abstractNumId="31">
    <w:nsid w:val="19132E7B"/>
    <w:multiLevelType w:val="hybridMultilevel"/>
    <w:lvl w:ilvl="0">
      <w:lvlJc w:val="left"/>
      <w:lvlText w:val="(%1)"/>
      <w:numFmt w:val="lowerLetter"/>
      <w:start w:val="1"/>
    </w:lvl>
  </w:abstractNum>
  <w:abstractNum w:abstractNumId="32">
    <w:nsid w:val="63822DC0"/>
    <w:multiLevelType w:val="hybridMultilevel"/>
    <w:lvl w:ilvl="0">
      <w:lvlJc w:val="left"/>
      <w:lvlText w:val="(%1)"/>
      <w:numFmt w:val="lowerLetter"/>
      <w:start w:val="1"/>
    </w:lvl>
  </w:abstractNum>
  <w:abstractNum w:abstractNumId="33">
    <w:nsid w:val="6C11685A"/>
    <w:multiLevelType w:val="hybridMultilevel"/>
    <w:lvl w:ilvl="0">
      <w:lvlJc w:val="left"/>
      <w:lvlText w:val="(%1)"/>
      <w:numFmt w:val="lowerRoman"/>
      <w:start w:val="2"/>
    </w:lvl>
  </w:abstractNum>
  <w:abstractNum w:abstractNumId="34">
    <w:nsid w:val="5E1EAE31"/>
    <w:multiLevelType w:val="hybridMultilevel"/>
    <w:lvl w:ilvl="0">
      <w:lvlJc w:val="left"/>
      <w:lvlText w:val="(%1)"/>
      <w:numFmt w:val="decimal"/>
      <w:start w:val="2"/>
    </w:lvl>
  </w:abstractNum>
  <w:abstractNum w:abstractNumId="35">
    <w:nsid w:val="178E240D"/>
    <w:multiLevelType w:val="hybridMultilevel"/>
    <w:lvl w:ilvl="0">
      <w:lvlJc w:val="left"/>
      <w:lvlText w:val="(%1)"/>
      <w:numFmt w:val="decimal"/>
      <w:start w:val="1"/>
    </w:lvl>
  </w:abstractNum>
  <w:abstractNum w:abstractNumId="36">
    <w:nsid w:val="5556A87B"/>
    <w:multiLevelType w:val="hybridMultilevel"/>
    <w:lvl w:ilvl="0">
      <w:lvlJc w:val="left"/>
      <w:lvlText w:val="(%1)"/>
      <w:numFmt w:val="decimal"/>
      <w:start w:val="1"/>
    </w:lvl>
  </w:abstractNum>
  <w:abstractNum w:abstractNumId="37">
    <w:nsid w:val="28100A9C"/>
    <w:multiLevelType w:val="hybridMultilevel"/>
    <w:lvl w:ilvl="0">
      <w:lvlJc w:val="left"/>
      <w:lvlText w:val="(%1)"/>
      <w:numFmt w:val="decimal"/>
      <w:start w:val="2"/>
    </w:lvl>
  </w:abstractNum>
  <w:abstractNum w:abstractNumId="38">
    <w:nsid w:val="D838636"/>
    <w:multiLevelType w:val="hybridMultilevel"/>
    <w:lvl w:ilvl="0">
      <w:lvlJc w:val="left"/>
      <w:lvlText w:val="(%1)"/>
      <w:numFmt w:val="lowerLetter"/>
      <w:start w:val="1"/>
    </w:lvl>
  </w:abstractNum>
  <w:abstractNum w:abstractNumId="39">
    <w:nsid w:val="71B82AED"/>
    <w:multiLevelType w:val="hybridMultilevel"/>
    <w:lvl w:ilvl="0">
      <w:lvlJc w:val="left"/>
      <w:lvlText w:val="(%1)"/>
      <w:numFmt w:val="decimal"/>
      <w:start w:val="1"/>
    </w:lvl>
  </w:abstractNum>
  <w:abstractNum w:abstractNumId="40">
    <w:nsid w:val="D15FACA"/>
    <w:multiLevelType w:val="hybridMultilevel"/>
    <w:lvl w:ilvl="0">
      <w:lvlJc w:val="left"/>
      <w:lvlText w:val="(%1)"/>
      <w:numFmt w:val="decimal"/>
      <w:start w:val="2"/>
    </w:lvl>
  </w:abstractNum>
  <w:abstractNum w:abstractNumId="41">
    <w:nsid w:val="3D69565B"/>
    <w:multiLevelType w:val="hybridMultilevel"/>
    <w:lvl w:ilvl="0">
      <w:lvlJc w:val="left"/>
      <w:lvlText w:val="(%1)"/>
      <w:numFmt w:val="decimal"/>
      <w:start w:val="4"/>
    </w:lvl>
  </w:abstractNum>
  <w:abstractNum w:abstractNumId="42">
    <w:nsid w:val="2299DCBC"/>
    <w:multiLevelType w:val="hybridMultilevel"/>
    <w:lvl w:ilvl="0">
      <w:lvlJc w:val="left"/>
      <w:lvlText w:val="(%1)"/>
      <w:numFmt w:val="decimal"/>
      <w:start w:val="14"/>
    </w:lvl>
  </w:abstractNum>
  <w:abstractNum w:abstractNumId="43">
    <w:nsid w:val="19908D02"/>
    <w:multiLevelType w:val="hybridMultilevel"/>
    <w:lvl w:ilvl="0">
      <w:lvlJc w:val="left"/>
      <w:lvlText w:val="(%1)"/>
      <w:numFmt w:val="decimal"/>
      <w:start w:val="1"/>
    </w:lvl>
  </w:abstractNum>
  <w:abstractNum w:abstractNumId="44">
    <w:nsid w:val="24D48BDB"/>
    <w:multiLevelType w:val="hybridMultilevel"/>
    <w:lvl w:ilvl="0">
      <w:lvlJc w:val="left"/>
      <w:lvlText w:val="(%1)"/>
      <w:numFmt w:val="lowerLetter"/>
      <w:start w:val="1"/>
    </w:lvl>
  </w:abstractNum>
  <w:abstractNum w:abstractNumId="45">
    <w:nsid w:val="542DA5B5"/>
    <w:multiLevelType w:val="hybridMultilevel"/>
    <w:lvl w:ilvl="0">
      <w:lvlJc w:val="left"/>
      <w:lvlText w:val="(%1)"/>
      <w:numFmt w:val="lowerLetter"/>
      <w:start w:val="1"/>
    </w:lvl>
  </w:abstractNum>
  <w:abstractNum w:abstractNumId="46">
    <w:nsid w:val="793753DE"/>
    <w:multiLevelType w:val="hybridMultilevel"/>
    <w:lvl w:ilvl="0">
      <w:lvlJc w:val="left"/>
      <w:lvlText w:val="(%1)"/>
      <w:numFmt w:val="lowerRoman"/>
      <w:start w:val="1"/>
    </w:lvl>
  </w:abstractNum>
  <w:abstractNum w:abstractNumId="47">
    <w:nsid w:val="1C67CB3D"/>
    <w:multiLevelType w:val="hybridMultilevel"/>
    <w:lvl w:ilvl="0">
      <w:lvlJc w:val="left"/>
      <w:lvlText w:val="(%1)"/>
      <w:numFmt w:val="lowerLetter"/>
      <w:start w:val="1"/>
    </w:lvl>
  </w:abstractNum>
  <w:abstractNum w:abstractNumId="48">
    <w:nsid w:val="40E29452"/>
    <w:multiLevelType w:val="hybridMultilevel"/>
    <w:lvl w:ilvl="0">
      <w:lvlJc w:val="left"/>
      <w:lvlText w:val="(%1)"/>
      <w:numFmt w:val="lowerLetter"/>
      <w:start w:val="1"/>
    </w:lvl>
  </w:abstractNum>
  <w:abstractNum w:abstractNumId="49">
    <w:nsid w:val="63A4AAB6"/>
    <w:multiLevelType w:val="hybridMultilevel"/>
    <w:lvl w:ilvl="0">
      <w:lvlJc w:val="left"/>
      <w:lvlText w:val="(%1)"/>
      <w:numFmt w:val="lowerLetter"/>
      <w:start w:val="1"/>
    </w:lvl>
  </w:abstractNum>
  <w:abstractNum w:abstractNumId="50">
    <w:nsid w:val="77DA4A57"/>
    <w:multiLevelType w:val="hybridMultilevel"/>
    <w:lvl w:ilvl="0">
      <w:lvlJc w:val="left"/>
      <w:lvlText w:val="%1"/>
      <w:numFmt w:val="lowerLetter"/>
      <w:start w:val="1"/>
    </w:lvl>
    <w:lvl w:ilvl="1">
      <w:lvlJc w:val="left"/>
      <w:lvlText w:val="(%2)"/>
      <w:numFmt w:val="lowerLetter"/>
      <w:start w:val="4"/>
    </w:lvl>
  </w:abstractNum>
  <w:abstractNum w:abstractNumId="51">
    <w:nsid w:val="1230F102"/>
    <w:multiLevelType w:val="hybridMultilevel"/>
    <w:lvl w:ilvl="0">
      <w:lvlJc w:val="left"/>
      <w:lvlText w:val="(%1)"/>
      <w:numFmt w:val="lowerLetter"/>
      <w:start w:val="3"/>
    </w:lvl>
    <w:lvl w:ilvl="1">
      <w:lvlJc w:val="left"/>
      <w:lvlText w:val="(%2)"/>
      <w:numFmt w:val="lowerLetter"/>
      <w:start w:val="5"/>
    </w:lvl>
  </w:abstractNum>
  <w:abstractNum w:abstractNumId="52">
    <w:nsid w:val="25B57ED4"/>
    <w:multiLevelType w:val="hybridMultilevel"/>
    <w:lvl w:ilvl="0">
      <w:lvlJc w:val="left"/>
      <w:lvlText w:val="(%1)"/>
      <w:numFmt w:val="lowerLetter"/>
      <w:start w:val="1"/>
    </w:lvl>
  </w:abstractNum>
  <w:abstractNum w:abstractNumId="53">
    <w:nsid w:val="47CF16C4"/>
    <w:multiLevelType w:val="hybridMultilevel"/>
    <w:lvl w:ilvl="0">
      <w:lvlJc w:val="left"/>
      <w:lvlText w:val="(%1)"/>
      <w:numFmt w:val="lowerLetter"/>
      <w:start w:val="1"/>
    </w:lvl>
  </w:abstractNum>
  <w:abstractNum w:abstractNumId="54">
    <w:nsid w:val="527FA04C"/>
    <w:multiLevelType w:val="hybridMultilevel"/>
    <w:lvl w:ilvl="0">
      <w:lvlJc w:val="left"/>
      <w:lvlText w:val="(%1)"/>
      <w:numFmt w:val="lowerLetter"/>
      <w:start w:val="2"/>
    </w:lvl>
  </w:abstractNum>
  <w:abstractNum w:abstractNumId="55">
    <w:nsid w:val="6FCC0624"/>
    <w:multiLevelType w:val="hybridMultilevel"/>
    <w:lvl w:ilvl="0">
      <w:lvlJc w:val="left"/>
      <w:lvlText w:val="(%1)"/>
      <w:numFmt w:val="decimal"/>
      <w:start w:val="2"/>
    </w:lvl>
    <w:lvl w:ilvl="1">
      <w:lvlJc w:val="left"/>
      <w:lvlText w:val="(%2)"/>
      <w:numFmt w:val="lowerLetter"/>
      <w:start w:val="7"/>
    </w:lvl>
  </w:abstractNum>
  <w:abstractNum w:abstractNumId="56">
    <w:nsid w:val="1DCDF795"/>
    <w:multiLevelType w:val="hybridMultilevel"/>
    <w:lvl w:ilvl="0">
      <w:lvlJc w:val="left"/>
      <w:lvlText w:val="(%1)"/>
      <w:numFmt w:val="lowerLetter"/>
      <w:start w:val="1"/>
    </w:lvl>
  </w:abstractNum>
  <w:abstractNum w:abstractNumId="57">
    <w:nsid w:val="564580C8"/>
    <w:multiLevelType w:val="hybridMultilevel"/>
    <w:lvl w:ilvl="0">
      <w:lvlJc w:val="left"/>
      <w:lvlText w:val="%1"/>
      <w:numFmt w:val="lowerLetter"/>
      <w:start w:val="1"/>
    </w:lvl>
    <w:lvl w:ilvl="1">
      <w:lvlJc w:val="left"/>
      <w:lvlText w:val="(%2)"/>
      <w:numFmt w:val="lowerLetter"/>
      <w:start w:val="2"/>
    </w:lvl>
  </w:abstractNum>
  <w:abstractNum w:abstractNumId="58">
    <w:nsid w:val="508ED897"/>
    <w:multiLevelType w:val="hybridMultilevel"/>
    <w:lvl w:ilvl="0">
      <w:lvlJc w:val="left"/>
      <w:lvlText w:val="(%1)"/>
      <w:numFmt w:val="lowerLetter"/>
      <w:start w:val="35"/>
    </w:lvl>
    <w:lvl w:ilvl="1">
      <w:lvlJc w:val="left"/>
      <w:lvlText w:val="%2"/>
      <w:numFmt w:val="lowerLetter"/>
      <w:start w:val="1"/>
    </w:lvl>
  </w:abstractNum>
  <w:abstractNum w:abstractNumId="59">
    <w:nsid w:val="6A9126B5"/>
    <w:multiLevelType w:val="hybridMultilevel"/>
    <w:lvl w:ilvl="0">
      <w:lvlJc w:val="left"/>
      <w:lvlText w:val="(%1)"/>
      <w:numFmt w:val="lowerLetter"/>
      <w:start w:val="1"/>
    </w:lvl>
  </w:abstractNum>
  <w:abstractNum w:abstractNumId="60">
    <w:nsid w:val="68104812"/>
    <w:multiLevelType w:val="hybridMultilevel"/>
    <w:lvl w:ilvl="0">
      <w:lvlJc w:val="left"/>
      <w:lvlText w:val="(%1)"/>
      <w:numFmt w:val="lowerLetter"/>
      <w:start w:val="1"/>
    </w:lvl>
    <w:lvl w:ilvl="1">
      <w:lvlJc w:val="left"/>
      <w:lvlText w:val="(%2)"/>
      <w:numFmt w:val="lowerRoman"/>
      <w:start w:val="1"/>
    </w:lvl>
  </w:abstractNum>
  <w:abstractNum w:abstractNumId="61">
    <w:nsid w:val="62FB8680"/>
    <w:multiLevelType w:val="hybridMultilevel"/>
    <w:lvl w:ilvl="0">
      <w:lvlJc w:val="left"/>
      <w:lvlText w:val="(%1)"/>
      <w:numFmt w:val="lowerLetter"/>
      <w:start w:val="2"/>
    </w:lvl>
  </w:abstractNum>
  <w:abstractNum w:abstractNumId="62">
    <w:nsid w:val="3A45530"/>
    <w:multiLevelType w:val="hybridMultilevel"/>
    <w:lvl w:ilvl="0">
      <w:lvlJc w:val="left"/>
      <w:lvlText w:val="(%1)"/>
      <w:numFmt w:val="lowerLetter"/>
      <w:start w:val="1"/>
    </w:lvl>
  </w:abstractNum>
  <w:abstractNum w:abstractNumId="63">
    <w:nsid w:val="4B9275D2"/>
    <w:multiLevelType w:val="hybridMultilevel"/>
    <w:lvl w:ilvl="0">
      <w:lvlJc w:val="left"/>
      <w:lvlText w:val="(%1)"/>
      <w:numFmt w:val="lowerLetter"/>
      <w:start w:val="6"/>
    </w:lvl>
  </w:abstractNum>
  <w:abstractNum w:abstractNumId="64">
    <w:nsid w:val="4F0CEEDB"/>
    <w:multiLevelType w:val="hybridMultilevel"/>
    <w:lvl w:ilvl="0">
      <w:lvlJc w:val="left"/>
      <w:lvlText w:val="(%1)"/>
      <w:numFmt w:val="lowerRoman"/>
      <w:start w:val="1"/>
    </w:lvl>
    <w:lvl w:ilvl="1">
      <w:lvlJc w:val="left"/>
      <w:lvlText w:val="(%2)"/>
      <w:numFmt w:val="upperLetter"/>
      <w:start w:val="1"/>
    </w:lvl>
  </w:abstractNum>
  <w:abstractNum w:abstractNumId="65">
    <w:nsid w:val="61C30361"/>
    <w:multiLevelType w:val="hybridMultilevel"/>
    <w:lvl w:ilvl="0">
      <w:lvlJc w:val="left"/>
      <w:lvlText w:val="(%1)"/>
      <w:numFmt w:val="lowerLetter"/>
      <w:start w:val="25"/>
    </w:lvl>
    <w:lvl w:ilvl="1">
      <w:lvlJc w:val="left"/>
      <w:lvlText w:val="(%2)"/>
      <w:numFmt w:val="upperLetter"/>
      <w:start w:val="4"/>
    </w:lvl>
  </w:abstractNum>
  <w:abstractNum w:abstractNumId="66">
    <w:nsid w:val="632099E0"/>
    <w:multiLevelType w:val="hybridMultilevel"/>
    <w:lvl w:ilvl="0">
      <w:lvlJc w:val="left"/>
      <w:lvlText w:val="(%1)"/>
      <w:numFmt w:val="lowerRoman"/>
      <w:start w:val="3"/>
    </w:lvl>
  </w:abstractNum>
  <w:abstractNum w:abstractNumId="67">
    <w:nsid w:val="24639756"/>
    <w:multiLevelType w:val="hybridMultilevel"/>
    <w:lvl w:ilvl="0">
      <w:lvlJc w:val="left"/>
      <w:lvlText w:val="(%1)"/>
      <w:numFmt w:val="lowerLetter"/>
      <w:start w:val="7"/>
    </w:lvl>
  </w:abstractNum>
  <w:abstractNum w:abstractNumId="68">
    <w:nsid w:val="9D30DFD"/>
    <w:multiLevelType w:val="hybridMultilevel"/>
    <w:lvl w:ilvl="0">
      <w:lvlJc w:val="left"/>
      <w:lvlText w:val="(%1)"/>
      <w:numFmt w:val="lowerLetter"/>
      <w:start w:val="8"/>
    </w:lvl>
  </w:abstractNum>
  <w:abstractNum w:abstractNumId="69">
    <w:nsid w:val="70A42016"/>
    <w:multiLevelType w:val="hybridMultilevel"/>
    <w:lvl w:ilvl="0">
      <w:lvlJc w:val="left"/>
      <w:lvlText w:val="(%1)"/>
      <w:numFmt w:val="lowerLetter"/>
      <w:start w:val="2"/>
    </w:lvl>
  </w:abstractNum>
  <w:abstractNum w:abstractNumId="70">
    <w:nsid w:val="161BC243"/>
    <w:multiLevelType w:val="hybridMultilevel"/>
    <w:lvl w:ilvl="0">
      <w:lvlJc w:val="left"/>
      <w:lvlText w:val="(%1)"/>
      <w:numFmt w:val="lowerLetter"/>
      <w:start w:val="1"/>
    </w:lvl>
  </w:abstractNum>
  <w:abstractNum w:abstractNumId="71">
    <w:nsid w:val="16E908C8"/>
    <w:multiLevelType w:val="hybridMultilevel"/>
    <w:lvl w:ilvl="0">
      <w:lvlJc w:val="left"/>
      <w:lvlText w:val="(%1)"/>
      <w:numFmt w:val="lowerLetter"/>
      <w:start w:val="2"/>
    </w:lvl>
  </w:abstractNum>
  <w:abstractNum w:abstractNumId="72">
    <w:nsid w:val="2E0D7671"/>
    <w:multiLevelType w:val="hybridMultilevel"/>
    <w:lvl w:ilvl="0">
      <w:lvlJc w:val="left"/>
      <w:lvlText w:val="(%1)"/>
      <w:numFmt w:val="lowerLetter"/>
      <w:start w:val="1"/>
    </w:lvl>
  </w:abstractNum>
  <w:abstractNum w:abstractNumId="73">
    <w:nsid w:val="38B59EFF"/>
    <w:multiLevelType w:val="hybridMultilevel"/>
    <w:lvl w:ilvl="0">
      <w:lvlJc w:val="left"/>
      <w:lvlText w:val="(%1)"/>
      <w:numFmt w:val="lowerLetter"/>
      <w:start w:val="2"/>
    </w:lvl>
  </w:abstractNum>
  <w:abstractNum w:abstractNumId="74">
    <w:nsid w:val="307995CA"/>
    <w:multiLevelType w:val="hybridMultilevel"/>
    <w:lvl w:ilvl="0">
      <w:lvlJc w:val="left"/>
      <w:lvlText w:val="(%1)"/>
      <w:numFmt w:val="lowerLetter"/>
      <w:start w:val="1"/>
    </w:lvl>
  </w:abstractNum>
  <w:abstractNum w:abstractNumId="75">
    <w:nsid w:val="52E2024D"/>
    <w:multiLevelType w:val="hybridMultilevel"/>
    <w:lvl w:ilvl="0">
      <w:lvlJc w:val="left"/>
      <w:lvlText w:val="(%1)"/>
      <w:numFmt w:val="lowerLetter"/>
      <w:start w:val="7"/>
    </w:lvl>
  </w:abstractNum>
  <w:abstractNum w:abstractNumId="76">
    <w:nsid w:val="CE344B5"/>
    <w:multiLevelType w:val="hybridMultilevel"/>
    <w:lvl w:ilvl="0">
      <w:lvlJc w:val="left"/>
      <w:lvlText w:val="(%1)"/>
      <w:numFmt w:val="lowerLetter"/>
      <w:start w:val="1"/>
    </w:lvl>
  </w:abstractNum>
  <w:abstractNum w:abstractNumId="77">
    <w:nsid w:val="29B0E9A8"/>
    <w:multiLevelType w:val="hybridMultilevel"/>
    <w:lvl w:ilvl="0">
      <w:lvlJc w:val="left"/>
      <w:lvlText w:val="(%1)"/>
      <w:numFmt w:val="lowerLetter"/>
      <w:start w:val="1"/>
    </w:lvl>
  </w:abstractNum>
  <w:abstractNum w:abstractNumId="78">
    <w:nsid w:val="6F49CD8A"/>
    <w:multiLevelType w:val="hybridMultilevel"/>
    <w:lvl w:ilvl="0">
      <w:lvlJc w:val="left"/>
      <w:lvlText w:val="(%1)"/>
      <w:numFmt w:val="lowerLetter"/>
      <w:start w:val="1"/>
    </w:lvl>
  </w:abstractNum>
  <w:abstractNum w:abstractNumId="79">
    <w:nsid w:val="4DC5D907"/>
    <w:multiLevelType w:val="hybridMultilevel"/>
    <w:lvl w:ilvl="0">
      <w:lvlJc w:val="left"/>
      <w:lvlText w:val="(%1)"/>
      <w:numFmt w:val="lowerLetter"/>
      <w:start w:val="1"/>
    </w:lvl>
  </w:abstractNum>
  <w:abstractNum w:abstractNumId="80">
    <w:nsid w:val="D55945E"/>
    <w:multiLevelType w:val="hybridMultilevel"/>
    <w:lvl w:ilvl="0">
      <w:lvlJc w:val="left"/>
      <w:lvlText w:val="%1"/>
      <w:numFmt w:val="lowerLetter"/>
      <w:start w:val="1"/>
    </w:lvl>
    <w:lvl w:ilvl="1">
      <w:lvlJc w:val="left"/>
      <w:lvlText w:val="(%2)"/>
      <w:numFmt w:val="lowerLetter"/>
      <w:start w:val="7"/>
    </w:lvl>
  </w:abstractNum>
  <w:abstractNum w:abstractNumId="81">
    <w:nsid w:val="672417E1"/>
    <w:multiLevelType w:val="hybridMultilevel"/>
    <w:lvl w:ilvl="0">
      <w:lvlJc w:val="left"/>
      <w:lvlText w:val="(%1)"/>
      <w:numFmt w:val="lowerLetter"/>
      <w:start w:val="8"/>
    </w:lvl>
    <w:lvl w:ilvl="1">
      <w:lvlJc w:val="left"/>
      <w:lvlText w:val="%2"/>
      <w:numFmt w:val="lowerLetter"/>
      <w:start w:val="1"/>
    </w:lvl>
  </w:abstractNum>
  <w:abstractNum w:abstractNumId="82">
    <w:nsid w:val="5FF6CA09"/>
    <w:multiLevelType w:val="hybridMultilevel"/>
    <w:lvl w:ilvl="0">
      <w:lvlJc w:val="left"/>
      <w:lvlText w:val="(%1)"/>
      <w:numFmt w:val="lowerLetter"/>
      <w:start w:val="1"/>
    </w:lvl>
    <w:lvl w:ilvl="1">
      <w:lvlJc w:val="left"/>
      <w:lvlText w:val="(%2)"/>
      <w:numFmt w:val="lowerLetter"/>
      <w:start w:val="3"/>
    </w:lvl>
  </w:abstractNum>
  <w:abstractNum w:abstractNumId="83">
    <w:nsid w:val="330B1333"/>
    <w:multiLevelType w:val="hybridMultilevel"/>
    <w:lvl w:ilvl="0">
      <w:lvlJc w:val="left"/>
      <w:lvlText w:val="(%1)"/>
      <w:numFmt w:val="lowerLetter"/>
      <w:start w:val="1"/>
    </w:lvl>
  </w:abstractNum>
  <w:abstractNum w:abstractNumId="84">
    <w:nsid w:val="2EF32EA6"/>
    <w:multiLevelType w:val="hybridMultilevel"/>
    <w:lvl w:ilvl="0">
      <w:lvlJc w:val="left"/>
      <w:lvlText w:val="%1"/>
      <w:numFmt w:val="decimal"/>
      <w:start w:val="1"/>
    </w:lvl>
    <w:lvl w:ilvl="1">
      <w:lvlJc w:val="left"/>
      <w:lvlText w:val="(%2)"/>
      <w:numFmt w:val="decimal"/>
      <w:start w:val="1"/>
    </w:lvl>
  </w:abstractNum>
  <w:abstractNum w:abstractNumId="85">
    <w:nsid w:val="32766A55"/>
    <w:multiLevelType w:val="hybridMultilevel"/>
    <w:lvl w:ilvl="0">
      <w:lvlJc w:val="left"/>
      <w:lvlText w:val="(%1)"/>
      <w:numFmt w:val="decimal"/>
      <w:start w:val="4"/>
    </w:lvl>
    <w:lvl w:ilvl="1">
      <w:lvlJc w:val="left"/>
      <w:lvlText w:val="%2"/>
      <w:numFmt w:val="decimal"/>
      <w:start w:val="1"/>
    </w:lvl>
  </w:abstractNum>
  <w:abstractNum w:abstractNumId="86">
    <w:nsid w:val="22D71957"/>
    <w:multiLevelType w:val="hybridMultilevel"/>
    <w:lvl w:ilvl="0">
      <w:lvlJc w:val="left"/>
      <w:lvlText w:val="(%1)"/>
      <w:numFmt w:val="lowerLetter"/>
      <w:start w:val="2"/>
    </w:lvl>
  </w:abstractNum>
  <w:abstractNum w:abstractNumId="87">
    <w:nsid w:val="4CC1263B"/>
    <w:multiLevelType w:val="hybridMultilevel"/>
    <w:lvl w:ilvl="0">
      <w:lvlJc w:val="left"/>
      <w:lvlText w:val="(%1)"/>
      <w:numFmt w:val="lowerLetter"/>
      <w:start w:val="1"/>
    </w:lvl>
    <w:lvl w:ilvl="1">
      <w:lvlJc w:val="left"/>
      <w:lvlText w:val="(%2)"/>
      <w:numFmt w:val="decimal"/>
      <w:start w:val="1"/>
    </w:lvl>
  </w:abstractNum>
  <w:abstractNum w:abstractNumId="88">
    <w:nsid w:val="8BBEB1D"/>
    <w:multiLevelType w:val="hybridMultilevel"/>
    <w:lvl w:ilvl="0">
      <w:lvlJc w:val="left"/>
      <w:lvlText w:val="(%1)"/>
      <w:numFmt w:val="lowerLetter"/>
      <w:start w:val="2"/>
    </w:lvl>
  </w:abstractNum>
  <w:abstractNum w:abstractNumId="89">
    <w:nsid w:val="7365F1EE"/>
    <w:multiLevelType w:val="hybridMultilevel"/>
    <w:lvl w:ilvl="0">
      <w:lvlJc w:val="left"/>
      <w:lvlText w:val="(%1)"/>
      <w:numFmt w:val="lowerLetter"/>
      <w:start w:val="1"/>
    </w:lvl>
  </w:abstractNum>
  <w:abstractNum w:abstractNumId="90">
    <w:nsid w:val="37524CF0"/>
    <w:multiLevelType w:val="hybridMultilevel"/>
    <w:lvl w:ilvl="0">
      <w:lvlJc w:val="left"/>
      <w:lvlText w:val="(%1)"/>
      <w:numFmt w:val="lowerLetter"/>
      <w:start w:val="6"/>
    </w:lvl>
    <w:lvl w:ilvl="1">
      <w:lvlJc w:val="left"/>
      <w:lvlText w:val="(%2)"/>
      <w:numFmt w:val="decimal"/>
      <w:start w:val="1"/>
    </w:lvl>
  </w:abstractNum>
  <w:abstractNum w:abstractNumId="91">
    <w:nsid w:val="70CC332F"/>
    <w:multiLevelType w:val="hybridMultilevel"/>
    <w:lvl w:ilvl="0">
      <w:lvlJc w:val="left"/>
      <w:lvlText w:val="(%1)"/>
      <w:numFmt w:val="lowerLetter"/>
      <w:start w:val="8"/>
    </w:lvl>
  </w:abstractNum>
  <w:abstractNum w:abstractNumId="92">
    <w:nsid w:val="5661786E"/>
    <w:multiLevelType w:val="hybridMultilevel"/>
    <w:lvl w:ilvl="0">
      <w:lvlJc w:val="left"/>
      <w:lvlText w:val="(%1)"/>
      <w:numFmt w:val="lowerLetter"/>
      <w:start w:val="7"/>
    </w:lvl>
  </w:abstractNum>
  <w:abstractNum w:abstractNumId="93">
    <w:nsid w:val="3AF6A220"/>
    <w:multiLevelType w:val="hybridMultilevel"/>
    <w:lvl w:ilvl="0">
      <w:lvlJc w:val="left"/>
      <w:lvlText w:val="(%1)"/>
      <w:numFmt w:val="lowerLetter"/>
      <w:start w:val="1"/>
    </w:lvl>
    <w:lvl w:ilvl="1">
      <w:lvlJc w:val="left"/>
      <w:lvlText w:val="(%2)"/>
      <w:numFmt w:val="lowerRoman"/>
      <w:start w:val="1"/>
    </w:lvl>
  </w:abstractNum>
  <w:abstractNum w:abstractNumId="94">
    <w:nsid w:val="3C5EA902"/>
    <w:multiLevelType w:val="hybridMultilevel"/>
    <w:lvl w:ilvl="0">
      <w:lvlJc w:val="left"/>
      <w:lvlText w:val="(%1)"/>
      <w:numFmt w:val="lowerLetter"/>
      <w:start w:val="4"/>
    </w:lvl>
  </w:abstractNum>
  <w:abstractNum w:abstractNumId="95">
    <w:nsid w:val="256E6749"/>
    <w:multiLevelType w:val="hybridMultilevel"/>
    <w:lvl w:ilvl="0">
      <w:lvlJc w:val="left"/>
      <w:lvlText w:val="(%1)"/>
      <w:numFmt w:val="lowerLetter"/>
      <w:start w:val="1"/>
    </w:lvl>
  </w:abstractNum>
  <w:abstractNum w:abstractNumId="96">
    <w:nsid w:val="1CB9A581"/>
    <w:multiLevelType w:val="hybridMultilevel"/>
    <w:lvl w:ilvl="0">
      <w:lvlJc w:val="left"/>
      <w:lvlText w:val="(%1)"/>
      <w:numFmt w:val="lowerLetter"/>
      <w:start w:val="2"/>
    </w:lvl>
  </w:abstractNum>
  <w:abstractNum w:abstractNumId="97">
    <w:nsid w:val="1F7F42E2"/>
    <w:multiLevelType w:val="hybridMultilevel"/>
    <w:lvl w:ilvl="0">
      <w:lvlJc w:val="left"/>
      <w:lvlText w:val="(%1)"/>
      <w:numFmt w:val="lowerRoman"/>
      <w:start w:val="1"/>
    </w:lvl>
  </w:abstractNum>
  <w:abstractNum w:abstractNumId="98">
    <w:nsid w:val="49D1FEA0"/>
    <w:multiLevelType w:val="hybridMultilevel"/>
    <w:lvl w:ilvl="0">
      <w:lvlJc w:val="left"/>
      <w:lvlText w:val="%1"/>
      <w:numFmt w:val="lowerLetter"/>
      <w:start w:val="1"/>
    </w:lvl>
    <w:lvl w:ilvl="1">
      <w:lvlJc w:val="left"/>
      <w:lvlText w:val="(%2)"/>
      <w:numFmt w:val="lowerRoman"/>
      <w:start w:val="4"/>
    </w:lvl>
  </w:abstractNum>
  <w:abstractNum w:abstractNumId="99">
    <w:nsid w:val="268CB37F"/>
    <w:multiLevelType w:val="hybridMultilevel"/>
    <w:lvl w:ilvl="0">
      <w:lvlJc w:val="left"/>
      <w:lvlText w:val="(%1)"/>
      <w:numFmt w:val="lowerLetter"/>
      <w:start w:val="2"/>
    </w:lvl>
    <w:lvl w:ilvl="1">
      <w:lvlJc w:val="left"/>
      <w:lvlText w:val="%2"/>
      <w:numFmt w:val="lowerRoman"/>
      <w:start w:val="1"/>
    </w:lvl>
  </w:abstractNum>
  <w:abstractNum w:abstractNumId="100">
    <w:nsid w:val="102362F8"/>
    <w:multiLevelType w:val="hybridMultilevel"/>
    <w:lvl w:ilvl="0">
      <w:lvlJc w:val="left"/>
      <w:lvlText w:val="%1"/>
      <w:numFmt w:val="lowerLetter"/>
      <w:start w:val="1"/>
    </w:lvl>
    <w:lvl w:ilvl="1">
      <w:lvlJc w:val="left"/>
      <w:lvlText w:val="(%2)"/>
      <w:numFmt w:val="lowerLetter"/>
      <w:start w:val="1"/>
    </w:lvl>
  </w:abstractNum>
  <w:abstractNum w:abstractNumId="101">
    <w:nsid w:val="5FEDC0E3"/>
    <w:multiLevelType w:val="hybridMultilevel"/>
    <w:lvl w:ilvl="0">
      <w:lvlJc w:val="left"/>
      <w:lvlText w:val="(%1)"/>
      <w:numFmt w:val="lowerLetter"/>
      <w:start w:val="35"/>
    </w:lvl>
    <w:lvl w:ilvl="1">
      <w:lvlJc w:val="left"/>
      <w:lvlText w:val="%2"/>
      <w:numFmt w:val="lowerLetter"/>
      <w:start w:val="1"/>
    </w:lvl>
  </w:abstractNum>
  <w:abstractNum w:abstractNumId="102">
    <w:nsid w:val="3D75BC47"/>
    <w:multiLevelType w:val="hybridMultilevel"/>
    <w:lvl w:ilvl="0">
      <w:lvlJc w:val="left"/>
      <w:lvlText w:val="(%1)"/>
      <w:numFmt w:val="lowerLetter"/>
      <w:start w:val="2"/>
    </w:lvl>
  </w:abstractNum>
  <w:abstractNum w:abstractNumId="103">
    <w:nsid w:val="3E30D969"/>
    <w:multiLevelType w:val="hybridMultilevel"/>
    <w:lvl w:ilvl="0">
      <w:lvlJc w:val="left"/>
      <w:lvlText w:val="(%1)"/>
      <w:numFmt w:val="lowerLetter"/>
      <w:start w:val="1"/>
    </w:lvl>
  </w:abstractNum>
  <w:abstractNum w:abstractNumId="104">
    <w:nsid w:val="18A35FE3"/>
    <w:multiLevelType w:val="hybridMultilevel"/>
    <w:lvl w:ilvl="0">
      <w:lvlJc w:val="left"/>
      <w:lvlText w:val="(%1)"/>
      <w:numFmt w:val="lowerLetter"/>
      <w:start w:val="2"/>
    </w:lvl>
  </w:abstractNum>
  <w:abstractNum w:abstractNumId="105">
    <w:nsid w:val="6DEF5211"/>
    <w:multiLevelType w:val="hybridMultilevel"/>
    <w:lvl w:ilvl="0">
      <w:lvlJc w:val="left"/>
      <w:lvlText w:val="(%1)"/>
      <w:numFmt w:val="lowerLetter"/>
      <w:start w:val="5"/>
    </w:lvl>
  </w:abstractNum>
  <w:abstractNum w:abstractNumId="106">
    <w:nsid w:val="1112DBB6"/>
    <w:multiLevelType w:val="hybridMultilevel"/>
    <w:lvl w:ilvl="0">
      <w:lvlJc w:val="left"/>
      <w:lvlText w:val="(%1)"/>
      <w:numFmt w:val="lowerLetter"/>
      <w:start w:val="1"/>
    </w:lvl>
    <w:lvl w:ilvl="1">
      <w:lvlJc w:val="left"/>
      <w:lvlText w:val="(%2)"/>
      <w:numFmt w:val="lowerRoman"/>
    </w:lvl>
    <w:lvl w:ilvl="2">
      <w:lvlJc w:val="left"/>
      <w:lvlText w:val="(%3)"/>
      <w:numFmt w:val="upperLetter"/>
      <w:start w:val="1"/>
    </w:lvl>
  </w:abstractNum>
  <w:abstractNum w:abstractNumId="107">
    <w:nsid w:val="2586A498"/>
    <w:multiLevelType w:val="hybridMultilevel"/>
    <w:lvl w:ilvl="0">
      <w:lvlJc w:val="left"/>
      <w:lvlText w:val="(%1)"/>
      <w:numFmt w:val="upperLetter"/>
      <w:start w:val="2"/>
    </w:lvl>
  </w:abstractNum>
  <w:abstractNum w:abstractNumId="108">
    <w:nsid w:val="17A03BB9"/>
    <w:multiLevelType w:val="hybridMultilevel"/>
    <w:lvl w:ilvl="0">
      <w:lvlJc w:val="left"/>
      <w:lvlText w:val="(%1)"/>
      <w:numFmt w:val="lowerRoman"/>
      <w:start w:val="2"/>
    </w:lvl>
  </w:abstractNum>
  <w:abstractNum w:abstractNumId="109">
    <w:nsid w:val="5CA941"/>
    <w:multiLevelType w:val="hybridMultilevel"/>
    <w:lvl w:ilvl="0">
      <w:lvlJc w:val="left"/>
      <w:lvlText w:val="(%1)"/>
      <w:numFmt w:val="lowerLetter"/>
      <w:start w:val="3"/>
    </w:lvl>
    <w:lvl w:ilvl="1">
      <w:lvlJc w:val="left"/>
      <w:lvlText w:val="(%2)"/>
      <w:numFmt w:val="lowerRoman"/>
      <w:start w:val="1"/>
    </w:lvl>
  </w:abstractNum>
  <w:abstractNum w:abstractNumId="110">
    <w:nsid w:val="734C7D9F"/>
    <w:multiLevelType w:val="hybridMultilevel"/>
    <w:lvl w:ilvl="0">
      <w:lvlJc w:val="left"/>
      <w:lvlText w:val="(%1)"/>
      <w:numFmt w:val="lowerLetter"/>
      <w:start w:val="1"/>
    </w:lvl>
  </w:abstractNum>
  <w:abstractNum w:abstractNumId="111">
    <w:nsid w:val="24F5D018"/>
    <w:multiLevelType w:val="hybridMultilevel"/>
    <w:lvl w:ilvl="0">
      <w:lvlJc w:val="left"/>
      <w:lvlText w:val="(%1)"/>
      <w:numFmt w:val="lowerLetter"/>
      <w:start w:val="1"/>
    </w:lvl>
    <w:lvl w:ilvl="1">
      <w:lvlJc w:val="left"/>
      <w:lvlText w:val="(%2)"/>
      <w:numFmt w:val="lowerRoman"/>
      <w:start w:val="1"/>
    </w:lvl>
  </w:abstractNum>
  <w:abstractNum w:abstractNumId="112">
    <w:nsid w:val="6780C122"/>
    <w:multiLevelType w:val="hybridMultilevel"/>
    <w:lvl w:ilvl="0">
      <w:lvlJc w:val="left"/>
      <w:lvlText w:val="(%1)"/>
      <w:numFmt w:val="lowerLetter"/>
      <w:start w:val="1"/>
    </w:lvl>
  </w:abstractNum>
  <w:abstractNum w:abstractNumId="113">
    <w:nsid w:val="534347A8"/>
    <w:multiLevelType w:val="hybridMultilevel"/>
    <w:lvl w:ilvl="0">
      <w:lvlJc w:val="left"/>
      <w:lvlText w:val="(%1)"/>
      <w:numFmt w:val="lowerLetter"/>
      <w:start w:val="1"/>
    </w:lvl>
  </w:abstractNum>
  <w:abstractNum w:abstractNumId="114">
    <w:nsid w:val="5800E34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5">
    <w:nsid w:val="1673EFC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16">
    <w:nsid w:val="5B9B1FD"/>
    <w:multiLevelType w:val="hybridMultilevel"/>
    <w:lvl w:ilvl="0">
      <w:lvlJc w:val="left"/>
      <w:lvlText w:val="(%1)"/>
      <w:numFmt w:val="lowerLetter"/>
      <w:start w:val="5"/>
    </w:lvl>
  </w:abstractNum>
  <w:abstractNum w:abstractNumId="117">
    <w:nsid w:val="7AD7FCA2"/>
    <w:multiLevelType w:val="hybridMultilevel"/>
    <w:lvl w:ilvl="0">
      <w:lvlJc w:val="left"/>
      <w:lvlText w:val="(%1)"/>
      <w:numFmt w:val="lowerLetter"/>
      <w:start w:val="1"/>
    </w:lvl>
    <w:lvl w:ilvl="1">
      <w:lvlJc w:val="left"/>
      <w:lvlText w:val="(%2)"/>
      <w:numFmt w:val="decimal"/>
      <w:start w:val="1"/>
    </w:lvl>
  </w:abstractNum>
  <w:abstractNum w:abstractNumId="118">
    <w:nsid w:val="63351604"/>
    <w:multiLevelType w:val="hybridMultilevel"/>
    <w:lvl w:ilvl="0">
      <w:lvlJc w:val="left"/>
      <w:lvlText w:val="%1."/>
      <w:numFmt w:val="decimal"/>
      <w:start w:val="1"/>
    </w:lvl>
    <w:lvl w:ilvl="1">
      <w:lvlJc w:val="left"/>
      <w:lvlText w:val="•"/>
      <w:numFmt w:val="bullet"/>
      <w:start w:val="1"/>
    </w:lvl>
  </w:abstractNum>
  <w:abstractNum w:abstractNumId="119">
    <w:nsid w:val="E759D1A"/>
    <w:multiLevelType w:val="hybridMultilevel"/>
    <w:lvl w:ilvl="0">
      <w:lvlJc w:val="left"/>
      <w:lvlText w:val="%1."/>
      <w:numFmt w:val="decimal"/>
      <w:start w:val="2"/>
    </w:lvl>
  </w:abstractNum>
  <w:abstractNum w:abstractNumId="120">
    <w:nsid w:val="6E3DEE90"/>
    <w:multiLevelType w:val="hybridMultilevel"/>
    <w:lvl w:ilvl="0">
      <w:lvlJc w:val="left"/>
      <w:lvlText w:val="(%1)"/>
      <w:numFmt w:val="lowerLetter"/>
      <w:start w:val="1"/>
    </w:lvl>
  </w:abstractNum>
  <w:abstractNum w:abstractNumId="121">
    <w:nsid w:val="1A8762F4"/>
    <w:multiLevelType w:val="hybridMultilevel"/>
    <w:lvl w:ilvl="0">
      <w:lvlJc w:val="left"/>
      <w:lvlText w:val="(%1)"/>
      <w:numFmt w:val="lowerLetter"/>
      <w:start w:val="3"/>
    </w:lvl>
  </w:abstractNum>
  <w:abstractNum w:abstractNumId="122">
    <w:nsid w:val="7F41D049"/>
    <w:multiLevelType w:val="hybridMultilevel"/>
    <w:lvl w:ilvl="0">
      <w:lvlJc w:val="left"/>
      <w:lvlText w:val="(%1)"/>
      <w:numFmt w:val="lowerLetter"/>
      <w:start w:val="1"/>
    </w:lvl>
  </w:abstractNum>
  <w:abstractNum w:abstractNumId="123">
    <w:nsid w:val="449F66FE"/>
    <w:multiLevelType w:val="hybridMultilevel"/>
    <w:lvl w:ilvl="0">
      <w:lvlJc w:val="left"/>
      <w:lvlText w:val="%1."/>
      <w:numFmt w:val="decimal"/>
      <w:start w:val="3"/>
    </w:lvl>
    <w:lvl w:ilvl="1">
      <w:lvlJc w:val="left"/>
      <w:lvlText w:val="(%2)"/>
      <w:numFmt w:val="lowerLetter"/>
      <w:start w:val="1"/>
    </w:lvl>
  </w:abstractNum>
  <w:abstractNum w:abstractNumId="124">
    <w:nsid w:val="557E0515"/>
    <w:multiLevelType w:val="hybridMultilevel"/>
    <w:lvl w:ilvl="0">
      <w:lvlJc w:val="left"/>
      <w:lvlText w:val="(%1)"/>
      <w:numFmt w:val="lowerLetter"/>
      <w:start w:val="6"/>
    </w:lvl>
  </w:abstractNum>
  <w:abstractNum w:abstractNumId="125">
    <w:nsid w:val="3BA0794B"/>
    <w:multiLevelType w:val="hybridMultilevel"/>
    <w:lvl w:ilvl="0">
      <w:lvlJc w:val="left"/>
      <w:lvlText w:val="%1."/>
      <w:numFmt w:val="decimal"/>
      <w:start w:val="4"/>
    </w:lvl>
  </w:abstractNum>
  <w:abstractNum w:abstractNumId="126">
    <w:nsid w:val="6A0DCE48"/>
    <w:multiLevelType w:val="hybridMultilevel"/>
    <w:lvl w:ilvl="0">
      <w:lvlJc w:val="left"/>
      <w:lvlText w:val="(%1)"/>
      <w:numFmt w:val="lowerLetter"/>
      <w:start w:val="2"/>
    </w:lvl>
  </w:abstractNum>
  <w:abstractNum w:abstractNumId="127">
    <w:nsid w:val="7237AA96"/>
    <w:multiLevelType w:val="hybridMultilevel"/>
    <w:lvl w:ilvl="0">
      <w:lvlJc w:val="left"/>
      <w:lvlText w:val="(%1)"/>
      <w:numFmt w:val="lowerLetter"/>
      <w:start w:val="11"/>
    </w:lvl>
  </w:abstractNum>
  <w:abstractNum w:abstractNumId="128">
    <w:nsid w:val="5B1FBC2D"/>
    <w:multiLevelType w:val="hybridMultilevel"/>
    <w:lvl w:ilvl="0">
      <w:lvlJc w:val="left"/>
      <w:lvlText w:val="(%1)"/>
      <w:numFmt w:val="lowerLetter"/>
      <w:start w:val="1"/>
    </w:lvl>
  </w:abstractNum>
  <w:abstractNum w:abstractNumId="129">
    <w:nsid w:val="33DFCCE8"/>
    <w:multiLevelType w:val="hybridMultilevel"/>
    <w:lvl w:ilvl="0">
      <w:lvlJc w:val="left"/>
      <w:lvlText w:val="(%1)"/>
      <w:numFmt w:val="lowerLetter"/>
      <w:start w:val="2"/>
    </w:lvl>
  </w:abstractNum>
  <w:abstractNum w:abstractNumId="130">
    <w:nsid w:val="18C45E15"/>
    <w:multiLevelType w:val="hybridMultilevel"/>
    <w:lvl w:ilvl="0">
      <w:lvlJc w:val="left"/>
      <w:lvlText w:val="(%1)"/>
      <w:numFmt w:val="lowerLetter"/>
      <w:start w:val="1"/>
    </w:lvl>
  </w:abstractNum>
  <w:abstractNum w:abstractNumId="131">
    <w:nsid w:val="6B431F25"/>
    <w:multiLevelType w:val="hybridMultilevel"/>
    <w:lvl w:ilvl="0">
      <w:lvlJc w:val="left"/>
      <w:lvlText w:val="%1."/>
      <w:numFmt w:val="decimal"/>
      <w:start w:val="5"/>
    </w:lvl>
  </w:abstractNum>
  <w:abstractNum w:abstractNumId="132">
    <w:nsid w:val="13CD8DCB"/>
    <w:multiLevelType w:val="hybridMultilevel"/>
    <w:lvl w:ilvl="0">
      <w:lvlJc w:val="left"/>
      <w:lvlText w:val="(%1)"/>
      <w:numFmt w:val="lowerLetter"/>
      <w:start w:val="1"/>
    </w:lvl>
  </w:abstractNum>
  <w:abstractNum w:abstractNumId="133">
    <w:nsid w:val="563A1A5C"/>
    <w:multiLevelType w:val="hybridMultilevel"/>
    <w:lvl w:ilvl="0">
      <w:lvlJc w:val="left"/>
      <w:lvlText w:val="%1"/>
      <w:numFmt w:val="decimal"/>
      <w:start w:val="1"/>
    </w:lvl>
    <w:lvl w:ilvl="1">
      <w:lvlJc w:val="left"/>
      <w:lvlText w:val="(%2)"/>
      <w:numFmt w:val="lowerLetter"/>
      <w:start w:val="2"/>
    </w:lvl>
  </w:abstractNum>
  <w:abstractNum w:abstractNumId="134">
    <w:nsid w:val="2973F88F"/>
    <w:multiLevelType w:val="hybridMultilevel"/>
    <w:lvl w:ilvl="0">
      <w:lvlJc w:val="left"/>
      <w:lvlText w:val="%1."/>
      <w:numFmt w:val="decimal"/>
      <w:start w:val="7"/>
    </w:lvl>
    <w:lvl w:ilvl="1">
      <w:lvlJc w:val="left"/>
      <w:lvlText w:val="%2"/>
      <w:numFmt w:val="lowerLetter"/>
      <w:start w:val="1"/>
    </w:lvl>
  </w:abstractNum>
  <w:abstractNum w:abstractNumId="135">
    <w:nsid w:val="2C70EDAE"/>
    <w:multiLevelType w:val="hybridMultilevel"/>
    <w:lvl w:ilvl="0">
      <w:lvlJc w:val="left"/>
      <w:lvlText w:val="(%1)"/>
      <w:numFmt w:val="lowerLetter"/>
      <w:start w:val="1"/>
    </w:lvl>
  </w:abstractNum>
  <w:abstractNum w:abstractNumId="136">
    <w:nsid w:val="44296C6D"/>
    <w:multiLevelType w:val="hybridMultilevel"/>
    <w:lvl w:ilvl="0">
      <w:lvlJc w:val="left"/>
      <w:lvlText w:val="%1."/>
      <w:numFmt w:val="decimal"/>
      <w:start w:val="8"/>
    </w:lvl>
  </w:abstractNum>
  <w:abstractNum w:abstractNumId="137">
    <w:nsid w:val="3A86D445"/>
    <w:multiLevelType w:val="hybridMultilevel"/>
    <w:lvl w:ilvl="0">
      <w:lvlJc w:val="left"/>
      <w:lvlText w:val="%1."/>
      <w:numFmt w:val="decimal"/>
      <w:start w:val="9"/>
    </w:lvl>
  </w:abstractNum>
  <w:abstractNum w:abstractNumId="138">
    <w:nsid w:val="51F79246"/>
    <w:multiLevelType w:val="hybridMultilevel"/>
    <w:lvl w:ilvl="0">
      <w:lvlJc w:val="left"/>
      <w:lvlText w:val="%1."/>
      <w:numFmt w:val="decimal"/>
      <w:start w:val="10"/>
    </w:lvl>
  </w:abstractNum>
  <w:abstractNum w:abstractNumId="139">
    <w:nsid w:val="5BC9A827"/>
    <w:multiLevelType w:val="hybridMultilevel"/>
    <w:lvl w:ilvl="0">
      <w:lvlJc w:val="left"/>
      <w:lvlText w:val="%1."/>
      <w:numFmt w:val="decimal"/>
      <w:start w:val="12"/>
    </w:lvl>
  </w:abstractNum>
  <w:abstractNum w:abstractNumId="140">
    <w:nsid w:val="3AE37D86"/>
    <w:multiLevelType w:val="hybridMultilevel"/>
    <w:lvl w:ilvl="0">
      <w:lvlJc w:val="left"/>
      <w:lvlText w:val="(%1)"/>
      <w:numFmt w:val="lowerLetter"/>
      <w:start w:val="2"/>
    </w:lvl>
  </w:abstractNum>
  <w:abstractNum w:abstractNumId="141">
    <w:nsid w:val="45440FE5"/>
    <w:multiLevelType w:val="hybridMultilevel"/>
    <w:lvl w:ilvl="0">
      <w:lvlJc w:val="left"/>
      <w:lvlText w:val="(%1)"/>
      <w:numFmt w:val="lowerLetter"/>
      <w:start w:val="1"/>
    </w:lvl>
  </w:abstractNum>
  <w:abstractNum w:abstractNumId="142">
    <w:nsid w:val="BF783F"/>
    <w:multiLevelType w:val="hybridMultilevel"/>
    <w:lvl w:ilvl="0">
      <w:lvlJc w:val="left"/>
      <w:lvlText w:val="(%1)"/>
      <w:numFmt w:val="lowerLetter"/>
      <w:start w:val="1"/>
    </w:lvl>
  </w:abstractNum>
  <w:abstractNum w:abstractNumId="143">
    <w:nsid w:val="22643EA9"/>
    <w:multiLevelType w:val="hybridMultilevel"/>
    <w:lvl w:ilvl="0">
      <w:lvlJc w:val="left"/>
      <w:lvlText w:val="%1."/>
      <w:numFmt w:val="decimal"/>
      <w:start w:val="16"/>
    </w:lvl>
  </w:abstractNum>
  <w:abstractNum w:abstractNumId="144">
    <w:nsid w:val="1887578D"/>
    <w:multiLevelType w:val="hybridMultilevel"/>
    <w:lvl w:ilvl="0">
      <w:lvlJc w:val="left"/>
      <w:lvlText w:val="%1."/>
      <w:numFmt w:val="decimal"/>
      <w:start w:val="17"/>
    </w:lvl>
  </w:abstractNum>
  <w:abstractNum w:abstractNumId="145">
    <w:nsid w:val="58C05B8A"/>
    <w:multiLevelType w:val="hybridMultilevel"/>
    <w:lvl w:ilvl="0">
      <w:lvlJc w:val="left"/>
      <w:lvlText w:val="%1."/>
      <w:numFmt w:val="decimal"/>
      <w:start w:val="21"/>
    </w:lvl>
  </w:abstractNum>
  <w:abstractNum w:abstractNumId="146">
    <w:nsid w:val="38D82E71"/>
    <w:multiLevelType w:val="hybridMultilevel"/>
    <w:lvl w:ilvl="0">
      <w:lvlJc w:val="left"/>
      <w:lvlText w:val="%1."/>
      <w:numFmt w:val="decimal"/>
      <w:start w:val="23"/>
    </w:lvl>
  </w:abstractNum>
  <w:abstractNum w:abstractNumId="147">
    <w:nsid w:val="1E41098A"/>
    <w:multiLevelType w:val="hybridMultilevel"/>
    <w:lvl w:ilvl="0">
      <w:lvlJc w:val="left"/>
      <w:lvlText w:val="%1."/>
      <w:numFmt w:val="decimal"/>
      <w:start w:val="26"/>
    </w:lvl>
    <w:lvl w:ilvl="1">
      <w:lvlJc w:val="left"/>
      <w:lvlText w:val="*"/>
      <w:numFmt w:val="bullet"/>
      <w:start w:val="1"/>
    </w:lvl>
  </w:abstractNum>
  <w:abstractNum w:abstractNumId="148">
    <w:nsid w:val="5398582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9">
    <w:nsid w:val="1C0D4475"/>
    <w:multiLevelType w:val="hybridMultilevel"/>
    <w:lvl w:ilvl="0">
      <w:lvlJc w:val="left"/>
      <w:lvlText w:val="(%1)"/>
      <w:numFmt w:val="decimal"/>
      <w:start w:val="3"/>
    </w:lvl>
    <w:lvl w:ilvl="1">
      <w:lvlJc w:val="left"/>
      <w:lvlText w:val="%2."/>
      <w:numFmt w:val="decimal"/>
      <w:start w:val="3"/>
    </w:lvl>
    <w:lvl w:ilvl="2">
      <w:lvlJc w:val="left"/>
      <w:lvlText w:val="(%3)"/>
      <w:numFmt w:val="lowerLetter"/>
      <w:start w:val="4"/>
    </w:lvl>
  </w:abstractNum>
  <w:abstractNum w:abstractNumId="150">
    <w:nsid w:val="2CB6A6A4"/>
    <w:multiLevelType w:val="hybridMultilevel"/>
    <w:lvl w:ilvl="0">
      <w:lvlJc w:val="left"/>
      <w:lvlText w:val="%1"/>
      <w:numFmt w:val="lowerLetter"/>
      <w:start w:val="1"/>
    </w:lvl>
    <w:lvl w:ilvl="1">
      <w:lvlJc w:val="left"/>
      <w:lvlText w:val="%2."/>
      <w:numFmt w:val="decimal"/>
      <w:start w:val="5"/>
    </w:lvl>
  </w:abstractNum>
  <w:abstractNum w:abstractNumId="151">
    <w:nsid w:val="41D646BC"/>
    <w:multiLevelType w:val="hybridMultilevel"/>
    <w:lvl w:ilvl="0">
      <w:lvlJc w:val="left"/>
      <w:lvlText w:val="(%1)"/>
      <w:numFmt w:val="lowerLetter"/>
      <w:start w:val="1"/>
    </w:lvl>
    <w:lvl w:ilvl="1">
      <w:lvlJc w:val="left"/>
      <w:lvlText w:val="%2"/>
      <w:numFmt w:val="decimal"/>
      <w:start w:val="1"/>
    </w:lvl>
  </w:abstractNum>
  <w:abstractNum w:abstractNumId="152">
    <w:nsid w:val="3694A76A"/>
    <w:multiLevelType w:val="hybridMultilevel"/>
    <w:lvl w:ilvl="0">
      <w:lvlJc w:val="left"/>
      <w:lvlText w:val="(%1)"/>
      <w:numFmt w:val="lowerLetter"/>
      <w:start w:val="1"/>
    </w:lvl>
  </w:abstractNum>
  <w:abstractNum w:abstractNumId="153">
    <w:nsid w:val="2BF876EE"/>
    <w:multiLevelType w:val="hybridMultilevel"/>
    <w:lvl w:ilvl="0">
      <w:lvlJc w:val="left"/>
      <w:lvlText w:val="(%1)"/>
      <w:numFmt w:val="lowerLetter"/>
      <w:start w:val="2"/>
    </w:lvl>
  </w:abstractNum>
  <w:abstractNum w:abstractNumId="154">
    <w:nsid w:val="675ADBA"/>
    <w:multiLevelType w:val="hybridMultilevel"/>
    <w:lvl w:ilvl="0">
      <w:lvlJc w:val="left"/>
      <w:lvlText w:val="%1"/>
      <w:numFmt w:val="decimal"/>
      <w:start w:val="1"/>
    </w:lvl>
    <w:lvl w:ilvl="1">
      <w:lvlJc w:val="left"/>
      <w:lvlText w:val="(%2)"/>
      <w:numFmt w:val="lowerLetter"/>
      <w:start w:val="4"/>
    </w:lvl>
  </w:abstractNum>
  <w:abstractNum w:abstractNumId="155">
    <w:nsid w:val="C12AC7F"/>
    <w:multiLevelType w:val="hybridMultilevel"/>
    <w:lvl w:ilvl="0">
      <w:lvlJc w:val="left"/>
      <w:lvlText w:val="%1."/>
      <w:numFmt w:val="decimal"/>
      <w:start w:val="8"/>
    </w:lvl>
    <w:lvl w:ilvl="1">
      <w:lvlJc w:val="left"/>
      <w:lvlText w:val="%2"/>
      <w:numFmt w:val="lowerLetter"/>
      <w:start w:val="1"/>
    </w:lvl>
  </w:abstractNum>
  <w:abstractNum w:abstractNumId="156">
    <w:nsid w:val="6798F039"/>
    <w:multiLevelType w:val="hybridMultilevel"/>
    <w:lvl w:ilvl="0">
      <w:lvlJc w:val="left"/>
      <w:lvlText w:val="%1."/>
      <w:numFmt w:val="decimal"/>
      <w:start w:val="10"/>
    </w:lvl>
  </w:abstractNum>
  <w:abstractNum w:abstractNumId="157">
    <w:nsid w:val="70837C02"/>
    <w:multiLevelType w:val="hybridMultilevel"/>
    <w:lvl w:ilvl="0">
      <w:lvlJc w:val="left"/>
      <w:lvlText w:val="(%1)"/>
      <w:numFmt w:val="lowerLetter"/>
      <w:start w:val="3"/>
    </w:lvl>
  </w:abstractNum>
  <w:abstractNum w:abstractNumId="158">
    <w:nsid w:val="7E4A5715"/>
    <w:multiLevelType w:val="hybridMultilevel"/>
    <w:lvl w:ilvl="0">
      <w:lvlJc w:val="left"/>
      <w:lvlText w:val="(%1)"/>
      <w:numFmt w:val="lowerLetter"/>
      <w:start w:val="6"/>
    </w:lvl>
  </w:abstractNum>
  <w:abstractNum w:abstractNumId="159">
    <w:nsid w:val="42B8AC67"/>
    <w:multiLevelType w:val="hybridMultilevel"/>
    <w:lvl w:ilvl="0">
      <w:lvlJc w:val="left"/>
      <w:lvlText w:val="(%1)"/>
      <w:numFmt w:val="lowerLetter"/>
      <w:start w:val="9"/>
    </w:lvl>
    <w:lvl w:ilvl="1">
      <w:lvlJc w:val="left"/>
      <w:lvlText w:val="(%2)"/>
      <w:numFmt w:val="lowerLetter"/>
      <w:start w:val="9"/>
    </w:lvl>
  </w:abstractNum>
  <w:abstractNum w:abstractNumId="160">
    <w:nsid w:val="246348EA"/>
    <w:multiLevelType w:val="hybridMultilevel"/>
    <w:lvl w:ilvl="0">
      <w:lvlJc w:val="left"/>
      <w:lvlText w:val="(%1)"/>
      <w:numFmt w:val="lowerRoman"/>
      <w:start w:val="2"/>
    </w:lvl>
  </w:abstractNum>
  <w:abstractNum w:abstractNumId="161">
    <w:nsid w:val="170EB52B"/>
    <w:multiLevelType w:val="hybridMultilevel"/>
    <w:lvl w:ilvl="0">
      <w:lvlJc w:val="left"/>
      <w:lvlText w:val="%1."/>
      <w:numFmt w:val="decimal"/>
      <w:start w:val="14"/>
    </w:lvl>
  </w:abstractNum>
  <w:abstractNum w:abstractNumId="162">
    <w:nsid w:val="2DFBCB8C"/>
    <w:multiLevelType w:val="hybridMultilevel"/>
    <w:lvl w:ilvl="0">
      <w:lvlJc w:val="left"/>
      <w:lvlText w:val="(%1)"/>
      <w:numFmt w:val="lowerLetter"/>
      <w:start w:val="6"/>
    </w:lvl>
  </w:abstractNum>
  <w:abstractNum w:abstractNumId="163">
    <w:nsid w:val="3830D6B6"/>
    <w:multiLevelType w:val="hybridMultilevel"/>
    <w:lvl w:ilvl="0">
      <w:lvlJc w:val="left"/>
      <w:lvlText w:val="%1."/>
      <w:numFmt w:val="decimal"/>
      <w:start w:val="1"/>
    </w:lvl>
    <w:lvl w:ilvl="1">
      <w:lvlJc w:val="left"/>
      <w:lvlText w:val="(%2)"/>
      <w:numFmt w:val="lowerLetter"/>
      <w:start w:val="1"/>
    </w:lvl>
  </w:abstractNum>
  <w:abstractNum w:abstractNumId="164">
    <w:nsid w:val="6D48CF87"/>
    <w:multiLevelType w:val="hybridMultilevel"/>
    <w:lvl w:ilvl="0">
      <w:lvlJc w:val="left"/>
      <w:lvlText w:val="(%1)"/>
      <w:numFmt w:val="lowerLetter"/>
      <w:start w:val="3"/>
    </w:lvl>
  </w:abstractNum>
  <w:abstractNum w:abstractNumId="165">
    <w:nsid w:val="576FC41B"/>
    <w:multiLevelType w:val="hybridMultilevel"/>
    <w:lvl w:ilvl="0">
      <w:lvlJc w:val="left"/>
      <w:lvlText w:val="(%1)"/>
      <w:numFmt w:val="lowerLetter"/>
      <w:start w:val="9"/>
    </w:lvl>
    <w:lvl w:ilvl="1">
      <w:lvlJc w:val="left"/>
      <w:lvlText w:val="(%2)"/>
      <w:numFmt w:val="lowerLetter"/>
      <w:start w:val="4"/>
    </w:lvl>
  </w:abstractNum>
  <w:abstractNum w:abstractNumId="166">
    <w:nsid w:val="64A1C46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67">
    <w:nsid w:val="31723BF5"/>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68">
    <w:nsid w:val="11F69861"/>
    <w:multiLevelType w:val="hybridMultilevel"/>
    <w:lvl w:ilvl="0">
      <w:lvlJc w:val="left"/>
      <w:lvlText w:val="(%1)"/>
      <w:numFmt w:val="lowerLetter"/>
      <w:start w:val="2"/>
    </w:lvl>
  </w:abstractNum>
  <w:abstractNum w:abstractNumId="169">
    <w:nsid w:val="369956AB"/>
    <w:multiLevelType w:val="hybridMultilevel"/>
    <w:lvl w:ilvl="0">
      <w:lvlJc w:val="left"/>
      <w:lvlText w:val="%1"/>
      <w:numFmt w:val="decimal"/>
      <w:start w:val="1"/>
    </w:lvl>
    <w:lvl w:ilvl="1">
      <w:lvlJc w:val="left"/>
      <w:lvlText w:val="(%2)"/>
      <w:numFmt w:val="lowerLetter"/>
      <w:start w:val="4"/>
    </w:lvl>
  </w:abstractNum>
  <w:abstractNum w:abstractNumId="170">
    <w:nsid w:val="D3BE41C"/>
    <w:multiLevelType w:val="hybridMultilevel"/>
    <w:lvl w:ilvl="0">
      <w:lvlJc w:val="left"/>
      <w:lvlText w:val="%1."/>
      <w:numFmt w:val="decimal"/>
      <w:start w:val="8"/>
    </w:lvl>
    <w:lvl w:ilvl="1">
      <w:lvlJc w:val="left"/>
      <w:lvlText w:val="%2"/>
      <w:numFmt w:val="lowerLetter"/>
      <w:start w:val="1"/>
    </w:lvl>
  </w:abstractNum>
  <w:abstractNum w:abstractNumId="171">
    <w:nsid w:val="4CDA15E7"/>
    <w:multiLevelType w:val="hybridMultilevel"/>
    <w:lvl w:ilvl="0">
      <w:lvlJc w:val="left"/>
      <w:lvlText w:val="(%1)"/>
      <w:numFmt w:val="lowerLetter"/>
      <w:start w:val="3"/>
    </w:lvl>
  </w:abstractNum>
  <w:abstractNum w:abstractNumId="172">
    <w:nsid w:val="7BDD6690"/>
    <w:multiLevelType w:val="hybridMultilevel"/>
    <w:lvl w:ilvl="0">
      <w:lvlJc w:val="left"/>
      <w:lvlText w:val="(%1)"/>
      <w:numFmt w:val="lowerLetter"/>
      <w:start w:val="6"/>
    </w:lvl>
  </w:abstractNum>
  <w:abstractNum w:abstractNumId="173">
    <w:nsid w:val="DFB5C5B"/>
    <w:multiLevelType w:val="hybridMultilevel"/>
    <w:lvl w:ilvl="0">
      <w:lvlJc w:val="left"/>
      <w:lvlText w:val="(%1)"/>
      <w:numFmt w:val="lowerRoman"/>
      <w:start w:val="2"/>
    </w:lvl>
  </w:abstractNum>
  <w:abstractNum w:abstractNumId="174">
    <w:nsid w:val="6F3E5490"/>
    <w:multiLevelType w:val="hybridMultilevel"/>
    <w:lvl w:ilvl="0">
      <w:lvlJc w:val="left"/>
      <w:lvlText w:val="(%1)"/>
      <w:numFmt w:val="lowerRoman"/>
      <w:start w:val="3"/>
    </w:lvl>
  </w:abstractNum>
  <w:abstractNum w:abstractNumId="175">
    <w:nsid w:val="1464BE1E"/>
    <w:multiLevelType w:val="hybridMultilevel"/>
    <w:lvl w:ilvl="0">
      <w:lvlJc w:val="left"/>
      <w:lvlText w:val="%1."/>
      <w:numFmt w:val="decimal"/>
      <w:start w:val="14"/>
    </w:lvl>
  </w:abstractNum>
  <w:abstractNum w:abstractNumId="176">
    <w:nsid w:val="66BBB7E5"/>
    <w:multiLevelType w:val="hybridMultilevel"/>
    <w:lvl w:ilvl="0">
      <w:lvlJc w:val="left"/>
      <w:lvlText w:val="(%1)"/>
      <w:numFmt w:val="lowerLetter"/>
      <w:start w:val="6"/>
    </w:lvl>
  </w:abstractNum>
  <w:abstractNum w:abstractNumId="177">
    <w:nsid w:val="281683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78">
    <w:nsid w:val="32A5C7A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79">
    <w:nsid w:val="3A541011"/>
    <w:multiLevelType w:val="hybridMultilevel"/>
    <w:lvl w:ilvl="0">
      <w:lvlJc w:val="left"/>
      <w:lvlText w:val="(%1)"/>
      <w:numFmt w:val="lowerRoman"/>
      <w:start w:val="3"/>
    </w:lvl>
  </w:abstractNum>
  <w:abstractNum w:abstractNumId="180">
    <w:nsid w:val="4423C777"/>
    <w:multiLevelType w:val="hybridMultilevel"/>
    <w:lvl w:ilvl="0">
      <w:lvlJc w:val="left"/>
      <w:lvlText w:val="%1"/>
      <w:numFmt w:val="decimal"/>
      <w:start w:val="1"/>
    </w:lvl>
    <w:lvl w:ilvl="1">
      <w:lvlJc w:val="left"/>
      <w:lvlText w:val="(%2)"/>
      <w:numFmt w:val="lowerLetter"/>
      <w:start w:val="3"/>
    </w:lvl>
  </w:abstractNum>
  <w:abstractNum w:abstractNumId="181">
    <w:nsid w:val="5F5C6E4D"/>
    <w:multiLevelType w:val="hybridMultilevel"/>
    <w:lvl w:ilvl="0">
      <w:lvlJc w:val="left"/>
      <w:lvlText w:val="%1."/>
      <w:numFmt w:val="decimal"/>
      <w:start w:val="5"/>
    </w:lvl>
    <w:lvl w:ilvl="1">
      <w:lvlJc w:val="left"/>
      <w:lvlText w:val="%2"/>
      <w:numFmt w:val="lowerLetter"/>
      <w:start w:val="1"/>
    </w:lvl>
  </w:abstractNum>
  <w:abstractNum w:abstractNumId="182">
    <w:nsid w:val="7C2A56CD"/>
    <w:multiLevelType w:val="hybridMultilevel"/>
    <w:lvl w:ilvl="0">
      <w:lvlJc w:val="left"/>
      <w:lvlText w:val="%1."/>
      <w:numFmt w:val="decimal"/>
      <w:start w:val="7"/>
    </w:lvl>
  </w:abstractNum>
  <w:abstractNum w:abstractNumId="183">
    <w:nsid w:val="7AB86EE1"/>
    <w:multiLevelType w:val="hybridMultilevel"/>
    <w:lvl w:ilvl="0">
      <w:lvlJc w:val="left"/>
      <w:lvlText w:val="%1."/>
      <w:numFmt w:val="decimal"/>
      <w:start w:val="8"/>
    </w:lvl>
    <w:lvl w:ilvl="1">
      <w:lvlJc w:val="left"/>
      <w:lvlText w:val="(%2)"/>
      <w:numFmt w:val="lowerLetter"/>
      <w:start w:val="1"/>
    </w:lvl>
  </w:abstractNum>
  <w:abstractNum w:abstractNumId="184">
    <w:nsid w:val="B54E53B"/>
    <w:multiLevelType w:val="hybridMultilevel"/>
    <w:lvl w:ilvl="0">
      <w:lvlJc w:val="left"/>
      <w:lvlText w:val="%1"/>
      <w:numFmt w:val="decimal"/>
      <w:start w:val="1"/>
    </w:lvl>
    <w:lvl w:ilvl="1">
      <w:lvlJc w:val="left"/>
      <w:lvlText w:val="(%2)"/>
      <w:numFmt w:val="lowerLetter"/>
      <w:start w:val="4"/>
    </w:lvl>
  </w:abstractNum>
  <w:abstractNum w:abstractNumId="185">
    <w:nsid w:val="2A00487"/>
    <w:multiLevelType w:val="hybridMultilevel"/>
    <w:lvl w:ilvl="0">
      <w:lvlJc w:val="left"/>
      <w:lvlText w:val="%1."/>
      <w:numFmt w:val="decimal"/>
      <w:start w:val="9"/>
    </w:lvl>
    <w:lvl w:ilvl="1">
      <w:lvlJc w:val="left"/>
      <w:lvlText w:val="%2"/>
      <w:numFmt w:val="lowerLetter"/>
      <w:start w:val="1"/>
    </w:lvl>
  </w:abstractNum>
  <w:abstractNum w:abstractNumId="186">
    <w:nsid w:val="6CB1B60"/>
    <w:multiLevelType w:val="hybridMultilevel"/>
    <w:lvl w:ilvl="0">
      <w:lvlJc w:val="left"/>
      <w:lvlText w:val="•"/>
      <w:numFmt w:val="bullet"/>
      <w:start w:val="1"/>
    </w:lvl>
    <w:lvl w:ilvl="1">
      <w:lvlJc w:val="left"/>
      <w:lvlText w:val="(%2)"/>
      <w:numFmt w:val="lowerLetter"/>
      <w:start w:val="1"/>
    </w:lvl>
  </w:abstractNum>
  <w:abstractNum w:abstractNumId="187">
    <w:nsid w:val="72EDD574"/>
    <w:multiLevelType w:val="hybridMultilevel"/>
    <w:lvl w:ilvl="0">
      <w:lvlJc w:val="left"/>
      <w:lvlText w:val="%1"/>
      <w:numFmt w:val="decimal"/>
      <w:start w:val="1"/>
    </w:lvl>
    <w:lvl w:ilvl="1">
      <w:lvlJc w:val="left"/>
      <w:lvlText w:val="(%2)"/>
      <w:numFmt w:val="lowerLetter"/>
      <w:start w:val="2"/>
    </w:lvl>
  </w:abstractNum>
  <w:abstractNum w:abstractNumId="188">
    <w:nsid w:val="7323808A"/>
    <w:multiLevelType w:val="hybridMultilevel"/>
    <w:lvl w:ilvl="0">
      <w:lvlJc w:val="left"/>
      <w:lvlText w:val="%1."/>
      <w:numFmt w:val="decimal"/>
      <w:start w:val="10"/>
    </w:lvl>
    <w:lvl w:ilvl="1">
      <w:lvlJc w:val="left"/>
      <w:lvlText w:val="%2"/>
      <w:numFmt w:val="lowerLetter"/>
      <w:start w:val="1"/>
    </w:lvl>
  </w:abstractNum>
  <w:abstractNum w:abstractNumId="189">
    <w:nsid w:val="5157276"/>
    <w:multiLevelType w:val="hybridMultilevel"/>
    <w:lvl w:ilvl="0">
      <w:lvlJc w:val="left"/>
      <w:lvlText w:val="%1."/>
      <w:numFmt w:val="decimal"/>
      <w:start w:val="12"/>
    </w:lvl>
    <w:lvl w:ilvl="1">
      <w:lvlJc w:val="left"/>
      <w:lvlText w:val="(%2)"/>
      <w:numFmt w:val="lowerLetter"/>
      <w:start w:val="1"/>
    </w:lvl>
  </w:abstractNum>
  <w:abstractNum w:abstractNumId="190">
    <w:nsid w:val="35A681DB"/>
    <w:multiLevelType w:val="hybridMultilevel"/>
    <w:lvl w:ilvl="0">
      <w:lvlJc w:val="left"/>
      <w:lvlText w:val="(%1)"/>
      <w:numFmt w:val="lowerLetter"/>
      <w:start w:val="8"/>
    </w:lvl>
    <w:lvl w:ilvl="1">
      <w:lvlJc w:val="left"/>
      <w:lvlText w:val="(%2)"/>
      <w:numFmt w:val="lowerRoman"/>
      <w:start w:val="1"/>
    </w:lvl>
  </w:abstractNum>
  <w:abstractNum w:abstractNumId="191">
    <w:nsid w:val="1786C974"/>
    <w:multiLevelType w:val="hybridMultilevel"/>
    <w:lvl w:ilvl="0">
      <w:lvlJc w:val="left"/>
      <w:lvlText w:val="%1."/>
      <w:numFmt w:val="decimal"/>
      <w:start w:val="14"/>
    </w:lvl>
  </w:abstractNum>
  <w:abstractNum w:abstractNumId="192">
    <w:nsid w:val="1C2427A1"/>
    <w:multiLevelType w:val="hybridMultilevel"/>
    <w:lvl w:ilvl="0">
      <w:lvlJc w:val="left"/>
      <w:lvlText w:val="%1."/>
      <w:numFmt w:val="decimal"/>
      <w:start w:val="16"/>
    </w:lvl>
  </w:abstractNum>
  <w:abstractNum w:abstractNumId="193">
    <w:nsid w:val="63A24D68"/>
    <w:multiLevelType w:val="hybridMultilevel"/>
    <w:lvl w:ilvl="0">
      <w:lvlJc w:val="left"/>
      <w:lvlText w:val="%1."/>
      <w:numFmt w:val="decimal"/>
      <w:start w:val="22"/>
    </w:lvl>
  </w:abstractNum>
  <w:abstractNum w:abstractNumId="194">
    <w:nsid w:val="4FB7A02A"/>
    <w:multiLevelType w:val="hybridMultilevel"/>
    <w:lvl w:ilvl="0">
      <w:lvlJc w:val="left"/>
      <w:lvlText w:val="%1."/>
      <w:numFmt w:val="decimal"/>
      <w:start w:val="27"/>
    </w:lvl>
    <w:lvl w:ilvl="1">
      <w:lvlJc w:val="left"/>
      <w:lvlText w:val="*"/>
      <w:numFmt w:val="bullet"/>
      <w:start w:val="1"/>
    </w:lvl>
  </w:abstractNum>
  <w:abstractNum w:abstractNumId="195">
    <w:nsid w:val="96CF728"/>
    <w:multiLevelType w:val="hybridMultilevel"/>
    <w:lvl w:ilvl="0">
      <w:lvlJc w:val="left"/>
      <w:lvlText w:val="(%1)"/>
      <w:numFmt w:val="decimal"/>
      <w:start w:val="1"/>
    </w:lvl>
  </w:abstractNum>
  <w:abstractNum w:abstractNumId="196">
    <w:nsid w:val="3B1211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3459648F"/>
    <w:multiLevelType w:val="hybridMultilevel"/>
    <w:lvl w:ilvl="0">
      <w:lvlJc w:val="left"/>
      <w:lvlText w:val="(%1)"/>
      <w:numFmt w:val="lowerRoman"/>
      <w:start w:val="3"/>
    </w:lvl>
  </w:abstractNum>
  <w:abstractNum w:abstractNumId="198">
    <w:nsid w:val="3ADF331D"/>
    <w:multiLevelType w:val="hybridMultilevel"/>
    <w:lvl w:ilvl="0">
      <w:lvlJc w:val="left"/>
      <w:lvlText w:val="%1"/>
      <w:numFmt w:val="decimal"/>
      <w:start w:val="1"/>
    </w:lvl>
    <w:lvl w:ilvl="1">
      <w:lvlJc w:val="left"/>
      <w:lvlText w:val="(%2)"/>
      <w:numFmt w:val="lowerLetter"/>
      <w:start w:val="1"/>
    </w:lvl>
  </w:abstractNum>
  <w:abstractNum w:abstractNumId="199">
    <w:nsid w:val="4D08A9E4"/>
    <w:multiLevelType w:val="hybridMultilevel"/>
    <w:lvl w:ilvl="0">
      <w:lvlJc w:val="left"/>
      <w:lvlText w:val="%1."/>
      <w:numFmt w:val="decimal"/>
      <w:start w:val="5"/>
    </w:lvl>
    <w:lvl w:ilvl="1">
      <w:lvlJc w:val="left"/>
      <w:lvlText w:val="%2"/>
      <w:numFmt w:val="lowerLetter"/>
      <w:start w:val="1"/>
    </w:lvl>
  </w:abstractNum>
  <w:abstractNum w:abstractNumId="200">
    <w:nsid w:val="6AF2BB3A"/>
    <w:multiLevelType w:val="hybridMultilevel"/>
    <w:lvl w:ilvl="0">
      <w:lvlJc w:val="left"/>
      <w:lvlText w:val="%1."/>
      <w:numFmt w:val="decimal"/>
      <w:start w:val="7"/>
    </w:lvl>
    <w:lvl w:ilvl="1">
      <w:lvlJc w:val="left"/>
      <w:lvlText w:val="(%2)"/>
      <w:numFmt w:val="lowerLetter"/>
      <w:start w:val="1"/>
    </w:lvl>
  </w:abstractNum>
  <w:abstractNum w:abstractNumId="201">
    <w:nsid w:val="481B1739"/>
    <w:multiLevelType w:val="hybridMultilevel"/>
    <w:lvl w:ilvl="0">
      <w:lvlJc w:val="left"/>
      <w:lvlText w:val="(%1)"/>
      <w:numFmt w:val="lowerLetter"/>
      <w:start w:val="2"/>
    </w:lvl>
  </w:abstractNum>
  <w:abstractNum w:abstractNumId="202">
    <w:nsid w:val="19E2BFCC"/>
    <w:multiLevelType w:val="hybridMultilevel"/>
    <w:lvl w:ilvl="0">
      <w:lvlJc w:val="left"/>
      <w:lvlText w:val="%1"/>
      <w:numFmt w:val="decimal"/>
      <w:start w:val="1"/>
    </w:lvl>
    <w:lvl w:ilvl="1">
      <w:lvlJc w:val="left"/>
      <w:lvlText w:val="(%2)"/>
      <w:numFmt w:val="lowerLetter"/>
      <w:start w:val="4"/>
    </w:lvl>
  </w:abstractNum>
  <w:abstractNum w:abstractNumId="203">
    <w:nsid w:val="66D021CA"/>
    <w:multiLevelType w:val="hybridMultilevel"/>
    <w:lvl w:ilvl="0">
      <w:lvlJc w:val="left"/>
      <w:lvlText w:val="%1."/>
      <w:numFmt w:val="decimal"/>
      <w:start w:val="9"/>
    </w:lvl>
    <w:lvl w:ilvl="1">
      <w:lvlJc w:val="left"/>
      <w:lvlText w:val="%2"/>
      <w:numFmt w:val="lowerLetter"/>
      <w:start w:val="1"/>
    </w:lvl>
  </w:abstractNum>
  <w:abstractNum w:abstractNumId="204">
    <w:nsid w:val="56167394"/>
    <w:multiLevelType w:val="hybridMultilevel"/>
    <w:lvl w:ilvl="0">
      <w:lvlJc w:val="left"/>
      <w:lvlText w:val="•"/>
      <w:numFmt w:val="bullet"/>
      <w:start w:val="1"/>
    </w:lvl>
    <w:lvl w:ilvl="1">
      <w:lvlJc w:val="left"/>
      <w:lvlText w:val="(%2)"/>
      <w:numFmt w:val="lowerLetter"/>
      <w:start w:val="1"/>
    </w:lvl>
  </w:abstractNum>
  <w:abstractNum w:abstractNumId="205">
    <w:nsid w:val="921145C"/>
    <w:multiLevelType w:val="hybridMultilevel"/>
    <w:lvl w:ilvl="0">
      <w:lvlJc w:val="left"/>
      <w:lvlText w:val="%1"/>
      <w:numFmt w:val="decimal"/>
      <w:start w:val="1"/>
    </w:lvl>
    <w:lvl w:ilvl="1">
      <w:lvlJc w:val="left"/>
      <w:lvlText w:val="(%2)"/>
      <w:numFmt w:val="lowerLetter"/>
      <w:start w:val="3"/>
    </w:lvl>
  </w:abstractNum>
  <w:abstractNum w:abstractNumId="206">
    <w:nsid w:val="7B34DFE8"/>
    <w:multiLevelType w:val="hybridMultilevel"/>
    <w:lvl w:ilvl="0">
      <w:lvlJc w:val="left"/>
      <w:lvlText w:val="%1."/>
      <w:numFmt w:val="decimal"/>
      <w:start w:val="10"/>
    </w:lvl>
    <w:lvl w:ilvl="1">
      <w:lvlJc w:val="left"/>
      <w:lvlText w:val="%2"/>
      <w:numFmt w:val="lowerLetter"/>
      <w:start w:val="1"/>
    </w:lvl>
  </w:abstractNum>
  <w:abstractNum w:abstractNumId="207">
    <w:nsid w:val="3CD22B79"/>
    <w:multiLevelType w:val="hybridMultilevel"/>
    <w:lvl w:ilvl="0">
      <w:lvlJc w:val="left"/>
      <w:lvlText w:val="%1."/>
      <w:numFmt w:val="decimal"/>
      <w:start w:val="13"/>
    </w:lvl>
    <w:lvl w:ilvl="1">
      <w:lvlJc w:val="left"/>
      <w:lvlText w:val="(%2)"/>
      <w:numFmt w:val="lowerLetter"/>
      <w:start w:val="1"/>
    </w:lvl>
  </w:abstractNum>
  <w:abstractNum w:abstractNumId="208">
    <w:nsid w:val="3137975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09">
    <w:nsid w:val="2DDAA791"/>
    <w:multiLevelType w:val="hybridMultilevel"/>
    <w:lvl w:ilvl="0">
      <w:lvlJc w:val="left"/>
      <w:lvlText w:val="%1."/>
      <w:numFmt w:val="decimal"/>
      <w:start w:val="14"/>
    </w:lvl>
    <w:lvl w:ilvl="1">
      <w:lvlJc w:val="left"/>
      <w:lvlText w:val="%2"/>
      <w:numFmt w:val="lowerRoman"/>
      <w:start w:val="1"/>
    </w:lvl>
    <w:lvl w:ilvl="2">
      <w:lvlJc w:val="left"/>
      <w:lvlText w:val="%3"/>
      <w:numFmt w:val="lowerRoman"/>
      <w:start w:val="1"/>
    </w:lvl>
  </w:abstractNum>
  <w:abstractNum w:abstractNumId="210">
    <w:nsid w:val="77263B8A"/>
    <w:multiLevelType w:val="hybridMultilevel"/>
    <w:lvl w:ilvl="0">
      <w:lvlJc w:val="left"/>
      <w:lvlText w:val="%1."/>
      <w:numFmt w:val="decimal"/>
      <w:start w:val="16"/>
    </w:lvl>
  </w:abstractNum>
  <w:abstractNum w:abstractNumId="211">
    <w:nsid w:val="755B5ED6"/>
    <w:multiLevelType w:val="hybridMultilevel"/>
    <w:lvl w:ilvl="0">
      <w:lvlJc w:val="left"/>
      <w:lvlText w:val="%1."/>
      <w:numFmt w:val="decimal"/>
      <w:start w:val="19"/>
    </w:lvl>
  </w:abstractNum>
  <w:abstractNum w:abstractNumId="212">
    <w:nsid w:val="D3715DE"/>
    <w:multiLevelType w:val="hybridMultilevel"/>
    <w:lvl w:ilvl="0">
      <w:lvlJc w:val="left"/>
      <w:lvlText w:val="%1."/>
      <w:numFmt w:val="decimal"/>
      <w:start w:val="25"/>
    </w:lvl>
  </w:abstractNum>
  <w:abstractNum w:abstractNumId="213">
    <w:nsid w:val="73509257"/>
    <w:multiLevelType w:val="hybridMultilevel"/>
    <w:lvl w:ilvl="0">
      <w:lvlJc w:val="left"/>
      <w:lvlText w:val="%1."/>
      <w:numFmt w:val="decimal"/>
      <w:start w:val="27"/>
    </w:lvl>
  </w:abstractNum>
  <w:abstractNum w:abstractNumId="214">
    <w:nsid w:val="7013CDB7"/>
    <w:multiLevelType w:val="hybridMultilevel"/>
    <w:lvl w:ilvl="0">
      <w:lvlJc w:val="left"/>
      <w:lvlText w:val="%1."/>
      <w:numFmt w:val="decimal"/>
      <w:start w:val="28"/>
    </w:lvl>
    <w:lvl w:ilvl="1">
      <w:lvlJc w:val="left"/>
      <w:lvlText w:val="*"/>
      <w:numFmt w:val="bullet"/>
      <w:start w:val="1"/>
    </w:lvl>
  </w:abstractNum>
  <w:abstractNum w:abstractNumId="215">
    <w:nsid w:val="188BFB19"/>
    <w:multiLevelType w:val="hybridMultilevel"/>
    <w:lvl w:ilvl="0">
      <w:lvlJc w:val="left"/>
      <w:lvlText w:val="(%1)"/>
      <w:numFmt w:val="decimal"/>
      <w:start w:val="1"/>
    </w:lvl>
  </w:abstractNum>
  <w:abstractNum w:abstractNumId="216">
    <w:nsid w:val="75F096D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7">
    <w:nsid w:val="76DEE918"/>
    <w:multiLevelType w:val="hybridMultilevel"/>
    <w:lvl w:ilvl="0">
      <w:lvlJc w:val="left"/>
      <w:lvlText w:val="(%1)"/>
      <w:numFmt w:val="lowerRoman"/>
      <w:start w:val="3"/>
    </w:lvl>
  </w:abstractNum>
  <w:abstractNum w:abstractNumId="218">
    <w:nsid w:val="B79D08D"/>
    <w:multiLevelType w:val="hybridMultilevel"/>
    <w:lvl w:ilvl="0">
      <w:lvlJc w:val="left"/>
      <w:lvlText w:val="%1"/>
      <w:numFmt w:val="decimal"/>
      <w:start w:val="1"/>
    </w:lvl>
    <w:lvl w:ilvl="1">
      <w:lvlJc w:val="left"/>
      <w:lvlText w:val="(%2)"/>
      <w:numFmt w:val="lowerLetter"/>
      <w:start w:val="3"/>
    </w:lvl>
  </w:abstractNum>
  <w:abstractNum w:abstractNumId="219">
    <w:nsid w:val="69141769"/>
    <w:multiLevelType w:val="hybridMultilevel"/>
    <w:lvl w:ilvl="0">
      <w:lvlJc w:val="left"/>
      <w:lvlText w:val="%1."/>
      <w:numFmt w:val="decimal"/>
      <w:start w:val="5"/>
    </w:lvl>
    <w:lvl w:ilvl="1">
      <w:lvlJc w:val="left"/>
      <w:lvlText w:val="%2"/>
      <w:numFmt w:val="lowerLetter"/>
      <w:start w:val="1"/>
    </w:lvl>
  </w:abstractNum>
  <w:abstractNum w:abstractNumId="220">
    <w:nsid w:val="7BF45B8E"/>
    <w:multiLevelType w:val="hybridMultilevel"/>
    <w:lvl w:ilvl="0">
      <w:lvlJc w:val="left"/>
      <w:lvlText w:val="(%1)"/>
      <w:numFmt w:val="lowerLetter"/>
      <w:start w:val="1"/>
    </w:lvl>
  </w:abstractNum>
  <w:abstractNum w:abstractNumId="221">
    <w:nsid w:val="41205269"/>
    <w:multiLevelType w:val="hybridMultilevel"/>
    <w:lvl w:ilvl="0">
      <w:lvlJc w:val="left"/>
      <w:lvlText w:val="(%1)"/>
      <w:numFmt w:val="lowerLetter"/>
      <w:start w:val="2"/>
    </w:lvl>
  </w:abstractNum>
  <w:abstractNum w:abstractNumId="222">
    <w:nsid w:val="9AE0DD"/>
    <w:multiLevelType w:val="hybridMultilevel"/>
    <w:lvl w:ilvl="0">
      <w:lvlJc w:val="left"/>
      <w:lvlText w:val="(%1)"/>
      <w:numFmt w:val="lowerLetter"/>
      <w:start w:val="3"/>
    </w:lvl>
  </w:abstractNum>
  <w:abstractNum w:abstractNumId="223">
    <w:nsid w:val="1818832F"/>
    <w:multiLevelType w:val="hybridMultilevel"/>
    <w:lvl w:ilvl="0">
      <w:lvlJc w:val="left"/>
      <w:lvlText w:val="%1"/>
      <w:numFmt w:val="lowerLetter"/>
      <w:start w:val="1"/>
    </w:lvl>
    <w:lvl w:ilvl="1">
      <w:lvlJc w:val="left"/>
      <w:lvlText w:val="(%2)"/>
      <w:numFmt w:val="lowerLetter"/>
      <w:start w:val="4"/>
    </w:lvl>
  </w:abstractNum>
  <w:abstractNum w:abstractNumId="224">
    <w:nsid w:val="24C29FD1"/>
    <w:multiLevelType w:val="hybridMultilevel"/>
    <w:lvl w:ilvl="0">
      <w:lvlJc w:val="left"/>
      <w:lvlText w:val="(%1)"/>
      <w:numFmt w:val="lowerLetter"/>
      <w:start w:val="5"/>
    </w:lvl>
    <w:lvl w:ilvl="1">
      <w:lvlJc w:val="left"/>
      <w:lvlText w:val="%2"/>
      <w:numFmt w:val="lowerLetter"/>
      <w:start w:val="1"/>
    </w:lvl>
  </w:abstractNum>
  <w:abstractNum w:abstractNumId="225">
    <w:nsid w:val="50528108"/>
    <w:multiLevelType w:val="hybridMultilevel"/>
    <w:lvl w:ilvl="0">
      <w:lvlJc w:val="left"/>
      <w:lvlText w:val="%1."/>
      <w:numFmt w:val="decimal"/>
      <w:start w:val="9"/>
    </w:lvl>
    <w:lvl w:ilvl="1">
      <w:lvlJc w:val="left"/>
      <w:lvlText w:val="(%2)"/>
      <w:numFmt w:val="lowerLetter"/>
      <w:start w:val="1"/>
    </w:lvl>
  </w:abstractNum>
  <w:abstractNum w:abstractNumId="226">
    <w:nsid w:val="21857A5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27">
    <w:nsid w:val="5FD4B15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28">
    <w:nsid w:val="4ABE597"/>
    <w:multiLevelType w:val="hybridMultilevel"/>
    <w:lvl w:ilvl="0">
      <w:lvlJc w:val="left"/>
      <w:lvlText w:val="%1."/>
      <w:numFmt w:val="decimal"/>
      <w:start w:val="12"/>
    </w:lvl>
  </w:abstractNum>
  <w:abstractNum w:abstractNumId="229">
    <w:nsid w:val="5C64AD75"/>
    <w:multiLevelType w:val="hybridMultilevel"/>
    <w:lvl w:ilvl="0">
      <w:lvlJc w:val="left"/>
      <w:lvlText w:val="%1."/>
      <w:numFmt w:val="decimal"/>
      <w:start w:val="13"/>
    </w:lvl>
  </w:abstractNum>
  <w:abstractNum w:abstractNumId="230">
    <w:nsid w:val="2CDD5B39"/>
    <w:multiLevelType w:val="hybridMultilevel"/>
    <w:lvl w:ilvl="0">
      <w:lvlJc w:val="left"/>
      <w:lvlText w:val="%1."/>
      <w:numFmt w:val="decimal"/>
      <w:start w:val="14"/>
    </w:lvl>
  </w:abstractNum>
  <w:abstractNum w:abstractNumId="231">
    <w:nsid w:val="6F9EA0D1"/>
    <w:multiLevelType w:val="hybridMultilevel"/>
    <w:lvl w:ilvl="0">
      <w:lvlJc w:val="left"/>
      <w:lvlText w:val="%1."/>
      <w:numFmt w:val="decimal"/>
      <w:start w:val="20"/>
    </w:lvl>
  </w:abstractNum>
  <w:abstractNum w:abstractNumId="232">
    <w:nsid w:val="247FC4AE"/>
    <w:multiLevelType w:val="hybridMultilevel"/>
    <w:lvl w:ilvl="0">
      <w:lvlJc w:val="left"/>
      <w:lvlText w:val="%1."/>
      <w:numFmt w:val="decimal"/>
      <w:start w:val="24"/>
    </w:lvl>
    <w:lvl w:ilvl="1">
      <w:lvlJc w:val="left"/>
      <w:lvlText w:val="*"/>
      <w:numFmt w:val="bullet"/>
      <w:start w:val="1"/>
    </w:lvl>
  </w:abstractNum>
  <w:abstractNum w:abstractNumId="233">
    <w:nsid w:val="46C01B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4">
    <w:nsid w:val="566EC2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35">
    <w:nsid w:val="7A963843"/>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3"/>
    </w:lvl>
    <w:lvl w:ilvl="3">
      <w:lvlJc w:val="left"/>
      <w:lvlText w:val="%4"/>
      <w:numFmt w:val="lowerRoman"/>
      <w:start w:val="1"/>
    </w:lvl>
  </w:abstractNum>
  <w:abstractNum w:abstractNumId="236">
    <w:nsid w:val="4FE12F61"/>
    <w:multiLevelType w:val="hybridMultilevel"/>
    <w:lvl w:ilvl="0">
      <w:lvlJc w:val="left"/>
      <w:lvlText w:val="%1."/>
      <w:numFmt w:val="decimal"/>
      <w:start w:val="6"/>
    </w:lvl>
  </w:abstractNum>
  <w:abstractNum w:abstractNumId="237">
    <w:nsid w:val="51A3A284"/>
    <w:multiLevelType w:val="hybridMultilevel"/>
    <w:lvl w:ilvl="0">
      <w:lvlJc w:val="left"/>
      <w:lvlText w:val="%1"/>
      <w:numFmt w:val="upperLetter"/>
      <w:start w:val="1"/>
    </w:lvl>
    <w:lvl w:ilvl="1">
      <w:lvlJc w:val="left"/>
      <w:lvlText w:val="%2."/>
      <w:numFmt w:val="decimal"/>
      <w:start w:val="7"/>
    </w:lvl>
  </w:abstractNum>
  <w:abstractNum w:abstractNumId="238">
    <w:nsid w:val="376863BC"/>
    <w:multiLevelType w:val="hybridMultilevel"/>
    <w:lvl w:ilvl="0">
      <w:lvlJc w:val="left"/>
      <w:lvlText w:val="(%1)"/>
      <w:numFmt w:val="upperLetter"/>
      <w:start w:val="1"/>
    </w:lvl>
    <w:lvl w:ilvl="1">
      <w:lvlJc w:val="left"/>
      <w:lvlText w:val="%2"/>
      <w:numFmt w:val="decimal"/>
      <w:start w:val="1"/>
    </w:lvl>
  </w:abstractNum>
  <w:abstractNum w:abstractNumId="239">
    <w:nsid w:val="118C6C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0">
    <w:nsid w:val="7F7E4A15"/>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4"/>
    </w:lvl>
  </w:abstractNum>
  <w:abstractNum w:abstractNumId="241">
    <w:nsid w:val="2E8E9F47"/>
    <w:multiLevelType w:val="hybridMultilevel"/>
    <w:lvl w:ilvl="0">
      <w:lvlJc w:val="left"/>
      <w:lvlText w:val="•"/>
      <w:numFmt w:val="bullet"/>
      <w:start w:val="1"/>
    </w:lvl>
    <w:lvl w:ilvl="1">
      <w:lvlJc w:val="left"/>
      <w:lvlText w:val="(%2)"/>
      <w:numFmt w:val="lowerLetter"/>
      <w:start w:val="1"/>
    </w:lvl>
  </w:abstractNum>
  <w:abstractNum w:abstractNumId="242">
    <w:nsid w:val="76742596"/>
    <w:multiLevelType w:val="hybridMultilevel"/>
    <w:lvl w:ilvl="0">
      <w:lvlJc w:val="left"/>
      <w:lvlText w:val="(%1)"/>
      <w:numFmt w:val="lowerLetter"/>
      <w:start w:val="3"/>
    </w:lvl>
  </w:abstractNum>
  <w:abstractNum w:abstractNumId="243">
    <w:nsid w:val="CB55FF3"/>
    <w:multiLevelType w:val="hybridMultilevel"/>
    <w:lvl w:ilvl="0">
      <w:lvlJc w:val="left"/>
      <w:lvlText w:val="(%1)"/>
      <w:numFmt w:val="lowerLetter"/>
      <w:start w:val="6"/>
    </w:lvl>
  </w:abstractNum>
  <w:abstractNum w:abstractNumId="244">
    <w:nsid w:val="21DF319E"/>
    <w:multiLevelType w:val="hybridMultilevel"/>
    <w:lvl w:ilvl="0">
      <w:lvlJc w:val="left"/>
      <w:lvlText w:val="(%1)"/>
      <w:numFmt w:val="lowerRoman"/>
      <w:start w:val="1"/>
    </w:lvl>
  </w:abstractNum>
  <w:abstractNum w:abstractNumId="245">
    <w:nsid w:val="6687F34D"/>
    <w:multiLevelType w:val="hybridMultilevel"/>
    <w:lvl w:ilvl="0">
      <w:lvlJc w:val="left"/>
      <w:lvlText w:val="•"/>
      <w:numFmt w:val="bullet"/>
      <w:start w:val="1"/>
    </w:lvl>
  </w:abstractNum>
  <w:abstractNum w:abstractNumId="246">
    <w:nsid w:val="25415B0C"/>
    <w:multiLevelType w:val="hybridMultilevel"/>
    <w:lvl w:ilvl="0">
      <w:lvlJc w:val="left"/>
      <w:lvlText w:val="*"/>
      <w:numFmt w:val="bullet"/>
      <w:start w:val="1"/>
    </w:lvl>
    <w:lvl w:ilvl="1">
      <w:lvlJc w:val="left"/>
      <w:lvlText w:val="•"/>
      <w:numFmt w:val="bullet"/>
      <w:start w:val="1"/>
    </w:lvl>
  </w:abstractNum>
  <w:abstractNum w:abstractNumId="247">
    <w:nsid w:val="17CFC87D"/>
    <w:multiLevelType w:val="hybridMultilevel"/>
    <w:lvl w:ilvl="0">
      <w:lvlJc w:val="left"/>
      <w:lvlText w:val="•"/>
      <w:numFmt w:val="bullet"/>
      <w:start w:val="1"/>
    </w:lvl>
  </w:abstractNum>
  <w:abstractNum w:abstractNumId="248">
    <w:nsid w:val="5D66DC65"/>
    <w:multiLevelType w:val="hybridMultilevel"/>
    <w:lvl w:ilvl="0">
      <w:lvlJc w:val="left"/>
      <w:lvlText w:val="o"/>
      <w:numFmt w:val="bullet"/>
      <w:start w:val="1"/>
    </w:lvl>
  </w:abstractNum>
  <w:abstractNum w:abstractNumId="249">
    <w:nsid w:val="30BB2B99"/>
    <w:multiLevelType w:val="hybridMultilevel"/>
    <w:lvl w:ilvl="0">
      <w:lvlJc w:val="left"/>
      <w:lvlText w:val="•"/>
      <w:numFmt w:val="bullet"/>
      <w:start w:val="1"/>
    </w:lvl>
  </w:abstractNum>
  <w:abstractNum w:abstractNumId="250">
    <w:nsid w:val="E3DFE6"/>
    <w:multiLevelType w:val="hybridMultilevel"/>
    <w:lvl w:ilvl="0">
      <w:lvlJc w:val="left"/>
      <w:lvlText w:val="•"/>
      <w:numFmt w:val="bullet"/>
      <w:start w:val="1"/>
    </w:lvl>
  </w:abstractNum>
  <w:abstractNum w:abstractNumId="251">
    <w:nsid w:val="595B37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2">
    <w:nsid w:val="71DB7E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53">
    <w:nsid w:val="17EC0C4"/>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3"/>
    </w:lvl>
    <w:lvl w:ilvl="3">
      <w:lvlJc w:val="left"/>
      <w:lvlText w:val="%4"/>
      <w:numFmt w:val="lowerRoman"/>
      <w:start w:val="1"/>
    </w:lvl>
  </w:abstractNum>
  <w:abstractNum w:abstractNumId="254">
    <w:nsid w:val="7173BB22"/>
    <w:multiLevelType w:val="hybridMultilevel"/>
    <w:lvl w:ilvl="0">
      <w:lvlJc w:val="left"/>
      <w:lvlText w:val="%1."/>
      <w:numFmt w:val="decimal"/>
      <w:start w:val="6"/>
    </w:lvl>
  </w:abstractNum>
  <w:abstractNum w:abstractNumId="255">
    <w:nsid w:val="169E1DD3"/>
    <w:multiLevelType w:val="hybridMultilevel"/>
    <w:lvl w:ilvl="0">
      <w:lvlJc w:val="left"/>
      <w:lvlText w:val="%1."/>
      <w:numFmt w:val="decimal"/>
      <w:start w:val="7"/>
    </w:lvl>
    <w:lvl w:ilvl="1">
      <w:lvlJc w:val="left"/>
      <w:lvlText w:val="(%2)"/>
      <w:numFmt w:val="lowerLetter"/>
      <w:start w:val="1"/>
    </w:lvl>
  </w:abstractNum>
  <w:abstractNum w:abstractNumId="256">
    <w:nsid w:val="51D141CC"/>
    <w:multiLevelType w:val="hybridMultilevel"/>
    <w:lvl w:ilvl="0">
      <w:lvlJc w:val="left"/>
      <w:lvlText w:val="%1"/>
      <w:numFmt w:val="decimal"/>
      <w:start w:val="1"/>
    </w:lvl>
    <w:lvl w:ilvl="1">
      <w:lvlJc w:val="left"/>
      <w:lvlText w:val="(%2)"/>
      <w:numFmt w:val="lowerLetter"/>
      <w:start w:val="2"/>
    </w:lvl>
  </w:abstractNum>
  <w:abstractNum w:abstractNumId="257">
    <w:nsid w:val="12F9357A"/>
    <w:multiLevelType w:val="hybridMultilevel"/>
    <w:lvl w:ilvl="0">
      <w:lvlJc w:val="left"/>
      <w:lvlText w:val="%1."/>
      <w:numFmt w:val="decimal"/>
      <w:start w:val="9"/>
    </w:lvl>
    <w:lvl w:ilvl="1">
      <w:lvlJc w:val="left"/>
      <w:lvlText w:val="%2"/>
      <w:numFmt w:val="lowerLetter"/>
      <w:start w:val="1"/>
    </w:lvl>
  </w:abstractNum>
  <w:abstractNum w:abstractNumId="258">
    <w:nsid w:val="7672CF28"/>
    <w:multiLevelType w:val="hybridMultilevel"/>
    <w:lvl w:ilvl="0">
      <w:lvlJc w:val="left"/>
      <w:lvlText w:val="•"/>
      <w:numFmt w:val="bullet"/>
      <w:start w:val="1"/>
    </w:lvl>
    <w:lvl w:ilvl="1">
      <w:lvlJc w:val="left"/>
      <w:lvlText w:val="(%2)"/>
      <w:numFmt w:val="lowerLetter"/>
      <w:start w:val="1"/>
    </w:lvl>
  </w:abstractNum>
  <w:abstractNum w:abstractNumId="259">
    <w:nsid w:val="567D2763"/>
    <w:multiLevelType w:val="hybridMultilevel"/>
    <w:lvl w:ilvl="0">
      <w:lvlJc w:val="left"/>
      <w:lvlText w:val="(%1)"/>
      <w:numFmt w:val="lowerLetter"/>
      <w:start w:val="3"/>
    </w:lvl>
  </w:abstractNum>
  <w:abstractNum w:abstractNumId="260">
    <w:nsid w:val="6F5DE2EF"/>
    <w:multiLevelType w:val="hybridMultilevel"/>
    <w:lvl w:ilvl="0">
      <w:lvlJc w:val="left"/>
      <w:lvlText w:val="(%1)"/>
      <w:numFmt w:val="lowerLetter"/>
      <w:start w:val="6"/>
    </w:lvl>
  </w:abstractNum>
  <w:abstractNum w:abstractNumId="261">
    <w:nsid w:val="23502A61"/>
    <w:multiLevelType w:val="hybridMultilevel"/>
    <w:lvl w:ilvl="0">
      <w:lvlJc w:val="left"/>
      <w:lvlText w:val="(%1)"/>
      <w:numFmt w:val="lowerRoman"/>
      <w:start w:val="1"/>
    </w:lvl>
    <w:lvl w:ilvl="1">
      <w:lvlJc w:val="left"/>
      <w:lvlText w:val="(%2)"/>
      <w:numFmt w:val="lowerRoman"/>
      <w:start w:val="1"/>
    </w:lvl>
  </w:abstractNum>
  <w:abstractNum w:abstractNumId="262">
    <w:nsid w:val="461BC834"/>
    <w:multiLevelType w:val="hybridMultilevel"/>
    <w:lvl w:ilvl="0">
      <w:lvlJc w:val="left"/>
      <w:lvlText w:val="(%1)"/>
      <w:numFmt w:val="lowerRoman"/>
      <w:start w:val="3"/>
    </w:lvl>
  </w:abstractNum>
  <w:abstractNum w:abstractNumId="263">
    <w:nsid w:val="13DDA79D"/>
    <w:multiLevelType w:val="hybridMultilevel"/>
    <w:lvl w:ilvl="0">
      <w:lvlJc w:val="left"/>
      <w:lvlText w:val="•"/>
      <w:numFmt w:val="bullet"/>
      <w:start w:val="1"/>
    </w:lvl>
  </w:abstractNum>
  <w:abstractNum w:abstractNumId="264">
    <w:nsid w:val="6A104566"/>
    <w:multiLevelType w:val="hybridMultilevel"/>
    <w:lvl w:ilvl="0">
      <w:lvlJc w:val="left"/>
      <w:lvlText w:val="*"/>
      <w:numFmt w:val="bullet"/>
      <w:start w:val="1"/>
    </w:lvl>
    <w:lvl w:ilvl="1">
      <w:lvlJc w:val="left"/>
      <w:lvlText w:val="•"/>
      <w:numFmt w:val="bullet"/>
      <w:start w:val="1"/>
    </w:lvl>
  </w:abstractNum>
  <w:abstractNum w:abstractNumId="265">
    <w:nsid w:val="1C8A8ACF"/>
    <w:multiLevelType w:val="hybridMultilevel"/>
    <w:lvl w:ilvl="0">
      <w:lvlJc w:val="left"/>
      <w:lvlText w:val="•"/>
      <w:numFmt w:val="bullet"/>
      <w:start w:val="1"/>
    </w:lvl>
  </w:abstractNum>
  <w:abstractNum w:abstractNumId="266">
    <w:nsid w:val="E73DFE0"/>
    <w:multiLevelType w:val="hybridMultilevel"/>
    <w:lvl w:ilvl="0">
      <w:lvlJc w:val="left"/>
      <w:lvlText w:val="•"/>
      <w:numFmt w:val="bullet"/>
      <w:start w:val="1"/>
    </w:lvl>
  </w:abstractNum>
  <w:abstractNum w:abstractNumId="267">
    <w:nsid w:val="39F174C7"/>
    <w:multiLevelType w:val="hybridMultilevel"/>
    <w:lvl w:ilvl="0">
      <w:lvlJc w:val="left"/>
      <w:lvlText w:val="o"/>
      <w:numFmt w:val="bullet"/>
      <w:start w:val="1"/>
    </w:lvl>
  </w:abstractNum>
  <w:abstractNum w:abstractNumId="268">
    <w:nsid w:val="6E2E2D53"/>
    <w:multiLevelType w:val="hybridMultilevel"/>
    <w:lvl w:ilvl="0">
      <w:lvlJc w:val="left"/>
      <w:lvlText w:val="•"/>
      <w:numFmt w:val="bullet"/>
      <w:start w:val="1"/>
    </w:lvl>
  </w:abstractNum>
  <w:abstractNum w:abstractNumId="269">
    <w:nsid w:val="45DC439D"/>
    <w:multiLevelType w:val="hybridMultilevel"/>
    <w:lvl w:ilvl="0">
      <w:lvlJc w:val="left"/>
      <w:lvlText w:val="(%1)"/>
      <w:numFmt w:val="lowerRoman"/>
      <w:start w:val="3"/>
    </w:lvl>
  </w:abstractNum>
  <w:abstractNum w:abstractNumId="270">
    <w:nsid w:val="3B0A3B87"/>
    <w:multiLevelType w:val="hybridMultilevel"/>
    <w:lvl w:ilvl="0">
      <w:lvlJc w:val="left"/>
      <w:lvlText w:val="(%1)"/>
      <w:numFmt w:val="decimal"/>
      <w:start w:val="2"/>
    </w:lvl>
  </w:abstractNum>
  <w:abstractNum w:abstractNumId="271">
    <w:nsid w:val="6DAC776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2">
    <w:nsid w:val="746AE2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73">
    <w:nsid w:val="317E611D"/>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3"/>
    </w:lvl>
    <w:lvl w:ilvl="3">
      <w:lvlJc w:val="left"/>
      <w:lvlText w:val="%4"/>
      <w:numFmt w:val="lowerRoman"/>
      <w:start w:val="1"/>
    </w:lvl>
  </w:abstractNum>
  <w:abstractNum w:abstractNumId="274">
    <w:nsid w:val="7A61D75B"/>
    <w:multiLevelType w:val="hybridMultilevel"/>
    <w:lvl w:ilvl="0">
      <w:lvlJc w:val="left"/>
      <w:lvlText w:val="%1."/>
      <w:numFmt w:val="decimal"/>
      <w:start w:val="6"/>
    </w:lvl>
  </w:abstractNum>
  <w:abstractNum w:abstractNumId="275">
    <w:nsid w:val="164A1482"/>
    <w:multiLevelType w:val="hybridMultilevel"/>
    <w:lvl w:ilvl="0">
      <w:lvlJc w:val="left"/>
      <w:lvlText w:val="%1"/>
      <w:numFmt w:val="upperLetter"/>
      <w:start w:val="1"/>
    </w:lvl>
    <w:lvl w:ilvl="1">
      <w:lvlJc w:val="left"/>
      <w:lvlText w:val="%2."/>
      <w:numFmt w:val="decimal"/>
      <w:start w:val="7"/>
    </w:lvl>
  </w:abstractNum>
  <w:abstractNum w:abstractNumId="276">
    <w:nsid w:val="1806546B"/>
    <w:multiLevelType w:val="hybridMultilevel"/>
    <w:lvl w:ilvl="0">
      <w:lvlJc w:val="left"/>
      <w:lvlText w:val="(%1)"/>
      <w:numFmt w:val="upperLetter"/>
      <w:start w:val="1"/>
    </w:lvl>
    <w:lvl w:ilvl="1">
      <w:lvlJc w:val="left"/>
      <w:lvlText w:val="%2"/>
      <w:numFmt w:val="decimal"/>
      <w:start w:val="1"/>
    </w:lvl>
  </w:abstractNum>
  <w:abstractNum w:abstractNumId="277">
    <w:nsid w:val="1FA332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78">
    <w:nsid w:val="2E19DD00"/>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4"/>
    </w:lvl>
  </w:abstractNum>
  <w:abstractNum w:abstractNumId="279">
    <w:nsid w:val="756D30D0"/>
    <w:multiLevelType w:val="hybridMultilevel"/>
    <w:lvl w:ilvl="0">
      <w:lvlJc w:val="left"/>
      <w:lvlText w:val="•"/>
      <w:numFmt w:val="bullet"/>
      <w:start w:val="1"/>
    </w:lvl>
    <w:lvl w:ilvl="1">
      <w:lvlJc w:val="left"/>
      <w:lvlText w:val="(%2)"/>
      <w:numFmt w:val="lowerLetter"/>
      <w:start w:val="1"/>
    </w:lvl>
  </w:abstractNum>
  <w:abstractNum w:abstractNumId="280">
    <w:nsid w:val="505E5E01"/>
    <w:multiLevelType w:val="hybridMultilevel"/>
    <w:lvl w:ilvl="0">
      <w:lvlJc w:val="left"/>
      <w:lvlText w:val="(%1)"/>
      <w:numFmt w:val="lowerLetter"/>
      <w:start w:val="3"/>
    </w:lvl>
  </w:abstractNum>
  <w:abstractNum w:abstractNumId="281">
    <w:nsid w:val="2EFDBCE6"/>
    <w:multiLevelType w:val="hybridMultilevel"/>
    <w:lvl w:ilvl="0">
      <w:lvlJc w:val="left"/>
      <w:lvlText w:val="(%1)"/>
      <w:numFmt w:val="lowerLetter"/>
      <w:start w:val="6"/>
    </w:lvl>
  </w:abstractNum>
  <w:abstractNum w:abstractNumId="282">
    <w:nsid w:val="4EC868C4"/>
    <w:multiLevelType w:val="hybridMultilevel"/>
    <w:lvl w:ilvl="0">
      <w:lvlJc w:val="left"/>
      <w:lvlText w:val="(%1)"/>
      <w:numFmt w:val="lowerRoman"/>
      <w:start w:val="1"/>
    </w:lvl>
    <w:lvl w:ilvl="1">
      <w:lvlJc w:val="left"/>
      <w:lvlText w:val="(%2)"/>
      <w:numFmt w:val="lowerRoman"/>
      <w:start w:val="1"/>
    </w:lvl>
  </w:abstractNum>
  <w:abstractNum w:abstractNumId="283">
    <w:nsid w:val="4239DC03"/>
    <w:multiLevelType w:val="hybridMultilevel"/>
    <w:lvl w:ilvl="0">
      <w:lvlJc w:val="left"/>
      <w:lvlText w:val="•"/>
      <w:numFmt w:val="bullet"/>
      <w:start w:val="1"/>
    </w:lvl>
  </w:abstractNum>
  <w:abstractNum w:abstractNumId="284">
    <w:nsid w:val="307C7DAA"/>
    <w:multiLevelType w:val="hybridMultilevel"/>
    <w:lvl w:ilvl="0">
      <w:lvlJc w:val="left"/>
      <w:lvlText w:val="*"/>
      <w:numFmt w:val="bullet"/>
      <w:start w:val="1"/>
    </w:lvl>
    <w:lvl w:ilvl="1">
      <w:lvlJc w:val="left"/>
      <w:lvlText w:val="•"/>
      <w:numFmt w:val="bullet"/>
      <w:start w:val="1"/>
    </w:lvl>
  </w:abstractNum>
  <w:abstractNum w:abstractNumId="285">
    <w:nsid w:val="403C23E6"/>
    <w:multiLevelType w:val="hybridMultilevel"/>
    <w:lvl w:ilvl="0">
      <w:lvlJc w:val="left"/>
      <w:lvlText w:val="%1."/>
      <w:numFmt w:val="upperLetter"/>
      <w:start w:val="1"/>
    </w:lvl>
  </w:abstractNum>
  <w:abstractNum w:abstractNumId="286">
    <w:nsid w:val="58D7F9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7">
    <w:nsid w:val="24DBF76"/>
    <w:multiLevelType w:val="hybridMultilevel"/>
    <w:lvl w:ilvl="0">
      <w:lvlJc w:val="left"/>
      <w:lvlText w:val="(%1)"/>
      <w:numFmt w:val="lowerRoman"/>
      <w:start w:val="3"/>
    </w:lvl>
  </w:abstractNum>
  <w:abstractNum w:abstractNumId="288">
    <w:nsid w:val="5335596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89">
    <w:nsid w:val="4F4AC8FF"/>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90">
    <w:nsid w:val="58CAE6D9"/>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291">
    <w:nsid w:val="42933C4F"/>
    <w:multiLevelType w:val="hybridMultilevel"/>
    <w:lvl w:ilvl="0">
      <w:lvlJc w:val="left"/>
      <w:lvlText w:val="%1"/>
      <w:numFmt w:val="decimal"/>
      <w:start w:val="1"/>
    </w:lvl>
    <w:lvl w:ilvl="1">
      <w:lvlJc w:val="left"/>
      <w:lvlText w:val="(%2)"/>
      <w:numFmt w:val="lowerLetter"/>
      <w:start w:val="7"/>
    </w:lvl>
  </w:abstractNum>
  <w:abstractNum w:abstractNumId="292">
    <w:nsid w:val="729AF360"/>
    <w:multiLevelType w:val="hybridMultilevel"/>
    <w:lvl w:ilvl="0">
      <w:lvlJc w:val="left"/>
      <w:lvlText w:val="%1."/>
      <w:numFmt w:val="decimal"/>
      <w:start w:val="2"/>
    </w:lvl>
    <w:lvl w:ilvl="1">
      <w:lvlJc w:val="left"/>
      <w:lvlText w:val="%2"/>
      <w:numFmt w:val="lowerLetter"/>
      <w:start w:val="1"/>
    </w:lvl>
  </w:abstractNum>
  <w:abstractNum w:abstractNumId="293">
    <w:nsid w:val="1EE6AF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4">
    <w:nsid w:val="5670E3ED"/>
    <w:multiLevelType w:val="hybridMultilevel"/>
    <w:lvl w:ilvl="0">
      <w:lvlJc w:val="left"/>
      <w:lvlText w:val="%1"/>
      <w:numFmt w:val="decimal"/>
      <w:start w:val="1"/>
    </w:lvl>
    <w:lvl w:ilvl="1">
      <w:lvlJc w:val="left"/>
      <w:lvlText w:val="(%2)"/>
      <w:numFmt w:val="lowerLetter"/>
      <w:start w:val="3"/>
    </w:lvl>
  </w:abstractNum>
  <w:abstractNum w:abstractNumId="295">
    <w:nsid w:val="5CAB38C6"/>
    <w:multiLevelType w:val="hybridMultilevel"/>
    <w:lvl w:ilvl="0">
      <w:lvlJc w:val="left"/>
      <w:lvlText w:val="%1."/>
      <w:numFmt w:val="decimal"/>
      <w:start w:val="8"/>
    </w:lvl>
    <w:lvl w:ilvl="1">
      <w:lvlJc w:val="left"/>
      <w:lvlText w:val="%2"/>
      <w:numFmt w:val="lowerLetter"/>
      <w:start w:val="1"/>
    </w:lvl>
  </w:abstractNum>
  <w:abstractNum w:abstractNumId="296">
    <w:nsid w:val="3B7139DD"/>
    <w:multiLevelType w:val="hybridMultilevel"/>
    <w:lvl w:ilvl="0">
      <w:lvlJc w:val="left"/>
      <w:lvlText w:val="%1."/>
      <w:numFmt w:val="decimal"/>
      <w:start w:val="9"/>
    </w:lvl>
    <w:lvl w:ilvl="1">
      <w:lvlJc w:val="left"/>
      <w:lvlText w:val="(%2)"/>
      <w:numFmt w:val="lowerLetter"/>
      <w:start w:val="1"/>
    </w:lvl>
  </w:abstractNum>
  <w:abstractNum w:abstractNumId="297">
    <w:nsid w:val="64E4C3CD"/>
    <w:multiLevelType w:val="hybridMultilevel"/>
    <w:lvl w:ilvl="0">
      <w:lvlJc w:val="left"/>
      <w:lvlText w:val="(%1)"/>
      <w:numFmt w:val="lowerLetter"/>
      <w:start w:val="2"/>
    </w:lvl>
  </w:abstractNum>
  <w:abstractNum w:abstractNumId="298">
    <w:nsid w:val="169CAD8D"/>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99">
    <w:nsid w:val="299F6730"/>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3"/>
    </w:lvl>
  </w:abstractNum>
  <w:abstractNum w:abstractNumId="300">
    <w:nsid w:val="2AC107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1">
    <w:nsid w:val="51A6E9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2">
    <w:nsid w:val="174BDE99"/>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4"/>
    </w:lvl>
  </w:abstractNum>
  <w:abstractNum w:abstractNumId="303">
    <w:nsid w:val="1F2BEA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4">
    <w:nsid w:val="3254A32"/>
    <w:multiLevelType w:val="hybridMultilevel"/>
    <w:lvl w:ilvl="0">
      <w:lvlJc w:val="left"/>
      <w:lvlText w:val="%1."/>
      <w:numFmt w:val="decimal"/>
      <w:start w:val="14"/>
    </w:lvl>
  </w:abstractNum>
  <w:abstractNum w:abstractNumId="305">
    <w:nsid w:val="11ADB5F4"/>
    <w:multiLevelType w:val="hybridMultilevel"/>
    <w:lvl w:ilvl="0">
      <w:lvlJc w:val="left"/>
      <w:lvlText w:val="%1"/>
      <w:numFmt w:val="lowerLetter"/>
      <w:start w:val="1"/>
    </w:lvl>
    <w:lvl w:ilvl="1">
      <w:lvlJc w:val="left"/>
      <w:lvlText w:val="%2."/>
      <w:numFmt w:val="decimal"/>
      <w:start w:val="18"/>
    </w:lvl>
  </w:abstractNum>
  <w:abstractNum w:abstractNumId="306">
    <w:nsid w:val="3575FED1"/>
    <w:multiLevelType w:val="hybridMultilevel"/>
    <w:lvl w:ilvl="0">
      <w:lvlJc w:val="left"/>
      <w:lvlText w:val="(%1)"/>
      <w:numFmt w:val="lowerLetter"/>
      <w:start w:val="2"/>
    </w:lvl>
    <w:lvl w:ilvl="1">
      <w:lvlJc w:val="left"/>
      <w:lvlText w:val="%2"/>
      <w:numFmt w:val="decimal"/>
      <w:start w:val="1"/>
    </w:lvl>
  </w:abstractNum>
  <w:abstractNum w:abstractNumId="307">
    <w:nsid w:val="1B2B9E9D"/>
    <w:multiLevelType w:val="hybridMultilevel"/>
    <w:lvl w:ilvl="0">
      <w:lvlJc w:val="left"/>
      <w:lvlText w:val="%1."/>
      <w:numFmt w:val="decimal"/>
      <w:start w:val="23"/>
    </w:lvl>
    <w:lvl w:ilvl="1">
      <w:lvlJc w:val="left"/>
      <w:lvlText w:val="(%2)"/>
      <w:numFmt w:val="lowerLetter"/>
      <w:start w:val="1"/>
    </w:lvl>
  </w:abstractNum>
  <w:abstractNum w:abstractNumId="308">
    <w:nsid w:val="3150E85C"/>
    <w:multiLevelType w:val="hybridMultilevel"/>
    <w:lvl w:ilvl="0">
      <w:lvlJc w:val="left"/>
      <w:lvlText w:val="%1."/>
      <w:numFmt w:val="decimal"/>
      <w:start w:val="27"/>
    </w:lvl>
  </w:abstractNum>
  <w:abstractNum w:abstractNumId="309">
    <w:nsid w:val="638FDBD1"/>
    <w:multiLevelType w:val="hybridMultilevel"/>
    <w:lvl w:ilvl="0">
      <w:lvlJc w:val="left"/>
      <w:lvlText w:val="(%1)"/>
      <w:numFmt w:val="lowerRoman"/>
      <w:start w:val="4"/>
    </w:lvl>
    <w:lvl w:ilvl="1">
      <w:lvlJc w:val="left"/>
      <w:lvlText w:val="%2."/>
      <w:numFmt w:val="decimal"/>
      <w:start w:val="28"/>
    </w:lvl>
  </w:abstractNum>
  <w:abstractNum w:abstractNumId="310">
    <w:nsid w:val="1098CF6E"/>
    <w:multiLevelType w:val="hybridMultilevel"/>
    <w:lvl w:ilvl="0">
      <w:lvlJc w:val="left"/>
      <w:lvlText w:val="(%1)"/>
      <w:numFmt w:val="lowerLetter"/>
      <w:start w:val="1"/>
    </w:lvl>
  </w:abstractNum>
  <w:abstractNum w:abstractNumId="311">
    <w:nsid w:val="1AF465D"/>
    <w:multiLevelType w:val="hybridMultilevel"/>
    <w:lvl w:ilvl="0">
      <w:lvlJc w:val="left"/>
      <w:lvlText w:val="(%1)"/>
      <w:numFmt w:val="lowerLetter"/>
      <w:start w:val="1"/>
    </w:lvl>
  </w:abstractNum>
  <w:abstractNum w:abstractNumId="312">
    <w:nsid w:val="128D98B7"/>
    <w:multiLevelType w:val="hybridMultilevel"/>
    <w:lvl w:ilvl="0">
      <w:lvlJc w:val="left"/>
      <w:lvlText w:val="(%1)"/>
      <w:numFmt w:val="lowerLetter"/>
      <w:start w:val="2"/>
    </w:lvl>
  </w:abstractNum>
  <w:abstractNum w:abstractNumId="313">
    <w:nsid w:val="5F613832"/>
    <w:multiLevelType w:val="hybridMultilevel"/>
    <w:lvl w:ilvl="0">
      <w:lvlJc w:val="left"/>
      <w:lvlText w:val="(%1)"/>
      <w:numFmt w:val="lowerLetter"/>
      <w:start w:val="4"/>
    </w:lvl>
  </w:abstractNum>
  <w:abstractNum w:abstractNumId="314">
    <w:nsid w:val="43E92260"/>
    <w:multiLevelType w:val="hybridMultilevel"/>
    <w:lvl w:ilvl="0">
      <w:lvlJc w:val="left"/>
      <w:lvlText w:val="(%1)"/>
      <w:numFmt w:val="lowerLetter"/>
      <w:start w:val="1"/>
    </w:lvl>
    <w:lvl w:ilvl="1">
      <w:lvlJc w:val="left"/>
      <w:lvlText w:val="(%2)"/>
      <w:numFmt w:val="lowerRoman"/>
      <w:start w:val="1"/>
    </w:lvl>
  </w:abstractNum>
  <w:abstractNum w:abstractNumId="315">
    <w:nsid w:val="430A1662"/>
    <w:multiLevelType w:val="hybridMultilevel"/>
    <w:lvl w:ilvl="0">
      <w:lvlJc w:val="left"/>
      <w:lvlText w:val="(%1)"/>
      <w:numFmt w:val="lowerLetter"/>
      <w:start w:val="3"/>
    </w:lvl>
    <w:lvl w:ilvl="1">
      <w:lvlJc w:val="left"/>
      <w:lvlText w:val="(%2)"/>
      <w:numFmt w:val="lowerRoman"/>
      <w:start w:val="1"/>
    </w:lvl>
  </w:abstractNum>
  <w:abstractNum w:abstractNumId="316">
    <w:nsid w:val="1F9D5C18"/>
    <w:multiLevelType w:val="hybridMultilevel"/>
    <w:lvl w:ilvl="0">
      <w:lvlJc w:val="left"/>
      <w:lvlText w:val="(%1)"/>
      <w:numFmt w:val="lowerLetter"/>
      <w:start w:val="1"/>
    </w:lvl>
  </w:abstractNum>
  <w:abstractNum w:abstractNumId="317">
    <w:nsid w:val="1CC11C37"/>
    <w:multiLevelType w:val="hybridMultilevel"/>
    <w:lvl w:ilvl="0">
      <w:lvlJc w:val="left"/>
      <w:lvlText w:val="(%1)"/>
      <w:numFmt w:val="lowerLetter"/>
      <w:start w:val="1"/>
    </w:lvl>
  </w:abstractNum>
  <w:abstractNum w:abstractNumId="318">
    <w:nsid w:val="4557D5D8"/>
    <w:multiLevelType w:val="hybridMultilevel"/>
    <w:lvl w:ilvl="0">
      <w:lvlJc w:val="left"/>
      <w:lvlText w:val="(%1)"/>
      <w:numFmt w:val="lowerLetter"/>
      <w:start w:val="1"/>
    </w:lvl>
  </w:abstractNum>
  <w:abstractNum w:abstractNumId="319">
    <w:nsid w:val="72D2B579"/>
    <w:multiLevelType w:val="hybridMultilevel"/>
    <w:lvl w:ilvl="0">
      <w:lvlJc w:val="left"/>
      <w:lvlText w:val="(%1)"/>
      <w:numFmt w:val="lowerLetter"/>
      <w:start w:val="1"/>
    </w:lvl>
  </w:abstractNum>
  <w:abstractNum w:abstractNumId="320">
    <w:nsid w:val="6C0BE536"/>
    <w:multiLevelType w:val="hybridMultilevel"/>
    <w:lvl w:ilvl="0">
      <w:lvlJc w:val="left"/>
      <w:lvlText w:val="(%1)"/>
      <w:numFmt w:val="lowerLetter"/>
      <w:start w:val="1"/>
    </w:lvl>
  </w:abstractNum>
  <w:abstractNum w:abstractNumId="321">
    <w:nsid w:val="1E22BCB2"/>
    <w:multiLevelType w:val="hybridMultilevel"/>
    <w:lvl w:ilvl="0">
      <w:lvlJc w:val="left"/>
      <w:lvlText w:val="(%1)"/>
      <w:numFmt w:val="lowerLetter"/>
      <w:start w:val="1"/>
    </w:lvl>
    <w:lvl w:ilvl="1">
      <w:lvlJc w:val="left"/>
      <w:lvlText w:val="(%2)"/>
      <w:numFmt w:val="lowerLetter"/>
      <w:start w:val="9"/>
    </w:lvl>
  </w:abstractNum>
  <w:abstractNum w:abstractNumId="322">
    <w:nsid w:val="3565F1C8"/>
    <w:multiLevelType w:val="hybridMultilevel"/>
    <w:lvl w:ilvl="0">
      <w:lvlJc w:val="left"/>
      <w:lvlText w:val="(%1)"/>
      <w:numFmt w:val="lowerLetter"/>
      <w:start w:val="25"/>
    </w:lvl>
  </w:abstractNum>
  <w:abstractNum w:abstractNumId="323">
    <w:nsid w:val="5EA6D896"/>
    <w:multiLevelType w:val="hybridMultilevel"/>
    <w:lvl w:ilvl="0">
      <w:lvlJc w:val="left"/>
      <w:lvlText w:val="(%1)"/>
      <w:numFmt w:val="lowerRoman"/>
      <w:start w:val="2"/>
    </w:lvl>
  </w:abstractNum>
  <w:abstractNum w:abstractNumId="324">
    <w:nsid w:val="3D096BBF"/>
    <w:multiLevelType w:val="hybridMultilevel"/>
    <w:lvl w:ilvl="0">
      <w:lvlJc w:val="left"/>
      <w:lvlText w:val="(%1)"/>
      <w:numFmt w:val="lowerLetter"/>
      <w:start w:val="3"/>
    </w:lvl>
  </w:abstractNum>
  <w:abstractNum w:abstractNumId="325">
    <w:nsid w:val="BD6D5B5"/>
    <w:multiLevelType w:val="hybridMultilevel"/>
    <w:lvl w:ilvl="0">
      <w:lvlJc w:val="left"/>
      <w:lvlText w:val="(%1)"/>
      <w:numFmt w:val="lowerLetter"/>
      <w:start w:val="1"/>
    </w:lvl>
  </w:abstractNum>
  <w:abstractNum w:abstractNumId="326">
    <w:nsid w:val="3B52115C"/>
    <w:multiLevelType w:val="hybridMultilevel"/>
    <w:lvl w:ilvl="0">
      <w:lvlJc w:val="left"/>
      <w:lvlText w:val="(%1)"/>
      <w:numFmt w:val="lowerLetter"/>
      <w:start w:val="1"/>
    </w:lvl>
  </w:abstractNum>
  <w:abstractNum w:abstractNumId="327">
    <w:nsid w:val="787AA59C"/>
    <w:multiLevelType w:val="hybridMultilevel"/>
    <w:lvl w:ilvl="0">
      <w:lvlJc w:val="left"/>
      <w:lvlText w:val="1"/>
      <w:numFmt w:val="bullet"/>
      <w:start w:val="1"/>
    </w:lvl>
    <w:lvl w:ilvl="1">
      <w:lvlJc w:val="left"/>
      <w:lvlText w:val="(%2)"/>
      <w:numFmt w:val="lowerLetter"/>
      <w:start w:val="1"/>
    </w:lvl>
  </w:abstractNum>
  <w:abstractNum w:abstractNumId="328">
    <w:nsid w:val="70BB9983"/>
    <w:multiLevelType w:val="hybridMultilevel"/>
    <w:lvl w:ilvl="0">
      <w:lvlJc w:val="left"/>
      <w:lvlText w:val="(%1)"/>
      <w:numFmt w:val="lowerLetter"/>
      <w:start w:val="1"/>
    </w:lvl>
  </w:abstractNum>
  <w:abstractNum w:abstractNumId="329">
    <w:nsid w:val="51EEBEEA"/>
    <w:multiLevelType w:val="hybridMultilevel"/>
    <w:lvl w:ilvl="0">
      <w:lvlJc w:val="left"/>
      <w:lvlText w:val="(%1)"/>
      <w:numFmt w:val="lowerLetter"/>
      <w:start w:val="1"/>
    </w:lvl>
  </w:abstractNum>
  <w:abstractNum w:abstractNumId="330">
    <w:nsid w:val="221A0CCD"/>
    <w:multiLevelType w:val="hybridMultilevel"/>
    <w:lvl w:ilvl="0">
      <w:lvlJc w:val="left"/>
      <w:lvlText w:val="(%1)"/>
      <w:numFmt w:val="lowerLetter"/>
      <w:start w:val="2"/>
    </w:lvl>
  </w:abstractNum>
  <w:abstractNum w:abstractNumId="331">
    <w:nsid w:val="1B7CA0ED"/>
    <w:multiLevelType w:val="hybridMultilevel"/>
    <w:lvl w:ilvl="0">
      <w:lvlJc w:val="left"/>
      <w:lvlText w:val="(%1)"/>
      <w:numFmt w:val="lowerLetter"/>
      <w:start w:val="1"/>
    </w:lvl>
  </w:abstractNum>
  <w:abstractNum w:abstractNumId="332">
    <w:nsid w:val="2395A7FF"/>
    <w:multiLevelType w:val="hybridMultilevel"/>
    <w:lvl w:ilvl="0">
      <w:lvlJc w:val="left"/>
      <w:lvlText w:val="(%1)"/>
      <w:numFmt w:val="lowerLetter"/>
      <w:start w:val="2"/>
    </w:lvl>
    <w:lvl w:ilvl="1">
      <w:lvlJc w:val="left"/>
      <w:lvlText w:val="(%2)"/>
      <w:numFmt w:val="lowerRoman"/>
      <w:start w:val="1"/>
    </w:lvl>
  </w:abstractNum>
  <w:abstractNum w:abstractNumId="333">
    <w:nsid w:val="3965EB66"/>
    <w:multiLevelType w:val="hybridMultilevel"/>
    <w:lvl w:ilvl="0">
      <w:lvlJc w:val="left"/>
      <w:lvlText w:val="(%1)"/>
      <w:numFmt w:val="lowerLetter"/>
      <w:start w:val="1"/>
    </w:lvl>
  </w:abstractNum>
  <w:abstractNum w:abstractNumId="334">
    <w:nsid w:val="3AA88B3C"/>
    <w:multiLevelType w:val="hybridMultilevel"/>
    <w:lvl w:ilvl="0">
      <w:lvlJc w:val="left"/>
      <w:lvlText w:val="(%1)"/>
      <w:numFmt w:val="lowerLetter"/>
      <w:start w:val="2"/>
    </w:lvl>
  </w:abstractNum>
  <w:abstractNum w:abstractNumId="335">
    <w:nsid w:val="26BAF231"/>
    <w:multiLevelType w:val="hybridMultilevel"/>
    <w:lvl w:ilvl="0">
      <w:lvlJc w:val="left"/>
      <w:lvlText w:val="(%1)"/>
      <w:numFmt w:val="lowerLetter"/>
      <w:start w:val="3"/>
    </w:lvl>
  </w:abstractNum>
  <w:abstractNum w:abstractNumId="336">
    <w:nsid w:val="4B13A15A"/>
    <w:multiLevelType w:val="hybridMultilevel"/>
    <w:lvl w:ilvl="0">
      <w:lvlJc w:val="left"/>
      <w:lvlText w:val="(%1)"/>
      <w:numFmt w:val="lowerLetter"/>
      <w:start w:val="1"/>
    </w:lvl>
  </w:abstractNum>
  <w:abstractNum w:abstractNumId="337">
    <w:nsid w:val="701E8A0D"/>
    <w:multiLevelType w:val="hybridMultilevel"/>
    <w:lvl w:ilvl="0">
      <w:lvlJc w:val="left"/>
      <w:lvlText w:val="(%1)"/>
      <w:numFmt w:val="lowerLetter"/>
      <w:start w:val="1"/>
    </w:lvl>
    <w:lvl w:ilvl="1">
      <w:lvlJc w:val="left"/>
      <w:lvlText w:val="(%2)"/>
      <w:numFmt w:val="lowerRoman"/>
      <w:start w:val="1"/>
    </w:lvl>
  </w:abstractNum>
  <w:abstractNum w:abstractNumId="338">
    <w:nsid w:val="41E690CF"/>
    <w:multiLevelType w:val="hybridMultilevel"/>
    <w:lvl w:ilvl="0">
      <w:lvlJc w:val="left"/>
      <w:lvlText w:val="(%1)"/>
      <w:numFmt w:val="lowerLetter"/>
      <w:start w:val="1"/>
    </w:lvl>
  </w:abstractNum>
  <w:abstractNum w:abstractNumId="339">
    <w:nsid w:val="7C6489B6"/>
    <w:multiLevelType w:val="hybridMultilevel"/>
    <w:lvl w:ilvl="0">
      <w:lvlJc w:val="left"/>
      <w:lvlText w:val="(%1)"/>
      <w:numFmt w:val="lowerLetter"/>
      <w:start w:val="1"/>
    </w:lvl>
  </w:abstractNum>
  <w:abstractNum w:abstractNumId="340">
    <w:nsid w:val="53AE65DE"/>
    <w:multiLevelType w:val="hybridMultilevel"/>
    <w:lvl w:ilvl="0">
      <w:lvlJc w:val="left"/>
      <w:lvlText w:val="(%1)"/>
      <w:numFmt w:val="lowerLetter"/>
      <w:start w:val="2"/>
    </w:lvl>
  </w:abstractNum>
  <w:abstractNum w:abstractNumId="341">
    <w:nsid w:val="527F603D"/>
    <w:multiLevelType w:val="hybridMultilevel"/>
    <w:lvl w:ilvl="0">
      <w:lvlJc w:val="left"/>
      <w:lvlText w:val="(%1)"/>
      <w:numFmt w:val="lowerLetter"/>
      <w:start w:val="1"/>
    </w:lvl>
  </w:abstractNum>
  <w:abstractNum w:abstractNumId="342">
    <w:nsid w:val="7E13D013"/>
    <w:multiLevelType w:val="hybridMultilevel"/>
    <w:lvl w:ilvl="0">
      <w:lvlJc w:val="left"/>
      <w:lvlText w:val="(%1)"/>
      <w:numFmt w:val="lowerLetter"/>
      <w:start w:val="4"/>
    </w:lvl>
  </w:abstractNum>
  <w:abstractNum w:abstractNumId="343">
    <w:nsid w:val="663BFE95"/>
    <w:multiLevelType w:val="hybridMultilevel"/>
    <w:lvl w:ilvl="0">
      <w:lvlJc w:val="left"/>
      <w:lvlText w:val="(%1)"/>
      <w:numFmt w:val="lowerLetter"/>
      <w:start w:val="1"/>
    </w:lvl>
  </w:abstractNum>
  <w:abstractNum w:abstractNumId="344">
    <w:nsid w:val="31E0986F"/>
    <w:multiLevelType w:val="hybridMultilevel"/>
    <w:lvl w:ilvl="0">
      <w:lvlJc w:val="left"/>
      <w:lvlText w:val="(%1)"/>
      <w:numFmt w:val="lowerLetter"/>
      <w:start w:val="2"/>
    </w:lvl>
  </w:abstractNum>
  <w:abstractNum w:abstractNumId="345">
    <w:nsid w:val="41FCF274"/>
    <w:multiLevelType w:val="hybridMultilevel"/>
    <w:lvl w:ilvl="0">
      <w:lvlJc w:val="left"/>
      <w:lvlText w:val="(%1)"/>
      <w:numFmt w:val="lowerLetter"/>
      <w:start w:val="1"/>
    </w:lvl>
  </w:abstractNum>
  <w:abstractNum w:abstractNumId="346">
    <w:nsid w:val="294614F7"/>
    <w:multiLevelType w:val="hybridMultilevel"/>
    <w:lvl w:ilvl="0">
      <w:lvlJc w:val="left"/>
      <w:lvlText w:val="(%1)"/>
      <w:numFmt w:val="lowerLetter"/>
      <w:start w:val="1"/>
    </w:lvl>
  </w:abstractNum>
  <w:abstractNum w:abstractNumId="347">
    <w:nsid w:val="517DF487"/>
    <w:multiLevelType w:val="hybridMultilevel"/>
    <w:lvl w:ilvl="0">
      <w:lvlJc w:val="left"/>
      <w:lvlText w:val="(%1)"/>
      <w:numFmt w:val="lowerLetter"/>
      <w:start w:val="1"/>
    </w:lvl>
  </w:abstractNum>
  <w:abstractNum w:abstractNumId="348">
    <w:nsid w:val="5EBE0EAB"/>
    <w:multiLevelType w:val="hybridMultilevel"/>
    <w:lvl w:ilvl="0">
      <w:lvlJc w:val="left"/>
      <w:lvlText w:val="(%1)"/>
      <w:numFmt w:val="lowerLetter"/>
      <w:start w:val="1"/>
    </w:lvl>
    <w:lvl w:ilvl="1">
      <w:lvlJc w:val="left"/>
      <w:lvlText w:val="(%2)"/>
      <w:numFmt w:val="lowerRoman"/>
      <w:start w:val="1"/>
    </w:lvl>
  </w:abstractNum>
  <w:abstractNum w:abstractNumId="349">
    <w:nsid w:val="6E9DEAD0"/>
    <w:multiLevelType w:val="hybridMultilevel"/>
    <w:lvl w:ilvl="0">
      <w:lvlJc w:val="left"/>
      <w:lvlText w:val="(%1)"/>
      <w:numFmt w:val="lowerLetter"/>
      <w:start w:val="4"/>
    </w:lvl>
  </w:abstractNum>
  <w:abstractNum w:abstractNumId="350">
    <w:nsid w:val="4450AA00"/>
    <w:multiLevelType w:val="hybridMultilevel"/>
    <w:lvl w:ilvl="0">
      <w:lvlJc w:val="left"/>
      <w:lvlText w:val="(%1)"/>
      <w:numFmt w:val="lowerLetter"/>
      <w:start w:val="1"/>
    </w:lvl>
  </w:abstractNum>
  <w:abstractNum w:abstractNumId="351">
    <w:nsid w:val="4AC9F3E2"/>
    <w:multiLevelType w:val="hybridMultilevel"/>
    <w:lvl w:ilvl="0">
      <w:lvlJc w:val="left"/>
      <w:lvlText w:val="(%1)"/>
      <w:numFmt w:val="lowerLetter"/>
      <w:start w:val="1"/>
    </w:lvl>
    <w:lvl w:ilvl="1">
      <w:lvlJc w:val="left"/>
      <w:lvlText w:val="(%2)"/>
      <w:numFmt w:val="lowerRoman"/>
      <w:start w:val="1"/>
    </w:lvl>
  </w:abstractNum>
  <w:abstractNum w:abstractNumId="352">
    <w:nsid w:val="CC0A782"/>
    <w:multiLevelType w:val="hybridMultilevel"/>
    <w:lvl w:ilvl="0">
      <w:lvlJc w:val="left"/>
      <w:lvlText w:val="%1"/>
      <w:numFmt w:val="lowerLetter"/>
      <w:start w:val="1"/>
    </w:lvl>
    <w:lvl w:ilvl="1">
      <w:lvlJc w:val="left"/>
      <w:lvlText w:val="(%2)"/>
      <w:numFmt w:val="lowerLetter"/>
      <w:start w:val="1"/>
    </w:lvl>
  </w:abstractNum>
  <w:abstractNum w:abstractNumId="353">
    <w:nsid w:val="79B69BC9"/>
    <w:multiLevelType w:val="hybridMultilevel"/>
    <w:lvl w:ilvl="0">
      <w:lvlJc w:val="left"/>
      <w:lvlText w:val="(%1)"/>
      <w:numFmt w:val="lowerLetter"/>
      <w:start w:val="9"/>
    </w:lvl>
    <w:lvl w:ilvl="1">
      <w:lvlJc w:val="left"/>
      <w:lvlText w:val="%2"/>
      <w:numFmt w:val="lowerLetter"/>
      <w:start w:val="1"/>
    </w:lvl>
  </w:abstractNum>
  <w:abstractNum w:abstractNumId="354">
    <w:nsid w:val="2970CC78"/>
    <w:multiLevelType w:val="hybridMultilevel"/>
    <w:lvl w:ilvl="0">
      <w:lvlJc w:val="left"/>
      <w:lvlText w:val="(%1)"/>
      <w:numFmt w:val="decimal"/>
      <w:start w:val="60"/>
    </w:lvl>
    <w:lvl w:ilvl="1">
      <w:lvlJc w:val="left"/>
      <w:lvlText w:val="(%2)"/>
      <w:numFmt w:val="lowerLetter"/>
      <w:start w:val="7"/>
    </w:lvl>
    <w:lvl w:ilvl="2">
      <w:lvlJc w:val="left"/>
      <w:lvlText w:val="(%3)"/>
      <w:numFmt w:val="lowerRoman"/>
      <w:start w:val="1"/>
    </w:lvl>
  </w:abstractNum>
  <w:abstractNum w:abstractNumId="355">
    <w:nsid w:val="49CA1341"/>
    <w:multiLevelType w:val="hybridMultilevel"/>
    <w:lvl w:ilvl="0">
      <w:lvlJc w:val="left"/>
      <w:lvlText w:val="(%1)"/>
      <w:numFmt w:val="lowerLetter"/>
      <w:start w:val="1"/>
    </w:lvl>
  </w:abstractNum>
  <w:abstractNum w:abstractNumId="356">
    <w:nsid w:val="58D717E"/>
    <w:multiLevelType w:val="hybridMultilevel"/>
    <w:lvl w:ilvl="0">
      <w:lvlJc w:val="left"/>
      <w:lvlText w:val="(%1)"/>
      <w:numFmt w:val="lowerLetter"/>
      <w:start w:val="1"/>
    </w:lvl>
  </w:abstractNum>
  <w:abstractNum w:abstractNumId="357">
    <w:nsid w:val="64C2DDD5"/>
    <w:multiLevelType w:val="hybridMultilevel"/>
    <w:lvl w:ilvl="0">
      <w:lvlJc w:val="left"/>
      <w:lvlText w:val="(%1)"/>
      <w:numFmt w:val="lowerLetter"/>
      <w:start w:val="1"/>
    </w:lvl>
  </w:abstractNum>
  <w:abstractNum w:abstractNumId="358">
    <w:nsid w:val="4244B8DE"/>
    <w:multiLevelType w:val="hybridMultilevel"/>
    <w:lvl w:ilvl="0">
      <w:lvlJc w:val="left"/>
      <w:lvlText w:val="(%1)"/>
      <w:numFmt w:val="lowerLetter"/>
      <w:start w:val="1"/>
    </w:lvl>
  </w:abstractNum>
  <w:abstractNum w:abstractNumId="359">
    <w:nsid w:val="76490B01"/>
    <w:multiLevelType w:val="hybridMultilevel"/>
    <w:lvl w:ilvl="0">
      <w:lvlJc w:val="left"/>
      <w:lvlText w:val="(%1)"/>
      <w:numFmt w:val="lowerLetter"/>
      <w:start w:val="1"/>
    </w:lvl>
  </w:abstractNum>
  <w:abstractNum w:abstractNumId="360">
    <w:nsid w:val="36B19CBF"/>
    <w:multiLevelType w:val="hybridMultilevel"/>
    <w:lvl w:ilvl="0">
      <w:lvlJc w:val="left"/>
      <w:lvlText w:val="(%1)"/>
      <w:numFmt w:val="lowerRoman"/>
      <w:start w:val="1"/>
    </w:lvl>
  </w:abstractNum>
  <w:abstractNum w:abstractNumId="361">
    <w:nsid w:val="645EC5AB"/>
    <w:multiLevelType w:val="hybridMultilevel"/>
    <w:lvl w:ilvl="0">
      <w:lvlJc w:val="left"/>
      <w:lvlText w:val="(%1)"/>
      <w:numFmt w:val="lowerLetter"/>
      <w:start w:val="1"/>
    </w:lvl>
  </w:abstractNum>
  <w:abstractNum w:abstractNumId="362">
    <w:nsid w:val="11C5ABEF"/>
    <w:multiLevelType w:val="hybridMultilevel"/>
    <w:lvl w:ilvl="0">
      <w:lvlJc w:val="left"/>
      <w:lvlText w:val="(%1)"/>
      <w:numFmt w:val="lowerLetter"/>
      <w:start w:val="1"/>
    </w:lvl>
  </w:abstractNum>
  <w:abstractNum w:abstractNumId="363">
    <w:nsid w:val="5A4744BE"/>
    <w:multiLevelType w:val="hybridMultilevel"/>
    <w:lvl w:ilvl="0">
      <w:lvlJc w:val="left"/>
      <w:lvlText w:val="(%1)"/>
      <w:numFmt w:val="lowerLetter"/>
      <w:start w:val="1"/>
    </w:lvl>
  </w:abstractNum>
  <w:abstractNum w:abstractNumId="364">
    <w:nsid w:val="1DC4B1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5">
    <w:nsid w:val="4C6E372B"/>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3"/>
    </w:lvl>
  </w:abstractNum>
  <w:abstractNum w:abstractNumId="366">
    <w:nsid w:val="10236E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7">
    <w:nsid w:val="68D8526B"/>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2"/>
    </w:lvl>
  </w:abstractNum>
  <w:abstractNum w:abstractNumId="368">
    <w:nsid w:val="3C8CC1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9">
    <w:nsid w:val="42E8C7B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70">
    <w:nsid w:val="653CDC22"/>
    <w:multiLevelType w:val="hybridMultilevel"/>
    <w:lvl w:ilvl="0">
      <w:lvlJc w:val="left"/>
      <w:lvlText w:val="%1"/>
      <w:numFmt w:val="lowerLetter"/>
      <w:start w:val="1"/>
    </w:lvl>
    <w:lvl w:ilvl="1">
      <w:lvlJc w:val="left"/>
      <w:lvlText w:val="(%2)"/>
      <w:numFmt w:val="lowerRoman"/>
      <w:start w:val="1"/>
    </w:lvl>
  </w:abstractNum>
  <w:abstractNum w:abstractNumId="371">
    <w:nsid w:val="103B2716"/>
    <w:multiLevelType w:val="hybridMultilevel"/>
    <w:lvl w:ilvl="0">
      <w:lvlJc w:val="left"/>
      <w:lvlText w:val="(%1)"/>
      <w:numFmt w:val="lowerLetter"/>
      <w:start w:val="9"/>
    </w:lvl>
    <w:lvl w:ilvl="1">
      <w:lvlJc w:val="left"/>
      <w:lvlText w:val="%2"/>
      <w:numFmt w:val="lowerRoman"/>
      <w:start w:val="1"/>
    </w:lvl>
  </w:abstractNum>
  <w:abstractNum w:abstractNumId="372">
    <w:nsid w:val="156827FB"/>
    <w:multiLevelType w:val="hybridMultilevel"/>
    <w:lvl w:ilvl="0">
      <w:lvlJc w:val="left"/>
      <w:lvlText w:val="(%1)"/>
      <w:numFmt w:val="lowerLetter"/>
      <w:start w:val="1"/>
    </w:lvl>
  </w:abstractNum>
  <w:abstractNum w:abstractNumId="373">
    <w:nsid w:val="6350AC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4">
    <w:nsid w:val="767725AB"/>
    <w:multiLevelType w:val="hybridMultilevel"/>
    <w:lvl w:ilvl="0">
      <w:lvlJc w:val="left"/>
      <w:lvlText w:val="(%1)"/>
      <w:numFmt w:val="lowerLetter"/>
      <w:start w:val="3"/>
    </w:lvl>
  </w:abstractNum>
  <w:abstractNum w:abstractNumId="375">
    <w:nsid w:val="4748C06A"/>
    <w:multiLevelType w:val="hybridMultilevel"/>
    <w:lvl w:ilvl="0">
      <w:lvlJc w:val="left"/>
      <w:lvlText w:val="(%1)"/>
      <w:numFmt w:val="lowerLetter"/>
      <w:start w:val="1"/>
    </w:lvl>
  </w:abstractNum>
  <w:abstractNum w:abstractNumId="376">
    <w:nsid w:val="254D9EA9"/>
    <w:multiLevelType w:val="hybridMultilevel"/>
    <w:lvl w:ilvl="0">
      <w:lvlJc w:val="left"/>
      <w:lvlText w:val="(%1)"/>
      <w:numFmt w:val="lowerLetter"/>
      <w:start w:val="1"/>
    </w:lvl>
  </w:abstractNum>
  <w:abstractNum w:abstractNumId="377">
    <w:nsid w:val="1FBD3AA3"/>
    <w:multiLevelType w:val="hybridMultilevel"/>
    <w:lvl w:ilvl="0">
      <w:lvlJc w:val="left"/>
      <w:lvlText w:val="(%1)"/>
      <w:numFmt w:val="lowerLetter"/>
      <w:start w:val="1"/>
    </w:lvl>
  </w:abstractNum>
  <w:abstractNum w:abstractNumId="378">
    <w:nsid w:val="18C6B4F2"/>
    <w:multiLevelType w:val="hybridMultilevel"/>
    <w:lvl w:ilvl="0">
      <w:lvlJc w:val="left"/>
      <w:lvlText w:val="(%1)"/>
      <w:numFmt w:val="lowerRoman"/>
      <w:start w:val="1"/>
    </w:lvl>
  </w:abstractNum>
  <w:abstractNum w:abstractNumId="379">
    <w:nsid w:val="40BAD55"/>
    <w:multiLevelType w:val="hybridMultilevel"/>
    <w:lvl w:ilvl="0">
      <w:lvlJc w:val="left"/>
      <w:lvlText w:val="(%1)"/>
      <w:numFmt w:val="lowerRoman"/>
      <w:start w:val="2"/>
    </w:lvl>
  </w:abstractNum>
  <w:abstractNum w:abstractNumId="380">
    <w:nsid w:val="E5B2573"/>
    <w:multiLevelType w:val="hybridMultilevel"/>
    <w:lvl w:ilvl="0">
      <w:lvlJc w:val="left"/>
      <w:lvlText w:val="(%1)"/>
      <w:numFmt w:val="lowerLetter"/>
      <w:start w:val="1"/>
    </w:lvl>
  </w:abstractNum>
  <w:abstractNum w:abstractNumId="381">
    <w:nsid w:val="5D175EF2"/>
    <w:multiLevelType w:val="hybridMultilevel"/>
    <w:lvl w:ilvl="0">
      <w:lvlJc w:val="left"/>
      <w:lvlText w:val="(%1)"/>
      <w:numFmt w:val="lowerLetter"/>
      <w:start w:val="1"/>
    </w:lvl>
  </w:abstractNum>
  <w:abstractNum w:abstractNumId="382">
    <w:nsid w:val="4ED5A137"/>
    <w:multiLevelType w:val="hybridMultilevel"/>
    <w:lvl w:ilvl="0">
      <w:lvlJc w:val="left"/>
      <w:lvlText w:val="(%1)"/>
      <w:numFmt w:val="lowerLetter"/>
      <w:start w:val="1"/>
    </w:lvl>
  </w:abstractNum>
  <w:abstractNum w:abstractNumId="383">
    <w:nsid w:val="1B1BCCF5"/>
    <w:multiLevelType w:val="hybridMultilevel"/>
    <w:lvl w:ilvl="0">
      <w:lvlJc w:val="left"/>
      <w:lvlText w:val="(%1)"/>
      <w:numFmt w:val="lowerLetter"/>
      <w:start w:val="3"/>
    </w:lvl>
  </w:abstractNum>
  <w:abstractNum w:abstractNumId="384">
    <w:nsid w:val="56CDFABB"/>
    <w:multiLevelType w:val="hybridMultilevel"/>
    <w:lvl w:ilvl="0">
      <w:lvlJc w:val="left"/>
      <w:lvlText w:val="(%1)"/>
      <w:numFmt w:val="lowerLetter"/>
      <w:start w:val="1"/>
    </w:lvl>
  </w:abstractNum>
  <w:abstractNum w:abstractNumId="385">
    <w:nsid w:val="78466DAF"/>
    <w:multiLevelType w:val="hybridMultilevel"/>
    <w:lvl w:ilvl="0">
      <w:lvlJc w:val="left"/>
      <w:lvlText w:val="(%1)"/>
      <w:numFmt w:val="lowerLetter"/>
      <w:start w:val="2"/>
    </w:lvl>
  </w:abstractNum>
  <w:abstractNum w:abstractNumId="386">
    <w:nsid w:val="64E5E036"/>
    <w:multiLevelType w:val="hybridMultilevel"/>
    <w:lvl w:ilvl="0">
      <w:lvlJc w:val="left"/>
      <w:lvlText w:val="(%1)"/>
      <w:numFmt w:val="lowerLetter"/>
      <w:start w:val="1"/>
    </w:lvl>
  </w:abstractNum>
  <w:abstractNum w:abstractNumId="387">
    <w:nsid w:val="5C5B6C3A"/>
    <w:multiLevelType w:val="hybridMultilevel"/>
    <w:lvl w:ilvl="0">
      <w:lvlJc w:val="left"/>
      <w:lvlText w:val="(%1)"/>
      <w:numFmt w:val="lowerLetter"/>
      <w:start w:val="1"/>
    </w:lvl>
  </w:abstractNum>
  <w:abstractNum w:abstractNumId="388">
    <w:nsid w:val="5D094B84"/>
    <w:multiLevelType w:val="hybridMultilevel"/>
    <w:lvl w:ilvl="0">
      <w:lvlJc w:val="left"/>
      <w:lvlText w:val="(%1)"/>
      <w:numFmt w:val="lowerLetter"/>
      <w:start w:val="1"/>
    </w:lvl>
  </w:abstractNum>
  <w:abstractNum w:abstractNumId="389">
    <w:nsid w:val="272A9914"/>
    <w:multiLevelType w:val="hybridMultilevel"/>
    <w:lvl w:ilvl="0">
      <w:lvlJc w:val="left"/>
      <w:lvlText w:val="(%1)"/>
      <w:numFmt w:val="lowerLetter"/>
      <w:start w:val="1"/>
    </w:lvl>
  </w:abstractNum>
  <w:abstractNum w:abstractNumId="390">
    <w:nsid w:val="52A4773B"/>
    <w:multiLevelType w:val="hybridMultilevel"/>
    <w:lvl w:ilvl="0">
      <w:lvlJc w:val="left"/>
      <w:lvlText w:val="(%1)"/>
      <w:numFmt w:val="lowerLetter"/>
      <w:start w:val="1"/>
    </w:lvl>
    <w:lvl w:ilvl="1">
      <w:lvlJc w:val="left"/>
      <w:lvlText w:val="(%2)"/>
      <w:numFmt w:val="lowerRoman"/>
      <w:start w:val="1"/>
    </w:lvl>
  </w:abstractNum>
  <w:abstractNum w:abstractNumId="391">
    <w:nsid w:val="13BAE843"/>
    <w:multiLevelType w:val="hybridMultilevel"/>
    <w:lvl w:ilvl="0">
      <w:lvlJc w:val="left"/>
      <w:lvlText w:val="(%1)"/>
      <w:numFmt w:val="lowerRoman"/>
      <w:start w:val="1"/>
    </w:lvl>
  </w:abstractNum>
  <w:abstractNum w:abstractNumId="392">
    <w:nsid w:val="B895EBF"/>
    <w:multiLevelType w:val="hybridMultilevel"/>
    <w:lvl w:ilvl="0">
      <w:lvlJc w:val="left"/>
      <w:lvlText w:val="(%1)"/>
      <w:numFmt w:val="lowerLetter"/>
      <w:start w:val="10"/>
    </w:lvl>
  </w:abstractNum>
  <w:abstractNum w:abstractNumId="393">
    <w:nsid w:val="646A232A"/>
    <w:multiLevelType w:val="hybridMultilevel"/>
    <w:lvl w:ilvl="0">
      <w:lvlJc w:val="left"/>
      <w:lvlText w:val="(%1)"/>
      <w:numFmt w:val="lowerLetter"/>
      <w:start w:val="1"/>
    </w:lvl>
  </w:abstractNum>
  <w:abstractNum w:abstractNumId="394">
    <w:nsid w:val="6E022D01"/>
    <w:multiLevelType w:val="hybridMultilevel"/>
    <w:lvl w:ilvl="0">
      <w:lvlJc w:val="left"/>
      <w:lvlText w:val="(%1)"/>
      <w:numFmt w:val="lowerLetter"/>
      <w:start w:val="1"/>
    </w:lvl>
  </w:abstractNum>
  <w:abstractNum w:abstractNumId="395">
    <w:nsid w:val="294E0FD0"/>
    <w:multiLevelType w:val="hybridMultilevel"/>
    <w:lvl w:ilvl="0">
      <w:lvlJc w:val="left"/>
      <w:lvlText w:val="(%1)"/>
      <w:numFmt w:val="lowerLetter"/>
      <w:start w:val="1"/>
    </w:lvl>
  </w:abstractNum>
  <w:abstractNum w:abstractNumId="396">
    <w:nsid w:val="30D85A55"/>
    <w:multiLevelType w:val="hybridMultilevel"/>
    <w:lvl w:ilvl="0">
      <w:lvlJc w:val="left"/>
      <w:lvlText w:val="(%1)"/>
      <w:numFmt w:val="lowerLetter"/>
      <w:start w:val="1"/>
    </w:lvl>
  </w:abstractNum>
  <w:abstractNum w:abstractNumId="397">
    <w:nsid w:val="6F0463F1"/>
    <w:multiLevelType w:val="hybridMultilevel"/>
    <w:lvl w:ilvl="0">
      <w:lvlJc w:val="left"/>
      <w:lvlText w:val="%1"/>
      <w:numFmt w:val="lowerLetter"/>
      <w:start w:val="1"/>
    </w:lvl>
    <w:lvl w:ilvl="1">
      <w:lvlJc w:val="left"/>
      <w:lvlText w:val="(%2)"/>
      <w:numFmt w:val="lowerLetter"/>
      <w:start w:val="1"/>
    </w:lvl>
  </w:abstractNum>
  <w:abstractNum w:abstractNumId="398">
    <w:nsid w:val="1226623C"/>
    <w:multiLevelType w:val="hybridMultilevel"/>
    <w:lvl w:ilvl="0">
      <w:lvlJc w:val="left"/>
      <w:lvlText w:val="(%1)"/>
      <w:numFmt w:val="lowerLetter"/>
      <w:start w:val="35"/>
    </w:lvl>
    <w:lvl w:ilvl="1">
      <w:lvlJc w:val="left"/>
      <w:lvlText w:val="%2"/>
      <w:numFmt w:val="lowerLetter"/>
      <w:start w:val="1"/>
    </w:lvl>
  </w:abstractNum>
  <w:abstractNum w:abstractNumId="399">
    <w:nsid w:val="6D651B8D"/>
    <w:multiLevelType w:val="hybridMultilevel"/>
    <w:lvl w:ilvl="0">
      <w:lvlJc w:val="left"/>
      <w:lvlText w:val="(%1)"/>
      <w:numFmt w:val="lowerLetter"/>
      <w:start w:val="3"/>
    </w:lvl>
  </w:abstractNum>
  <w:abstractNum w:abstractNumId="400">
    <w:nsid w:val="31ED2BAF"/>
    <w:multiLevelType w:val="hybridMultilevel"/>
    <w:lvl w:ilvl="0">
      <w:lvlJc w:val="left"/>
      <w:lvlText w:val="(%1)"/>
      <w:numFmt w:val="lowerLetter"/>
      <w:start w:val="5"/>
    </w:lvl>
  </w:abstractNum>
  <w:abstractNum w:abstractNumId="401">
    <w:nsid w:val="77633E5E"/>
    <w:multiLevelType w:val="hybridMultilevel"/>
    <w:lvl w:ilvl="0">
      <w:lvlJc w:val="left"/>
      <w:lvlText w:val="(%1)"/>
      <w:numFmt w:val="lowerLetter"/>
      <w:start w:val="2"/>
    </w:lvl>
  </w:abstractNum>
  <w:abstractNum w:abstractNumId="402">
    <w:nsid w:val="7DA042A3"/>
    <w:multiLevelType w:val="hybridMultilevel"/>
    <w:lvl w:ilvl="0">
      <w:lvlJc w:val="left"/>
      <w:lvlText w:val="(%1)"/>
      <w:numFmt w:val="lowerLetter"/>
      <w:start w:val="1"/>
    </w:lvl>
  </w:abstractNum>
  <w:abstractNum w:abstractNumId="403">
    <w:nsid w:val="475553AB"/>
    <w:multiLevelType w:val="hybridMultilevel"/>
    <w:lvl w:ilvl="0">
      <w:lvlJc w:val="left"/>
      <w:lvlText w:val="(%1)"/>
      <w:numFmt w:val="lowerLetter"/>
      <w:start w:val="1"/>
    </w:lvl>
  </w:abstractNum>
  <w:abstractNum w:abstractNumId="404">
    <w:nsid w:val="5AB3EA93"/>
    <w:multiLevelType w:val="hybridMultilevel"/>
    <w:lvl w:ilvl="0">
      <w:lvlJc w:val="left"/>
      <w:lvlText w:val="(%1)"/>
      <w:numFmt w:val="lowerLetter"/>
      <w:start w:val="1"/>
    </w:lvl>
  </w:abstractNum>
  <w:abstractNum w:abstractNumId="405">
    <w:nsid w:val="7417684F"/>
    <w:multiLevelType w:val="hybridMultilevel"/>
    <w:lvl w:ilvl="0">
      <w:lvlJc w:val="left"/>
      <w:lvlText w:val="(%1)"/>
      <w:numFmt w:val="decimal"/>
      <w:start w:val="1"/>
    </w:lvl>
  </w:abstractNum>
  <w:abstractNum w:abstractNumId="406">
    <w:nsid w:val="E9E1415"/>
    <w:multiLevelType w:val="hybridMultilevel"/>
    <w:lvl w:ilvl="0">
      <w:lvlJc w:val="left"/>
      <w:lvlText w:val="(%1)"/>
      <w:numFmt w:val="decimal"/>
      <w:start w:val="5"/>
    </w:lvl>
  </w:abstractNum>
  <w:abstractNum w:abstractNumId="407">
    <w:nsid w:val="1893D"/>
    <w:multiLevelType w:val="hybridMultilevel"/>
    <w:lvl w:ilvl="0">
      <w:lvlJc w:val="left"/>
      <w:lvlText w:val="(%1)"/>
      <w:numFmt w:val="lowerLetter"/>
      <w:start w:val="1"/>
    </w:lvl>
  </w:abstractNum>
  <w:abstractNum w:abstractNumId="408">
    <w:nsid w:val="13D4A2F2"/>
    <w:multiLevelType w:val="hybridMultilevel"/>
    <w:lvl w:ilvl="0">
      <w:lvlJc w:val="left"/>
      <w:lvlText w:val="(%1)"/>
      <w:numFmt w:val="decimal"/>
      <w:start w:val="1"/>
    </w:lvl>
  </w:abstractNum>
  <w:abstractNum w:abstractNumId="409">
    <w:nsid w:val="2764C907"/>
    <w:multiLevelType w:val="hybridMultilevel"/>
    <w:lvl w:ilvl="0">
      <w:lvlJc w:val="left"/>
      <w:lvlText w:val="(%1)"/>
      <w:numFmt w:val="decimal"/>
      <w:start w:val="1"/>
    </w:lvl>
  </w:abstractNum>
  <w:abstractNum w:abstractNumId="410">
    <w:nsid w:val="40D3692"/>
    <w:multiLevelType w:val="hybridMultilevel"/>
    <w:lvl w:ilvl="0">
      <w:lvlJc w:val="left"/>
      <w:lvlText w:val="(%1)"/>
      <w:numFmt w:val="decimal"/>
      <w:start w:val="3"/>
    </w:lvl>
  </w:abstractNum>
  <w:abstractNum w:abstractNumId="411">
    <w:nsid w:val="222FC865"/>
    <w:multiLevelType w:val="hybridMultilevel"/>
    <w:lvl w:ilvl="0">
      <w:lvlJc w:val="left"/>
      <w:lvlText w:val="(%1)"/>
      <w:numFmt w:val="decimal"/>
      <w:start w:val="4"/>
    </w:lvl>
  </w:abstractNum>
  <w:abstractNum w:abstractNumId="412">
    <w:nsid w:val="47C27FA"/>
    <w:multiLevelType w:val="hybridMultilevel"/>
    <w:lvl w:ilvl="0">
      <w:lvlJc w:val="left"/>
      <w:lvlText w:val="(%1)"/>
      <w:numFmt w:val="decimal"/>
      <w:start w:val="5"/>
    </w:lvl>
  </w:abstractNum>
  <w:abstractNum w:abstractNumId="413">
    <w:nsid w:val="52E2D7C9"/>
    <w:multiLevelType w:val="hybridMultilevel"/>
    <w:lvl w:ilvl="0">
      <w:lvlJc w:val="left"/>
      <w:lvlText w:val="(%1)"/>
      <w:numFmt w:val="lowerRoman"/>
      <w:start w:val="10"/>
    </w:lvl>
  </w:abstractNum>
  <w:abstractNum w:abstractNumId="414">
    <w:nsid w:val="3D4B955A"/>
    <w:multiLevelType w:val="hybridMultilevel"/>
    <w:lvl w:ilvl="0">
      <w:lvlJc w:val="left"/>
      <w:lvlText w:val="(%1)"/>
      <w:numFmt w:val="lowerLetter"/>
      <w:start w:val="25"/>
    </w:lvl>
    <w:lvl w:ilvl="1">
      <w:lvlJc w:val="left"/>
      <w:lvlText w:val="%2)"/>
      <w:numFmt w:val="decimal"/>
      <w:start w:val="1"/>
    </w:lvl>
  </w:abstractNum>
  <w:abstractNum w:abstractNumId="415">
    <w:nsid w:val="5B4A22B5"/>
    <w:multiLevelType w:val="hybridMultilevel"/>
    <w:lvl w:ilvl="0">
      <w:lvlJc w:val="left"/>
      <w:lvlText w:val="(%1)"/>
      <w:numFmt w:val="decimal"/>
      <w:start w:val="1"/>
    </w:lvl>
  </w:abstractNum>
  <w:abstractNum w:abstractNumId="416">
    <w:nsid w:val="4B294578"/>
    <w:multiLevelType w:val="hybridMultilevel"/>
    <w:lvl w:ilvl="0">
      <w:lvlJc w:val="left"/>
      <w:lvlText w:val="(%1)"/>
      <w:numFmt w:val="lowerLetter"/>
      <w:start w:val="25"/>
    </w:lvl>
  </w:abstractNum>
  <w:abstractNum w:abstractNumId="417">
    <w:nsid w:val="22317590"/>
    <w:multiLevelType w:val="hybridMultilevel"/>
    <w:lvl w:ilvl="0">
      <w:lvlJc w:val="left"/>
      <w:lvlText w:val="(%1)"/>
      <w:numFmt w:val="lowerLetter"/>
      <w:start w:val="1"/>
    </w:lvl>
  </w:abstractNum>
  <w:abstractNum w:abstractNumId="418">
    <w:nsid w:val="37A58EEF"/>
    <w:multiLevelType w:val="hybridMultilevel"/>
    <w:lvl w:ilvl="0">
      <w:lvlJc w:val="left"/>
      <w:lvlText w:val="(%1)"/>
      <w:numFmt w:val="lowerLetter"/>
      <w:start w:val="3"/>
    </w:lvl>
  </w:abstractNum>
  <w:abstractNum w:abstractNumId="419">
    <w:nsid w:val="283290FD"/>
    <w:multiLevelType w:val="hybridMultilevel"/>
    <w:lvl w:ilvl="0">
      <w:lvlJc w:val="left"/>
      <w:lvlText w:val="(%1)"/>
      <w:numFmt w:val="lowerLetter"/>
      <w:start w:val="6"/>
    </w:lvl>
  </w:abstractNum>
  <w:abstractNum w:abstractNumId="420">
    <w:nsid w:val="495C0EA5"/>
    <w:multiLevelType w:val="hybridMultilevel"/>
    <w:lvl w:ilvl="0">
      <w:lvlJc w:val="left"/>
      <w:lvlText w:val="(%1)"/>
      <w:numFmt w:val="lowerRoman"/>
      <w:start w:val="1"/>
    </w:lvl>
  </w:abstractNum>
  <w:abstractNum w:abstractNumId="421">
    <w:nsid w:val="A4A062B"/>
    <w:multiLevelType w:val="hybridMultilevel"/>
    <w:lvl w:ilvl="0">
      <w:lvlJc w:val="left"/>
      <w:lvlText w:val="(%1)"/>
      <w:numFmt w:val="lowerLetter"/>
      <w:start w:val="10"/>
    </w:lvl>
  </w:abstractNum>
  <w:abstractNum w:abstractNumId="422">
    <w:nsid w:val="3BED7940"/>
    <w:multiLevelType w:val="hybridMultilevel"/>
    <w:lvl w:ilvl="0">
      <w:lvlJc w:val="left"/>
      <w:lvlText w:val="(%1)"/>
      <w:numFmt w:val="lowerLetter"/>
      <w:start w:val="11"/>
    </w:lvl>
  </w:abstractNum>
  <w:abstractNum w:abstractNumId="423">
    <w:nsid w:val="54E56D64"/>
    <w:multiLevelType w:val="hybridMultilevel"/>
    <w:lvl w:ilvl="0">
      <w:lvlJc w:val="left"/>
      <w:lvlText w:val="(%1)"/>
      <w:numFmt w:val="lowerLetter"/>
      <w:start w:val="14"/>
    </w:lvl>
  </w:abstractNum>
  <w:abstractNum w:abstractNumId="424">
    <w:nsid w:val="6EB42955"/>
    <w:multiLevelType w:val="hybridMultilevel"/>
    <w:lvl w:ilvl="0">
      <w:lvlJc w:val="left"/>
      <w:lvlText w:val="(%1)"/>
      <w:numFmt w:val="lowerLetter"/>
      <w:start w:val="17"/>
    </w:lvl>
  </w:abstractNum>
  <w:abstractNum w:abstractNumId="425">
    <w:nsid w:val="29EFA642"/>
    <w:multiLevelType w:val="hybridMultilevel"/>
    <w:lvl w:ilvl="0">
      <w:lvlJc w:val="left"/>
      <w:lvlText w:val="(%1)"/>
      <w:numFmt w:val="lowerLetter"/>
      <w:start w:val="20"/>
    </w:lvl>
  </w:abstractNum>
  <w:abstractNum w:abstractNumId="426">
    <w:nsid w:val="7E337D35"/>
    <w:multiLevelType w:val="hybridMultilevel"/>
    <w:lvl w:ilvl="0">
      <w:lvlJc w:val="left"/>
      <w:lvlText w:val="(%1)"/>
      <w:numFmt w:val="lowerLetter"/>
      <w:start w:val="22"/>
    </w:lvl>
  </w:abstractNum>
  <w:abstractNum w:abstractNumId="427">
    <w:nsid w:val="1F8C83AB"/>
    <w:multiLevelType w:val="hybridMultilevel"/>
    <w:lvl w:ilvl="0">
      <w:lvlJc w:val="left"/>
      <w:lvlText w:val="(%1)"/>
      <w:numFmt w:val="lowerLetter"/>
      <w:start w:val="24"/>
    </w:lvl>
  </w:abstractNum>
  <w:abstractNum w:abstractNumId="428">
    <w:nsid w:val="18F40A33"/>
    <w:multiLevelType w:val="hybridMultilevel"/>
    <w:lvl w:ilvl="0">
      <w:lvlJc w:val="left"/>
      <w:lvlText w:val="(%1)"/>
      <w:numFmt w:val="lowerLetter"/>
      <w:start w:val="27"/>
    </w:lvl>
    <w:lvl w:ilvl="1">
      <w:lvlJc w:val="left"/>
      <w:lvlText w:val="(%2)"/>
      <w:numFmt w:val="lowerRoman"/>
      <w:start w:val="1"/>
    </w:lvl>
  </w:abstractNum>
  <w:abstractNum w:abstractNumId="429">
    <w:nsid w:val="1059DF71"/>
    <w:multiLevelType w:val="hybridMultilevel"/>
    <w:lvl w:ilvl="0">
      <w:lvlJc w:val="left"/>
      <w:lvlText w:val="(%1)"/>
      <w:numFmt w:val="lowerLetter"/>
      <w:start w:val="28"/>
    </w:lvl>
  </w:abstractNum>
  <w:abstractNum w:abstractNumId="430">
    <w:nsid w:val="CF19F38"/>
    <w:multiLevelType w:val="hybridMultilevel"/>
    <w:lvl w:ilvl="0">
      <w:lvlJc w:val="left"/>
      <w:lvlText w:val="(%1)"/>
      <w:numFmt w:val="lowerLetter"/>
      <w:start w:val="29"/>
    </w:lvl>
  </w:abstractNum>
  <w:abstractNum w:abstractNumId="431">
    <w:nsid w:val="4AE135E2"/>
    <w:multiLevelType w:val="hybridMultilevel"/>
    <w:lvl w:ilvl="0">
      <w:lvlJc w:val="left"/>
      <w:lvlText w:val="(%1)"/>
      <w:numFmt w:val="lowerLetter"/>
      <w:start w:val="4"/>
    </w:lvl>
  </w:abstractNum>
  <w:abstractNum w:abstractNumId="432">
    <w:nsid w:val="7BD1DCF"/>
    <w:multiLevelType w:val="hybridMultilevel"/>
    <w:lvl w:ilvl="0">
      <w:lvlJc w:val="left"/>
      <w:lvlText w:val="(%1)"/>
      <w:numFmt w:val="lowerLetter"/>
      <w:start w:val="1"/>
    </w:lvl>
  </w:abstractNum>
  <w:abstractNum w:abstractNumId="433">
    <w:nsid w:val="A91E1DC"/>
    <w:multiLevelType w:val="hybridMultilevel"/>
    <w:lvl w:ilvl="0">
      <w:lvlJc w:val="left"/>
      <w:lvlText w:val="(%1)"/>
      <w:numFmt w:val="lowerLetter"/>
      <w:start w:val="2"/>
    </w:lvl>
  </w:abstractNum>
  <w:abstractNum w:abstractNumId="434">
    <w:nsid w:val="1236898D"/>
    <w:multiLevelType w:val="hybridMultilevel"/>
    <w:lvl w:ilvl="0">
      <w:lvlJc w:val="left"/>
      <w:lvlText w:val="(%1)"/>
      <w:numFmt w:val="lowerRoman"/>
      <w:start w:val="3"/>
    </w:lvl>
  </w:abstractNum>
  <w:abstractNum w:abstractNumId="435">
    <w:nsid w:val="62710862"/>
    <w:multiLevelType w:val="hybridMultilevel"/>
    <w:lvl w:ilvl="0">
      <w:lvlJc w:val="left"/>
      <w:lvlText w:val="(%1)"/>
      <w:numFmt w:val="lowerLetter"/>
      <w:start w:val="3"/>
    </w:lvl>
  </w:abstractNum>
  <w:abstractNum w:abstractNumId="436">
    <w:nsid w:val="7EA94A2B"/>
    <w:multiLevelType w:val="hybridMultilevel"/>
    <w:lvl w:ilvl="0">
      <w:lvlJc w:val="left"/>
      <w:lvlText w:val="(%1)"/>
      <w:numFmt w:val="lowerLetter"/>
      <w:start w:val="7"/>
    </w:lvl>
  </w:abstractNum>
  <w:abstractNum w:abstractNumId="437">
    <w:nsid w:val="20D49DA3"/>
    <w:multiLevelType w:val="hybridMultilevel"/>
    <w:lvl w:ilvl="0">
      <w:lvlJc w:val="left"/>
      <w:lvlText w:val="(%1)"/>
      <w:numFmt w:val="lowerLetter"/>
      <w:start w:val="8"/>
    </w:lvl>
  </w:abstractNum>
  <w:abstractNum w:abstractNumId="438">
    <w:nsid w:val="6272919F"/>
    <w:multiLevelType w:val="hybridMultilevel"/>
    <w:lvl w:ilvl="0">
      <w:lvlJc w:val="left"/>
      <w:lvlText w:val="(%1)"/>
      <w:numFmt w:val="lowerLetter"/>
      <w:start w:val="12"/>
    </w:lvl>
  </w:abstractNum>
  <w:abstractNum w:abstractNumId="439">
    <w:nsid w:val="127DED1D"/>
    <w:multiLevelType w:val="hybridMultilevel"/>
    <w:lvl w:ilvl="0">
      <w:lvlJc w:val="left"/>
      <w:lvlText w:val="(%1)"/>
      <w:numFmt w:val="lowerLetter"/>
      <w:start w:val="23"/>
    </w:lvl>
  </w:abstractNum>
  <w:abstractNum w:abstractNumId="440">
    <w:nsid w:val="483966AA"/>
    <w:multiLevelType w:val="hybridMultilevel"/>
    <w:lvl w:ilvl="0">
      <w:lvlJc w:val="left"/>
      <w:lvlText w:val="%1."/>
      <w:numFmt w:val="decimal"/>
      <w:start w:val="1"/>
    </w:lvl>
  </w:abstractNum>
  <w:abstractNum w:abstractNumId="441">
    <w:nsid w:val="667FC831"/>
    <w:multiLevelType w:val="hybridMultilevel"/>
    <w:lvl w:ilvl="0">
      <w:lvlJc w:val="left"/>
      <w:lvlText w:val="%1."/>
      <w:numFmt w:val="decimal"/>
      <w:start w:val="12"/>
    </w:lvl>
  </w:abstractNum>
  <w:abstractNum w:abstractNumId="442">
    <w:nsid w:val="34ADB582"/>
    <w:multiLevelType w:val="hybridMultilevel"/>
    <w:lvl w:ilvl="0">
      <w:lvlJc w:val="left"/>
      <w:lvlText w:val="(%1)"/>
      <w:numFmt w:val="lowerLetter"/>
      <w:start w:val="6"/>
    </w:lvl>
  </w:abstractNum>
  <w:abstractNum w:abstractNumId="443">
    <w:nsid w:val="4CB58EA4"/>
    <w:multiLevelType w:val="hybridMultilevel"/>
    <w:lvl w:ilvl="0">
      <w:lvlJc w:val="left"/>
      <w:lvlText w:val="(%1)"/>
      <w:numFmt w:val="lowerLetter"/>
      <w:start w:val="1"/>
    </w:lvl>
    <w:lvl w:ilvl="1">
      <w:lvlJc w:val="left"/>
      <w:lvlText w:val="(%2)"/>
      <w:numFmt w:val="lowerRoman"/>
      <w:start w:val="1"/>
    </w:lvl>
  </w:abstractNum>
  <w:abstractNum w:abstractNumId="444">
    <w:nsid w:val="39629FFA"/>
    <w:multiLevelType w:val="hybridMultilevel"/>
    <w:lvl w:ilvl="0">
      <w:lvlJc w:val="left"/>
      <w:lvlText w:val="(%1)"/>
      <w:numFmt w:val="lowerLetter"/>
      <w:start w:val="1"/>
    </w:lvl>
  </w:abstractNum>
  <w:abstractNum w:abstractNumId="445">
    <w:nsid w:val="71F94ADC"/>
    <w:multiLevelType w:val="hybridMultilevel"/>
    <w:lvl w:ilvl="0">
      <w:lvlJc w:val="left"/>
      <w:lvlText w:val="(%1)"/>
      <w:numFmt w:val="lowerLetter"/>
      <w:start w:val="1"/>
    </w:lvl>
  </w:abstractNum>
  <w:abstractNum w:abstractNumId="446">
    <w:nsid w:val="27FFB15A"/>
    <w:multiLevelType w:val="hybridMultilevel"/>
    <w:lvl w:ilvl="0">
      <w:lvlJc w:val="left"/>
      <w:lvlText w:val="(%1)"/>
      <w:numFmt w:val="lowerLetter"/>
      <w:start w:val="2"/>
    </w:lvl>
  </w:abstractNum>
  <w:abstractNum w:abstractNumId="447">
    <w:nsid w:val="48BE573"/>
    <w:multiLevelType w:val="hybridMultilevel"/>
    <w:lvl w:ilvl="0">
      <w:lvlJc w:val="left"/>
      <w:lvlText w:val="(%1)"/>
      <w:numFmt w:val="lowerLetter"/>
      <w:start w:val="1"/>
    </w:lvl>
  </w:abstractNum>
  <w:abstractNum w:abstractNumId="448">
    <w:nsid w:val="142AC06C"/>
    <w:multiLevelType w:val="hybridMultilevel"/>
    <w:lvl w:ilvl="0">
      <w:lvlJc w:val="left"/>
      <w:lvlText w:val="(%1)"/>
      <w:numFmt w:val="lowerLetter"/>
      <w:start w:val="1"/>
    </w:lvl>
  </w:abstractNum>
  <w:abstractNum w:abstractNumId="449">
    <w:nsid w:val="5FA54049"/>
    <w:multiLevelType w:val="hybridMultilevel"/>
    <w:lvl w:ilvl="0">
      <w:lvlJc w:val="left"/>
      <w:lvlText w:val="%1"/>
      <w:numFmt w:val="lowerLetter"/>
      <w:start w:val="1"/>
    </w:lvl>
    <w:lvl w:ilvl="1">
      <w:lvlJc w:val="left"/>
      <w:lvlText w:val="(%2)"/>
      <w:numFmt w:val="lowerRoman"/>
      <w:start w:val="1"/>
    </w:lvl>
  </w:abstractNum>
  <w:abstractNum w:abstractNumId="450">
    <w:nsid w:val="2CBE7670"/>
    <w:multiLevelType w:val="hybridMultilevel"/>
    <w:lvl w:ilvl="0">
      <w:lvlJc w:val="left"/>
      <w:lvlText w:val="(%1)"/>
      <w:numFmt w:val="lowerLetter"/>
      <w:start w:val="2"/>
    </w:lvl>
    <w:lvl w:ilvl="1">
      <w:lvlJc w:val="left"/>
      <w:lvlText w:val="%2"/>
      <w:numFmt w:val="lowerRoman"/>
      <w:start w:val="1"/>
    </w:lvl>
  </w:abstractNum>
  <w:abstractNum w:abstractNumId="451">
    <w:nsid w:val="5D86CF11"/>
    <w:multiLevelType w:val="hybridMultilevel"/>
    <w:lvl w:ilvl="0">
      <w:lvlJc w:val="left"/>
      <w:lvlText w:val="(%1)"/>
      <w:numFmt w:val="lowerLetter"/>
      <w:start w:val="1"/>
    </w:lvl>
  </w:abstractNum>
  <w:abstractNum w:abstractNumId="452">
    <w:nsid w:val="69EF4674"/>
    <w:multiLevelType w:val="hybridMultilevel"/>
    <w:lvl w:ilvl="0">
      <w:lvlJc w:val="left"/>
      <w:lvlText w:val="(%1)"/>
      <w:numFmt w:val="lowerLetter"/>
      <w:start w:val="2"/>
    </w:lvl>
  </w:abstractNum>
  <w:abstractNum w:abstractNumId="453">
    <w:nsid w:val="68ABEFB0"/>
    <w:multiLevelType w:val="hybridMultilevel"/>
    <w:lvl w:ilvl="0">
      <w:lvlJc w:val="left"/>
      <w:lvlText w:val="(%1)"/>
      <w:numFmt w:val="lowerLetter"/>
      <w:start w:val="8"/>
    </w:lvl>
  </w:abstractNum>
  <w:abstractNum w:abstractNumId="454">
    <w:nsid w:val="326C3C76"/>
    <w:multiLevelType w:val="hybridMultilevel"/>
    <w:lvl w:ilvl="0">
      <w:lvlJc w:val="left"/>
      <w:lvlText w:val="(%1)"/>
      <w:numFmt w:val="lowerLetter"/>
      <w:start w:val="1"/>
    </w:lvl>
  </w:abstractNum>
  <w:abstractNum w:abstractNumId="455">
    <w:nsid w:val="58A36FCA"/>
    <w:multiLevelType w:val="hybridMultilevel"/>
    <w:lvl w:ilvl="0">
      <w:lvlJc w:val="left"/>
      <w:lvlText w:val="(%1)"/>
      <w:numFmt w:val="lowerLetter"/>
      <w:start w:val="4"/>
    </w:lvl>
  </w:abstractNum>
  <w:abstractNum w:abstractNumId="456">
    <w:nsid w:val="129B95F2"/>
    <w:multiLevelType w:val="hybridMultilevel"/>
    <w:lvl w:ilvl="0">
      <w:lvlJc w:val="left"/>
      <w:lvlText w:val="(%1)"/>
      <w:numFmt w:val="lowerLetter"/>
      <w:start w:val="6"/>
    </w:lvl>
    <w:lvl w:ilvl="1">
      <w:lvlJc w:val="left"/>
      <w:lvlText w:val="(%2)"/>
      <w:numFmt w:val="lowerRoman"/>
      <w:start w:val="1"/>
    </w:lvl>
  </w:abstractNum>
  <w:abstractNum w:abstractNumId="457">
    <w:nsid w:val="309FB9AB"/>
    <w:multiLevelType w:val="hybridMultilevel"/>
    <w:lvl w:ilvl="0">
      <w:lvlJc w:val="left"/>
      <w:lvlText w:val="(%1)"/>
      <w:numFmt w:val="lowerRoman"/>
      <w:start w:val="3"/>
    </w:lvl>
  </w:abstractNum>
  <w:abstractNum w:abstractNumId="458">
    <w:nsid w:val="782FF3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9">
    <w:nsid w:val="2B8FA025"/>
    <w:multiLevelType w:val="hybridMultilevel"/>
    <w:lvl w:ilvl="0">
      <w:lvlJc w:val="left"/>
      <w:lvlText w:val="%1"/>
      <w:numFmt w:val="lowerLetter"/>
      <w:start w:val="1"/>
    </w:lvl>
    <w:lvl w:ilvl="1">
      <w:lvlJc w:val="left"/>
      <w:lvlText w:val="(%2)"/>
      <w:numFmt w:val="lowerRoman"/>
      <w:start w:val="2"/>
    </w:lvl>
  </w:abstractNum>
  <w:abstractNum w:abstractNumId="460">
    <w:nsid w:val="40F9991C"/>
    <w:multiLevelType w:val="hybridMultilevel"/>
    <w:lvl w:ilvl="0">
      <w:lvlJc w:val="left"/>
      <w:lvlText w:val="(%1)"/>
      <w:numFmt w:val="lowerLetter"/>
      <w:start w:val="6"/>
    </w:lvl>
    <w:lvl w:ilvl="1">
      <w:lvlJc w:val="left"/>
      <w:lvlText w:val="%2"/>
      <w:numFmt w:val="lowerRoman"/>
      <w:start w:val="1"/>
    </w:lvl>
  </w:abstractNum>
  <w:abstractNum w:abstractNumId="461">
    <w:nsid w:val="52192AD"/>
    <w:multiLevelType w:val="hybridMultilevel"/>
    <w:lvl w:ilvl="0">
      <w:lvlJc w:val="left"/>
      <w:lvlText w:val="(%1)"/>
      <w:numFmt w:val="lowerLetter"/>
      <w:start w:val="9"/>
    </w:lvl>
  </w:abstractNum>
  <w:abstractNum w:abstractNumId="462">
    <w:nsid w:val="7670D608"/>
    <w:multiLevelType w:val="hybridMultilevel"/>
    <w:lvl w:ilvl="0">
      <w:lvlJc w:val="left"/>
      <w:lvlText w:val="(%1)"/>
      <w:numFmt w:val="lowerLetter"/>
      <w:start w:val="14"/>
    </w:lvl>
  </w:abstractNum>
  <w:abstractNum w:abstractNumId="463">
    <w:nsid w:val="48B6B6EB"/>
    <w:multiLevelType w:val="hybridMultilevel"/>
    <w:lvl w:ilvl="0">
      <w:lvlJc w:val="left"/>
      <w:lvlText w:val="%1"/>
      <w:numFmt w:val="lowerLetter"/>
      <w:start w:val="1"/>
    </w:lvl>
    <w:lvl w:ilvl="1">
      <w:lvlJc w:val="left"/>
      <w:lvlText w:val="(%2)"/>
      <w:numFmt w:val="lowerRoman"/>
      <w:start w:val="1"/>
    </w:lvl>
  </w:abstractNum>
  <w:abstractNum w:abstractNumId="464">
    <w:nsid w:val="FB37489"/>
    <w:multiLevelType w:val="hybridMultilevel"/>
    <w:lvl w:ilvl="0">
      <w:lvlJc w:val="left"/>
      <w:lvlText w:val="(%1)"/>
      <w:numFmt w:val="lowerLetter"/>
      <w:start w:val="15"/>
    </w:lvl>
    <w:lvl w:ilvl="1">
      <w:lvlJc w:val="left"/>
      <w:lvlText w:val="(%2)"/>
      <w:numFmt w:val="lowerRoman"/>
      <w:start w:val="1"/>
    </w:lvl>
  </w:abstractNum>
  <w:abstractNum w:abstractNumId="465">
    <w:nsid w:val="8A75F95"/>
    <w:multiLevelType w:val="hybridMultilevel"/>
    <w:lvl w:ilvl="0">
      <w:lvlJc w:val="left"/>
      <w:lvlText w:val="(%1)"/>
      <w:numFmt w:val="lowerLetter"/>
      <w:start w:val="24"/>
    </w:lvl>
  </w:abstractNum>
  <w:abstractNum w:abstractNumId="466">
    <w:nsid w:val="2B27BF4D"/>
    <w:multiLevelType w:val="hybridMultilevel"/>
    <w:lvl w:ilvl="0">
      <w:lvlJc w:val="left"/>
      <w:lvlText w:val="(%1)"/>
      <w:numFmt w:val="lowerLetter"/>
      <w:start w:val="1"/>
    </w:lvl>
  </w:abstractNum>
  <w:abstractNum w:abstractNumId="467">
    <w:nsid w:val="E5CBEB4"/>
    <w:multiLevelType w:val="hybridMultilevel"/>
    <w:lvl w:ilvl="0">
      <w:lvlJc w:val="left"/>
      <w:lvlText w:val="(%1)"/>
      <w:numFmt w:val="lowerLetter"/>
      <w:start w:val="3"/>
    </w:lvl>
  </w:abstractNum>
  <w:abstractNum w:abstractNumId="468">
    <w:nsid w:val="297BFD38"/>
    <w:multiLevelType w:val="hybridMultilevel"/>
    <w:lvl w:ilvl="0">
      <w:lvlJc w:val="left"/>
      <w:lvlText w:val="(%1)"/>
      <w:numFmt w:val="lowerLetter"/>
      <w:start w:val="11"/>
    </w:lvl>
    <w:lvl w:ilvl="1">
      <w:lvlJc w:val="left"/>
      <w:lvlText w:val="(%2)"/>
      <w:numFmt w:val="lowerRoman"/>
      <w:start w:val="1"/>
    </w:lvl>
  </w:abstractNum>
  <w:abstractNum w:abstractNumId="469">
    <w:nsid w:val="D9A50ED"/>
    <w:multiLevelType w:val="hybridMultilevel"/>
    <w:lvl w:ilvl="0">
      <w:lvlJc w:val="left"/>
      <w:lvlText w:val="(%1)"/>
      <w:numFmt w:val="lowerLetter"/>
      <w:start w:val="16"/>
    </w:lvl>
    <w:lvl w:ilvl="1">
      <w:lvlJc w:val="left"/>
      <w:lvlText w:val="(%2)"/>
      <w:numFmt w:val="lowerRoman"/>
      <w:start w:val="1"/>
    </w:lvl>
  </w:abstractNum>
  <w:abstractNum w:abstractNumId="470">
    <w:nsid w:val="20DAABD1"/>
    <w:multiLevelType w:val="hybridMultilevel"/>
    <w:lvl w:ilvl="0">
      <w:lvlJc w:val="left"/>
      <w:lvlText w:val="(%1)"/>
      <w:numFmt w:val="lowerRoman"/>
      <w:start w:val="7"/>
    </w:lvl>
  </w:abstractNum>
  <w:abstractNum w:abstractNumId="471">
    <w:nsid w:val="71B563E3"/>
    <w:multiLevelType w:val="hybridMultilevel"/>
    <w:lvl w:ilvl="0">
      <w:lvlJc w:val="left"/>
      <w:lvlText w:val="(%1)"/>
      <w:numFmt w:val="lowerLetter"/>
      <w:start w:val="1"/>
    </w:lvl>
  </w:abstractNum>
  <w:abstractNum w:abstractNumId="472">
    <w:nsid w:val="741A191E"/>
    <w:multiLevelType w:val="hybridMultilevel"/>
    <w:lvl w:ilvl="0">
      <w:lvlJc w:val="left"/>
      <w:lvlText w:val="(%1)"/>
      <w:numFmt w:val="lowerRoman"/>
      <w:start w:val="2"/>
    </w:lvl>
  </w:abstractNum>
  <w:abstractNum w:abstractNumId="473">
    <w:nsid w:val="55886153"/>
    <w:multiLevelType w:val="hybridMultilevel"/>
    <w:lvl w:ilvl="0">
      <w:lvlJc w:val="left"/>
      <w:lvlText w:val="(%1)"/>
      <w:numFmt w:val="lowerLetter"/>
      <w:start w:val="1"/>
    </w:lvl>
  </w:abstractNum>
  <w:abstractNum w:abstractNumId="474">
    <w:nsid w:val="3E6AF287"/>
    <w:multiLevelType w:val="hybridMultilevel"/>
    <w:lvl w:ilvl="0">
      <w:lvlJc w:val="left"/>
      <w:lvlText w:val="(%1)"/>
      <w:numFmt w:val="lowerRoman"/>
      <w:start w:val="9"/>
    </w:lvl>
  </w:abstractNum>
  <w:abstractNum w:abstractNumId="475">
    <w:nsid w:val="2D7CB919"/>
    <w:multiLevelType w:val="hybridMultilevel"/>
    <w:lvl w:ilvl="0">
      <w:lvlJc w:val="left"/>
      <w:lvlText w:val="(%1)"/>
      <w:numFmt w:val="lowerLetter"/>
      <w:start w:val="1"/>
    </w:lvl>
  </w:abstractNum>
  <w:abstractNum w:abstractNumId="476">
    <w:nsid w:val="4781AC2F"/>
    <w:multiLevelType w:val="hybridMultilevel"/>
    <w:lvl w:ilvl="0">
      <w:lvlJc w:val="left"/>
      <w:lvlText w:val="(%1)"/>
      <w:numFmt w:val="lowerLetter"/>
      <w:start w:val="1"/>
    </w:lvl>
  </w:abstractNum>
  <w:abstractNum w:abstractNumId="477">
    <w:nsid w:val="666AA3E1"/>
    <w:multiLevelType w:val="hybridMultilevel"/>
    <w:lvl w:ilvl="0">
      <w:lvlJc w:val="left"/>
      <w:lvlText w:val="%1"/>
      <w:numFmt w:val="lowerLetter"/>
      <w:start w:val="1"/>
    </w:lvl>
    <w:lvl w:ilvl="1">
      <w:lvlJc w:val="left"/>
      <w:lvlText w:val="(%2)"/>
      <w:numFmt w:val="lowerRoman"/>
      <w:start w:val="1"/>
    </w:lvl>
  </w:abstractNum>
  <w:abstractNum w:abstractNumId="478">
    <w:nsid w:val="32089E8C"/>
    <w:multiLevelType w:val="hybridMultilevel"/>
    <w:lvl w:ilvl="0">
      <w:lvlJc w:val="left"/>
      <w:lvlText w:val="(%1)"/>
      <w:numFmt w:val="lowerLetter"/>
      <w:start w:val="2"/>
    </w:lvl>
    <w:lvl w:ilvl="1">
      <w:lvlJc w:val="left"/>
      <w:lvlText w:val="%2"/>
      <w:numFmt w:val="lowerRoman"/>
      <w:start w:val="1"/>
    </w:lvl>
  </w:abstractNum>
  <w:abstractNum w:abstractNumId="479">
    <w:nsid w:val="5BAC6C9C"/>
    <w:multiLevelType w:val="hybridMultilevel"/>
    <w:lvl w:ilvl="0">
      <w:lvlJc w:val="left"/>
      <w:lvlText w:val="(%1)"/>
      <w:numFmt w:val="lowerLetter"/>
      <w:start w:val="1"/>
    </w:lvl>
  </w:abstractNum>
  <w:abstractNum w:abstractNumId="480">
    <w:nsid w:val="460FE42B"/>
    <w:multiLevelType w:val="hybridMultilevel"/>
    <w:lvl w:ilvl="0">
      <w:lvlJc w:val="left"/>
      <w:lvlText w:val="(%1)"/>
      <w:numFmt w:val="lowerLetter"/>
      <w:start w:val="1"/>
    </w:lvl>
    <w:lvl w:ilvl="1">
      <w:lvlJc w:val="left"/>
      <w:lvlText w:val="(%2)"/>
      <w:numFmt w:val="lowerRoman"/>
      <w:start w:val="1"/>
    </w:lvl>
  </w:abstractNum>
  <w:abstractNum w:abstractNumId="481">
    <w:nsid w:val="5EC714FC"/>
    <w:multiLevelType w:val="hybridMultilevel"/>
    <w:lvl w:ilvl="0">
      <w:lvlJc w:val="left"/>
      <w:lvlText w:val="(%1)"/>
      <w:numFmt w:val="lowerLetter"/>
      <w:start w:val="1"/>
    </w:lvl>
    <w:lvl w:ilvl="1">
      <w:lvlJc w:val="left"/>
      <w:lvlText w:val="(%2)"/>
      <w:numFmt w:val="lowerRoman"/>
      <w:start w:val="1"/>
    </w:lvl>
  </w:abstractNum>
  <w:abstractNum w:abstractNumId="482">
    <w:nsid w:val="39333BAD"/>
    <w:multiLevelType w:val="hybridMultilevel"/>
    <w:lvl w:ilvl="0">
      <w:lvlJc w:val="left"/>
      <w:lvlText w:val="(%1)"/>
      <w:numFmt w:val="lowerLetter"/>
      <w:start w:val="2"/>
    </w:lvl>
  </w:abstractNum>
  <w:abstractNum w:abstractNumId="483">
    <w:nsid w:val="2FFF2A9F"/>
    <w:multiLevelType w:val="hybridMultilevel"/>
    <w:lvl w:ilvl="0">
      <w:lvlJc w:val="left"/>
      <w:lvlText w:val="(%1)"/>
      <w:numFmt w:val="lowerLetter"/>
      <w:start w:val="1"/>
    </w:lvl>
    <w:lvl w:ilvl="1">
      <w:lvlJc w:val="left"/>
      <w:lvlText w:val="(%2)"/>
      <w:numFmt w:val="lowerRoman"/>
      <w:start w:val="1"/>
    </w:lvl>
  </w:abstractNum>
  <w:abstractNum w:abstractNumId="484">
    <w:nsid w:val="477304AC"/>
    <w:multiLevelType w:val="hybridMultilevel"/>
    <w:lvl w:ilvl="0">
      <w:lvlJc w:val="left"/>
      <w:lvlText w:val="(%1)"/>
      <w:numFmt w:val="lowerLetter"/>
      <w:start w:val="1"/>
    </w:lvl>
  </w:abstractNum>
  <w:abstractNum w:abstractNumId="485">
    <w:nsid w:val="6B9F7823"/>
    <w:multiLevelType w:val="hybridMultilevel"/>
    <w:lvl w:ilvl="0">
      <w:lvlJc w:val="left"/>
      <w:lvlText w:val="(%1)"/>
      <w:numFmt w:val="lowerLetter"/>
      <w:start w:val="1"/>
    </w:lvl>
  </w:abstractNum>
  <w:abstractNum w:abstractNumId="486">
    <w:nsid w:val="8A29A69"/>
    <w:multiLevelType w:val="hybridMultilevel"/>
    <w:lvl w:ilvl="0">
      <w:lvlJc w:val="left"/>
      <w:lvlText w:val="(%1)"/>
      <w:numFmt w:val="lowerLetter"/>
      <w:start w:val="1"/>
    </w:lvl>
    <w:lvl w:ilvl="1">
      <w:lvlJc w:val="left"/>
      <w:lvlText w:val="(%2)"/>
      <w:numFmt w:val="lowerRoman"/>
      <w:start w:val="1"/>
    </w:lvl>
  </w:abstractNum>
  <w:abstractNum w:abstractNumId="487">
    <w:nsid w:val="5A0E9A9F"/>
    <w:multiLevelType w:val="hybridMultilevel"/>
    <w:lvl w:ilvl="0">
      <w:lvlJc w:val="left"/>
      <w:lvlText w:val="(%1)"/>
      <w:numFmt w:val="lowerLetter"/>
      <w:start w:val="2"/>
    </w:lvl>
  </w:abstractNum>
  <w:abstractNum w:abstractNumId="488">
    <w:nsid w:val="1C3F31CE"/>
    <w:multiLevelType w:val="hybridMultilevel"/>
    <w:lvl w:ilvl="0">
      <w:lvlJc w:val="left"/>
      <w:lvlText w:val="(%1)"/>
      <w:numFmt w:val="lowerLetter"/>
      <w:start w:val="6"/>
    </w:lvl>
  </w:abstractNum>
  <w:abstractNum w:abstractNumId="489">
    <w:nsid w:val="D28DDE"/>
    <w:multiLevelType w:val="hybridMultilevel"/>
    <w:lvl w:ilvl="0">
      <w:lvlJc w:val="left"/>
      <w:lvlText w:val="(%1)"/>
      <w:numFmt w:val="lowerLetter"/>
      <w:start w:val="1"/>
    </w:lvl>
    <w:lvl w:ilvl="1">
      <w:lvlJc w:val="left"/>
      <w:lvlText w:val="(%2)"/>
      <w:numFmt w:val="lowerLetter"/>
      <w:start w:val="9"/>
    </w:lvl>
  </w:abstractNum>
  <w:abstractNum w:abstractNumId="490">
    <w:nsid w:val="59E3AC4"/>
    <w:multiLevelType w:val="hybridMultilevel"/>
    <w:lvl w:ilvl="0">
      <w:lvlJc w:val="left"/>
      <w:lvlText w:val="(%1)"/>
      <w:numFmt w:val="lowerRoman"/>
      <w:start w:val="2"/>
    </w:lvl>
  </w:abstractNum>
  <w:abstractNum w:abstractNumId="491">
    <w:nsid w:val="5D38CAEA"/>
    <w:multiLevelType w:val="hybridMultilevel"/>
    <w:lvl w:ilvl="0">
      <w:lvlJc w:val="left"/>
      <w:lvlText w:val="(%1)"/>
      <w:numFmt w:val="lowerRoman"/>
      <w:start w:val="3"/>
    </w:lvl>
  </w:abstractNum>
  <w:abstractNum w:abstractNumId="492">
    <w:nsid w:val="5F4208C"/>
    <w:multiLevelType w:val="hybridMultilevel"/>
    <w:lvl w:ilvl="0">
      <w:lvlJc w:val="left"/>
      <w:lvlText w:val="(%1)"/>
      <w:numFmt w:val="lowerLetter"/>
      <w:start w:val="1"/>
    </w:lvl>
  </w:abstractNum>
  <w:abstractNum w:abstractNumId="493">
    <w:nsid w:val="7C0F10CC"/>
    <w:multiLevelType w:val="hybridMultilevel"/>
    <w:lvl w:ilvl="0">
      <w:lvlJc w:val="left"/>
      <w:lvlText w:val="(%1)"/>
      <w:numFmt w:val="lowerLetter"/>
      <w:start w:val="2"/>
    </w:lvl>
  </w:abstractNum>
  <w:abstractNum w:abstractNumId="494">
    <w:nsid w:val="25EF81D5"/>
    <w:multiLevelType w:val="hybridMultilevel"/>
    <w:lvl w:ilvl="0">
      <w:lvlJc w:val="left"/>
      <w:lvlText w:val="(%1)"/>
      <w:numFmt w:val="lowerLetter"/>
      <w:start w:val="1"/>
    </w:lvl>
    <w:lvl w:ilvl="1">
      <w:lvlJc w:val="left"/>
      <w:lvlText w:val="(%2)"/>
      <w:numFmt w:val="lowerRoman"/>
      <w:start w:val="1"/>
    </w:lvl>
  </w:abstractNum>
  <w:abstractNum w:abstractNumId="495">
    <w:nsid w:val="15A79515"/>
    <w:multiLevelType w:val="hybridMultilevel"/>
    <w:lvl w:ilvl="0">
      <w:lvlJc w:val="left"/>
      <w:lvlText w:val="(%1)"/>
      <w:numFmt w:val="lowerLetter"/>
      <w:start w:val="1"/>
    </w:lvl>
  </w:abstractNum>
  <w:abstractNum w:abstractNumId="496">
    <w:nsid w:val="4B67062"/>
    <w:multiLevelType w:val="hybridMultilevel"/>
    <w:lvl w:ilvl="0">
      <w:lvlJc w:val="left"/>
      <w:lvlText w:val="(%1)"/>
      <w:numFmt w:val="lowerLetter"/>
      <w:start w:val="1"/>
    </w:lvl>
    <w:lvl w:ilvl="1">
      <w:lvlJc w:val="left"/>
      <w:lvlText w:val="(%2)"/>
      <w:numFmt w:val="lowerRoman"/>
      <w:start w:val="1"/>
    </w:lvl>
  </w:abstractNum>
  <w:abstractNum w:abstractNumId="497">
    <w:nsid w:val="51174123"/>
    <w:multiLevelType w:val="hybridMultilevel"/>
    <w:lvl w:ilvl="0">
      <w:lvlJc w:val="left"/>
      <w:lvlText w:val="%1"/>
      <w:numFmt w:val="lowerLetter"/>
      <w:start w:val="1"/>
    </w:lvl>
    <w:lvl w:ilvl="1">
      <w:lvlJc w:val="left"/>
      <w:lvlText w:val="(%2)"/>
      <w:numFmt w:val="lowerRoman"/>
      <w:start w:val="3"/>
    </w:lvl>
  </w:abstractNum>
  <w:abstractNum w:abstractNumId="498">
    <w:nsid w:val="240453CA"/>
    <w:multiLevelType w:val="hybridMultilevel"/>
    <w:lvl w:ilvl="0">
      <w:lvlJc w:val="left"/>
      <w:lvlText w:val="(%1)"/>
      <w:numFmt w:val="lowerLetter"/>
      <w:start w:val="2"/>
    </w:lvl>
    <w:lvl w:ilvl="1">
      <w:lvlJc w:val="left"/>
      <w:lvlText w:val="%2"/>
      <w:numFmt w:val="lowerRoman"/>
      <w:start w:val="1"/>
    </w:lvl>
  </w:abstractNum>
  <w:abstractNum w:abstractNumId="499">
    <w:nsid w:val="2E326D9A"/>
    <w:multiLevelType w:val="hybridMultilevel"/>
    <w:lvl w:ilvl="0">
      <w:lvlJc w:val="left"/>
      <w:lvlText w:val="(%1)"/>
      <w:numFmt w:val="lowerLetter"/>
      <w:start w:val="1"/>
    </w:lvl>
  </w:abstractNum>
  <w:abstractNum w:abstractNumId="500">
    <w:nsid w:val="5EB19210"/>
    <w:multiLevelType w:val="hybridMultilevel"/>
    <w:lvl w:ilvl="0">
      <w:lvlJc w:val="left"/>
      <w:lvlText w:val="(%1)"/>
      <w:numFmt w:val="lowerLetter"/>
      <w:start w:val="2"/>
    </w:lvl>
  </w:abstractNum>
  <w:abstractNum w:abstractNumId="501">
    <w:nsid w:val="44DEFF9B"/>
    <w:multiLevelType w:val="hybridMultilevel"/>
    <w:lvl w:ilvl="0">
      <w:lvlJc w:val="left"/>
      <w:lvlText w:val="%1"/>
      <w:numFmt w:val="lowerLetter"/>
      <w:start w:val="1"/>
    </w:lvl>
    <w:lvl w:ilvl="1">
      <w:lvlJc w:val="left"/>
      <w:lvlText w:val="(%2)"/>
      <w:numFmt w:val="lowerLetter"/>
      <w:start w:val="1"/>
    </w:lvl>
  </w:abstractNum>
  <w:abstractNum w:abstractNumId="502">
    <w:nsid w:val="1FE7D17D"/>
    <w:multiLevelType w:val="hybridMultilevel"/>
    <w:lvl w:ilvl="0">
      <w:lvlJc w:val="left"/>
      <w:lvlText w:val="(%1)"/>
      <w:numFmt w:val="lowerLetter"/>
      <w:start w:val="3"/>
    </w:lvl>
    <w:lvl w:ilvl="1">
      <w:lvlJc w:val="left"/>
      <w:lvlText w:val="(%2)"/>
      <w:numFmt w:val="lowerLetter"/>
      <w:start w:val="3"/>
    </w:lvl>
  </w:abstractNum>
  <w:abstractNum w:abstractNumId="503">
    <w:nsid w:val="52CBAB2E"/>
    <w:multiLevelType w:val="hybridMultilevel"/>
    <w:lvl w:ilvl="0">
      <w:lvlJc w:val="left"/>
      <w:lvlText w:val="(%1)"/>
      <w:numFmt w:val="lowerLetter"/>
      <w:start w:val="1"/>
    </w:lvl>
  </w:abstractNum>
  <w:abstractNum w:abstractNumId="504">
    <w:nsid w:val="1A6760EF"/>
    <w:multiLevelType w:val="hybridMultilevel"/>
    <w:lvl w:ilvl="0">
      <w:lvlJc w:val="left"/>
      <w:lvlText w:val="(%1)"/>
      <w:numFmt w:val="lowerLetter"/>
      <w:start w:val="1"/>
    </w:lvl>
    <w:lvl w:ilvl="1">
      <w:lvlJc w:val="left"/>
      <w:lvlText w:val="(%2)"/>
      <w:numFmt w:val="lowerLetter"/>
      <w:start w:val="4"/>
    </w:lvl>
  </w:abstractNum>
  <w:abstractNum w:abstractNumId="505">
    <w:nsid w:val="5E52C4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506">
    <w:nsid w:val="486447"/>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507">
    <w:nsid w:val="61E90D1E"/>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
    </w:lvl>
  </w:abstractNum>
  <w:abstractNum w:abstractNumId="508">
    <w:nsid w:val="44BD67E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509">
    <w:nsid w:val="325102D3"/>
    <w:multiLevelType w:val="hybridMultilevel"/>
    <w:lvl w:ilvl="0">
      <w:lvlJc w:val="left"/>
      <w:lvlText w:val="(%1)"/>
      <w:numFmt w:val="lowerLetter"/>
      <w:start w:val="1"/>
    </w:lvl>
  </w:abstractNum>
  <w:abstractNum w:abstractNumId="510">
    <w:nsid w:val="3D9579BA"/>
    <w:multiLevelType w:val="hybridMultilevel"/>
    <w:lvl w:ilvl="0">
      <w:lvlJc w:val="left"/>
      <w:lvlText w:val="(%1)"/>
      <w:numFmt w:val="lowerLetter"/>
      <w:start w:val="1"/>
    </w:lvl>
  </w:abstractNum>
  <w:abstractNum w:abstractNumId="511">
    <w:nsid w:val="ACD4C11"/>
    <w:multiLevelType w:val="hybridMultilevel"/>
    <w:lvl w:ilvl="0">
      <w:lvlJc w:val="left"/>
      <w:lvlText w:val="1"/>
      <w:numFmt w:val="bullet"/>
      <w:start w:val="1"/>
    </w:lvl>
    <w:lvl w:ilvl="1">
      <w:lvlJc w:val="left"/>
      <w:lvlText w:val="(%2)"/>
      <w:numFmt w:val="lowerLetter"/>
      <w:start w:val="1"/>
    </w:lvl>
  </w:abstractNum>
  <w:abstractNum w:abstractNumId="512">
    <w:nsid w:val="111817CF"/>
    <w:multiLevelType w:val="hybridMultilevel"/>
    <w:lvl w:ilvl="0">
      <w:lvlJc w:val="left"/>
      <w:lvlText w:val="(%1)"/>
      <w:numFmt w:val="lowerLetter"/>
      <w:start w:val="1"/>
    </w:lvl>
  </w:abstractNum>
  <w:abstractNum w:abstractNumId="513">
    <w:nsid w:val="76C8B568"/>
    <w:multiLevelType w:val="hybridMultilevel"/>
    <w:lvl w:ilvl="0">
      <w:lvlJc w:val="left"/>
      <w:lvlText w:val="(%1)"/>
      <w:numFmt w:val="lowerLetter"/>
      <w:start w:val="1"/>
    </w:lvl>
  </w:abstractNum>
  <w:abstractNum w:abstractNumId="514">
    <w:nsid w:val="3ACC76B1"/>
    <w:multiLevelType w:val="hybridMultilevel"/>
    <w:lvl w:ilvl="0">
      <w:lvlJc w:val="left"/>
      <w:lvlText w:val="(%1)"/>
      <w:numFmt w:val="lowerLetter"/>
      <w:start w:val="2"/>
    </w:lvl>
  </w:abstractNum>
  <w:abstractNum w:abstractNumId="515">
    <w:nsid w:val="588B1C7C"/>
    <w:multiLevelType w:val="hybridMultilevel"/>
    <w:lvl w:ilvl="0">
      <w:lvlJc w:val="left"/>
      <w:lvlText w:val="(%1)"/>
      <w:numFmt w:val="lowerLetter"/>
      <w:start w:val="1"/>
    </w:lvl>
  </w:abstractNum>
  <w:abstractNum w:abstractNumId="516">
    <w:nsid w:val="62682D8B"/>
    <w:multiLevelType w:val="hybridMultilevel"/>
    <w:lvl w:ilvl="0">
      <w:lvlJc w:val="left"/>
      <w:lvlText w:val="(%1)"/>
      <w:numFmt w:val="lowerLetter"/>
      <w:start w:val="2"/>
    </w:lvl>
    <w:lvl w:ilvl="1">
      <w:lvlJc w:val="left"/>
      <w:lvlText w:val="(%2)"/>
      <w:numFmt w:val="lowerRoman"/>
      <w:start w:val="1"/>
    </w:lvl>
  </w:abstractNum>
  <w:abstractNum w:abstractNumId="517">
    <w:nsid w:val="436F111A"/>
    <w:multiLevelType w:val="hybridMultilevel"/>
    <w:lvl w:ilvl="0">
      <w:lvlJc w:val="left"/>
      <w:lvlText w:val="(%1)"/>
      <w:numFmt w:val="lowerLetter"/>
      <w:start w:val="1"/>
    </w:lvl>
  </w:abstractNum>
  <w:abstractNum w:abstractNumId="518">
    <w:nsid w:val="3299B71B"/>
    <w:multiLevelType w:val="hybridMultilevel"/>
    <w:lvl w:ilvl="0">
      <w:lvlJc w:val="left"/>
      <w:lvlText w:val="(%1)"/>
      <w:numFmt w:val="lowerLetter"/>
      <w:start w:val="2"/>
    </w:lvl>
  </w:abstractNum>
  <w:abstractNum w:abstractNumId="519">
    <w:nsid w:val="7EA75F5A"/>
    <w:multiLevelType w:val="hybridMultilevel"/>
    <w:lvl w:ilvl="0">
      <w:lvlJc w:val="left"/>
      <w:lvlText w:val="(%1)"/>
      <w:numFmt w:val="lowerLetter"/>
      <w:start w:val="3"/>
    </w:lvl>
  </w:abstractNum>
  <w:abstractNum w:abstractNumId="520">
    <w:nsid w:val="44419EF9"/>
    <w:multiLevelType w:val="hybridMultilevel"/>
    <w:lvl w:ilvl="0">
      <w:lvlJc w:val="left"/>
      <w:lvlText w:val="(%1)"/>
      <w:numFmt w:val="lowerLetter"/>
      <w:start w:val="1"/>
    </w:lvl>
  </w:abstractNum>
  <w:abstractNum w:abstractNumId="521">
    <w:nsid w:val="3837F1DF"/>
    <w:multiLevelType w:val="hybridMultilevel"/>
    <w:lvl w:ilvl="0">
      <w:lvlJc w:val="left"/>
      <w:lvlText w:val="(%1)"/>
      <w:numFmt w:val="lowerLetter"/>
      <w:start w:val="1"/>
    </w:lvl>
  </w:abstractNum>
  <w:abstractNum w:abstractNumId="522">
    <w:nsid w:val="5BE02A44"/>
    <w:multiLevelType w:val="hybridMultilevel"/>
    <w:lvl w:ilvl="0">
      <w:lvlJc w:val="left"/>
      <w:lvlText w:val="(%1)"/>
      <w:numFmt w:val="lowerLetter"/>
      <w:start w:val="1"/>
    </w:lvl>
    <w:lvl w:ilvl="1">
      <w:lvlJc w:val="left"/>
      <w:lvlText w:val="(%2)"/>
      <w:numFmt w:val="lowerRoman"/>
      <w:start w:val="1"/>
    </w:lvl>
  </w:abstractNum>
  <w:abstractNum w:abstractNumId="523">
    <w:nsid w:val="4A35BF85"/>
    <w:multiLevelType w:val="hybridMultilevel"/>
    <w:lvl w:ilvl="0">
      <w:lvlJc w:val="left"/>
      <w:lvlText w:val="(%1)"/>
      <w:numFmt w:val="lowerLetter"/>
      <w:start w:val="1"/>
    </w:lvl>
  </w:abstractNum>
  <w:abstractNum w:abstractNumId="524">
    <w:nsid w:val="344702AC"/>
    <w:multiLevelType w:val="hybridMultilevel"/>
    <w:lvl w:ilvl="0">
      <w:lvlJc w:val="left"/>
      <w:lvlText w:val="(%1)"/>
      <w:numFmt w:val="lowerLetter"/>
      <w:start w:val="6"/>
    </w:lvl>
  </w:abstractNum>
  <w:abstractNum w:abstractNumId="525">
    <w:nsid w:val="1CFAC1A"/>
    <w:multiLevelType w:val="hybridMultilevel"/>
    <w:lvl w:ilvl="0">
      <w:lvlJc w:val="left"/>
      <w:lvlText w:val="(%1)"/>
      <w:numFmt w:val="lowerLetter"/>
      <w:start w:val="1"/>
    </w:lvl>
  </w:abstractNum>
  <w:abstractNum w:abstractNumId="526">
    <w:nsid w:val="5FDD549A"/>
    <w:multiLevelType w:val="hybridMultilevel"/>
    <w:lvl w:ilvl="0">
      <w:lvlJc w:val="left"/>
      <w:lvlText w:val="(%1)"/>
      <w:numFmt w:val="lowerLetter"/>
      <w:start w:val="1"/>
    </w:lvl>
  </w:abstractNum>
  <w:abstractNum w:abstractNumId="527">
    <w:nsid w:val="38FD730E"/>
    <w:multiLevelType w:val="hybridMultilevel"/>
    <w:lvl w:ilvl="0">
      <w:lvlJc w:val="left"/>
      <w:lvlText w:val="(%1)"/>
      <w:numFmt w:val="lowerLetter"/>
      <w:start w:val="1"/>
    </w:lvl>
  </w:abstractNum>
  <w:abstractNum w:abstractNumId="528">
    <w:nsid w:val="52E6ED3D"/>
    <w:multiLevelType w:val="hybridMultilevel"/>
    <w:lvl w:ilvl="0">
      <w:lvlJc w:val="left"/>
      <w:lvlText w:val="(%1)"/>
      <w:numFmt w:val="lowerLetter"/>
      <w:start w:val="2"/>
    </w:lvl>
  </w:abstractNum>
  <w:abstractNum w:abstractNumId="529">
    <w:nsid w:val="3E1A864"/>
    <w:multiLevelType w:val="hybridMultilevel"/>
    <w:lvl w:ilvl="0">
      <w:lvlJc w:val="left"/>
      <w:lvlText w:val="%1"/>
      <w:numFmt w:val="upperLetter"/>
      <w:start w:val="1"/>
    </w:lvl>
    <w:lvl w:ilvl="1">
      <w:lvlJc w:val="left"/>
      <w:lvlText w:val="(%2)"/>
      <w:numFmt w:val="lowerLetter"/>
      <w:start w:val="1"/>
    </w:lvl>
  </w:abstractNum>
  <w:abstractNum w:abstractNumId="530">
    <w:nsid w:val="672FE0A8"/>
    <w:multiLevelType w:val="hybridMultilevel"/>
    <w:lvl w:ilvl="0">
      <w:lvlJc w:val="left"/>
      <w:lvlText w:val="(%1)"/>
      <w:numFmt w:val="upperLetter"/>
      <w:start w:val="1"/>
    </w:lvl>
    <w:lvl w:ilvl="1">
      <w:lvlJc w:val="left"/>
      <w:lvlText w:val="(%2)"/>
      <w:numFmt w:val="lowerLetter"/>
      <w:start w:val="2"/>
    </w:lvl>
  </w:abstractNum>
  <w:abstractNum w:abstractNumId="531">
    <w:nsid w:val="31987F4D"/>
    <w:multiLevelType w:val="hybridMultilevel"/>
    <w:lvl w:ilvl="0">
      <w:lvlJc w:val="left"/>
      <w:lvlText w:val="(%1)"/>
      <w:numFmt w:val="lowerLetter"/>
      <w:start w:val="1"/>
    </w:lvl>
  </w:abstractNum>
  <w:abstractNum w:abstractNumId="532">
    <w:nsid w:val="48C0A800"/>
    <w:multiLevelType w:val="hybridMultilevel"/>
    <w:lvl w:ilvl="0">
      <w:lvlJc w:val="left"/>
      <w:lvlText w:val="(%1)"/>
      <w:numFmt w:val="lowerLetter"/>
      <w:start w:val="1"/>
    </w:lvl>
  </w:abstractNum>
  <w:abstractNum w:abstractNumId="533">
    <w:nsid w:val="717B226"/>
    <w:multiLevelType w:val="hybridMultilevel"/>
    <w:lvl w:ilvl="0">
      <w:lvlJc w:val="left"/>
      <w:lvlText w:val="(%1)"/>
      <w:numFmt w:val="lowerLetter"/>
      <w:start w:val="1"/>
    </w:lvl>
    <w:lvl w:ilvl="1">
      <w:lvlJc w:val="left"/>
      <w:lvlText w:val="(%2)"/>
      <w:numFmt w:val="lowerLetter"/>
      <w:start w:val="9"/>
    </w:lvl>
  </w:abstractNum>
  <w:abstractNum w:abstractNumId="534">
    <w:nsid w:val="4642A7B"/>
    <w:multiLevelType w:val="hybridMultilevel"/>
    <w:lvl w:ilvl="0">
      <w:lvlJc w:val="left"/>
      <w:lvlText w:val="(%1)"/>
      <w:numFmt w:val="lowerRoman"/>
      <w:start w:val="2"/>
    </w:lvl>
  </w:abstractNum>
  <w:abstractNum w:abstractNumId="535">
    <w:nsid w:val="632808EF"/>
    <w:multiLevelType w:val="hybridMultilevel"/>
    <w:lvl w:ilvl="0">
      <w:lvlJc w:val="left"/>
      <w:lvlText w:val="%1"/>
      <w:numFmt w:val="lowerLetter"/>
      <w:start w:val="1"/>
    </w:lvl>
    <w:lvl w:ilvl="1">
      <w:lvlJc w:val="left"/>
      <w:lvlText w:val="(%2)"/>
      <w:numFmt w:val="lowerLetter"/>
      <w:start w:val="61"/>
    </w:lvl>
  </w:abstractNum>
  <w:abstractNum w:abstractNumId="536">
    <w:nsid w:val="656A762B"/>
    <w:multiLevelType w:val="hybridMultilevel"/>
    <w:lvl w:ilvl="0">
      <w:lvlJc w:val="left"/>
      <w:lvlText w:val="(%1)"/>
      <w:numFmt w:val="lowerLetter"/>
      <w:start w:val="2"/>
    </w:lvl>
    <w:lvl w:ilvl="1">
      <w:lvlJc w:val="left"/>
      <w:lvlText w:val="%2"/>
      <w:numFmt w:val="lowerLetter"/>
      <w:start w:val="1"/>
    </w:lvl>
  </w:abstractNum>
  <w:abstractNum w:abstractNumId="537">
    <w:nsid w:val="4AC8EC3"/>
    <w:multiLevelType w:val="hybridMultilevel"/>
    <w:lvl w:ilvl="0">
      <w:lvlJc w:val="left"/>
      <w:lvlText w:val="(%1)"/>
      <w:numFmt w:val="lowerLetter"/>
      <w:start w:val="1"/>
    </w:lvl>
  </w:abstractNum>
  <w:abstractNum w:abstractNumId="538">
    <w:nsid w:val="4511160D"/>
    <w:multiLevelType w:val="hybridMultilevel"/>
    <w:lvl w:ilvl="0">
      <w:lvlJc w:val="left"/>
      <w:lvlText w:val="(%1)"/>
      <w:numFmt w:val="lowerLetter"/>
      <w:start w:val="6"/>
    </w:lvl>
  </w:abstractNum>
  <w:abstractNum w:abstractNumId="539">
    <w:nsid w:val="2A27DE11"/>
    <w:multiLevelType w:val="hybridMultilevel"/>
    <w:lvl w:ilvl="0">
      <w:lvlJc w:val="left"/>
      <w:lvlText w:val="(%1)"/>
      <w:numFmt w:val="lowerLetter"/>
      <w:start w:val="5"/>
    </w:lvl>
  </w:abstractNum>
  <w:abstractNum w:abstractNumId="540">
    <w:nsid w:val="36FD9196"/>
    <w:multiLevelType w:val="hybridMultilevel"/>
    <w:lvl w:ilvl="0">
      <w:lvlJc w:val="left"/>
      <w:lvlText w:val="(%1)"/>
      <w:numFmt w:val="lowerLetter"/>
      <w:start w:val="1"/>
    </w:lvl>
    <w:lvl w:ilvl="1">
      <w:lvlJc w:val="left"/>
      <w:lvlText w:val="(%2)"/>
      <w:numFmt w:val="lowerRoman"/>
      <w:start w:val="1"/>
    </w:lvl>
  </w:abstractNum>
  <w:abstractNum w:abstractNumId="541">
    <w:nsid w:val="2A68FC8"/>
    <w:multiLevelType w:val="hybridMultilevel"/>
    <w:lvl w:ilvl="0">
      <w:lvlJc w:val="left"/>
      <w:lvlText w:val="(%1)"/>
      <w:numFmt w:val="lowerLetter"/>
      <w:start w:val="1"/>
    </w:lvl>
  </w:abstractNum>
  <w:abstractNum w:abstractNumId="542">
    <w:nsid w:val="34F52A2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543">
    <w:nsid w:val="4815A966"/>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544">
    <w:nsid w:val="796F4530"/>
    <w:multiLevelType w:val="hybridMultilevel"/>
    <w:lvl w:ilvl="0">
      <w:lvlJc w:val="left"/>
      <w:lvlText w:val="(%1)"/>
      <w:numFmt w:val="lowerLetter"/>
      <w:start w:val="1"/>
    </w:lvl>
  </w:abstractNum>
  <w:abstractNum w:abstractNumId="545">
    <w:nsid w:val="6FC1A0D4"/>
    <w:multiLevelType w:val="hybridMultilevel"/>
    <w:lvl w:ilvl="0">
      <w:lvlJc w:val="left"/>
      <w:lvlText w:val="(%1)"/>
      <w:numFmt w:val="lowerLetter"/>
      <w:start w:val="1"/>
    </w:lvl>
  </w:abstractNum>
  <w:abstractNum w:abstractNumId="546">
    <w:nsid w:val="20A0C5E2"/>
    <w:multiLevelType w:val="hybridMultilevel"/>
    <w:lvl w:ilvl="0">
      <w:lvlJc w:val="left"/>
      <w:lvlText w:val="%1"/>
      <w:numFmt w:val="lowerLetter"/>
      <w:start w:val="1"/>
    </w:lvl>
    <w:lvl w:ilvl="1">
      <w:lvlJc w:val="left"/>
      <w:lvlText w:val="(%2)"/>
      <w:numFmt w:val="lowerLetter"/>
      <w:start w:val="1"/>
    </w:lvl>
  </w:abstractNum>
  <w:abstractNum w:abstractNumId="547">
    <w:nsid w:val="5BD772BB"/>
    <w:multiLevelType w:val="hybridMultilevel"/>
    <w:lvl w:ilvl="0">
      <w:lvlJc w:val="left"/>
      <w:lvlText w:val="(%1)"/>
      <w:numFmt w:val="lowerLetter"/>
      <w:start w:val="61"/>
    </w:lvl>
    <w:lvl w:ilvl="1">
      <w:lvlJc w:val="left"/>
      <w:lvlText w:val="%2"/>
      <w:numFmt w:val="lowerLetter"/>
      <w:start w:val="1"/>
    </w:lvl>
  </w:abstractNum>
  <w:abstractNum w:abstractNumId="548">
    <w:nsid w:val="3330B1EE"/>
    <w:multiLevelType w:val="hybridMultilevel"/>
    <w:lvl w:ilvl="0">
      <w:lvlJc w:val="left"/>
      <w:lvlText w:val="(%1)"/>
      <w:numFmt w:val="lowerLetter"/>
      <w:start w:val="1"/>
    </w:lvl>
  </w:abstractNum>
  <w:abstractNum w:abstractNumId="549">
    <w:nsid w:val="533A7CFD"/>
    <w:multiLevelType w:val="hybridMultilevel"/>
    <w:lvl w:ilvl="0">
      <w:lvlJc w:val="left"/>
      <w:lvlText w:val="(%1)"/>
      <w:numFmt w:val="lowerLetter"/>
      <w:start w:val="1"/>
    </w:lvl>
  </w:abstractNum>
  <w:abstractNum w:abstractNumId="550">
    <w:nsid w:val="5A7ED215"/>
    <w:multiLevelType w:val="hybridMultilevel"/>
    <w:lvl w:ilvl="0">
      <w:lvlJc w:val="left"/>
      <w:lvlText w:val="(%1)"/>
      <w:numFmt w:val="lowerLetter"/>
      <w:start w:val="8"/>
    </w:lvl>
  </w:abstractNum>
  <w:abstractNum w:abstractNumId="551">
    <w:nsid w:val="777250E7"/>
    <w:multiLevelType w:val="hybridMultilevel"/>
    <w:lvl w:ilvl="0">
      <w:lvlJc w:val="left"/>
      <w:lvlText w:val="(%1)"/>
      <w:numFmt w:val="lowerLetter"/>
      <w:start w:val="1"/>
    </w:lvl>
  </w:abstractNum>
  <w:abstractNum w:abstractNumId="552">
    <w:nsid w:val="B726EDC"/>
    <w:multiLevelType w:val="hybridMultilevel"/>
    <w:lvl w:ilvl="0">
      <w:lvlJc w:val="left"/>
      <w:lvlText w:val="(%1)"/>
      <w:numFmt w:val="lowerLetter"/>
      <w:start w:val="1"/>
    </w:lvl>
  </w:abstractNum>
  <w:abstractNum w:abstractNumId="553">
    <w:nsid w:val="365EFC5A"/>
    <w:multiLevelType w:val="hybridMultilevel"/>
    <w:lvl w:ilvl="0">
      <w:lvlJc w:val="left"/>
      <w:lvlText w:val="(%1)"/>
      <w:numFmt w:val="lowerLetter"/>
      <w:start w:val="1"/>
    </w:lvl>
  </w:abstractNum>
  <w:abstractNum w:abstractNumId="554">
    <w:nsid w:val="41A8106C"/>
    <w:multiLevelType w:val="hybridMultilevel"/>
    <w:lvl w:ilvl="0">
      <w:lvlJc w:val="left"/>
      <w:lvlText w:val="(%1)"/>
      <w:numFmt w:val="lowerLetter"/>
      <w:start w:val="1"/>
    </w:lvl>
  </w:abstractNum>
  <w:abstractNum w:abstractNumId="555">
    <w:nsid w:val="3FB97188"/>
    <w:multiLevelType w:val="hybridMultilevel"/>
    <w:lvl w:ilvl="0">
      <w:lvlJc w:val="left"/>
      <w:lvlText w:val="(%1)"/>
      <w:numFmt w:val="lowerRoman"/>
      <w:start w:val="1"/>
    </w:lvl>
  </w:abstractNum>
  <w:abstractNum w:abstractNumId="556">
    <w:nsid w:val="382EA874"/>
    <w:multiLevelType w:val="hybridMultilevel"/>
    <w:lvl w:ilvl="0">
      <w:lvlJc w:val="left"/>
      <w:lvlText w:val="(%1)"/>
      <w:numFmt w:val="decimal"/>
      <w:start w:val="60"/>
    </w:lvl>
    <w:lvl w:ilvl="1">
      <w:lvlJc w:val="left"/>
      <w:lvlText w:val="(%2)"/>
      <w:numFmt w:val="lowerRoman"/>
      <w:start w:val="3"/>
    </w:lvl>
  </w:abstractNum>
  <w:abstractNum w:abstractNumId="557">
    <w:nsid w:val="2185650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58">
    <w:nsid w:val="78B6E49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559">
    <w:nsid w:val="B1595B1"/>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35"/>
    </w:lvl>
  </w:abstractNum>
  <w:abstractNum w:abstractNumId="560">
    <w:nsid w:val="25670D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61">
    <w:nsid w:val="5FE6C53F"/>
    <w:multiLevelType w:val="hybridMultilevel"/>
    <w:lvl w:ilvl="0">
      <w:lvlJc w:val="left"/>
      <w:lvlText w:val="(%1)"/>
      <w:numFmt w:val="lowerRoman"/>
      <w:start w:val="2"/>
    </w:lvl>
  </w:abstractNum>
  <w:abstractNum w:abstractNumId="562">
    <w:nsid w:val="3CAE14FE"/>
    <w:multiLevelType w:val="hybridMultilevel"/>
    <w:lvl w:ilvl="0">
      <w:lvlJc w:val="left"/>
      <w:lvlText w:val="(%1)"/>
      <w:numFmt w:val="lowerLetter"/>
      <w:start w:val="7"/>
    </w:lvl>
    <w:lvl w:ilvl="1">
      <w:lvlJc w:val="left"/>
      <w:lvlText w:val="(%2)"/>
      <w:numFmt w:val="lowerRoman"/>
      <w:start w:val="1"/>
    </w:lvl>
  </w:abstractNum>
  <w:abstractNum w:abstractNumId="563">
    <w:nsid w:val="6E27B56B"/>
    <w:multiLevelType w:val="hybridMultilevel"/>
    <w:lvl w:ilvl="0">
      <w:lvlJc w:val="left"/>
      <w:lvlText w:val="(%1)"/>
      <w:numFmt w:val="lowerRoman"/>
      <w:start w:val="5"/>
    </w:lvl>
  </w:abstractNum>
  <w:abstractNum w:abstractNumId="564">
    <w:nsid w:val="66FE7765"/>
    <w:multiLevelType w:val="hybridMultilevel"/>
    <w:lvl w:ilvl="0">
      <w:lvlJc w:val="left"/>
      <w:lvlText w:val="%1"/>
      <w:numFmt w:val="lowerLetter"/>
      <w:start w:val="1"/>
    </w:lvl>
    <w:lvl w:ilvl="1">
      <w:lvlJc w:val="left"/>
      <w:lvlText w:val="(%2)"/>
      <w:numFmt w:val="lowerRoman"/>
      <w:start w:val="7"/>
    </w:lvl>
  </w:abstractNum>
  <w:abstractNum w:abstractNumId="565">
    <w:nsid w:val="41123F79"/>
    <w:multiLevelType w:val="hybridMultilevel"/>
    <w:lvl w:ilvl="0">
      <w:lvlJc w:val="left"/>
      <w:lvlText w:val="(%1)"/>
      <w:numFmt w:val="lowerLetter"/>
      <w:start w:val="8"/>
    </w:lvl>
    <w:lvl w:ilvl="1">
      <w:lvlJc w:val="left"/>
      <w:lvlText w:val="(%2)"/>
      <w:numFmt w:val="lowerRoman"/>
      <w:start w:val="1"/>
    </w:lvl>
  </w:abstractNum>
  <w:abstractNum w:abstractNumId="566">
    <w:nsid w:val="514FBE5A"/>
    <w:multiLevelType w:val="hybridMultilevel"/>
    <w:lvl w:ilvl="0">
      <w:lvlJc w:val="left"/>
      <w:lvlText w:val="(%1)"/>
      <w:numFmt w:val="lowerLetter"/>
      <w:start w:val="1"/>
    </w:lvl>
  </w:abstractNum>
  <w:abstractNum w:abstractNumId="567">
    <w:nsid w:val="4C68ED9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68">
    <w:nsid w:val="45BECE3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569">
    <w:nsid w:val="1660D468"/>
    <w:multiLevelType w:val="hybridMultilevel"/>
    <w:lvl w:ilvl="0">
      <w:lvlJc w:val="left"/>
      <w:lvlText w:val="%1"/>
      <w:numFmt w:val="lowerLetter"/>
      <w:start w:val="1"/>
    </w:lvl>
    <w:lvl w:ilvl="1">
      <w:lvlJc w:val="left"/>
      <w:lvlText w:val="(%2)"/>
      <w:numFmt w:val="lowerLetter"/>
      <w:start w:val="22"/>
    </w:lvl>
  </w:abstractNum>
  <w:abstractNum w:abstractNumId="570">
    <w:nsid w:val="7690CBA1"/>
    <w:multiLevelType w:val="hybridMultilevel"/>
    <w:lvl w:ilvl="0">
      <w:lvlJc w:val="left"/>
      <w:lvlText w:val="(%1)"/>
      <w:numFmt w:val="lowerLetter"/>
      <w:start w:val="3"/>
    </w:lvl>
    <w:lvl w:ilvl="1">
      <w:lvlJc w:val="left"/>
      <w:lvlText w:val="%2"/>
      <w:numFmt w:val="lowerLetter"/>
      <w:start w:val="1"/>
    </w:lvl>
  </w:abstractNum>
  <w:abstractNum w:abstractNumId="571">
    <w:nsid w:val="7CBC5FD3"/>
    <w:multiLevelType w:val="hybridMultilevel"/>
    <w:lvl w:ilvl="0">
      <w:lvlJc w:val="left"/>
      <w:lvlText w:val="(%1)"/>
      <w:numFmt w:val="lowerLetter"/>
      <w:start w:val="1"/>
    </w:lvl>
  </w:abstractNum>
  <w:abstractNum w:abstractNumId="572">
    <w:nsid w:val="19076430"/>
    <w:multiLevelType w:val="hybridMultilevel"/>
    <w:lvl w:ilvl="0">
      <w:lvlJc w:val="left"/>
      <w:lvlText w:val="(%1)"/>
      <w:numFmt w:val="lowerLetter"/>
      <w:start w:val="1"/>
    </w:lvl>
  </w:abstractNum>
  <w:abstractNum w:abstractNumId="573">
    <w:nsid w:val="2B85F5C4"/>
    <w:multiLevelType w:val="hybridMultilevel"/>
    <w:lvl w:ilvl="0">
      <w:lvlJc w:val="left"/>
      <w:lvlText w:val="(%1)"/>
      <w:numFmt w:val="lowerLetter"/>
      <w:start w:val="1"/>
    </w:lvl>
    <w:lvl w:ilvl="1">
      <w:lvlJc w:val="left"/>
      <w:lvlText w:val="(%2)"/>
      <w:numFmt w:val="lowerRoman"/>
      <w:start w:val="1"/>
    </w:lvl>
  </w:abstractNum>
  <w:abstractNum w:abstractNumId="574">
    <w:nsid w:val="44D20939"/>
    <w:multiLevelType w:val="hybridMultilevel"/>
    <w:lvl w:ilvl="0">
      <w:lvlJc w:val="left"/>
      <w:lvlText w:val="(%1)"/>
      <w:numFmt w:val="lowerLetter"/>
      <w:start w:val="1"/>
    </w:lvl>
  </w:abstractNum>
  <w:abstractNum w:abstractNumId="575">
    <w:nsid w:val="1276A960"/>
    <w:multiLevelType w:val="hybridMultilevel"/>
    <w:lvl w:ilvl="0">
      <w:lvlJc w:val="left"/>
      <w:lvlText w:val="(%1)"/>
      <w:numFmt w:val="lowerLetter"/>
      <w:start w:val="1"/>
    </w:lvl>
  </w:abstractNum>
  <w:abstractNum w:abstractNumId="576">
    <w:nsid w:val="1B479698"/>
    <w:multiLevelType w:val="hybridMultilevel"/>
    <w:lvl w:ilvl="0">
      <w:lvlJc w:val="left"/>
      <w:lvlText w:val="(%1)"/>
      <w:numFmt w:val="lowerLetter"/>
      <w:start w:val="1"/>
    </w:lvl>
  </w:abstractNum>
  <w:abstractNum w:abstractNumId="577">
    <w:nsid w:val="6572CF1B"/>
    <w:multiLevelType w:val="hybridMultilevel"/>
    <w:lvl w:ilvl="0">
      <w:lvlJc w:val="left"/>
      <w:lvlText w:val="(%1)"/>
      <w:numFmt w:val="lowerLetter"/>
      <w:start w:val="2"/>
    </w:lvl>
  </w:abstractNum>
  <w:abstractNum w:abstractNumId="578">
    <w:nsid w:val="6E4E1C1B"/>
    <w:multiLevelType w:val="hybridMultilevel"/>
    <w:lvl w:ilvl="0">
      <w:lvlJc w:val="left"/>
      <w:lvlText w:val="(%1)"/>
      <w:numFmt w:val="lowerLetter"/>
      <w:start w:val="1"/>
    </w:lvl>
  </w:abstractNum>
  <w:abstractNum w:abstractNumId="579">
    <w:nsid w:val="4E784887"/>
    <w:multiLevelType w:val="hybridMultilevel"/>
    <w:lvl w:ilvl="0">
      <w:lvlJc w:val="left"/>
      <w:lvlText w:val="(%1)"/>
      <w:numFmt w:val="lowerLetter"/>
      <w:start w:val="1"/>
    </w:lvl>
  </w:abstractNum>
  <w:abstractNum w:abstractNumId="580">
    <w:nsid w:val="38AD4C18"/>
    <w:multiLevelType w:val="hybridMultilevel"/>
    <w:lvl w:ilvl="0">
      <w:lvlJc w:val="left"/>
      <w:lvlText w:val="(%1)"/>
      <w:numFmt w:val="lowerLetter"/>
      <w:start w:val="1"/>
    </w:lvl>
  </w:abstractNum>
  <w:abstractNum w:abstractNumId="581">
    <w:nsid w:val="48CCEE31"/>
    <w:multiLevelType w:val="hybridMultilevel"/>
    <w:lvl w:ilvl="0">
      <w:lvlJc w:val="left"/>
      <w:lvlText w:val="(%1)"/>
      <w:numFmt w:val="lowerLetter"/>
      <w:start w:val="1"/>
    </w:lvl>
  </w:abstractNum>
  <w:abstractNum w:abstractNumId="582">
    <w:nsid w:val="45EA996E"/>
    <w:multiLevelType w:val="hybridMultilevel"/>
    <w:lvl w:ilvl="0">
      <w:lvlJc w:val="left"/>
      <w:lvlText w:val="(%1)"/>
      <w:numFmt w:val="lowerLetter"/>
      <w:start w:val="1"/>
    </w:lvl>
  </w:abstractNum>
  <w:abstractNum w:abstractNumId="583">
    <w:nsid w:val="441FBAF4"/>
    <w:multiLevelType w:val="hybridMultilevel"/>
    <w:lvl w:ilvl="0">
      <w:lvlJc w:val="left"/>
      <w:lvlText w:val="(%1)"/>
      <w:numFmt w:val="lowerLetter"/>
      <w:start w:val="1"/>
    </w:lvl>
    <w:lvl w:ilvl="1">
      <w:lvlJc w:val="left"/>
      <w:lvlText w:val="(%2)"/>
      <w:numFmt w:val="lowerRoman"/>
      <w:start w:val="1"/>
    </w:lvl>
  </w:abstractNum>
  <w:abstractNum w:abstractNumId="584">
    <w:nsid w:val="7F2BEA8B"/>
    <w:multiLevelType w:val="hybridMultilevel"/>
    <w:lvl w:ilvl="0">
      <w:lvlJc w:val="left"/>
      <w:lvlText w:val="(%1)"/>
      <w:numFmt w:val="lowerLetter"/>
      <w:start w:val="9"/>
    </w:lvl>
  </w:abstractNum>
  <w:abstractNum w:abstractNumId="585">
    <w:nsid w:val="792A9DB"/>
    <w:multiLevelType w:val="hybridMultilevel"/>
    <w:lvl w:ilvl="0">
      <w:lvlJc w:val="left"/>
      <w:lvlText w:val="%1"/>
      <w:numFmt w:val="lowerLetter"/>
      <w:start w:val="1"/>
    </w:lvl>
    <w:lvl w:ilvl="1">
      <w:lvlJc w:val="left"/>
      <w:lvlText w:val="(%2)"/>
      <w:numFmt w:val="lowerLetter"/>
      <w:start w:val="11"/>
    </w:lvl>
  </w:abstractNum>
  <w:abstractNum w:abstractNumId="586">
    <w:nsid w:val="3D92C7D"/>
    <w:multiLevelType w:val="hybridMultilevel"/>
    <w:lvl w:ilvl="0">
      <w:lvlJc w:val="left"/>
      <w:lvlText w:val="(%1)"/>
      <w:numFmt w:val="lowerLetter"/>
      <w:start w:val="19"/>
    </w:lvl>
    <w:lvl w:ilvl="1">
      <w:lvlJc w:val="left"/>
      <w:lvlText w:val="%2"/>
      <w:numFmt w:val="lowerLetter"/>
      <w:start w:val="1"/>
    </w:lvl>
  </w:abstractNum>
  <w:abstractNum w:abstractNumId="587">
    <w:nsid w:val="375A92FF"/>
    <w:multiLevelType w:val="hybridMultilevel"/>
    <w:lvl w:ilvl="0">
      <w:lvlJc w:val="left"/>
      <w:lvlText w:val="(%1)"/>
      <w:numFmt w:val="lowerLetter"/>
      <w:start w:val="1"/>
    </w:lvl>
  </w:abstractNum>
  <w:abstractNum w:abstractNumId="588">
    <w:nsid w:val="29180EE2"/>
    <w:multiLevelType w:val="hybridMultilevel"/>
    <w:lvl w:ilvl="0">
      <w:lvlJc w:val="left"/>
      <w:lvlText w:val="(%1)"/>
      <w:numFmt w:val="lowerLetter"/>
      <w:start w:val="1"/>
    </w:lvl>
  </w:abstractNum>
  <w:abstractNum w:abstractNumId="589">
    <w:nsid w:val="7C901113"/>
    <w:multiLevelType w:val="hybridMultilevel"/>
    <w:lvl w:ilvl="0">
      <w:lvlJc w:val="left"/>
      <w:lvlText w:val="(%1)"/>
      <w:numFmt w:val="lowerLetter"/>
      <w:start w:val="3"/>
    </w:lvl>
  </w:abstractNum>
  <w:abstractNum w:abstractNumId="590">
    <w:nsid w:val="427028B0"/>
    <w:multiLevelType w:val="hybridMultilevel"/>
    <w:lvl w:ilvl="0">
      <w:lvlJc w:val="left"/>
      <w:lvlText w:val="(%1)"/>
      <w:numFmt w:val="lowerLetter"/>
      <w:start w:val="1"/>
    </w:lvl>
  </w:abstractNum>
  <w:abstractNum w:abstractNumId="591">
    <w:nsid w:val="4E7F1C4D"/>
    <w:multiLevelType w:val="hybridMultilevel"/>
    <w:lvl w:ilvl="0">
      <w:lvlJc w:val="left"/>
      <w:lvlText w:val="(%1)"/>
      <w:numFmt w:val="lowerLetter"/>
      <w:start w:val="2"/>
    </w:lvl>
  </w:abstractNum>
  <w:abstractNum w:abstractNumId="592">
    <w:nsid w:val="5C76D652"/>
    <w:multiLevelType w:val="hybridMultilevel"/>
    <w:lvl w:ilvl="0">
      <w:lvlJc w:val="left"/>
      <w:lvlText w:val="%1"/>
      <w:numFmt w:val="lowerLetter"/>
      <w:start w:val="1"/>
    </w:lvl>
    <w:lvl w:ilvl="1">
      <w:lvlJc w:val="left"/>
      <w:lvlText w:val="(%2)"/>
      <w:numFmt w:val="lowerLetter"/>
      <w:start w:val="1"/>
    </w:lvl>
  </w:abstractNum>
  <w:abstractNum w:abstractNumId="593">
    <w:nsid w:val="7F1E3DAE"/>
    <w:multiLevelType w:val="hybridMultilevel"/>
    <w:lvl w:ilvl="0">
      <w:lvlJc w:val="left"/>
      <w:lvlText w:val="(%1)"/>
      <w:numFmt w:val="lowerLetter"/>
      <w:start w:val="35"/>
    </w:lvl>
    <w:lvl w:ilvl="1">
      <w:lvlJc w:val="left"/>
      <w:lvlText w:val="(%2)"/>
      <w:numFmt w:val="lowerLetter"/>
      <w:start w:val="3"/>
    </w:lvl>
  </w:abstractNum>
  <w:abstractNum w:abstractNumId="594">
    <w:nsid w:val="3CA6D1B9"/>
    <w:multiLevelType w:val="hybridMultilevel"/>
    <w:lvl w:ilvl="0">
      <w:lvlJc w:val="left"/>
      <w:lvlText w:val="(%1)"/>
      <w:numFmt w:val="lowerLetter"/>
      <w:start w:val="2"/>
    </w:lvl>
  </w:abstractNum>
  <w:abstractNum w:abstractNumId="595">
    <w:nsid w:val="43754DB7"/>
    <w:multiLevelType w:val="hybridMultilevel"/>
    <w:lvl w:ilvl="0">
      <w:lvlJc w:val="left"/>
      <w:lvlText w:val="(%1)"/>
      <w:numFmt w:val="lowerLetter"/>
      <w:start w:val="1"/>
    </w:lvl>
  </w:abstractNum>
  <w:abstractNum w:abstractNumId="596">
    <w:nsid w:val="40307D27"/>
    <w:multiLevelType w:val="hybridMultilevel"/>
    <w:lvl w:ilvl="0">
      <w:lvlJc w:val="left"/>
      <w:lvlText w:val="(%1)"/>
      <w:numFmt w:val="lowerLetter"/>
      <w:start w:val="1"/>
    </w:lvl>
  </w:abstractNum>
  <w:abstractNum w:abstractNumId="597">
    <w:nsid w:val="DF69013"/>
    <w:multiLevelType w:val="hybridMultilevel"/>
    <w:lvl w:ilvl="0">
      <w:lvlJc w:val="left"/>
      <w:lvlText w:val="(%1)"/>
      <w:numFmt w:val="lowerLetter"/>
      <w:start w:val="2"/>
    </w:lvl>
  </w:abstractNum>
  <w:abstractNum w:abstractNumId="598">
    <w:nsid w:val="FDE3B47"/>
    <w:multiLevelType w:val="hybridMultilevel"/>
    <w:lvl w:ilvl="0">
      <w:lvlJc w:val="left"/>
      <w:lvlText w:val="(%1)"/>
      <w:numFmt w:val="lowerLetter"/>
      <w:start w:val="1"/>
    </w:lvl>
  </w:abstractNum>
  <w:abstractNum w:abstractNumId="599">
    <w:nsid w:val="5EF4B64"/>
    <w:multiLevelType w:val="hybridMultilevel"/>
    <w:lvl w:ilvl="0">
      <w:lvlJc w:val="left"/>
      <w:lvlText w:val="(%1)"/>
      <w:numFmt w:val="decimal"/>
      <w:start w:val="1"/>
    </w:lvl>
  </w:abstractNum>
  <w:abstractNum w:abstractNumId="600">
    <w:nsid w:val="2457647B"/>
    <w:multiLevelType w:val="hybridMultilevel"/>
    <w:lvl w:ilvl="0">
      <w:lvlJc w:val="left"/>
      <w:lvlText w:val="(%1)"/>
      <w:numFmt w:val="decimal"/>
      <w:start w:val="5"/>
    </w:lvl>
  </w:abstractNum>
  <w:abstractNum w:abstractNumId="601">
    <w:nsid w:val="66F06E9"/>
    <w:multiLevelType w:val="hybridMultilevel"/>
    <w:lvl w:ilvl="0">
      <w:lvlJc w:val="left"/>
      <w:lvlText w:val="(%1)"/>
      <w:numFmt w:val="lowerLetter"/>
      <w:start w:val="1"/>
    </w:lvl>
  </w:abstractNum>
  <w:abstractNum w:abstractNumId="602">
    <w:nsid w:val="2ABAB37"/>
    <w:multiLevelType w:val="hybridMultilevel"/>
    <w:lvl w:ilvl="0">
      <w:lvlJc w:val="left"/>
      <w:lvlText w:val="%1"/>
      <w:numFmt w:val="lowerLetter"/>
      <w:start w:val="1"/>
    </w:lvl>
    <w:lvl w:ilvl="1">
      <w:lvlJc w:val="left"/>
      <w:lvlText w:val="(%2)"/>
      <w:numFmt w:val="lowerLetter"/>
      <w:start w:val="4"/>
    </w:lvl>
  </w:abstractNum>
  <w:abstractNum w:abstractNumId="603">
    <w:nsid w:val="3D5EC8AB"/>
    <w:multiLevelType w:val="hybridMultilevel"/>
    <w:lvl w:ilvl="0">
      <w:lvlJc w:val="left"/>
      <w:lvlText w:val="(%1)"/>
      <w:numFmt w:val="lowerLetter"/>
      <w:start w:val="1"/>
    </w:lvl>
    <w:lvl w:ilvl="1">
      <w:lvlJc w:val="left"/>
      <w:lvlText w:val="%2"/>
      <w:numFmt w:val="lowerLetter"/>
      <w:start w:val="1"/>
    </w:lvl>
  </w:abstractNum>
  <w:abstractNum w:abstractNumId="604">
    <w:nsid w:val="31F4FCAD"/>
    <w:multiLevelType w:val="hybridMultilevel"/>
    <w:lvl w:ilvl="0">
      <w:lvlJc w:val="left"/>
      <w:lvlText w:val="(%1)"/>
      <w:numFmt w:val="decimal"/>
      <w:start w:val="1"/>
    </w:lvl>
    <w:lvl w:ilvl="1">
      <w:lvlJc w:val="left"/>
      <w:lvlText w:val="(%2)"/>
      <w:numFmt w:val="lowerLetter"/>
      <w:start w:val="2"/>
    </w:lvl>
  </w:abstractNum>
  <w:abstractNum w:abstractNumId="605">
    <w:nsid w:val="477DB470"/>
    <w:multiLevelType w:val="hybridMultilevel"/>
    <w:lvl w:ilvl="0">
      <w:lvlJc w:val="left"/>
      <w:lvlText w:val="(%1)"/>
      <w:numFmt w:val="decimal"/>
      <w:start w:val="1"/>
    </w:lvl>
  </w:abstractNum>
  <w:abstractNum w:abstractNumId="606">
    <w:nsid w:val="4FD5720B"/>
    <w:multiLevelType w:val="hybridMultilevel"/>
    <w:lvl w:ilvl="0">
      <w:lvlJc w:val="left"/>
      <w:lvlText w:val="(%1)"/>
      <w:numFmt w:val="decimal"/>
      <w:start w:val="2"/>
    </w:lvl>
  </w:abstractNum>
  <w:abstractNum w:abstractNumId="607">
    <w:nsid w:val="4D3C9346"/>
    <w:multiLevelType w:val="hybridMultilevel"/>
    <w:lvl w:ilvl="0">
      <w:lvlJc w:val="left"/>
      <w:lvlText w:val="(%1)"/>
      <w:numFmt w:val="decimal"/>
      <w:start w:val="3"/>
    </w:lvl>
  </w:abstractNum>
  <w:abstractNum w:abstractNumId="608">
    <w:nsid w:val="2CF0838B"/>
    <w:multiLevelType w:val="hybridMultilevel"/>
    <w:lvl w:ilvl="0">
      <w:lvlJc w:val="left"/>
      <w:lvlText w:val="(%1)"/>
      <w:numFmt w:val="decimal"/>
      <w:start w:val="4"/>
    </w:lvl>
  </w:abstractNum>
  <w:abstractNum w:abstractNumId="609">
    <w:nsid w:val="3E238E27"/>
    <w:multiLevelType w:val="hybridMultilevel"/>
    <w:lvl w:ilvl="0">
      <w:lvlJc w:val="left"/>
      <w:lvlText w:val="(%1)"/>
      <w:numFmt w:val="decimal"/>
      <w:start w:val="5"/>
    </w:lvl>
    <w:lvl w:ilvl="1">
      <w:lvlJc w:val="left"/>
      <w:lvlText w:val="(%2)"/>
      <w:numFmt w:val="lowerRoman"/>
      <w:start w:val="10"/>
    </w:lvl>
  </w:abstractNum>
  <w:abstractNum w:abstractNumId="610">
    <w:nsid w:val="1BB4DBCD"/>
    <w:multiLevelType w:val="hybridMultilevel"/>
    <w:lvl w:ilvl="0">
      <w:lvlJc w:val="left"/>
      <w:lvlText w:val="(%1)"/>
      <w:numFmt w:val="lowerLetter"/>
      <w:start w:val="25"/>
    </w:lvl>
    <w:lvl w:ilvl="1">
      <w:lvlJc w:val="left"/>
      <w:lvlText w:val="%2)"/>
      <w:numFmt w:val="decimal"/>
      <w:start w:val="1"/>
    </w:lvl>
  </w:abstractNum>
  <w:abstractNum w:abstractNumId="611">
    <w:nsid w:val="659DCFA3"/>
    <w:multiLevelType w:val="hybridMultilevel"/>
    <w:lvl w:ilvl="0">
      <w:lvlJc w:val="left"/>
      <w:lvlText w:val="(%1)"/>
      <w:numFmt w:val="decimal"/>
      <w:start w:val="1"/>
    </w:lvl>
    <w:lvl w:ilvl="1">
      <w:lvlJc w:val="left"/>
      <w:lvlText w:val="(%2)"/>
      <w:numFmt w:val="lowerRoman"/>
      <w:start w:val="10"/>
    </w:lvl>
    <w:lvl w:ilvl="2">
      <w:lvlJc w:val="left"/>
      <w:lvlText w:val="%3)"/>
      <w:numFmt w:val="decimal"/>
      <w:start w:val="1"/>
    </w:lvl>
  </w:abstractNum>
  <w:abstractNum w:abstractNumId="612">
    <w:nsid w:val="6F07C58"/>
    <w:multiLevelType w:val="hybridMultilevel"/>
    <w:lvl w:ilvl="0">
      <w:lvlJc w:val="left"/>
      <w:lvlText w:val="(%1)"/>
      <w:numFmt w:val="decimal"/>
      <w:start w:val="2"/>
    </w:lvl>
  </w:abstractNum>
  <w:abstractNum w:abstractNumId="613">
    <w:nsid w:val="619F753B"/>
    <w:multiLevelType w:val="hybridMultilevel"/>
    <w:lvl w:ilvl="0">
      <w:lvlJc w:val="left"/>
      <w:lvlText w:val="(%1)"/>
      <w:numFmt w:val="lowerRoman"/>
      <w:start w:val="10"/>
    </w:lvl>
    <w:lvl w:ilvl="1">
      <w:lvlJc w:val="left"/>
      <w:lvlText w:val="%2)"/>
      <w:numFmt w:val="decimal"/>
      <w:start w:val="1"/>
    </w:lvl>
  </w:abstractNum>
  <w:abstractNum w:abstractNumId="614">
    <w:nsid w:val="29BD8A97"/>
    <w:multiLevelType w:val="hybridMultilevel"/>
    <w:lvl w:ilvl="0">
      <w:lvlJc w:val="left"/>
      <w:lvlText w:val="(%1)"/>
      <w:numFmt w:val="lowerLetter"/>
      <w:start w:val="1"/>
    </w:lvl>
  </w:abstractNum>
  <w:abstractNum w:abstractNumId="615">
    <w:nsid w:val="61C66E3"/>
    <w:multiLevelType w:val="hybridMultilevel"/>
    <w:lvl w:ilvl="0">
      <w:lvlJc w:val="left"/>
      <w:lvlText w:val="(%1)"/>
      <w:numFmt w:val="lowerLetter"/>
      <w:start w:val="3"/>
    </w:lvl>
  </w:abstractNum>
  <w:abstractNum w:abstractNumId="616">
    <w:nsid w:val="69321F16"/>
    <w:multiLevelType w:val="hybridMultilevel"/>
    <w:lvl w:ilvl="0">
      <w:lvlJc w:val="left"/>
      <w:lvlText w:val="(%1)"/>
      <w:numFmt w:val="lowerLetter"/>
      <w:start w:val="6"/>
    </w:lvl>
  </w:abstractNum>
  <w:abstractNum w:abstractNumId="617">
    <w:nsid w:val="2D96B714"/>
    <w:multiLevelType w:val="hybridMultilevel"/>
    <w:lvl w:ilvl="0">
      <w:lvlJc w:val="left"/>
      <w:lvlText w:val="(%1)"/>
      <w:numFmt w:val="lowerLetter"/>
      <w:start w:val="9"/>
    </w:lvl>
  </w:abstractNum>
  <w:abstractNum w:abstractNumId="618">
    <w:nsid w:val="3D76F9E2"/>
    <w:multiLevelType w:val="hybridMultilevel"/>
    <w:lvl w:ilvl="0">
      <w:lvlJc w:val="left"/>
      <w:lvlText w:val="(%1)"/>
      <w:numFmt w:val="lowerLetter"/>
      <w:start w:val="11"/>
    </w:lvl>
  </w:abstractNum>
  <w:abstractNum w:abstractNumId="619">
    <w:nsid w:val="124A2DF8"/>
    <w:multiLevelType w:val="hybridMultilevel"/>
    <w:lvl w:ilvl="0">
      <w:lvlJc w:val="left"/>
      <w:lvlText w:val="(%1)"/>
      <w:numFmt w:val="lowerLetter"/>
      <w:start w:val="14"/>
    </w:lvl>
  </w:abstractNum>
  <w:abstractNum w:abstractNumId="620">
    <w:nsid w:val="2A26C828"/>
    <w:multiLevelType w:val="hybridMultilevel"/>
    <w:lvl w:ilvl="0">
      <w:lvlJc w:val="left"/>
      <w:lvlText w:val="(%1)"/>
      <w:numFmt w:val="lowerLetter"/>
      <w:start w:val="20"/>
    </w:lvl>
  </w:abstractNum>
  <w:abstractNum w:abstractNumId="621">
    <w:nsid w:val="7FE72292"/>
    <w:multiLevelType w:val="hybridMultilevel"/>
    <w:lvl w:ilvl="0">
      <w:lvlJc w:val="left"/>
      <w:lvlText w:val="(%1)"/>
      <w:numFmt w:val="lowerLetter"/>
      <w:start w:val="22"/>
    </w:lvl>
  </w:abstractNum>
  <w:abstractNum w:abstractNumId="622">
    <w:nsid w:val="60C94A46"/>
    <w:multiLevelType w:val="hybridMultilevel"/>
    <w:lvl w:ilvl="0">
      <w:lvlJc w:val="left"/>
      <w:lvlText w:val="(%1)"/>
      <w:numFmt w:val="lowerLetter"/>
      <w:start w:val="24"/>
    </w:lvl>
  </w:abstractNum>
  <w:abstractNum w:abstractNumId="623">
    <w:nsid w:val="69D9E7A"/>
    <w:multiLevelType w:val="hybridMultilevel"/>
    <w:lvl w:ilvl="0">
      <w:lvlJc w:val="left"/>
      <w:lvlText w:val="(%1)"/>
      <w:numFmt w:val="lowerLetter"/>
      <w:start w:val="27"/>
    </w:lvl>
    <w:lvl w:ilvl="1">
      <w:lvlJc w:val="left"/>
      <w:lvlText w:val="(%2)"/>
      <w:numFmt w:val="lowerRoman"/>
      <w:start w:val="1"/>
    </w:lvl>
  </w:abstractNum>
  <w:abstractNum w:abstractNumId="624">
    <w:nsid w:val="7F056040"/>
    <w:multiLevelType w:val="hybridMultilevel"/>
    <w:lvl w:ilvl="0">
      <w:lvlJc w:val="left"/>
      <w:lvlText w:val="(%1)"/>
      <w:numFmt w:val="lowerLetter"/>
      <w:start w:val="1"/>
    </w:lvl>
  </w:abstractNum>
  <w:abstractNum w:abstractNumId="625">
    <w:nsid w:val="1D701BFF"/>
    <w:multiLevelType w:val="hybridMultilevel"/>
    <w:lvl w:ilvl="0">
      <w:lvlJc w:val="left"/>
      <w:lvlText w:val="(%1)"/>
      <w:numFmt w:val="lowerLetter"/>
      <w:start w:val="28"/>
    </w:lvl>
  </w:abstractNum>
  <w:abstractNum w:abstractNumId="626">
    <w:nsid w:val="4A12EC32"/>
    <w:multiLevelType w:val="hybridMultilevel"/>
    <w:lvl w:ilvl="0">
      <w:lvlJc w:val="left"/>
      <w:lvlText w:val="(%1)"/>
      <w:numFmt w:val="lowerLetter"/>
      <w:start w:val="29"/>
    </w:lvl>
  </w:abstractNum>
  <w:abstractNum w:abstractNumId="627">
    <w:nsid w:val="3F35DD67"/>
    <w:multiLevelType w:val="hybridMultilevel"/>
    <w:lvl w:ilvl="0">
      <w:lvlJc w:val="left"/>
      <w:lvlText w:val="(%1)"/>
      <w:numFmt w:val="lowerLetter"/>
      <w:start w:val="4"/>
    </w:lvl>
  </w:abstractNum>
  <w:abstractNum w:abstractNumId="628">
    <w:nsid w:val="2B66AC12"/>
    <w:multiLevelType w:val="hybridMultilevel"/>
    <w:lvl w:ilvl="0">
      <w:lvlJc w:val="left"/>
      <w:lvlText w:val="(%1)"/>
      <w:numFmt w:val="lowerRoman"/>
      <w:start w:val="1"/>
    </w:lvl>
  </w:abstractNum>
  <w:abstractNum w:abstractNumId="629">
    <w:nsid w:val="59F12779"/>
    <w:multiLevelType w:val="hybridMultilevel"/>
    <w:lvl w:ilvl="0">
      <w:lvlJc w:val="left"/>
      <w:lvlText w:val="(%1)"/>
      <w:numFmt w:val="lowerLetter"/>
      <w:start w:val="1"/>
    </w:lvl>
  </w:abstractNum>
  <w:abstractNum w:abstractNumId="630">
    <w:nsid w:val="452528CB"/>
    <w:multiLevelType w:val="hybridMultilevel"/>
    <w:lvl w:ilvl="0">
      <w:lvlJc w:val="left"/>
      <w:lvlText w:val="(%1)"/>
      <w:numFmt w:val="lowerLetter"/>
      <w:start w:val="3"/>
    </w:lvl>
  </w:abstractNum>
  <w:abstractNum w:abstractNumId="631">
    <w:nsid w:val="4FBE108E"/>
    <w:multiLevelType w:val="hybridMultilevel"/>
    <w:lvl w:ilvl="0">
      <w:lvlJc w:val="left"/>
      <w:lvlText w:val="(%1)"/>
      <w:numFmt w:val="lowerLetter"/>
      <w:start w:val="9"/>
    </w:lvl>
  </w:abstractNum>
  <w:abstractNum w:abstractNumId="632">
    <w:nsid w:val="60602E62"/>
    <w:multiLevelType w:val="hybridMultilevel"/>
    <w:lvl w:ilvl="0">
      <w:lvlJc w:val="left"/>
      <w:lvlText w:val="(%1)"/>
      <w:numFmt w:val="lowerLetter"/>
      <w:start w:val="13"/>
    </w:lvl>
  </w:abstractNum>
  <w:abstractNum w:abstractNumId="633">
    <w:nsid w:val="47D0D402"/>
    <w:multiLevelType w:val="hybridMultilevel"/>
    <w:lvl w:ilvl="0">
      <w:lvlJc w:val="left"/>
      <w:lvlText w:val="(%1)"/>
      <w:numFmt w:val="lowerLetter"/>
      <w:start w:val="14"/>
    </w:lvl>
  </w:abstractNum>
  <w:abstractNum w:abstractNumId="634">
    <w:nsid w:val="D1CD939"/>
    <w:multiLevelType w:val="hybridMultilevel"/>
    <w:lvl w:ilvl="0">
      <w:lvlJc w:val="left"/>
      <w:lvlText w:val="(%1)"/>
      <w:numFmt w:val="lowerLetter"/>
      <w:start w:val="25"/>
    </w:lvl>
  </w:abstractNum>
  <w:abstractNum w:abstractNumId="635">
    <w:nsid w:val="12552B10"/>
    <w:multiLevelType w:val="hybridMultilevel"/>
    <w:lvl w:ilvl="0">
      <w:lvlJc w:val="left"/>
      <w:lvlText w:val="(%1)"/>
      <w:numFmt w:val="lowerLetter"/>
      <w:start w:val="27"/>
    </w:lvl>
  </w:abstractNum>
  <w:abstractNum w:abstractNumId="636">
    <w:nsid w:val="F4E8872"/>
    <w:multiLevelType w:val="hybridMultilevel"/>
    <w:lvl w:ilvl="0">
      <w:lvlJc w:val="left"/>
      <w:lvlText w:val="(%1)"/>
      <w:numFmt w:val="upperLetter"/>
      <w:start w:val="2"/>
    </w:lvl>
  </w:abstractNum>
  <w:abstractNum w:abstractNumId="637">
    <w:nsid w:val="5CF24B45"/>
    <w:multiLevelType w:val="hybridMultilevel"/>
    <w:lvl w:ilvl="0">
      <w:lvlJc w:val="left"/>
      <w:lvlText w:val="%1."/>
      <w:numFmt w:val="decimal"/>
      <w:start w:val="1"/>
    </w:lvl>
  </w:abstractNum>
  <w:abstractNum w:abstractNumId="638">
    <w:nsid w:val="5F91BE56"/>
    <w:multiLevelType w:val="hybridMultilevel"/>
    <w:lvl w:ilvl="0">
      <w:lvlJc w:val="left"/>
      <w:lvlText w:val="%1."/>
      <w:numFmt w:val="decimal"/>
      <w:start w:val="12"/>
    </w:lvl>
  </w:abstractNum>
  <w:abstractNum w:abstractNumId="639">
    <w:nsid w:val="3C3F0BFD"/>
    <w:multiLevelType w:val="hybridMultilevel"/>
    <w:lvl w:ilvl="0">
      <w:lvlJc w:val="left"/>
      <w:lvlText w:val="(%1)"/>
      <w:numFmt w:val="lowerLetter"/>
      <w:start w:val="1"/>
    </w:lvl>
    <w:lvl w:ilvl="1">
      <w:lvlJc w:val="left"/>
      <w:lvlText w:val="(%2)"/>
      <w:numFmt w:val="lowerRoman"/>
      <w:start w:val="1"/>
    </w:lvl>
  </w:abstractNum>
  <w:abstractNum w:abstractNumId="640">
    <w:nsid w:val="1B15D96C"/>
    <w:multiLevelType w:val="hybridMultilevel"/>
    <w:lvl w:ilvl="0">
      <w:lvlJc w:val="left"/>
      <w:lvlText w:val="(%1)"/>
      <w:numFmt w:val="lowerLetter"/>
      <w:start w:val="1"/>
    </w:lvl>
  </w:abstractNum>
  <w:abstractNum w:abstractNumId="641">
    <w:nsid w:val="7B469A23"/>
    <w:multiLevelType w:val="hybridMultilevel"/>
    <w:lvl w:ilvl="0">
      <w:lvlJc w:val="left"/>
      <w:lvlText w:val="(%1)"/>
      <w:numFmt w:val="lowerLetter"/>
      <w:start w:val="1"/>
    </w:lvl>
  </w:abstractNum>
  <w:abstractNum w:abstractNumId="642">
    <w:nsid w:val="21DCDBA0"/>
    <w:multiLevelType w:val="hybridMultilevel"/>
    <w:lvl w:ilvl="0">
      <w:lvlJc w:val="left"/>
      <w:lvlText w:val="(%1)"/>
      <w:numFmt w:val="lowerLetter"/>
      <w:start w:val="2"/>
    </w:lvl>
  </w:abstractNum>
  <w:abstractNum w:abstractNumId="643">
    <w:nsid w:val="220655C4"/>
    <w:multiLevelType w:val="hybridMultilevel"/>
    <w:lvl w:ilvl="0">
      <w:lvlJc w:val="left"/>
      <w:lvlText w:val="(%1)"/>
      <w:numFmt w:val="lowerLetter"/>
      <w:start w:val="1"/>
    </w:lvl>
  </w:abstractNum>
  <w:abstractNum w:abstractNumId="644">
    <w:nsid w:val="5CE60F5E"/>
    <w:multiLevelType w:val="hybridMultilevel"/>
    <w:lvl w:ilvl="0">
      <w:lvlJc w:val="left"/>
      <w:lvlText w:val="(%1)"/>
      <w:numFmt w:val="lowerLetter"/>
      <w:start w:val="1"/>
    </w:lvl>
    <w:lvl w:ilvl="1">
      <w:lvlJc w:val="left"/>
      <w:lvlText w:val="(%2)"/>
      <w:numFmt w:val="lowerLetter"/>
      <w:start w:val="9"/>
    </w:lvl>
  </w:abstractNum>
  <w:abstractNum w:abstractNumId="645">
    <w:nsid w:val="4B9A6638"/>
    <w:multiLevelType w:val="hybridMultilevel"/>
    <w:lvl w:ilvl="0">
      <w:lvlJc w:val="left"/>
      <w:lvlText w:val="%1"/>
      <w:numFmt w:val="lowerLetter"/>
      <w:start w:val="1"/>
    </w:lvl>
    <w:lvl w:ilvl="1">
      <w:lvlJc w:val="left"/>
      <w:lvlText w:val="(%2)"/>
      <w:numFmt w:val="lowerRoman"/>
      <w:start w:val="2"/>
    </w:lvl>
  </w:abstractNum>
  <w:abstractNum w:abstractNumId="646">
    <w:nsid w:val="2822BCA7"/>
    <w:multiLevelType w:val="hybridMultilevel"/>
    <w:lvl w:ilvl="0">
      <w:lvlJc w:val="left"/>
      <w:lvlText w:val="(%1)"/>
      <w:numFmt w:val="lowerLetter"/>
      <w:start w:val="2"/>
    </w:lvl>
    <w:lvl w:ilvl="1">
      <w:lvlJc w:val="left"/>
      <w:lvlText w:val="%2"/>
      <w:numFmt w:val="lowerRoman"/>
      <w:start w:val="1"/>
    </w:lvl>
  </w:abstractNum>
  <w:abstractNum w:abstractNumId="647">
    <w:nsid w:val="46182E75"/>
    <w:multiLevelType w:val="hybridMultilevel"/>
    <w:lvl w:ilvl="0">
      <w:lvlJc w:val="left"/>
      <w:lvlText w:val="(%1)"/>
      <w:numFmt w:val="lowerLetter"/>
      <w:start w:val="1"/>
    </w:lvl>
  </w:abstractNum>
  <w:abstractNum w:abstractNumId="648">
    <w:nsid w:val="79311D4C"/>
    <w:multiLevelType w:val="hybridMultilevel"/>
    <w:lvl w:ilvl="0">
      <w:lvlJc w:val="left"/>
      <w:lvlText w:val="(%1)"/>
      <w:numFmt w:val="lowerLetter"/>
      <w:start w:val="3"/>
    </w:lvl>
  </w:abstractNum>
  <w:abstractNum w:abstractNumId="649">
    <w:nsid w:val="6599B689"/>
    <w:multiLevelType w:val="hybridMultilevel"/>
    <w:lvl w:ilvl="0">
      <w:lvlJc w:val="left"/>
      <w:lvlText w:val="(%1)"/>
      <w:numFmt w:val="lowerRoman"/>
      <w:start w:val="1"/>
    </w:lvl>
  </w:abstractNum>
  <w:abstractNum w:abstractNumId="650">
    <w:nsid w:val="58625C6D"/>
    <w:multiLevelType w:val="hybridMultilevel"/>
    <w:lvl w:ilvl="0">
      <w:lvlJc w:val="left"/>
      <w:lvlText w:val="(%1)"/>
      <w:numFmt w:val="lowerLetter"/>
      <w:start w:val="1"/>
    </w:lvl>
  </w:abstractNum>
  <w:abstractNum w:abstractNumId="651">
    <w:nsid w:val="2357E574"/>
    <w:multiLevelType w:val="hybridMultilevel"/>
    <w:lvl w:ilvl="0">
      <w:lvlJc w:val="left"/>
      <w:lvlText w:val="(%1)"/>
      <w:numFmt w:val="lowerLetter"/>
      <w:start w:val="1"/>
    </w:lvl>
  </w:abstractNum>
  <w:abstractNum w:abstractNumId="652">
    <w:nsid w:val="6580D91B"/>
    <w:multiLevelType w:val="hybridMultilevel"/>
    <w:lvl w:ilvl="0">
      <w:lvlJc w:val="left"/>
      <w:lvlText w:val="(%1)"/>
      <w:numFmt w:val="lowerLetter"/>
      <w:start w:val="3"/>
    </w:lvl>
    <w:lvl w:ilvl="1">
      <w:lvlJc w:val="left"/>
      <w:lvlText w:val="(%2)"/>
      <w:numFmt w:val="lowerRoman"/>
      <w:start w:val="1"/>
    </w:lvl>
  </w:abstractNum>
  <w:abstractNum w:abstractNumId="653">
    <w:nsid w:val="392BA6B3"/>
    <w:multiLevelType w:val="hybridMultilevel"/>
    <w:lvl w:ilvl="0">
      <w:lvlJc w:val="left"/>
      <w:lvlText w:val="(%1)"/>
      <w:numFmt w:val="lowerRoman"/>
      <w:start w:val="3"/>
    </w:lvl>
  </w:abstractNum>
  <w:abstractNum w:abstractNumId="654">
    <w:nsid w:val="29F583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5">
    <w:nsid w:val="6486395B"/>
    <w:multiLevelType w:val="hybridMultilevel"/>
    <w:lvl w:ilvl="0">
      <w:lvlJc w:val="left"/>
      <w:lvlText w:val="%1"/>
      <w:numFmt w:val="lowerLetter"/>
      <w:start w:val="1"/>
    </w:lvl>
    <w:lvl w:ilvl="1">
      <w:lvlJc w:val="left"/>
      <w:lvlText w:val="(%2)"/>
      <w:numFmt w:val="lowerRoman"/>
      <w:start w:val="2"/>
    </w:lvl>
  </w:abstractNum>
  <w:abstractNum w:abstractNumId="656">
    <w:nsid w:val="569BC2B2"/>
    <w:multiLevelType w:val="hybridMultilevel"/>
    <w:lvl w:ilvl="0">
      <w:lvlJc w:val="left"/>
      <w:lvlText w:val="(%1)"/>
      <w:numFmt w:val="lowerLetter"/>
      <w:start w:val="6"/>
    </w:lvl>
    <w:lvl w:ilvl="1">
      <w:lvlJc w:val="left"/>
      <w:lvlText w:val="%2"/>
      <w:numFmt w:val="lowerRoman"/>
      <w:start w:val="1"/>
    </w:lvl>
  </w:abstractNum>
  <w:abstractNum w:abstractNumId="657">
    <w:nsid w:val="74087021"/>
    <w:multiLevelType w:val="hybridMultilevel"/>
    <w:lvl w:ilvl="0">
      <w:lvlJc w:val="left"/>
      <w:lvlText w:val="(%1)"/>
      <w:numFmt w:val="lowerLetter"/>
      <w:start w:val="9"/>
    </w:lvl>
  </w:abstractNum>
  <w:abstractNum w:abstractNumId="658">
    <w:nsid w:val="23BC16C2"/>
    <w:multiLevelType w:val="hybridMultilevel"/>
    <w:lvl w:ilvl="0">
      <w:lvlJc w:val="left"/>
      <w:lvlText w:val="(%1)"/>
      <w:numFmt w:val="lowerLetter"/>
      <w:start w:val="14"/>
    </w:lvl>
    <w:lvl w:ilvl="1">
      <w:lvlJc w:val="left"/>
      <w:lvlText w:val="(%2)"/>
      <w:numFmt w:val="lowerLetter"/>
      <w:start w:val="9"/>
    </w:lvl>
  </w:abstractNum>
  <w:abstractNum w:abstractNumId="659">
    <w:nsid w:val="2026EC5"/>
    <w:multiLevelType w:val="hybridMultilevel"/>
    <w:lvl w:ilvl="0">
      <w:lvlJc w:val="left"/>
      <w:lvlText w:val="%1"/>
      <w:numFmt w:val="lowerLetter"/>
      <w:start w:val="1"/>
    </w:lvl>
    <w:lvl w:ilvl="1">
      <w:lvlJc w:val="left"/>
      <w:lvlText w:val="(%2)"/>
      <w:numFmt w:val="lowerLetter"/>
      <w:start w:val="35"/>
    </w:lvl>
  </w:abstractNum>
  <w:abstractNum w:abstractNumId="660">
    <w:nsid w:val="4DF9979A"/>
    <w:multiLevelType w:val="hybridMultilevel"/>
    <w:lvl w:ilvl="0">
      <w:lvlJc w:val="left"/>
      <w:lvlText w:val="(%1)"/>
      <w:numFmt w:val="lowerLetter"/>
      <w:start w:val="15"/>
    </w:lvl>
    <w:lvl w:ilvl="1">
      <w:lvlJc w:val="left"/>
      <w:lvlText w:val="(%2)"/>
      <w:numFmt w:val="lowerLetter"/>
      <w:start w:val="9"/>
    </w:lvl>
  </w:abstractNum>
  <w:abstractNum w:abstractNumId="661">
    <w:nsid w:val="68E13F8E"/>
    <w:multiLevelType w:val="hybridMultilevel"/>
    <w:lvl w:ilvl="0">
      <w:lvlJc w:val="left"/>
      <w:lvlText w:val="%1"/>
      <w:numFmt w:val="lowerLetter"/>
      <w:start w:val="1"/>
    </w:lvl>
    <w:lvl w:ilvl="1">
      <w:lvlJc w:val="left"/>
      <w:lvlText w:val="(%2)"/>
      <w:numFmt w:val="lowerRoman"/>
      <w:start w:val="2"/>
    </w:lvl>
  </w:abstractNum>
  <w:abstractNum w:abstractNumId="662">
    <w:nsid w:val="51C07F53"/>
    <w:multiLevelType w:val="hybridMultilevel"/>
    <w:lvl w:ilvl="0">
      <w:lvlJc w:val="left"/>
      <w:lvlText w:val="(%1)"/>
      <w:numFmt w:val="lowerLetter"/>
      <w:start w:val="16"/>
    </w:lvl>
    <w:lvl w:ilvl="1">
      <w:lvlJc w:val="left"/>
      <w:lvlText w:val="%2"/>
      <w:numFmt w:val="lowerRoman"/>
      <w:start w:val="1"/>
    </w:lvl>
  </w:abstractNum>
  <w:abstractNum w:abstractNumId="663">
    <w:nsid w:val="2E59C5FD"/>
    <w:multiLevelType w:val="hybridMultilevel"/>
    <w:lvl w:ilvl="0">
      <w:lvlJc w:val="left"/>
      <w:lvlText w:val="(%1)"/>
      <w:numFmt w:val="lowerLetter"/>
      <w:start w:val="17"/>
    </w:lvl>
  </w:abstractNum>
  <w:abstractNum w:abstractNumId="664">
    <w:nsid w:val="30B21390"/>
    <w:multiLevelType w:val="hybridMultilevel"/>
    <w:lvl w:ilvl="0">
      <w:lvlJc w:val="left"/>
      <w:lvlText w:val="(%1)"/>
      <w:numFmt w:val="lowerLetter"/>
      <w:start w:val="20"/>
    </w:lvl>
  </w:abstractNum>
  <w:abstractNum w:abstractNumId="665">
    <w:nsid w:val="5EDD588C"/>
    <w:multiLevelType w:val="hybridMultilevel"/>
    <w:lvl w:ilvl="0">
      <w:lvlJc w:val="left"/>
      <w:lvlText w:val="(%1)"/>
      <w:numFmt w:val="lowerLetter"/>
      <w:start w:val="22"/>
    </w:lvl>
  </w:abstractNum>
  <w:abstractNum w:abstractNumId="666">
    <w:nsid w:val="40AEF10D"/>
    <w:multiLevelType w:val="hybridMultilevel"/>
    <w:lvl w:ilvl="0">
      <w:lvlJc w:val="left"/>
      <w:lvlText w:val="(%1)"/>
      <w:numFmt w:val="lowerLetter"/>
      <w:start w:val="27"/>
    </w:lvl>
  </w:abstractNum>
  <w:abstractNum w:abstractNumId="667">
    <w:nsid w:val="40009C03"/>
    <w:multiLevelType w:val="hybridMultilevel"/>
    <w:lvl w:ilvl="0">
      <w:lvlJc w:val="left"/>
      <w:lvlText w:val="(%1)"/>
      <w:numFmt w:val="lowerRoman"/>
      <w:start w:val="8"/>
    </w:lvl>
  </w:abstractNum>
  <w:abstractNum w:abstractNumId="668">
    <w:nsid w:val="3BCFA3D1"/>
    <w:multiLevelType w:val="hybridMultilevel"/>
    <w:lvl w:ilvl="0">
      <w:lvlJc w:val="left"/>
      <w:lvlText w:val="(%1)"/>
      <w:numFmt w:val="lowerLetter"/>
      <w:start w:val="1"/>
    </w:lvl>
  </w:abstractNum>
  <w:abstractNum w:abstractNumId="669">
    <w:nsid w:val="2040AF63"/>
    <w:multiLevelType w:val="hybridMultilevel"/>
    <w:lvl w:ilvl="0">
      <w:lvlJc w:val="left"/>
      <w:lvlText w:val="(%1)"/>
      <w:numFmt w:val="lowerRoman"/>
      <w:start w:val="2"/>
    </w:lvl>
  </w:abstractNum>
  <w:abstractNum w:abstractNumId="670">
    <w:nsid w:val="7C3FA800"/>
    <w:multiLevelType w:val="hybridMultilevel"/>
    <w:lvl w:ilvl="0">
      <w:lvlJc w:val="left"/>
      <w:lvlText w:val="(%1)"/>
      <w:numFmt w:val="lowerLetter"/>
      <w:start w:val="1"/>
    </w:lvl>
  </w:abstractNum>
  <w:abstractNum w:abstractNumId="671">
    <w:nsid w:val="56E57D3D"/>
    <w:multiLevelType w:val="hybridMultilevel"/>
    <w:lvl w:ilvl="0">
      <w:lvlJc w:val="left"/>
      <w:lvlText w:val="(%1)"/>
      <w:numFmt w:val="lowerRoman"/>
      <w:start w:val="9"/>
    </w:lvl>
  </w:abstractNum>
  <w:abstractNum w:abstractNumId="672">
    <w:nsid w:val="1B874986"/>
    <w:multiLevelType w:val="hybridMultilevel"/>
    <w:lvl w:ilvl="0">
      <w:lvlJc w:val="left"/>
      <w:lvlText w:val="(%1)"/>
      <w:numFmt w:val="lowerLetter"/>
      <w:start w:val="1"/>
    </w:lvl>
  </w:abstractNum>
  <w:abstractNum w:abstractNumId="673">
    <w:nsid w:val="1E1C83A1"/>
    <w:multiLevelType w:val="hybridMultilevel"/>
    <w:lvl w:ilvl="0">
      <w:lvlJc w:val="left"/>
      <w:lvlText w:val="(%1)"/>
      <w:numFmt w:val="lowerLetter"/>
      <w:start w:val="1"/>
    </w:lvl>
  </w:abstractNum>
  <w:abstractNum w:abstractNumId="674">
    <w:nsid w:val="78EBD301"/>
    <w:multiLevelType w:val="hybridMultilevel"/>
    <w:lvl w:ilvl="0">
      <w:lvlJc w:val="left"/>
      <w:lvlText w:val="(%1)"/>
      <w:numFmt w:val="lowerRoman"/>
      <w:start w:val="1"/>
    </w:lvl>
  </w:abstractNum>
  <w:abstractNum w:abstractNumId="675">
    <w:nsid w:val="786D58E4"/>
    <w:multiLevelType w:val="hybridMultilevel"/>
    <w:lvl w:ilvl="0">
      <w:lvlJc w:val="left"/>
      <w:lvlText w:val="(%1)"/>
      <w:numFmt w:val="lowerLetter"/>
      <w:start w:val="2"/>
    </w:lvl>
  </w:abstractNum>
  <w:abstractNum w:abstractNumId="676">
    <w:nsid w:val="69B6E9D9"/>
    <w:multiLevelType w:val="hybridMultilevel"/>
    <w:lvl w:ilvl="0">
      <w:lvlJc w:val="left"/>
      <w:lvlText w:val="(%1)"/>
      <w:numFmt w:val="lowerLetter"/>
      <w:start w:val="1"/>
    </w:lvl>
  </w:abstractNum>
  <w:abstractNum w:abstractNumId="677">
    <w:nsid w:val="210E8FA8"/>
    <w:multiLevelType w:val="hybridMultilevel"/>
    <w:lvl w:ilvl="0">
      <w:lvlJc w:val="left"/>
      <w:lvlText w:val="(%1)"/>
      <w:numFmt w:val="lowerLetter"/>
      <w:start w:val="1"/>
    </w:lvl>
  </w:abstractNum>
  <w:abstractNum w:abstractNumId="678">
    <w:nsid w:val="3E858759"/>
    <w:multiLevelType w:val="hybridMultilevel"/>
    <w:lvl w:ilvl="0">
      <w:lvlJc w:val="left"/>
      <w:lvlText w:val="%1"/>
      <w:numFmt w:val="lowerLetter"/>
      <w:start w:val="1"/>
    </w:lvl>
    <w:lvl w:ilvl="1">
      <w:lvlJc w:val="left"/>
      <w:lvlText w:val="(%2)"/>
      <w:numFmt w:val="lowerRoman"/>
      <w:start w:val="1"/>
    </w:lvl>
  </w:abstractNum>
  <w:abstractNum w:abstractNumId="679">
    <w:nsid w:val="62E80725"/>
    <w:multiLevelType w:val="hybridMultilevel"/>
    <w:lvl w:ilvl="0">
      <w:lvlJc w:val="left"/>
      <w:lvlText w:val="(%1)"/>
      <w:numFmt w:val="lowerLetter"/>
      <w:start w:val="2"/>
    </w:lvl>
    <w:lvl w:ilvl="1">
      <w:lvlJc w:val="left"/>
      <w:lvlText w:val="(%2)"/>
      <w:numFmt w:val="lowerRoman"/>
      <w:start w:val="1"/>
    </w:lvl>
  </w:abstractNum>
  <w:abstractNum w:abstractNumId="680">
    <w:nsid w:val="6A84631"/>
    <w:multiLevelType w:val="hybridMultilevel"/>
    <w:lvl w:ilvl="0">
      <w:lvlJc w:val="left"/>
      <w:lvlText w:val="(%1)"/>
      <w:numFmt w:val="lowerLetter"/>
      <w:start w:val="1"/>
    </w:lvl>
    <w:lvl w:ilvl="1">
      <w:lvlJc w:val="left"/>
      <w:lvlText w:val="(%2)"/>
      <w:numFmt w:val="lowerRoman"/>
      <w:start w:val="1"/>
    </w:lvl>
  </w:abstractNum>
  <w:abstractNum w:abstractNumId="681">
    <w:nsid w:val="16E7E3C7"/>
    <w:multiLevelType w:val="hybridMultilevel"/>
    <w:lvl w:ilvl="0">
      <w:lvlJc w:val="left"/>
      <w:lvlText w:val="(%1)"/>
      <w:numFmt w:val="lowerLetter"/>
      <w:start w:val="1"/>
    </w:lvl>
    <w:lvl w:ilvl="1">
      <w:lvlJc w:val="left"/>
      <w:lvlText w:val="(%2)"/>
      <w:numFmt w:val="lowerRoman"/>
      <w:start w:val="1"/>
    </w:lvl>
  </w:abstractNum>
  <w:abstractNum w:abstractNumId="682">
    <w:nsid w:val="63FEC9A"/>
    <w:multiLevelType w:val="hybridMultilevel"/>
    <w:lvl w:ilvl="0">
      <w:lvlJc w:val="left"/>
      <w:lvlText w:val="(%1)"/>
      <w:numFmt w:val="lowerLetter"/>
      <w:start w:val="1"/>
    </w:lvl>
  </w:abstractNum>
  <w:abstractNum w:abstractNumId="683">
    <w:nsid w:val="6C291F4C"/>
    <w:multiLevelType w:val="hybridMultilevel"/>
    <w:lvl w:ilvl="0">
      <w:lvlJc w:val="left"/>
      <w:lvlText w:val="(%1)"/>
      <w:numFmt w:val="lowerLetter"/>
      <w:start w:val="1"/>
    </w:lvl>
  </w:abstractNum>
  <w:abstractNum w:abstractNumId="684">
    <w:nsid w:val="50138A7A"/>
    <w:multiLevelType w:val="hybridMultilevel"/>
    <w:lvl w:ilvl="0">
      <w:lvlJc w:val="left"/>
      <w:lvlText w:val="(%1)"/>
      <w:numFmt w:val="lowerLetter"/>
      <w:start w:val="1"/>
    </w:lvl>
  </w:abstractNum>
  <w:abstractNum w:abstractNumId="685">
    <w:nsid w:val="30357089"/>
    <w:multiLevelType w:val="hybridMultilevel"/>
    <w:lvl w:ilvl="0">
      <w:lvlJc w:val="left"/>
      <w:lvlText w:val="(%1)"/>
      <w:numFmt w:val="lowerRoman"/>
      <w:start w:val="1"/>
    </w:lvl>
  </w:abstractNum>
  <w:abstractNum w:abstractNumId="686">
    <w:nsid w:val="50AF58A7"/>
    <w:multiLevelType w:val="hybridMultilevel"/>
    <w:lvl w:ilvl="0">
      <w:lvlJc w:val="left"/>
      <w:lvlText w:val="(%1)"/>
      <w:numFmt w:val="lowerLetter"/>
      <w:start w:val="2"/>
    </w:lvl>
  </w:abstractNum>
  <w:abstractNum w:abstractNumId="687">
    <w:nsid w:val="26AF4D2D"/>
    <w:multiLevelType w:val="hybridMultilevel"/>
    <w:lvl w:ilvl="0">
      <w:lvlJc w:val="left"/>
      <w:lvlText w:val="(%1)"/>
      <w:numFmt w:val="lowerLetter"/>
      <w:start w:val="7"/>
    </w:lvl>
  </w:abstractNum>
  <w:abstractNum w:abstractNumId="688">
    <w:nsid w:val="243DE0AA"/>
    <w:multiLevelType w:val="hybridMultilevel"/>
    <w:lvl w:ilvl="0">
      <w:lvlJc w:val="left"/>
      <w:lvlText w:val="(%1)"/>
      <w:numFmt w:val="lowerLetter"/>
      <w:start w:val="1"/>
    </w:lvl>
    <w:lvl w:ilvl="1">
      <w:lvlJc w:val="left"/>
      <w:lvlText w:val="(%2)"/>
      <w:numFmt w:val="lowerLetter"/>
      <w:start w:val="9"/>
    </w:lvl>
  </w:abstractNum>
  <w:abstractNum w:abstractNumId="689">
    <w:nsid w:val="746B6F6A"/>
    <w:multiLevelType w:val="hybridMultilevel"/>
    <w:lvl w:ilvl="0">
      <w:lvlJc w:val="left"/>
      <w:lvlText w:val="(%1)"/>
      <w:numFmt w:val="lowerRoman"/>
      <w:start w:val="2"/>
    </w:lvl>
  </w:abstractNum>
  <w:abstractNum w:abstractNumId="690">
    <w:nsid w:val="28B1BBF2"/>
    <w:multiLevelType w:val="hybridMultilevel"/>
    <w:lvl w:ilvl="0">
      <w:lvlJc w:val="left"/>
      <w:lvlText w:val="(%1)"/>
      <w:numFmt w:val="lowerRoman"/>
      <w:start w:val="3"/>
    </w:lvl>
  </w:abstractNum>
  <w:abstractNum w:abstractNumId="691">
    <w:nsid w:val="72377844"/>
    <w:multiLevelType w:val="hybridMultilevel"/>
    <w:lvl w:ilvl="0">
      <w:lvlJc w:val="left"/>
      <w:lvlText w:val="(%1)"/>
      <w:numFmt w:val="lowerLetter"/>
      <w:start w:val="1"/>
    </w:lvl>
  </w:abstractNum>
  <w:abstractNum w:abstractNumId="692">
    <w:nsid w:val="5D4CAEF8"/>
    <w:multiLevelType w:val="hybridMultilevel"/>
    <w:lvl w:ilvl="0">
      <w:lvlJc w:val="left"/>
      <w:lvlText w:val="(%1)"/>
      <w:numFmt w:val="lowerLetter"/>
      <w:start w:val="1"/>
    </w:lvl>
  </w:abstractNum>
  <w:abstractNum w:abstractNumId="693">
    <w:nsid w:val="7A723B45"/>
    <w:multiLevelType w:val="hybridMultilevel"/>
    <w:lvl w:ilvl="0">
      <w:lvlJc w:val="left"/>
      <w:lvlText w:val="%1"/>
      <w:numFmt w:val="lowerLetter"/>
      <w:start w:val="1"/>
    </w:lvl>
    <w:lvl w:ilvl="1">
      <w:lvlJc w:val="left"/>
      <w:lvlText w:val="(%2)"/>
      <w:numFmt w:val="lowerRoman"/>
      <w:start w:val="1"/>
    </w:lvl>
  </w:abstractNum>
  <w:abstractNum w:abstractNumId="694">
    <w:nsid w:val="20913E41"/>
    <w:multiLevelType w:val="hybridMultilevel"/>
    <w:lvl w:ilvl="0">
      <w:lvlJc w:val="left"/>
      <w:lvlText w:val="(%1)"/>
      <w:numFmt w:val="lowerLetter"/>
      <w:start w:val="2"/>
    </w:lvl>
    <w:lvl w:ilvl="1">
      <w:lvlJc w:val="left"/>
      <w:lvlText w:val="%2"/>
      <w:numFmt w:val="lowerRoman"/>
      <w:start w:val="1"/>
    </w:lvl>
  </w:abstractNum>
  <w:abstractNum w:abstractNumId="695">
    <w:nsid w:val="DFEC288"/>
    <w:multiLevelType w:val="hybridMultilevel"/>
    <w:lvl w:ilvl="0">
      <w:lvlJc w:val="left"/>
      <w:lvlText w:val="(%1)"/>
      <w:numFmt w:val="lowerLetter"/>
      <w:start w:val="1"/>
    </w:lvl>
  </w:abstractNum>
  <w:abstractNum w:abstractNumId="696">
    <w:nsid w:val="594F93D1"/>
    <w:multiLevelType w:val="hybridMultilevel"/>
    <w:lvl w:ilvl="0">
      <w:lvlJc w:val="left"/>
      <w:lvlText w:val="(%1)"/>
      <w:numFmt w:val="lowerLetter"/>
      <w:start w:val="1"/>
    </w:lvl>
    <w:lvl w:ilvl="1">
      <w:lvlJc w:val="left"/>
      <w:lvlText w:val="(%2)"/>
      <w:numFmt w:val="lowerRoman"/>
      <w:start w:val="1"/>
    </w:lvl>
  </w:abstractNum>
  <w:abstractNum w:abstractNumId="697">
    <w:nsid w:val="61402F4E"/>
    <w:multiLevelType w:val="hybridMultilevel"/>
    <w:lvl w:ilvl="0">
      <w:lvlJc w:val="left"/>
      <w:lvlText w:val="%1"/>
      <w:numFmt w:val="lowerLetter"/>
      <w:start w:val="1"/>
    </w:lvl>
    <w:lvl w:ilvl="1">
      <w:lvlJc w:val="left"/>
      <w:lvlText w:val="(%2)"/>
      <w:numFmt w:val="lowerRoman"/>
      <w:start w:val="6"/>
    </w:lvl>
  </w:abstractNum>
  <w:abstractNum w:abstractNumId="698">
    <w:nsid w:val="4DFF5E8B"/>
    <w:multiLevelType w:val="hybridMultilevel"/>
    <w:lvl w:ilvl="0">
      <w:lvlJc w:val="left"/>
      <w:lvlText w:val="(%1)"/>
      <w:numFmt w:val="lowerLetter"/>
      <w:start w:val="2"/>
    </w:lvl>
    <w:lvl w:ilvl="1">
      <w:lvlJc w:val="left"/>
      <w:lvlText w:val="%2"/>
      <w:numFmt w:val="lowerRoman"/>
      <w:start w:val="1"/>
    </w:lvl>
  </w:abstractNum>
  <w:abstractNum w:abstractNumId="699">
    <w:nsid w:val="151F37A3"/>
    <w:multiLevelType w:val="hybridMultilevel"/>
    <w:lvl w:ilvl="0">
      <w:lvlJc w:val="left"/>
      <w:lvlText w:val="(%1)"/>
      <w:numFmt w:val="lowerLetter"/>
      <w:start w:val="1"/>
    </w:lvl>
  </w:abstractNum>
  <w:abstractNum w:abstractNumId="700">
    <w:nsid w:val="180DEB1"/>
    <w:multiLevelType w:val="hybridMultilevel"/>
    <w:lvl w:ilvl="0">
      <w:lvlJc w:val="left"/>
      <w:lvlText w:val="(%1)"/>
      <w:numFmt w:val="lowerLetter"/>
      <w:start w:val="2"/>
    </w:lvl>
  </w:abstractNum>
  <w:abstractNum w:abstractNumId="701">
    <w:nsid w:val="4A3F068C"/>
    <w:multiLevelType w:val="hybridMultilevel"/>
    <w:lvl w:ilvl="0">
      <w:lvlJc w:val="left"/>
      <w:lvlText w:val="(%1)"/>
      <w:numFmt w:val="lowerLetter"/>
      <w:start w:val="1"/>
    </w:lvl>
  </w:abstractNum>
  <w:abstractNum w:abstractNumId="702">
    <w:nsid w:val="6C04B4E0"/>
    <w:multiLevelType w:val="hybridMultilevel"/>
    <w:lvl w:ilvl="0">
      <w:lvlJc w:val="left"/>
      <w:lvlText w:val="(%1)"/>
      <w:numFmt w:val="lowerLetter"/>
      <w:start w:val="1"/>
    </w:lvl>
  </w:abstractNum>
  <w:abstractNum w:abstractNumId="703">
    <w:nsid w:val="1D082837"/>
    <w:multiLevelType w:val="hybridMultilevel"/>
    <w:lvl w:ilvl="0">
      <w:lvlJc w:val="left"/>
      <w:lvlText w:val="(%1)"/>
      <w:numFmt w:val="lowerLetter"/>
      <w:start w:val="2"/>
    </w:lvl>
  </w:abstractNum>
  <w:abstractNum w:abstractNumId="704">
    <w:nsid w:val="685B8A2D"/>
    <w:multiLevelType w:val="hybridMultilevel"/>
    <w:lvl w:ilvl="0">
      <w:lvlJc w:val="left"/>
      <w:lvlText w:val="(%1)"/>
      <w:numFmt w:val="lowerLetter"/>
      <w:start w:val="1"/>
    </w:lvl>
  </w:abstractNum>
  <w:abstractNum w:abstractNumId="705">
    <w:nsid w:val="64F087E2"/>
    <w:multiLevelType w:val="hybridMultilevel"/>
    <w:lvl w:ilvl="0">
      <w:lvlJc w:val="left"/>
      <w:lvlText w:val="(%1)"/>
      <w:numFmt w:val="lowerLetter"/>
      <w:start w:val="1"/>
    </w:lvl>
  </w:abstractNum>
  <w:abstractNum w:abstractNumId="706">
    <w:nsid w:val="1575811C"/>
    <w:multiLevelType w:val="hybridMultilevel"/>
    <w:lvl w:ilvl="0">
      <w:lvlJc w:val="left"/>
      <w:lvlText w:val="(%1)"/>
      <w:numFmt w:val="lowerLetter"/>
      <w:start w:val="6"/>
    </w:lvl>
  </w:abstractNum>
  <w:abstractNum w:abstractNumId="707">
    <w:nsid w:val="52127406"/>
    <w:multiLevelType w:val="hybridMultilevel"/>
    <w:lvl w:ilvl="0">
      <w:lvlJc w:val="left"/>
      <w:lvlText w:val="(%1)"/>
      <w:numFmt w:val="lowerLetter"/>
      <w:start w:val="1"/>
    </w:lvl>
  </w:abstractNum>
  <w:abstractNum w:abstractNumId="708">
    <w:nsid w:val="5FF178A"/>
    <w:multiLevelType w:val="hybridMultilevel"/>
    <w:lvl w:ilvl="0">
      <w:lvlJc w:val="left"/>
      <w:lvlText w:val="(%1)"/>
      <w:numFmt w:val="lowerLetter"/>
      <w:start w:val="2"/>
    </w:lvl>
  </w:abstractNum>
  <w:abstractNum w:abstractNumId="709">
    <w:nsid w:val="53FB0875"/>
    <w:multiLevelType w:val="hybridMultilevel"/>
    <w:lvl w:ilvl="0">
      <w:lvlJc w:val="left"/>
      <w:lvlText w:val="(%1)"/>
      <w:numFmt w:val="lowerLetter"/>
      <w:start w:val="1"/>
    </w:lvl>
  </w:abstractNum>
  <w:abstractNum w:abstractNumId="710">
    <w:nsid w:val="34FA7B2B"/>
    <w:multiLevelType w:val="hybridMultilevel"/>
    <w:lvl w:ilvl="0">
      <w:lvlJc w:val="left"/>
      <w:lvlText w:val="(%1)"/>
      <w:numFmt w:val="lowerLetter"/>
      <w:start w:val="1"/>
    </w:lvl>
    <w:lvl w:ilvl="1">
      <w:lvlJc w:val="left"/>
      <w:lvlText w:val="(%2)"/>
      <w:numFmt w:val="lowerRoman"/>
      <w:start w:val="1"/>
    </w:lvl>
  </w:abstractNum>
  <w:abstractNum w:abstractNumId="711">
    <w:nsid w:val="CA75DBC"/>
    <w:multiLevelType w:val="hybridMultilevel"/>
    <w:lvl w:ilvl="0">
      <w:lvlJc w:val="left"/>
      <w:lvlText w:val="(%1)"/>
      <w:numFmt w:val="lowerLetter"/>
      <w:start w:val="1"/>
    </w:lvl>
  </w:abstractNum>
  <w:abstractNum w:abstractNumId="712">
    <w:nsid w:val="6AE2EC3C"/>
    <w:multiLevelType w:val="hybridMultilevel"/>
    <w:lvl w:ilvl="0">
      <w:lvlJc w:val="left"/>
      <w:lvlText w:val="(%1)"/>
      <w:numFmt w:val="lowerLetter"/>
      <w:start w:val="2"/>
    </w:lvl>
    <w:lvl w:ilvl="1">
      <w:lvlJc w:val="left"/>
      <w:lvlText w:val="(%2)"/>
      <w:numFmt w:val="lowerRoman"/>
      <w:start w:val="1"/>
    </w:lvl>
  </w:abstractNum>
  <w:abstractNum w:abstractNumId="713">
    <w:nsid w:val="3B3A67C5"/>
    <w:multiLevelType w:val="hybridMultilevel"/>
    <w:lvl w:ilvl="0">
      <w:lvlJc w:val="left"/>
      <w:lvlText w:val="%1"/>
      <w:numFmt w:val="lowerLetter"/>
      <w:start w:val="1"/>
    </w:lvl>
    <w:lvl w:ilvl="1">
      <w:lvlJc w:val="left"/>
      <w:lvlText w:val="(%2)"/>
      <w:numFmt w:val="lowerLetter"/>
      <w:start w:val="1"/>
    </w:lvl>
  </w:abstractNum>
  <w:abstractNum w:abstractNumId="714">
    <w:nsid w:val="78D07D08"/>
    <w:multiLevelType w:val="hybridMultilevel"/>
    <w:lvl w:ilvl="0">
      <w:lvlJc w:val="left"/>
      <w:lvlText w:val="(%1)"/>
      <w:numFmt w:val="lowerLetter"/>
      <w:start w:val="61"/>
    </w:lvl>
    <w:lvl w:ilvl="1">
      <w:lvlJc w:val="left"/>
      <w:lvlText w:val="%2"/>
      <w:numFmt w:val="lowerLetter"/>
      <w:start w:val="1"/>
    </w:lvl>
  </w:abstractNum>
  <w:abstractNum w:abstractNumId="715">
    <w:nsid w:val="3AF676B7"/>
    <w:multiLevelType w:val="hybridMultilevel"/>
    <w:lvl w:ilvl="0">
      <w:lvlJc w:val="left"/>
      <w:lvlText w:val="(%1)"/>
      <w:numFmt w:val="lowerLetter"/>
      <w:start w:val="1"/>
    </w:lvl>
  </w:abstractNum>
  <w:abstractNum w:abstractNumId="716">
    <w:nsid w:val="6B6FD84E"/>
    <w:multiLevelType w:val="hybridMultilevel"/>
    <w:lvl w:ilvl="0">
      <w:lvlJc w:val="left"/>
      <w:lvlText w:val="(%1)"/>
      <w:numFmt w:val="lowerLetter"/>
      <w:start w:val="1"/>
    </w:lvl>
  </w:abstractNum>
  <w:abstractNum w:abstractNumId="717">
    <w:nsid w:val="497FD5B0"/>
    <w:multiLevelType w:val="hybridMultilevel"/>
    <w:lvl w:ilvl="0">
      <w:lvlJc w:val="left"/>
      <w:lvlText w:val="(%1)"/>
      <w:numFmt w:val="lowerLetter"/>
      <w:start w:val="1"/>
    </w:lvl>
  </w:abstractNum>
  <w:abstractNum w:abstractNumId="718">
    <w:nsid w:val="61A5C3E4"/>
    <w:multiLevelType w:val="hybridMultilevel"/>
    <w:lvl w:ilvl="0">
      <w:lvlJc w:val="left"/>
      <w:lvlText w:val="(%1)"/>
      <w:numFmt w:val="lowerLetter"/>
      <w:start w:val="1"/>
    </w:lvl>
  </w:abstractNum>
  <w:abstractNum w:abstractNumId="719">
    <w:nsid w:val="FADB8F8"/>
    <w:multiLevelType w:val="hybridMultilevel"/>
    <w:lvl w:ilvl="0">
      <w:lvlJc w:val="left"/>
      <w:lvlText w:val="(%1)"/>
      <w:numFmt w:val="lowerLetter"/>
      <w:start w:val="3"/>
    </w:lvl>
  </w:abstractNum>
  <w:abstractNum w:abstractNumId="720">
    <w:nsid w:val="3DEB451A"/>
    <w:multiLevelType w:val="hybridMultilevel"/>
    <w:lvl w:ilvl="0">
      <w:lvlJc w:val="left"/>
      <w:lvlText w:val="(%1)"/>
      <w:numFmt w:val="lowerLetter"/>
      <w:start w:val="1"/>
    </w:lvl>
  </w:abstractNum>
  <w:abstractNum w:abstractNumId="721">
    <w:nsid w:val="A577FD6"/>
    <w:multiLevelType w:val="hybridMultilevel"/>
    <w:lvl w:ilvl="0">
      <w:lvlJc w:val="left"/>
      <w:lvlText w:val="(%1)"/>
      <w:numFmt w:val="lowerLetter"/>
      <w:start w:val="1"/>
    </w:lvl>
  </w:abstractNum>
  <w:abstractNum w:abstractNumId="722">
    <w:nsid w:val="1E5313D"/>
    <w:multiLevelType w:val="hybridMultilevel"/>
    <w:lvl w:ilvl="0">
      <w:lvlJc w:val="left"/>
      <w:lvlText w:val="(%1)"/>
      <w:numFmt w:val="lowerRoman"/>
      <w:start w:val="1"/>
    </w:lvl>
  </w:abstractNum>
  <w:abstractNum w:abstractNumId="723">
    <w:nsid w:val="1B37F412"/>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3"/>
    </w:lvl>
  </w:abstractNum>
  <w:abstractNum w:abstractNumId="724">
    <w:nsid w:val="4C9BB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5">
    <w:nsid w:val="22766F7E"/>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2"/>
    </w:lvl>
  </w:abstractNum>
  <w:abstractNum w:abstractNumId="726">
    <w:nsid w:val="2936B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7">
    <w:nsid w:val="5E194EEC"/>
    <w:multiLevelType w:val="hybridMultilevel"/>
    <w:lvl w:ilvl="0">
      <w:lvlJc w:val="left"/>
      <w:lvlText w:val="%1"/>
      <w:numFmt w:val="lowerLetter"/>
      <w:start w:val="1"/>
    </w:lvl>
    <w:lvl w:ilvl="1">
      <w:lvlJc w:val="left"/>
      <w:lvlText w:val="(%2)"/>
      <w:numFmt w:val="lowerLetter"/>
      <w:start w:val="35"/>
    </w:lvl>
  </w:abstractNum>
  <w:abstractNum w:abstractNumId="728">
    <w:nsid w:val="3B69ECD"/>
    <w:multiLevelType w:val="hybridMultilevel"/>
    <w:lvl w:ilvl="0">
      <w:lvlJc w:val="left"/>
      <w:lvlText w:val="(%1)"/>
      <w:numFmt w:val="lowerLetter"/>
      <w:start w:val="6"/>
    </w:lvl>
    <w:lvl w:ilvl="1">
      <w:lvlJc w:val="left"/>
      <w:lvlText w:val="(%2)"/>
      <w:numFmt w:val="lowerLetter"/>
      <w:start w:val="9"/>
    </w:lvl>
  </w:abstractNum>
  <w:abstractNum w:abstractNumId="729">
    <w:nsid w:val="77361526"/>
    <w:multiLevelType w:val="hybridMultilevel"/>
    <w:lvl w:ilvl="0">
      <w:lvlJc w:val="left"/>
      <w:lvlText w:val="%1"/>
      <w:numFmt w:val="lowerLetter"/>
      <w:start w:val="1"/>
    </w:lvl>
    <w:lvl w:ilvl="1">
      <w:lvlJc w:val="left"/>
      <w:lvlText w:val="(%2)"/>
      <w:numFmt w:val="lowerRoman"/>
      <w:start w:val="2"/>
    </w:lvl>
  </w:abstractNum>
  <w:abstractNum w:abstractNumId="730">
    <w:nsid w:val="7338868F"/>
    <w:multiLevelType w:val="hybridMultilevel"/>
    <w:lvl w:ilvl="0">
      <w:lvlJc w:val="left"/>
      <w:lvlText w:val="(%1)"/>
      <w:numFmt w:val="lowerLetter"/>
      <w:start w:val="7"/>
    </w:lvl>
    <w:lvl w:ilvl="1">
      <w:lvlJc w:val="left"/>
      <w:lvlText w:val="(%2)"/>
      <w:numFmt w:val="lowerRoman"/>
      <w:start w:val="1"/>
    </w:lvl>
  </w:abstractNum>
  <w:abstractNum w:abstractNumId="731">
    <w:nsid w:val="5377D7E"/>
    <w:multiLevelType w:val="hybridMultilevel"/>
    <w:lvl w:ilvl="0">
      <w:lvlJc w:val="left"/>
      <w:lvlText w:val="(%1)"/>
      <w:numFmt w:val="lowerLetter"/>
      <w:start w:val="1"/>
    </w:lvl>
  </w:abstractNum>
  <w:abstractNum w:abstractNumId="732">
    <w:nsid w:val="41751BB2"/>
    <w:multiLevelType w:val="hybridMultilevel"/>
    <w:lvl w:ilvl="0">
      <w:lvlJc w:val="left"/>
      <w:lvlText w:val="(%1)"/>
      <w:numFmt w:val="lowerLetter"/>
      <w:start w:val="1"/>
    </w:lvl>
    <w:lvl w:ilvl="1">
      <w:lvlJc w:val="left"/>
      <w:lvlText w:val="(%2)"/>
      <w:numFmt w:val="lowerRoman"/>
      <w:start w:val="1"/>
    </w:lvl>
  </w:abstractNum>
  <w:abstractNum w:abstractNumId="733">
    <w:nsid w:val="5F3D3B70"/>
    <w:multiLevelType w:val="hybridMultilevel"/>
    <w:lvl w:ilvl="0">
      <w:lvlJc w:val="left"/>
      <w:lvlText w:val="(%1)"/>
      <w:numFmt w:val="lowerLetter"/>
      <w:start w:val="2"/>
    </w:lvl>
  </w:abstractNum>
  <w:abstractNum w:abstractNumId="734">
    <w:nsid w:val="223FA5B6"/>
    <w:multiLevelType w:val="hybridMultilevel"/>
    <w:lvl w:ilvl="0">
      <w:lvlJc w:val="left"/>
      <w:lvlText w:val="(%1)"/>
      <w:numFmt w:val="lowerLetter"/>
      <w:start w:val="1"/>
    </w:lvl>
  </w:abstractNum>
  <w:abstractNum w:abstractNumId="735">
    <w:nsid w:val="29D0A5DF"/>
    <w:multiLevelType w:val="hybridMultilevel"/>
    <w:lvl w:ilvl="0">
      <w:lvlJc w:val="left"/>
      <w:lvlText w:val="(%1)"/>
      <w:numFmt w:val="lowerLetter"/>
      <w:start w:val="1"/>
    </w:lvl>
  </w:abstractNum>
  <w:abstractNum w:abstractNumId="736">
    <w:nsid w:val="442DC352"/>
    <w:multiLevelType w:val="hybridMultilevel"/>
    <w:lvl w:ilvl="0">
      <w:lvlJc w:val="left"/>
      <w:lvlText w:val="(%1)"/>
      <w:numFmt w:val="lowerLetter"/>
      <w:start w:val="3"/>
    </w:lvl>
  </w:abstractNum>
  <w:abstractNum w:abstractNumId="737">
    <w:nsid w:val="37B526D2"/>
    <w:multiLevelType w:val="hybridMultilevel"/>
    <w:lvl w:ilvl="0">
      <w:lvlJc w:val="left"/>
      <w:lvlText w:val="(%1)"/>
      <w:numFmt w:val="lowerLetter"/>
      <w:start w:val="1"/>
    </w:lvl>
  </w:abstractNum>
  <w:abstractNum w:abstractNumId="738">
    <w:nsid w:val="7BE319E5"/>
    <w:multiLevelType w:val="hybridMultilevel"/>
    <w:lvl w:ilvl="0">
      <w:lvlJc w:val="left"/>
      <w:lvlText w:val="(%1)"/>
      <w:numFmt w:val="lowerLetter"/>
      <w:start w:val="4"/>
    </w:lvl>
  </w:abstractNum>
  <w:abstractNum w:abstractNumId="739">
    <w:nsid w:val="4A2CDADC"/>
    <w:multiLevelType w:val="hybridMultilevel"/>
    <w:lvl w:ilvl="0">
      <w:lvlJc w:val="left"/>
      <w:lvlText w:val="(%1)"/>
      <w:numFmt w:val="lowerLetter"/>
      <w:start w:val="1"/>
    </w:lvl>
  </w:abstractNum>
  <w:abstractNum w:abstractNumId="740">
    <w:nsid w:val="BB02F47"/>
    <w:multiLevelType w:val="hybridMultilevel"/>
    <w:lvl w:ilvl="0">
      <w:lvlJc w:val="left"/>
      <w:lvlText w:val="(%1)"/>
      <w:numFmt w:val="lowerLetter"/>
      <w:start w:val="2"/>
    </w:lvl>
  </w:abstractNum>
  <w:abstractNum w:abstractNumId="741">
    <w:nsid w:val="30DD9510"/>
    <w:multiLevelType w:val="hybridMultilevel"/>
    <w:lvl w:ilvl="0">
      <w:lvlJc w:val="left"/>
      <w:lvlText w:val="(%1)"/>
      <w:numFmt w:val="lowerLetter"/>
      <w:start w:val="1"/>
    </w:lvl>
  </w:abstractNum>
  <w:abstractNum w:abstractNumId="742">
    <w:nsid w:val="56D43898"/>
    <w:multiLevelType w:val="hybridMultilevel"/>
    <w:lvl w:ilvl="0">
      <w:lvlJc w:val="left"/>
      <w:lvlText w:val="(%1)"/>
      <w:numFmt w:val="lowerLetter"/>
      <w:start w:val="1"/>
    </w:lvl>
  </w:abstractNum>
  <w:abstractNum w:abstractNumId="743">
    <w:nsid w:val="76931B84"/>
    <w:multiLevelType w:val="hybridMultilevel"/>
    <w:lvl w:ilvl="0">
      <w:lvlJc w:val="left"/>
      <w:lvlText w:val="(%1)"/>
      <w:numFmt w:val="lowerLetter"/>
      <w:start w:val="1"/>
    </w:lvl>
  </w:abstractNum>
  <w:abstractNum w:abstractNumId="744">
    <w:nsid w:val="6C17FCD6"/>
    <w:multiLevelType w:val="hybridMultilevel"/>
    <w:lvl w:ilvl="0">
      <w:lvlJc w:val="left"/>
      <w:lvlText w:val="(%1)"/>
      <w:numFmt w:val="lowerLetter"/>
      <w:start w:val="2"/>
    </w:lvl>
  </w:abstractNum>
  <w:abstractNum w:abstractNumId="745">
    <w:nsid w:val="4FA4B5A1"/>
    <w:multiLevelType w:val="hybridMultilevel"/>
    <w:lvl w:ilvl="0">
      <w:lvlJc w:val="left"/>
      <w:lvlText w:val="(%1)"/>
      <w:numFmt w:val="lowerLetter"/>
      <w:start w:val="1"/>
    </w:lvl>
  </w:abstractNum>
  <w:abstractNum w:abstractNumId="746">
    <w:nsid w:val="3189923B"/>
    <w:multiLevelType w:val="hybridMultilevel"/>
    <w:lvl w:ilvl="0">
      <w:lvlJc w:val="left"/>
      <w:lvlText w:val="(%1)"/>
      <w:numFmt w:val="lowerLetter"/>
      <w:start w:val="3"/>
    </w:lvl>
  </w:abstractNum>
  <w:abstractNum w:abstractNumId="747">
    <w:nsid w:val="5787D524"/>
    <w:multiLevelType w:val="hybridMultilevel"/>
    <w:lvl w:ilvl="0">
      <w:lvlJc w:val="left"/>
      <w:lvlText w:val="(%1)"/>
      <w:numFmt w:val="decimal"/>
      <w:start w:val="1"/>
    </w:lvl>
  </w:abstractNum>
  <w:abstractNum w:abstractNumId="748">
    <w:nsid w:val="19248B51"/>
    <w:multiLevelType w:val="hybridMultilevel"/>
    <w:lvl w:ilvl="0">
      <w:lvlJc w:val="left"/>
      <w:lvlText w:val="(%1)"/>
      <w:numFmt w:val="decimal"/>
      <w:start w:val="1"/>
    </w:lvl>
  </w:abstractNum>
  <w:abstractNum w:abstractNumId="749">
    <w:nsid w:val="132F561F"/>
    <w:multiLevelType w:val="hybridMultilevel"/>
    <w:lvl w:ilvl="0">
      <w:lvlJc w:val="left"/>
      <w:lvlText w:val="(%1)"/>
      <w:numFmt w:val="lowerLetter"/>
      <w:start w:val="1"/>
    </w:lvl>
  </w:abstractNum>
  <w:abstractNum w:abstractNumId="750">
    <w:nsid w:val="67358E1D"/>
    <w:multiLevelType w:val="hybridMultilevel"/>
    <w:lvl w:ilvl="0">
      <w:lvlJc w:val="left"/>
      <w:lvlText w:val="(%1)"/>
      <w:numFmt w:val="decimal"/>
      <w:start w:val="2"/>
    </w:lvl>
  </w:abstractNum>
  <w:abstractNum w:abstractNumId="751">
    <w:nsid w:val="570FD06B"/>
    <w:multiLevelType w:val="hybridMultilevel"/>
    <w:lvl w:ilvl="0">
      <w:lvlJc w:val="left"/>
      <w:lvlText w:val="(%1)"/>
      <w:numFmt w:val="decimal"/>
      <w:start w:val="1"/>
    </w:lvl>
  </w:abstractNum>
  <w:abstractNum w:abstractNumId="752">
    <w:nsid w:val="1D86D5F5"/>
    <w:multiLevelType w:val="hybridMultilevel"/>
    <w:lvl w:ilvl="0">
      <w:lvlJc w:val="left"/>
      <w:lvlText w:val="(%1)"/>
      <w:numFmt w:val="decimal"/>
      <w:start w:val="1"/>
    </w:lvl>
  </w:abstractNum>
  <w:abstractNum w:abstractNumId="753">
    <w:nsid w:val="691ABF5A"/>
    <w:multiLevelType w:val="hybridMultilevel"/>
    <w:lvl w:ilvl="0">
      <w:lvlJc w:val="left"/>
      <w:lvlText w:val="(%1)"/>
      <w:numFmt w:val="decimal"/>
      <w:start w:val="3"/>
    </w:lvl>
  </w:abstractNum>
  <w:abstractNum w:abstractNumId="754">
    <w:nsid w:val="7247C47D"/>
    <w:multiLevelType w:val="hybridMultilevel"/>
    <w:lvl w:ilvl="0">
      <w:lvlJc w:val="left"/>
      <w:lvlText w:val="(%1)"/>
      <w:numFmt w:val="lowerRoman"/>
      <w:start w:val="2"/>
    </w:lvl>
  </w:abstractNum>
  <w:abstractNum w:abstractNumId="755">
    <w:nsid w:val="22509110"/>
    <w:multiLevelType w:val="hybridMultilevel"/>
    <w:lvl w:ilvl="0">
      <w:lvlJc w:val="left"/>
      <w:lvlText w:val="(%1)"/>
      <w:numFmt w:val="decimal"/>
      <w:start w:val="7"/>
    </w:lvl>
  </w:abstractNum>
  <w:abstractNum w:abstractNumId="756">
    <w:nsid w:val="B912ED8"/>
    <w:multiLevelType w:val="hybridMultilevel"/>
    <w:lvl w:ilvl="0">
      <w:lvlJc w:val="left"/>
      <w:lvlText w:val="(%1)"/>
      <w:numFmt w:val="decimal"/>
      <w:start w:val="1"/>
    </w:lvl>
  </w:abstractNum>
  <w:abstractNum w:abstractNumId="757">
    <w:nsid w:val="1B7E7B17"/>
    <w:multiLevelType w:val="hybridMultilevel"/>
    <w:lvl w:ilvl="0">
      <w:lvlJc w:val="left"/>
      <w:lvlText w:val="(%1)"/>
      <w:numFmt w:val="decimal"/>
      <w:start w:val="1"/>
    </w:lvl>
  </w:abstractNum>
  <w:abstractNum w:abstractNumId="758">
    <w:nsid w:val="69DFFC"/>
    <w:multiLevelType w:val="hybridMultilevel"/>
    <w:lvl w:ilvl="0">
      <w:lvlJc w:val="left"/>
      <w:lvlText w:val="(%1)"/>
      <w:numFmt w:val="decimal"/>
      <w:start w:val="2"/>
    </w:lvl>
  </w:abstractNum>
  <w:abstractNum w:abstractNumId="759">
    <w:nsid w:val="F47CDA5"/>
    <w:multiLevelType w:val="hybridMultilevel"/>
    <w:lvl w:ilvl="0">
      <w:lvlJc w:val="left"/>
      <w:lvlText w:val="(%1)"/>
      <w:numFmt w:val="lowerRoman"/>
      <w:start w:val="1"/>
    </w:lvl>
  </w:abstractNum>
  <w:abstractNum w:abstractNumId="760">
    <w:nsid w:val="12B4903D"/>
    <w:multiLevelType w:val="hybridMultilevel"/>
    <w:lvl w:ilvl="0">
      <w:lvlJc w:val="left"/>
      <w:lvlText w:val="(%1)"/>
      <w:numFmt w:val="decimal"/>
      <w:start w:val="1"/>
    </w:lvl>
  </w:abstractNum>
  <w:abstractNum w:abstractNumId="761">
    <w:nsid w:val="73A2668C"/>
    <w:multiLevelType w:val="hybridMultilevel"/>
    <w:lvl w:ilvl="0">
      <w:lvlJc w:val="left"/>
      <w:lvlText w:val="(%1)"/>
      <w:numFmt w:val="decimal"/>
      <w:start w:val="2"/>
    </w:lvl>
  </w:abstractNum>
  <w:abstractNum w:abstractNumId="762">
    <w:nsid w:val="147F4B24"/>
    <w:multiLevelType w:val="hybridMultilevel"/>
    <w:lvl w:ilvl="0">
      <w:lvlJc w:val="left"/>
      <w:lvlText w:val="(%1)"/>
      <w:numFmt w:val="decimal"/>
      <w:start w:val="4"/>
    </w:lvl>
  </w:abstractNum>
  <w:abstractNum w:abstractNumId="763">
    <w:nsid w:val="5429ABEF"/>
    <w:multiLevelType w:val="hybridMultilevel"/>
    <w:lvl w:ilvl="0">
      <w:lvlJc w:val="left"/>
      <w:lvlText w:val="(%1)"/>
      <w:numFmt w:val="decimal"/>
      <w:start w:val="14"/>
    </w:lvl>
  </w:abstractNum>
  <w:abstractNum w:abstractNumId="764">
    <w:nsid w:val="52DFA1FC"/>
    <w:multiLevelType w:val="hybridMultilevel"/>
    <w:lvl w:ilvl="0">
      <w:lvlJc w:val="left"/>
      <w:lvlText w:val="(%1)"/>
      <w:numFmt w:val="decimal"/>
      <w:start w:val="1"/>
    </w:lvl>
  </w:abstractNum>
  <w:abstractNum w:abstractNumId="765">
    <w:nsid w:val="36BEF0DA"/>
    <w:multiLevelType w:val="hybridMultilevel"/>
    <w:lvl w:ilvl="0">
      <w:lvlJc w:val="left"/>
      <w:lvlText w:val="(%1)"/>
      <w:numFmt w:val="lowerLetter"/>
      <w:start w:val="1"/>
    </w:lvl>
  </w:abstractNum>
  <w:abstractNum w:abstractNumId="766">
    <w:nsid w:val="7DFA51CE"/>
    <w:multiLevelType w:val="hybridMultilevel"/>
    <w:lvl w:ilvl="0">
      <w:lvlJc w:val="left"/>
      <w:lvlText w:val="(%1)"/>
      <w:numFmt w:val="lowerLetter"/>
      <w:start w:val="1"/>
    </w:lvl>
  </w:abstractNum>
  <w:abstractNum w:abstractNumId="767">
    <w:nsid w:val="170D654E"/>
    <w:multiLevelType w:val="hybridMultilevel"/>
    <w:lvl w:ilvl="0">
      <w:lvlJc w:val="left"/>
      <w:lvlText w:val="(%1)"/>
      <w:numFmt w:val="lowerLetter"/>
      <w:start w:val="2"/>
    </w:lvl>
  </w:abstractNum>
  <w:abstractNum w:abstractNumId="768">
    <w:nsid w:val="6E7417AC"/>
    <w:multiLevelType w:val="hybridMultilevel"/>
    <w:lvl w:ilvl="0">
      <w:lvlJc w:val="left"/>
      <w:lvlText w:val="(%1)"/>
      <w:numFmt w:val="lowerRoman"/>
      <w:start w:val="2"/>
    </w:lvl>
  </w:abstractNum>
  <w:abstractNum w:abstractNumId="769">
    <w:nsid w:val="79DD6BB3"/>
    <w:multiLevelType w:val="hybridMultilevel"/>
    <w:lvl w:ilvl="0">
      <w:lvlJc w:val="left"/>
      <w:lvlText w:val="(%1)"/>
      <w:numFmt w:val="lowerLetter"/>
      <w:start w:val="2"/>
    </w:lvl>
  </w:abstractNum>
  <w:abstractNum w:abstractNumId="770">
    <w:nsid w:val="613A402A"/>
    <w:multiLevelType w:val="hybridMultilevel"/>
    <w:lvl w:ilvl="0">
      <w:lvlJc w:val="left"/>
      <w:lvlText w:val="(%1)"/>
      <w:numFmt w:val="lowerLetter"/>
      <w:start w:val="3"/>
    </w:lvl>
  </w:abstractNum>
  <w:abstractNum w:abstractNumId="771">
    <w:nsid w:val="7A2446F3"/>
    <w:multiLevelType w:val="hybridMultilevel"/>
    <w:lvl w:ilvl="0">
      <w:lvlJc w:val="left"/>
      <w:lvlText w:val="(%1)"/>
      <w:numFmt w:val="lowerLetter"/>
      <w:start w:val="6"/>
    </w:lvl>
  </w:abstractNum>
  <w:abstractNum w:abstractNumId="772">
    <w:nsid w:val="2ABB00C4"/>
    <w:multiLevelType w:val="hybridMultilevel"/>
    <w:lvl w:ilvl="0">
      <w:lvlJc w:val="left"/>
      <w:lvlText w:val="%1"/>
      <w:numFmt w:val="lowerRoman"/>
      <w:start w:val="1"/>
    </w:lvl>
    <w:lvl w:ilvl="1">
      <w:lvlJc w:val="left"/>
      <w:lvlText w:val="(%2)"/>
      <w:numFmt w:val="lowerRoman"/>
      <w:start w:val="1"/>
    </w:lvl>
  </w:abstractNum>
  <w:abstractNum w:abstractNumId="773">
    <w:nsid w:val="380E78C3"/>
    <w:multiLevelType w:val="hybridMultilevel"/>
    <w:lvl w:ilvl="0">
      <w:lvlJc w:val="left"/>
      <w:lvlText w:val="(%1)"/>
      <w:numFmt w:val="lowerRoman"/>
      <w:start w:val="10"/>
    </w:lvl>
    <w:lvl w:ilvl="1">
      <w:lvlJc w:val="left"/>
      <w:lvlText w:val="(%2)"/>
      <w:numFmt w:val="lowerRoman"/>
      <w:start w:val="2"/>
    </w:lvl>
  </w:abstractNum>
  <w:abstractNum w:abstractNumId="774">
    <w:nsid w:val="70B76277"/>
    <w:multiLevelType w:val="hybridMultilevel"/>
    <w:lvl w:ilvl="0">
      <w:lvlJc w:val="left"/>
      <w:lvlText w:val="(%1)"/>
      <w:numFmt w:val="lowerLetter"/>
      <w:start w:val="10"/>
    </w:lvl>
  </w:abstractNum>
  <w:abstractNum w:abstractNumId="775">
    <w:nsid w:val="16D2FD9A"/>
    <w:multiLevelType w:val="hybridMultilevel"/>
    <w:lvl w:ilvl="0">
      <w:lvlJc w:val="left"/>
      <w:lvlText w:val="(%1)"/>
      <w:numFmt w:val="lowerLetter"/>
      <w:start w:val="11"/>
    </w:lvl>
  </w:abstractNum>
  <w:abstractNum w:abstractNumId="776">
    <w:nsid w:val="7B32E64"/>
    <w:multiLevelType w:val="hybridMultilevel"/>
    <w:lvl w:ilvl="0">
      <w:lvlJc w:val="left"/>
      <w:lvlText w:val="(%1)"/>
      <w:numFmt w:val="lowerLetter"/>
      <w:start w:val="1"/>
    </w:lvl>
  </w:abstractNum>
  <w:abstractNum w:abstractNumId="777">
    <w:nsid w:val="2240F4B2"/>
    <w:multiLevelType w:val="hybridMultilevel"/>
    <w:lvl w:ilvl="0">
      <w:lvlJc w:val="left"/>
      <w:lvlText w:val="%1"/>
      <w:numFmt w:val="lowerLetter"/>
      <w:start w:val="1"/>
    </w:lvl>
    <w:lvl w:ilvl="1">
      <w:lvlJc w:val="left"/>
      <w:lvlText w:val="(%2)"/>
      <w:numFmt w:val="lowerLetter"/>
      <w:start w:val="1"/>
    </w:lvl>
  </w:abstractNum>
  <w:abstractNum w:abstractNumId="778">
    <w:nsid w:val="6E5AD2BE"/>
    <w:multiLevelType w:val="hybridMultilevel"/>
    <w:lvl w:ilvl="0">
      <w:lvlJc w:val="left"/>
      <w:lvlText w:val="(%1)"/>
      <w:numFmt w:val="lowerLetter"/>
      <w:start w:val="35"/>
    </w:lvl>
    <w:lvl w:ilvl="1">
      <w:lvlJc w:val="left"/>
      <w:lvlText w:val="(%2)"/>
      <w:numFmt w:val="lowerLetter"/>
      <w:start w:val="3"/>
    </w:lvl>
  </w:abstractNum>
  <w:abstractNum w:abstractNumId="779">
    <w:nsid w:val="20D7B9B5"/>
    <w:multiLevelType w:val="hybridMultilevel"/>
    <w:lvl w:ilvl="0">
      <w:lvlJc w:val="left"/>
      <w:lvlText w:val="(%1)"/>
      <w:numFmt w:val="lowerLetter"/>
      <w:start w:val="1"/>
    </w:lvl>
  </w:abstractNum>
  <w:abstractNum w:abstractNumId="780">
    <w:nsid w:val="35704AD1"/>
    <w:multiLevelType w:val="hybridMultilevel"/>
    <w:lvl w:ilvl="0">
      <w:lvlJc w:val="left"/>
      <w:lvlText w:val="(%1)"/>
      <w:numFmt w:val="lowerLetter"/>
      <w:start w:val="1"/>
    </w:lvl>
  </w:abstractNum>
  <w:abstractNum w:abstractNumId="781">
    <w:nsid w:val="559060DB"/>
    <w:multiLevelType w:val="hybridMultilevel"/>
    <w:lvl w:ilvl="0">
      <w:lvlJc w:val="left"/>
      <w:lvlText w:val="%1"/>
      <w:numFmt w:val="lowerLetter"/>
      <w:start w:val="1"/>
    </w:lvl>
    <w:lvl w:ilvl="1">
      <w:lvlJc w:val="left"/>
      <w:lvlText w:val="(%2)"/>
      <w:numFmt w:val="lowerLetter"/>
      <w:start w:val="4"/>
    </w:lvl>
  </w:abstractNum>
  <w:abstractNum w:abstractNumId="782">
    <w:nsid w:val="77E78A20"/>
    <w:multiLevelType w:val="hybridMultilevel"/>
    <w:lvl w:ilvl="0">
      <w:lvlJc w:val="left"/>
      <w:lvlText w:val="(%1)"/>
      <w:numFmt w:val="lowerLetter"/>
      <w:start w:val="3"/>
    </w:lvl>
    <w:lvl w:ilvl="1">
      <w:lvlJc w:val="left"/>
      <w:lvlText w:val="(%2)"/>
      <w:numFmt w:val="lowerLetter"/>
      <w:start w:val="5"/>
    </w:lvl>
  </w:abstractNum>
  <w:abstractNum w:abstractNumId="783">
    <w:nsid w:val="52F720C6"/>
    <w:multiLevelType w:val="hybridMultilevel"/>
    <w:lvl w:ilvl="0">
      <w:lvlJc w:val="left"/>
      <w:lvlText w:val="(%1)"/>
      <w:numFmt w:val="lowerLetter"/>
      <w:start w:val="1"/>
    </w:lvl>
  </w:abstractNum>
  <w:abstractNum w:abstractNumId="784">
    <w:nsid w:val="3EAB2035"/>
    <w:multiLevelType w:val="hybridMultilevel"/>
    <w:lvl w:ilvl="0">
      <w:lvlJc w:val="left"/>
      <w:lvlText w:val="(%1)"/>
      <w:numFmt w:val="lowerLetter"/>
      <w:start w:val="1"/>
    </w:lvl>
    <w:lvl w:ilvl="1">
      <w:lvlJc w:val="left"/>
      <w:lvlText w:val="(%2)"/>
      <w:numFmt w:val="lowerRoman"/>
      <w:start w:val="1"/>
    </w:lvl>
  </w:abstractNum>
  <w:abstractNum w:abstractNumId="785">
    <w:nsid w:val="6A2F4E9D"/>
    <w:multiLevelType w:val="hybridMultilevel"/>
    <w:lvl w:ilvl="0">
      <w:lvlJc w:val="left"/>
      <w:lvlText w:val="(%1)"/>
      <w:numFmt w:val="lowerLetter"/>
      <w:start w:val="2"/>
    </w:lvl>
  </w:abstractNum>
  <w:abstractNum w:abstractNumId="786">
    <w:nsid w:val="7547B1D6"/>
    <w:multiLevelType w:val="hybridMultilevel"/>
    <w:lvl w:ilvl="0">
      <w:lvlJc w:val="left"/>
      <w:lvlText w:val="%1"/>
      <w:numFmt w:val="lowerLetter"/>
      <w:start w:val="1"/>
    </w:lvl>
    <w:lvl w:ilvl="1">
      <w:lvlJc w:val="left"/>
      <w:lvlText w:val="(%2)"/>
      <w:numFmt w:val="lowerLetter"/>
      <w:start w:val="3"/>
    </w:lvl>
  </w:abstractNum>
  <w:abstractNum w:abstractNumId="787">
    <w:nsid w:val="4A3C4F0E"/>
    <w:multiLevelType w:val="hybridMultilevel"/>
    <w:lvl w:ilvl="0">
      <w:lvlJc w:val="left"/>
      <w:lvlText w:val="(%1)"/>
      <w:numFmt w:val="lowerLetter"/>
      <w:start w:val="7"/>
    </w:lvl>
    <w:lvl w:ilvl="1">
      <w:lvlJc w:val="left"/>
      <w:lvlText w:val="%2"/>
      <w:numFmt w:val="lowerLetter"/>
      <w:start w:val="1"/>
    </w:lvl>
  </w:abstractNum>
  <w:abstractNum w:abstractNumId="788">
    <w:nsid w:val="5ADC9B4"/>
    <w:multiLevelType w:val="hybridMultilevel"/>
    <w:lvl w:ilvl="0">
      <w:lvlJc w:val="left"/>
      <w:lvlText w:val="(%1)"/>
      <w:numFmt w:val="lowerLetter"/>
      <w:start w:val="1"/>
    </w:lvl>
  </w:abstractNum>
  <w:abstractNum w:abstractNumId="789">
    <w:nsid w:val="75B191D3"/>
    <w:multiLevelType w:val="hybridMultilevel"/>
    <w:lvl w:ilvl="0">
      <w:lvlJc w:val="left"/>
      <w:lvlText w:val="(%1)"/>
      <w:numFmt w:val="lowerLetter"/>
      <w:start w:val="1"/>
    </w:lvl>
  </w:abstractNum>
  <w:abstractNum w:abstractNumId="790">
    <w:nsid w:val="59841CB3"/>
    <w:multiLevelType w:val="hybridMultilevel"/>
    <w:lvl w:ilvl="0">
      <w:lvlJc w:val="left"/>
      <w:lvlText w:val="(%1)"/>
      <w:numFmt w:val="lowerLetter"/>
      <w:start w:val="1"/>
    </w:lvl>
  </w:abstractNum>
  <w:abstractNum w:abstractNumId="791">
    <w:nsid w:val="186259F2"/>
    <w:multiLevelType w:val="hybridMultilevel"/>
    <w:lvl w:ilvl="0">
      <w:lvlJc w:val="left"/>
      <w:lvlText w:val="(%1)"/>
      <w:numFmt w:val="lowerLetter"/>
      <w:start w:val="1"/>
    </w:lvl>
  </w:abstractNum>
  <w:abstractNum w:abstractNumId="792">
    <w:nsid w:val="6953F85F"/>
    <w:multiLevelType w:val="hybridMultilevel"/>
    <w:lvl w:ilvl="0">
      <w:lvlJc w:val="left"/>
      <w:lvlText w:val="(%1)"/>
      <w:numFmt w:val="lowerRoman"/>
      <w:start w:val="1"/>
    </w:lvl>
  </w:abstractNum>
  <w:abstractNum w:abstractNumId="793">
    <w:nsid w:val="6E0367D7"/>
    <w:multiLevelType w:val="hybridMultilevel"/>
    <w:lvl w:ilvl="0">
      <w:lvlJc w:val="left"/>
      <w:lvlText w:val="(%1)"/>
      <w:numFmt w:val="lowerLetter"/>
      <w:start w:val="2"/>
    </w:lvl>
  </w:abstractNum>
  <w:abstractNum w:abstractNumId="794">
    <w:nsid w:val="6C8C05E1"/>
    <w:multiLevelType w:val="hybridMultilevel"/>
    <w:lvl w:ilvl="0">
      <w:lvlJc w:val="left"/>
      <w:lvlText w:val="(%1)"/>
      <w:numFmt w:val="lowerLetter"/>
      <w:start w:val="1"/>
    </w:lvl>
  </w:abstractNum>
  <w:abstractNum w:abstractNumId="795">
    <w:nsid w:val="3C339A5B"/>
    <w:multiLevelType w:val="hybridMultilevel"/>
    <w:lvl w:ilvl="0">
      <w:lvlJc w:val="left"/>
      <w:lvlText w:val="(%1)"/>
      <w:numFmt w:val="lowerLetter"/>
      <w:start w:val="26"/>
    </w:lvl>
    <w:lvl w:ilvl="1">
      <w:lvlJc w:val="left"/>
      <w:lvlText w:val="(%2)"/>
      <w:numFmt w:val="lowerLetter"/>
      <w:start w:val="2"/>
    </w:lvl>
  </w:abstractNum>
  <w:abstractNum w:abstractNumId="796">
    <w:nsid w:val="24C258B1"/>
    <w:multiLevelType w:val="hybridMultilevel"/>
    <w:lvl w:ilvl="0">
      <w:lvlJc w:val="left"/>
      <w:lvlText w:val="(%1)"/>
      <w:numFmt w:val="lowerRoman"/>
      <w:start w:val="1"/>
    </w:lvl>
    <w:lvl w:ilvl="1">
      <w:lvlJc w:val="left"/>
      <w:lvlText w:val="(%2)"/>
      <w:numFmt w:val="upperLetter"/>
      <w:start w:val="1"/>
    </w:lvl>
  </w:abstractNum>
  <w:abstractNum w:abstractNumId="797">
    <w:nsid w:val="6A8657B0"/>
    <w:multiLevelType w:val="hybridMultilevel"/>
    <w:lvl w:ilvl="0">
      <w:lvlJc w:val="left"/>
      <w:lvlText w:val="%1"/>
      <w:numFmt w:val="lowerRoman"/>
      <w:start w:val="1"/>
    </w:lvl>
    <w:lvl w:ilvl="1">
      <w:lvlJc w:val="left"/>
      <w:lvlText w:val="(%2)"/>
      <w:numFmt w:val="upperLetter"/>
      <w:start w:val="5"/>
    </w:lvl>
  </w:abstractNum>
  <w:abstractNum w:abstractNumId="798">
    <w:nsid w:val="5340FFA9"/>
    <w:multiLevelType w:val="hybridMultilevel"/>
    <w:lvl w:ilvl="0">
      <w:lvlJc w:val="left"/>
      <w:lvlText w:val="(%1)"/>
      <w:numFmt w:val="lowerRoman"/>
      <w:start w:val="3"/>
    </w:lvl>
    <w:lvl w:ilvl="1">
      <w:lvlJc w:val="left"/>
      <w:lvlText w:val="%2"/>
      <w:numFmt w:val="upperLetter"/>
      <w:start w:val="1"/>
    </w:lvl>
  </w:abstractNum>
  <w:abstractNum w:abstractNumId="799">
    <w:nsid w:val="1336705D"/>
    <w:multiLevelType w:val="hybridMultilevel"/>
    <w:lvl w:ilvl="0">
      <w:lvlJc w:val="left"/>
      <w:lvlText w:val="(%1)"/>
      <w:numFmt w:val="lowerLetter"/>
      <w:start w:val="6"/>
    </w:lvl>
  </w:abstractNum>
  <w:abstractNum w:abstractNumId="800">
    <w:nsid w:val="6463C363"/>
    <w:multiLevelType w:val="hybridMultilevel"/>
    <w:lvl w:ilvl="0">
      <w:lvlJc w:val="left"/>
      <w:lvlText w:val="(%1)"/>
      <w:numFmt w:val="lowerLetter"/>
      <w:start w:val="1"/>
    </w:lvl>
  </w:abstractNum>
  <w:abstractNum w:abstractNumId="801">
    <w:nsid w:val="347B3FD3"/>
    <w:multiLevelType w:val="hybridMultilevel"/>
    <w:lvl w:ilvl="0">
      <w:lvlJc w:val="left"/>
      <w:lvlText w:val="(%1)"/>
      <w:numFmt w:val="lowerLetter"/>
      <w:start w:val="1"/>
    </w:lvl>
    <w:lvl w:ilvl="1">
      <w:lvlJc w:val="left"/>
      <w:lvlText w:val="(%2)"/>
      <w:numFmt w:val="lowerRoman"/>
      <w:start w:val="1"/>
    </w:lvl>
  </w:abstractNum>
  <w:abstractNum w:abstractNumId="802">
    <w:nsid w:val="D5AB751"/>
    <w:multiLevelType w:val="hybridMultilevel"/>
    <w:lvl w:ilvl="0">
      <w:lvlJc w:val="left"/>
      <w:lvlText w:val="(%1)"/>
      <w:numFmt w:val="lowerLetter"/>
      <w:start w:val="3"/>
    </w:lvl>
  </w:abstractNum>
  <w:abstractNum w:abstractNumId="803">
    <w:nsid w:val="F1EC427"/>
    <w:multiLevelType w:val="hybridMultilevel"/>
    <w:lvl w:ilvl="0">
      <w:lvlJc w:val="left"/>
      <w:lvlText w:val="(%1)"/>
      <w:numFmt w:val="lowerLetter"/>
      <w:start w:val="1"/>
    </w:lvl>
  </w:abstractNum>
  <w:abstractNum w:abstractNumId="804">
    <w:nsid w:val="6C89B896"/>
    <w:multiLevelType w:val="hybridMultilevel"/>
    <w:lvl w:ilvl="0">
      <w:lvlJc w:val="left"/>
      <w:lvlText w:val="(%1)"/>
      <w:numFmt w:val="lowerLetter"/>
      <w:start w:val="1"/>
    </w:lvl>
    <w:lvl w:ilvl="1">
      <w:lvlJc w:val="left"/>
      <w:lvlText w:val="(%2)"/>
      <w:numFmt w:val="lowerRoman"/>
      <w:start w:val="1"/>
    </w:lvl>
  </w:abstractNum>
  <w:abstractNum w:abstractNumId="805">
    <w:nsid w:val="7E1219C8"/>
    <w:multiLevelType w:val="hybridMultilevel"/>
    <w:lvl w:ilvl="0">
      <w:lvlJc w:val="left"/>
      <w:lvlText w:val="%1"/>
      <w:numFmt w:val="lowerLetter"/>
      <w:start w:val="1"/>
    </w:lvl>
    <w:lvl w:ilvl="1">
      <w:lvlJc w:val="left"/>
      <w:lvlText w:val="(%2)"/>
      <w:numFmt w:val="lowerRoman"/>
      <w:start w:val="4"/>
    </w:lvl>
  </w:abstractNum>
  <w:abstractNum w:abstractNumId="806">
    <w:nsid w:val="25F1C1C1"/>
    <w:multiLevelType w:val="hybridMultilevel"/>
    <w:lvl w:ilvl="0">
      <w:lvlJc w:val="left"/>
      <w:lvlText w:val="(%1)"/>
      <w:numFmt w:val="lowerLetter"/>
      <w:start w:val="4"/>
    </w:lvl>
    <w:lvl w:ilvl="1">
      <w:lvlJc w:val="left"/>
      <w:lvlText w:val="%2"/>
      <w:numFmt w:val="lowerRoman"/>
      <w:start w:val="1"/>
    </w:lvl>
  </w:abstractNum>
  <w:abstractNum w:abstractNumId="807">
    <w:nsid w:val="743CE6FA"/>
    <w:multiLevelType w:val="hybridMultilevel"/>
    <w:lvl w:ilvl="0">
      <w:lvlJc w:val="left"/>
      <w:lvlText w:val="(%1)"/>
      <w:numFmt w:val="lowerRoman"/>
      <w:start w:val="1"/>
    </w:lvl>
  </w:abstractNum>
  <w:abstractNum w:abstractNumId="808">
    <w:nsid w:val="20530E7B"/>
    <w:multiLevelType w:val="hybridMultilevel"/>
    <w:lvl w:ilvl="0">
      <w:lvlJc w:val="left"/>
      <w:lvlText w:val="(%1)"/>
      <w:numFmt w:val="lowerLetter"/>
      <w:start w:val="1"/>
    </w:lvl>
  </w:abstractNum>
  <w:abstractNum w:abstractNumId="809">
    <w:nsid w:val="144C9480"/>
    <w:multiLevelType w:val="hybridMultilevel"/>
    <w:lvl w:ilvl="0">
      <w:lvlJc w:val="left"/>
      <w:lvlText w:val="(%1)"/>
      <w:numFmt w:val="lowerLetter"/>
      <w:start w:val="1"/>
    </w:lvl>
  </w:abstractNum>
  <w:abstractNum w:abstractNumId="810">
    <w:nsid w:val="1514A0AF"/>
    <w:multiLevelType w:val="hybridMultilevel"/>
    <w:lvl w:ilvl="0">
      <w:lvlJc w:val="left"/>
      <w:lvlText w:val="(%1)"/>
      <w:numFmt w:val="lowerLetter"/>
      <w:start w:val="2"/>
    </w:lvl>
  </w:abstractNum>
  <w:abstractNum w:abstractNumId="811">
    <w:nsid w:val="55C3594C"/>
    <w:multiLevelType w:val="hybridMultilevel"/>
    <w:lvl w:ilvl="0">
      <w:lvlJc w:val="left"/>
      <w:lvlText w:val="(%1)"/>
      <w:numFmt w:val="lowerLetter"/>
      <w:start w:val="1"/>
    </w:lvl>
  </w:abstractNum>
  <w:abstractNum w:abstractNumId="812">
    <w:nsid w:val="69DCF55B"/>
    <w:multiLevelType w:val="hybridMultilevel"/>
    <w:lvl w:ilvl="0">
      <w:lvlJc w:val="left"/>
      <w:lvlText w:val="(%1)"/>
      <w:numFmt w:val="lowerLetter"/>
      <w:start w:val="1"/>
    </w:lvl>
  </w:abstractNum>
  <w:abstractNum w:abstractNumId="813">
    <w:nsid w:val="CFC2ACF"/>
    <w:multiLevelType w:val="hybridMultilevel"/>
    <w:lvl w:ilvl="0">
      <w:lvlJc w:val="left"/>
      <w:lvlText w:val="(%1)"/>
      <w:numFmt w:val="lowerLetter"/>
      <w:start w:val="1"/>
    </w:lvl>
  </w:abstractNum>
  <w:abstractNum w:abstractNumId="814">
    <w:nsid w:val="28BA7A13"/>
    <w:multiLevelType w:val="hybridMultilevel"/>
    <w:lvl w:ilvl="0">
      <w:lvlJc w:val="left"/>
      <w:lvlText w:val="%1"/>
      <w:numFmt w:val="lowerLetter"/>
      <w:start w:val="1"/>
    </w:lvl>
    <w:lvl w:ilvl="1">
      <w:lvlJc w:val="left"/>
      <w:lvlText w:val="(%2)"/>
      <w:numFmt w:val="lowerLetter"/>
      <w:start w:val="4"/>
    </w:lvl>
  </w:abstractNum>
  <w:abstractNum w:abstractNumId="815">
    <w:nsid w:val="28881591"/>
    <w:multiLevelType w:val="hybridMultilevel"/>
    <w:lvl w:ilvl="0">
      <w:lvlJc w:val="left"/>
      <w:lvlText w:val="(%1)"/>
      <w:numFmt w:val="lowerLetter"/>
      <w:start w:val="8"/>
    </w:lvl>
    <w:lvl w:ilvl="1">
      <w:lvlJc w:val="left"/>
      <w:lvlText w:val="%2"/>
      <w:numFmt w:val="lowerLetter"/>
      <w:start w:val="1"/>
    </w:lvl>
  </w:abstractNum>
  <w:abstractNum w:abstractNumId="816">
    <w:nsid w:val="772B796C"/>
    <w:multiLevelType w:val="hybridMultilevel"/>
    <w:lvl w:ilvl="0">
      <w:lvlJc w:val="left"/>
      <w:lvlText w:val="(%1)"/>
      <w:numFmt w:val="lowerLetter"/>
      <w:start w:val="1"/>
    </w:lvl>
    <w:lvl w:ilvl="1">
      <w:lvlJc w:val="left"/>
      <w:lvlText w:val="(%2)"/>
      <w:numFmt w:val="lowerLetter"/>
      <w:start w:val="3"/>
    </w:lvl>
  </w:abstractNum>
  <w:abstractNum w:abstractNumId="817">
    <w:nsid w:val="1E022BE9"/>
    <w:multiLevelType w:val="hybridMultilevel"/>
    <w:lvl w:ilvl="0">
      <w:lvlJc w:val="left"/>
      <w:lvlText w:val="(%1)"/>
      <w:numFmt w:val="lowerLetter"/>
      <w:start w:val="1"/>
    </w:lvl>
    <w:lvl w:ilvl="1">
      <w:lvlJc w:val="left"/>
      <w:lvlText w:val="(%2)"/>
      <w:numFmt w:val="decimal"/>
      <w:start w:val="1"/>
    </w:lvl>
  </w:abstractNum>
  <w:abstractNum w:abstractNumId="818">
    <w:nsid w:val="72C4649F"/>
    <w:multiLevelType w:val="hybridMultilevel"/>
    <w:lvl w:ilvl="0">
      <w:lvlJc w:val="left"/>
      <w:lvlText w:val="(%1)"/>
      <w:numFmt w:val="decimal"/>
      <w:start w:val="4"/>
    </w:lvl>
  </w:abstractNum>
  <w:abstractNum w:abstractNumId="819">
    <w:nsid w:val="7CD94321"/>
    <w:multiLevelType w:val="hybridMultilevel"/>
    <w:lvl w:ilvl="0">
      <w:lvlJc w:val="left"/>
      <w:lvlText w:val="(%1)"/>
      <w:numFmt w:val="lowerLetter"/>
      <w:start w:val="2"/>
    </w:lvl>
  </w:abstractNum>
  <w:abstractNum w:abstractNumId="820">
    <w:nsid w:val="13B3BDBC"/>
    <w:multiLevelType w:val="hybridMultilevel"/>
    <w:lvl w:ilvl="0">
      <w:lvlJc w:val="left"/>
      <w:lvlText w:val="(%1)"/>
      <w:numFmt w:val="lowerLetter"/>
      <w:start w:val="1"/>
    </w:lvl>
    <w:lvl w:ilvl="1">
      <w:lvlJc w:val="left"/>
      <w:lvlText w:val="(%2)"/>
      <w:numFmt w:val="decimal"/>
      <w:start w:val="1"/>
    </w:lvl>
  </w:abstractNum>
  <w:abstractNum w:abstractNumId="821">
    <w:nsid w:val="4C488152"/>
    <w:multiLevelType w:val="hybridMultilevel"/>
    <w:lvl w:ilvl="0">
      <w:lvlJc w:val="left"/>
      <w:lvlText w:val="(%1)"/>
      <w:numFmt w:val="lowerLetter"/>
      <w:start w:val="1"/>
    </w:lvl>
    <w:lvl w:ilvl="1">
      <w:lvlJc w:val="left"/>
      <w:lvlText w:val="(%2)"/>
      <w:numFmt w:val="decimal"/>
      <w:start w:val="1"/>
    </w:lvl>
  </w:abstractNum>
  <w:abstractNum w:abstractNumId="822">
    <w:nsid w:val="153B9D13"/>
    <w:multiLevelType w:val="hybridMultilevel"/>
    <w:lvl w:ilvl="0">
      <w:lvlJc w:val="left"/>
      <w:lvlText w:val="(%1)"/>
      <w:numFmt w:val="lowerLetter"/>
      <w:start w:val="8"/>
    </w:lvl>
  </w:abstractNum>
  <w:abstractNum w:abstractNumId="823">
    <w:nsid w:val="7D07B61B"/>
    <w:multiLevelType w:val="hybridMultilevel"/>
    <w:lvl w:ilvl="0">
      <w:lvlJc w:val="left"/>
      <w:lvlText w:val="(%1)"/>
      <w:numFmt w:val="lowerLetter"/>
      <w:start w:val="7"/>
    </w:lvl>
  </w:abstractNum>
  <w:abstractNum w:abstractNumId="824">
    <w:nsid w:val="3A4BE92A"/>
    <w:multiLevelType w:val="hybridMultilevel"/>
    <w:lvl w:ilvl="0">
      <w:lvlJc w:val="left"/>
      <w:lvlText w:val="(%1)"/>
      <w:numFmt w:val="lowerLetter"/>
      <w:start w:val="35"/>
    </w:lvl>
  </w:abstractNum>
  <w:abstractNum w:abstractNumId="825">
    <w:nsid w:val="1C7A2F4"/>
    <w:multiLevelType w:val="hybridMultilevel"/>
    <w:lvl w:ilvl="0">
      <w:lvlJc w:val="left"/>
      <w:lvlText w:val="(%1)"/>
      <w:numFmt w:val="lowerLetter"/>
      <w:start w:val="1"/>
    </w:lvl>
    <w:lvl w:ilvl="1">
      <w:lvlJc w:val="left"/>
      <w:lvlText w:val="(%2)"/>
      <w:numFmt w:val="lowerRoman"/>
      <w:start w:val="1"/>
    </w:lvl>
  </w:abstractNum>
  <w:abstractNum w:abstractNumId="826">
    <w:nsid w:val="393B5076"/>
    <w:multiLevelType w:val="hybridMultilevel"/>
    <w:lvl w:ilvl="0">
      <w:lvlJc w:val="left"/>
      <w:lvlText w:val="(%1)"/>
      <w:numFmt w:val="lowerLetter"/>
      <w:start w:val="5"/>
    </w:lvl>
  </w:abstractNum>
  <w:abstractNum w:abstractNumId="827">
    <w:nsid w:val="5F0E41DB"/>
    <w:multiLevelType w:val="hybridMultilevel"/>
    <w:lvl w:ilvl="0">
      <w:lvlJc w:val="left"/>
      <w:lvlText w:val="(%1)"/>
      <w:numFmt w:val="lowerLetter"/>
      <w:start w:val="1"/>
    </w:lvl>
  </w:abstractNum>
  <w:abstractNum w:abstractNumId="828">
    <w:nsid w:val="6C4DFAA4"/>
    <w:multiLevelType w:val="hybridMultilevel"/>
    <w:lvl w:ilvl="0">
      <w:lvlJc w:val="left"/>
      <w:lvlText w:val="(%1)"/>
      <w:numFmt w:val="lowerRoman"/>
      <w:start w:val="1"/>
    </w:lvl>
  </w:abstractNum>
  <w:abstractNum w:abstractNumId="829">
    <w:nsid w:val="C7C501F"/>
    <w:multiLevelType w:val="hybridMultilevel"/>
    <w:lvl w:ilvl="0">
      <w:lvlJc w:val="left"/>
      <w:lvlText w:val="%1"/>
      <w:numFmt w:val="lowerLetter"/>
      <w:start w:val="1"/>
    </w:lvl>
    <w:lvl w:ilvl="1">
      <w:lvlJc w:val="left"/>
      <w:lvlText w:val="(%2)"/>
      <w:numFmt w:val="lowerRoman"/>
      <w:start w:val="4"/>
    </w:lvl>
  </w:abstractNum>
  <w:abstractNum w:abstractNumId="830">
    <w:nsid w:val="7244B239"/>
    <w:multiLevelType w:val="hybridMultilevel"/>
    <w:lvl w:ilvl="0">
      <w:lvlJc w:val="left"/>
      <w:lvlText w:val="(%1)"/>
      <w:numFmt w:val="lowerLetter"/>
      <w:start w:val="2"/>
    </w:lvl>
    <w:lvl w:ilvl="1">
      <w:lvlJc w:val="left"/>
      <w:lvlText w:val="%2"/>
      <w:numFmt w:val="lowerRoman"/>
      <w:start w:val="1"/>
    </w:lvl>
  </w:abstractNum>
  <w:abstractNum w:abstractNumId="831">
    <w:nsid w:val="50B1BE08"/>
    <w:multiLevelType w:val="hybridMultilevel"/>
    <w:lvl w:ilvl="0">
      <w:lvlJc w:val="left"/>
      <w:lvlText w:val="(%1)"/>
      <w:numFmt w:val="lowerLetter"/>
      <w:start w:val="1"/>
    </w:lvl>
  </w:abstractNum>
  <w:abstractNum w:abstractNumId="832">
    <w:nsid w:val="40F78FF3"/>
    <w:multiLevelType w:val="hybridMultilevel"/>
    <w:lvl w:ilvl="0">
      <w:lvlJc w:val="left"/>
      <w:lvlText w:val="(%1)"/>
      <w:numFmt w:val="lowerLetter"/>
      <w:start w:val="2"/>
    </w:lvl>
    <w:lvl w:ilvl="1">
      <w:lvlJc w:val="left"/>
      <w:lvlText w:val="(%2)"/>
      <w:numFmt w:val="lowerLetter"/>
      <w:start w:val="3"/>
    </w:lvl>
  </w:abstractNum>
  <w:abstractNum w:abstractNumId="833">
    <w:nsid w:val="7F9F698A"/>
    <w:multiLevelType w:val="hybridMultilevel"/>
    <w:lvl w:ilvl="0">
      <w:lvlJc w:val="left"/>
      <w:lvlText w:val="(%1)"/>
      <w:numFmt w:val="lowerLetter"/>
      <w:start w:val="1"/>
    </w:lvl>
  </w:abstractNum>
  <w:abstractNum w:abstractNumId="834">
    <w:nsid w:val="5FD0822F"/>
    <w:multiLevelType w:val="hybridMultilevel"/>
    <w:lvl w:ilvl="0">
      <w:lvlJc w:val="left"/>
      <w:lvlText w:val="(%1)"/>
      <w:numFmt w:val="lowerLetter"/>
      <w:start w:val="2"/>
    </w:lvl>
  </w:abstractNum>
  <w:abstractNum w:abstractNumId="835">
    <w:nsid w:val="2D814889"/>
    <w:multiLevelType w:val="hybridMultilevel"/>
    <w:lvl w:ilvl="0">
      <w:lvlJc w:val="left"/>
      <w:lvlText w:val="(%1)"/>
      <w:numFmt w:val="lowerLetter"/>
      <w:start w:val="5"/>
    </w:lvl>
  </w:abstractNum>
  <w:abstractNum w:abstractNumId="836">
    <w:nsid w:val="7DB18352"/>
    <w:multiLevelType w:val="hybridMultilevel"/>
    <w:lvl w:ilvl="0">
      <w:lvlJc w:val="left"/>
      <w:lvlText w:val="(%1)"/>
      <w:numFmt w:val="lowerLetter"/>
      <w:start w:val="2"/>
    </w:lvl>
  </w:abstractNum>
  <w:abstractNum w:abstractNumId="837">
    <w:nsid w:val="5C243F1"/>
    <w:multiLevelType w:val="hybridMultilevel"/>
    <w:lvl w:ilvl="0">
      <w:lvlJc w:val="left"/>
      <w:lvlText w:val="(%1)"/>
      <w:numFmt w:val="lowerLetter"/>
      <w:start w:val="1"/>
    </w:lvl>
  </w:abstractNum>
  <w:abstractNum w:abstractNumId="838">
    <w:nsid w:val="21BE2F84"/>
    <w:multiLevelType w:val="hybridMultilevel"/>
    <w:lvl w:ilvl="0">
      <w:lvlJc w:val="left"/>
      <w:lvlText w:val="(%1)"/>
      <w:numFmt w:val="upperLetter"/>
      <w:start w:val="1"/>
    </w:lvl>
  </w:abstractNum>
  <w:abstractNum w:abstractNumId="839">
    <w:nsid w:val="1E0491CD"/>
    <w:multiLevelType w:val="hybridMultilevel"/>
    <w:lvl w:ilvl="0">
      <w:lvlJc w:val="left"/>
      <w:lvlText w:val="(%1)"/>
      <w:numFmt w:val="lowerRoman"/>
      <w:start w:val="1"/>
    </w:lvl>
    <w:lvl w:ilvl="1">
      <w:lvlJc w:val="left"/>
      <w:lvlText w:val="(%2)"/>
      <w:numFmt w:val="upperLetter"/>
      <w:start w:val="1"/>
    </w:lvl>
  </w:abstractNum>
  <w:abstractNum w:abstractNumId="840">
    <w:nsid w:val="1A0ED871"/>
    <w:multiLevelType w:val="hybridMultilevel"/>
    <w:lvl w:ilvl="0">
      <w:lvlJc w:val="left"/>
      <w:lvlText w:val="(%1)"/>
      <w:numFmt w:val="lowerRoman"/>
      <w:start w:val="2"/>
    </w:lvl>
  </w:abstractNum>
  <w:abstractNum w:abstractNumId="841">
    <w:nsid w:val="36D2D0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842">
    <w:nsid w:val="73C7EB1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843">
    <w:nsid w:val="3EBCDC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844">
    <w:nsid w:val="43CEFB03"/>
    <w:multiLevelType w:val="hybridMultilevel"/>
    <w:lvl w:ilvl="0">
      <w:lvlJc w:val="left"/>
      <w:lvlText w:val="(%1)"/>
      <w:numFmt w:val="lowerLetter"/>
      <w:start w:val="4"/>
    </w:lvl>
  </w:abstractNum>
  <w:abstractNum w:abstractNumId="845">
    <w:nsid w:val="1C82652D"/>
    <w:multiLevelType w:val="hybridMultilevel"/>
    <w:lvl w:ilvl="0">
      <w:lvlJc w:val="left"/>
      <w:lvlText w:val="(%1)"/>
      <w:numFmt w:val="lowerLetter"/>
      <w:start w:val="1"/>
    </w:lvl>
  </w:abstractNum>
  <w:abstractNum w:abstractNumId="846">
    <w:nsid w:val="2C73E35D"/>
    <w:multiLevelType w:val="hybridMultilevel"/>
    <w:lvl w:ilvl="0">
      <w:lvlJc w:val="left"/>
      <w:lvlText w:val="(%1)"/>
      <w:numFmt w:val="lowerLetter"/>
      <w:start w:val="1"/>
    </w:lvl>
    <w:lvl w:ilvl="1">
      <w:lvlJc w:val="left"/>
      <w:lvlText w:val="(%2)"/>
      <w:numFmt w:val="lowerRoman"/>
      <w:start w:val="1"/>
    </w:lvl>
  </w:abstractNum>
  <w:abstractNum w:abstractNumId="847">
    <w:nsid w:val="3AFA746F"/>
    <w:multiLevelType w:val="hybridMultilevel"/>
    <w:lvl w:ilvl="0">
      <w:lvlJc w:val="left"/>
      <w:lvlText w:val="(%1)"/>
      <w:numFmt w:val="lowerLetter"/>
      <w:start w:val="1"/>
    </w:lvl>
  </w:abstractNum>
  <w:abstractNum w:abstractNumId="848">
    <w:nsid w:val="3A849116"/>
    <w:multiLevelType w:val="hybridMultilevel"/>
    <w:lvl w:ilvl="0">
      <w:lvlJc w:val="left"/>
      <w:lvlText w:val="(%1)"/>
      <w:numFmt w:val="lowerLetter"/>
      <w:start w:val="2"/>
    </w:lvl>
  </w:abstractNum>
  <w:abstractNum w:abstractNumId="849">
    <w:nsid w:val="1F3847F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50">
    <w:nsid w:val="37D3B790"/>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851">
    <w:nsid w:val="4E384ED3"/>
    <w:multiLevelType w:val="hybridMultilevel"/>
    <w:lvl w:ilvl="0">
      <w:lvlJc w:val="left"/>
      <w:lvlText w:val="(%1)"/>
      <w:numFmt w:val="lowerLetter"/>
      <w:start w:val="1"/>
    </w:lvl>
  </w:abstractNum>
  <w:abstractNum w:abstractNumId="852">
    <w:nsid w:val="6B80C94F"/>
    <w:multiLevelType w:val="hybridMultilevel"/>
    <w:lvl w:ilvl="0">
      <w:lvlJc w:val="left"/>
      <w:lvlText w:val="(%1)"/>
      <w:numFmt w:val="lowerLetter"/>
      <w:start w:val="2"/>
    </w:lvl>
    <w:lvl w:ilvl="1">
      <w:lvlJc w:val="left"/>
      <w:lvlText w:val="(%2)"/>
      <w:numFmt w:val="decimal"/>
      <w:start w:val="1"/>
    </w:lvl>
  </w:abstractNum>
  <w:abstractNum w:abstractNumId="853">
    <w:nsid w:val="4D0F54A3"/>
    <w:multiLevelType w:val="hybridMultilevel"/>
    <w:lvl w:ilvl="0">
      <w:lvlJc w:val="left"/>
      <w:lvlText w:val="(%1)"/>
      <w:numFmt w:val="lowerLetter"/>
      <w:start w:val="1"/>
    </w:lvl>
  </w:abstractNum>
  <w:abstractNum w:abstractNumId="854">
    <w:nsid w:val="4B4004EE"/>
    <w:multiLevelType w:val="hybridMultilevel"/>
    <w:lvl w:ilvl="0">
      <w:lvlJc w:val="left"/>
      <w:lvlText w:val="(%1)"/>
      <w:numFmt w:val="lowerLetter"/>
      <w:start w:val="1"/>
    </w:lvl>
  </w:abstractNum>
  <w:abstractNum w:abstractNumId="855">
    <w:nsid w:val="25CCB279"/>
    <w:multiLevelType w:val="hybridMultilevel"/>
    <w:lvl w:ilvl="0">
      <w:lvlJc w:val="left"/>
      <w:lvlText w:val="(%1)"/>
      <w:numFmt w:val="lowerLetter"/>
      <w:start w:val="1"/>
    </w:lvl>
  </w:abstractNum>
  <w:abstractNum w:abstractNumId="856">
    <w:nsid w:val="4ED6F798"/>
    <w:multiLevelType w:val="hybridMultilevel"/>
    <w:lvl w:ilvl="0">
      <w:lvlJc w:val="left"/>
      <w:lvlText w:val="(%1)"/>
      <w:numFmt w:val="lowerLetter"/>
      <w:start w:val="2"/>
    </w:lvl>
  </w:abstractNum>
  <w:abstractNum w:abstractNumId="857">
    <w:nsid w:val="47B5565"/>
    <w:multiLevelType w:val="hybridMultilevel"/>
    <w:lvl w:ilvl="0">
      <w:lvlJc w:val="left"/>
      <w:lvlText w:val="(%1)"/>
      <w:numFmt w:val="lowerLetter"/>
      <w:start w:val="1"/>
    </w:lvl>
  </w:abstractNum>
  <w:abstractNum w:abstractNumId="858">
    <w:nsid w:val="4DAF454"/>
    <w:multiLevelType w:val="hybridMultilevel"/>
    <w:lvl w:ilvl="0">
      <w:lvlJc w:val="left"/>
      <w:lvlText w:val="(%1)"/>
      <w:numFmt w:val="lowerLetter"/>
      <w:start w:val="1"/>
    </w:lvl>
  </w:abstractNum>
  <w:abstractNum w:abstractNumId="859">
    <w:nsid w:val="3B24F23C"/>
    <w:multiLevelType w:val="hybridMultilevel"/>
    <w:lvl w:ilvl="0">
      <w:lvlJc w:val="left"/>
      <w:lvlText w:val="(%1)"/>
      <w:numFmt w:val="lowerLetter"/>
      <w:start w:val="1"/>
    </w:lvl>
  </w:abstractNum>
  <w:abstractNum w:abstractNumId="860">
    <w:nsid w:val="10F7A584"/>
    <w:multiLevelType w:val="hybridMultilevel"/>
    <w:lvl w:ilvl="0">
      <w:lvlJc w:val="left"/>
      <w:lvlText w:val="(%1)"/>
      <w:numFmt w:val="lowerLetter"/>
      <w:start w:val="2"/>
    </w:lvl>
  </w:abstractNum>
  <w:abstractNum w:abstractNumId="861">
    <w:nsid w:val="771FA68D"/>
    <w:multiLevelType w:val="hybridMultilevel"/>
    <w:lvl w:ilvl="0">
      <w:lvlJc w:val="left"/>
      <w:lvlText w:val="%1."/>
      <w:numFmt w:val="decimal"/>
      <w:start w:val="1"/>
    </w:lvl>
    <w:lvl w:ilvl="1">
      <w:lvlJc w:val="left"/>
      <w:lvlText w:val="%2."/>
      <w:numFmt w:val="lowerLetter"/>
      <w:start w:val="1"/>
    </w:lvl>
  </w:abstractNum>
  <w:abstractNum w:abstractNumId="862">
    <w:nsid w:val="BD6B0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jpe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jpeg"/><Relationship Id="rId142" Type="http://schemas.openxmlformats.org/officeDocument/2006/relationships/image" Target="media/image131.jpeg"/><Relationship Id="rId143" Type="http://schemas.openxmlformats.org/officeDocument/2006/relationships/image" Target="media/image132.jpeg"/><Relationship Id="rId144" Type="http://schemas.openxmlformats.org/officeDocument/2006/relationships/image" Target="media/image133.jpeg"/><Relationship Id="rId145" Type="http://schemas.openxmlformats.org/officeDocument/2006/relationships/image" Target="media/image134.jpeg"/><Relationship Id="rId146" Type="http://schemas.openxmlformats.org/officeDocument/2006/relationships/image" Target="media/image135.jpeg"/><Relationship Id="rId147" Type="http://schemas.openxmlformats.org/officeDocument/2006/relationships/image" Target="media/image136.jpeg"/><Relationship Id="rId148" Type="http://schemas.openxmlformats.org/officeDocument/2006/relationships/image" Target="media/image137.jpeg"/><Relationship Id="rId149" Type="http://schemas.openxmlformats.org/officeDocument/2006/relationships/image" Target="media/image138.jpeg"/><Relationship Id="rId150" Type="http://schemas.openxmlformats.org/officeDocument/2006/relationships/image" Target="media/image139.jpeg"/><Relationship Id="rId151" Type="http://schemas.openxmlformats.org/officeDocument/2006/relationships/image" Target="media/image140.jpeg"/><Relationship Id="rId152" Type="http://schemas.openxmlformats.org/officeDocument/2006/relationships/image" Target="media/image141.jpeg"/><Relationship Id="rId153" Type="http://schemas.openxmlformats.org/officeDocument/2006/relationships/image" Target="media/image142.jpeg"/><Relationship Id="rId154" Type="http://schemas.openxmlformats.org/officeDocument/2006/relationships/image" Target="media/image143.jpeg"/><Relationship Id="rId155" Type="http://schemas.openxmlformats.org/officeDocument/2006/relationships/image" Target="media/image144.jpeg"/><Relationship Id="rId156" Type="http://schemas.openxmlformats.org/officeDocument/2006/relationships/image" Target="media/image145.jpeg"/><Relationship Id="rId157" Type="http://schemas.openxmlformats.org/officeDocument/2006/relationships/image" Target="media/image146.jpeg"/><Relationship Id="rId158" Type="http://schemas.openxmlformats.org/officeDocument/2006/relationships/image" Target="media/image147.jpeg"/><Relationship Id="rId159" Type="http://schemas.openxmlformats.org/officeDocument/2006/relationships/image" Target="media/image148.jpeg"/><Relationship Id="rId160" Type="http://schemas.openxmlformats.org/officeDocument/2006/relationships/image" Target="media/image149.jpeg"/><Relationship Id="rId161" Type="http://schemas.openxmlformats.org/officeDocument/2006/relationships/image" Target="media/image150.jpeg"/><Relationship Id="rId162" Type="http://schemas.openxmlformats.org/officeDocument/2006/relationships/image" Target="media/image151.jpeg"/><Relationship Id="rId163" Type="http://schemas.openxmlformats.org/officeDocument/2006/relationships/image" Target="media/image152.jpeg"/><Relationship Id="rId164" Type="http://schemas.openxmlformats.org/officeDocument/2006/relationships/image" Target="media/image153.jpeg"/><Relationship Id="rId165" Type="http://schemas.openxmlformats.org/officeDocument/2006/relationships/image" Target="media/image154.jpeg"/><Relationship Id="rId166" Type="http://schemas.openxmlformats.org/officeDocument/2006/relationships/image" Target="media/image155.jpeg"/><Relationship Id="rId167" Type="http://schemas.openxmlformats.org/officeDocument/2006/relationships/image" Target="media/image156.jpeg"/><Relationship Id="rId168" Type="http://schemas.openxmlformats.org/officeDocument/2006/relationships/image" Target="media/image157.jpeg"/><Relationship Id="rId169" Type="http://schemas.openxmlformats.org/officeDocument/2006/relationships/image" Target="media/image158.jpeg"/><Relationship Id="rId170" Type="http://schemas.openxmlformats.org/officeDocument/2006/relationships/image" Target="media/image159.jpeg"/><Relationship Id="rId171" Type="http://schemas.openxmlformats.org/officeDocument/2006/relationships/image" Target="media/image160.jpeg"/><Relationship Id="rId172" Type="http://schemas.openxmlformats.org/officeDocument/2006/relationships/image" Target="media/image161.jpeg"/><Relationship Id="rId173" Type="http://schemas.openxmlformats.org/officeDocument/2006/relationships/image" Target="media/image162.jpeg"/><Relationship Id="rId174" Type="http://schemas.openxmlformats.org/officeDocument/2006/relationships/image" Target="media/image163.jpeg"/><Relationship Id="rId175" Type="http://schemas.openxmlformats.org/officeDocument/2006/relationships/image" Target="media/image164.jpeg"/><Relationship Id="rId176" Type="http://schemas.openxmlformats.org/officeDocument/2006/relationships/image" Target="media/image165.jpeg"/><Relationship Id="rId177" Type="http://schemas.openxmlformats.org/officeDocument/2006/relationships/image" Target="media/image166.jpeg"/><Relationship Id="rId178" Type="http://schemas.openxmlformats.org/officeDocument/2006/relationships/image" Target="media/image167.jpeg"/><Relationship Id="rId179" Type="http://schemas.openxmlformats.org/officeDocument/2006/relationships/image" Target="media/image168.jpeg"/><Relationship Id="rId180" Type="http://schemas.openxmlformats.org/officeDocument/2006/relationships/image" Target="media/image169.jpeg"/><Relationship Id="rId181" Type="http://schemas.openxmlformats.org/officeDocument/2006/relationships/image" Target="media/image170.jpeg"/><Relationship Id="rId182" Type="http://schemas.openxmlformats.org/officeDocument/2006/relationships/image" Target="media/image171.jpeg"/><Relationship Id="rId183" Type="http://schemas.openxmlformats.org/officeDocument/2006/relationships/image" Target="media/image172.jpeg"/><Relationship Id="rId184" Type="http://schemas.openxmlformats.org/officeDocument/2006/relationships/image" Target="media/image173.jpeg"/><Relationship Id="rId185" Type="http://schemas.openxmlformats.org/officeDocument/2006/relationships/image" Target="media/image174.jpeg"/><Relationship Id="rId186" Type="http://schemas.openxmlformats.org/officeDocument/2006/relationships/image" Target="media/image175.jpeg"/><Relationship Id="rId187" Type="http://schemas.openxmlformats.org/officeDocument/2006/relationships/image" Target="media/image176.jpeg"/><Relationship Id="rId188" Type="http://schemas.openxmlformats.org/officeDocument/2006/relationships/image" Target="media/image177.jpeg"/><Relationship Id="rId189" Type="http://schemas.openxmlformats.org/officeDocument/2006/relationships/image" Target="media/image178.jpeg"/><Relationship Id="rId190" Type="http://schemas.openxmlformats.org/officeDocument/2006/relationships/image" Target="media/image179.jpe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jpeg"/><Relationship Id="rId196" Type="http://schemas.openxmlformats.org/officeDocument/2006/relationships/image" Target="media/image185.jpe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jpeg"/><Relationship Id="rId202" Type="http://schemas.openxmlformats.org/officeDocument/2006/relationships/image" Target="media/image191.jpe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jpeg"/><Relationship Id="rId208" Type="http://schemas.openxmlformats.org/officeDocument/2006/relationships/image" Target="media/image197.jpe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jpe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jpeg"/><Relationship Id="rId222" Type="http://schemas.openxmlformats.org/officeDocument/2006/relationships/image" Target="media/image211.jpeg"/><Relationship Id="rId223" Type="http://schemas.openxmlformats.org/officeDocument/2006/relationships/image" Target="media/image212.jpeg"/><Relationship Id="rId224" Type="http://schemas.openxmlformats.org/officeDocument/2006/relationships/image" Target="media/image213.jpeg"/><Relationship Id="rId225" Type="http://schemas.openxmlformats.org/officeDocument/2006/relationships/image" Target="media/image214.jpeg"/><Relationship Id="rId226" Type="http://schemas.openxmlformats.org/officeDocument/2006/relationships/image" Target="media/image215.jpeg"/><Relationship Id="rId227" Type="http://schemas.openxmlformats.org/officeDocument/2006/relationships/image" Target="media/image216.jpeg"/><Relationship Id="rId228" Type="http://schemas.openxmlformats.org/officeDocument/2006/relationships/image" Target="media/image217.jpeg"/><Relationship Id="rId229" Type="http://schemas.openxmlformats.org/officeDocument/2006/relationships/image" Target="media/image218.jpeg"/><Relationship Id="rId230" Type="http://schemas.openxmlformats.org/officeDocument/2006/relationships/image" Target="media/image219.jpeg"/><Relationship Id="rId231" Type="http://schemas.openxmlformats.org/officeDocument/2006/relationships/image" Target="media/image220.jpe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114" Type="http://schemas.openxmlformats.org/officeDocument/2006/relationships/hyperlink" Target="https://www.sec.gov/Archives/edgar/data/723125/000110465915004447/a15-3005_2ex99d2.htm" TargetMode="External"/><Relationship Id="rId115" Type="http://schemas.openxmlformats.org/officeDocument/2006/relationships/hyperlink" Target="https://www.sec.gov/Archives/edgar/data/723125/000110465924112626/tm2425615d2_ex3-1.htm" TargetMode="External"/><Relationship Id="rId116" Type="http://schemas.openxmlformats.org/officeDocument/2006/relationships/hyperlink" Target="https://www.sec.gov/Archives/edgar/data/723125/000110465925004100/tm2425615d5_ex4-2.htm" TargetMode="External"/><Relationship Id="rId117" Type="http://schemas.openxmlformats.org/officeDocument/2006/relationships/hyperlink" Target="https://www.sec.gov/Archives/edgar/data/723125/000110465925004933/tm253613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2025-03-21T05:31:44Z</dcterms:created>
  <dcterms:modified xsi:type="dcterms:W3CDTF">2025-03-21T05:31:44Z</dcterms:modified>
</cp:coreProperties>
</file>