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159385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4420" w:right="1280" w:hanging="3075"/>
        <w:spacing w:after="0" w:line="256" w:lineRule="auto"/>
        <w:tabs>
          <w:tab w:leader="none" w:pos="170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November 29, 2001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jc w:val="center"/>
        <w:ind w:left="4420" w:right="1320" w:hanging="3032"/>
        <w:spacing w:after="0" w:line="256" w:lineRule="auto"/>
        <w:tabs>
          <w:tab w:leader="none" w:pos="1574"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118745</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1-10658</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 or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Internal Revenue Service—Employer Identification No. 75-1618004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8000 S. Federal Way, Boise, Idaho 83716-9632</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firstLine="17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The number of outstanding shares of the registrant's common stock as of January 9, 2002, was 600,222,082.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November 29,</w:t>
            </w: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For the quarter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42"/>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8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636.5</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-359410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-359410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-359410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-359410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-359410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62230</wp:posOffset>
            </wp:positionV>
            <wp:extent cx="210502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ectPr>
          <w:pgSz w:w="11900" w:h="16838" w:orient="portrait"/>
          <w:cols w:equalWidth="0" w:num="1">
            <w:col w:w="11360"/>
          </w:cols>
          <w:pgMar w:left="240" w:top="469" w:right="299" w:bottom="0" w:gutter="0" w:footer="0" w:header="0"/>
        </w:sectPr>
      </w:pPr>
    </w:p>
    <w:p>
      <w:pPr>
        <w:spacing w:after="0" w:line="22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Gross margin</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Selling, general and administrative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Other operating expense (income)</w:t>
      </w:r>
    </w:p>
    <w:p>
      <w:pPr>
        <w:spacing w:after="0" w:line="269"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Operating income (loss)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Interest income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(212.6)</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762.5</w:t>
            </w:r>
          </w:p>
        </w:tc>
      </w:tr>
      <w:tr>
        <w:trPr>
          <w:trHeight w:val="426"/>
        </w:trPr>
        <w:tc>
          <w:tcPr>
            <w:tcW w:w="154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106.4</w:t>
            </w:r>
          </w:p>
        </w:tc>
      </w:tr>
      <w:tr>
        <w:trPr>
          <w:trHeight w:val="216"/>
        </w:trPr>
        <w:tc>
          <w:tcPr>
            <w:tcW w:w="1540" w:type="dxa"/>
            <w:vAlign w:val="bottom"/>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139.0</w:t>
            </w:r>
          </w:p>
        </w:tc>
      </w:tr>
      <w:tr>
        <w:trPr>
          <w:trHeight w:val="222"/>
        </w:trPr>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120"/>
        </w:trPr>
        <w:tc>
          <w:tcPr>
            <w:tcW w:w="15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(452.0)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520.3</w:t>
            </w:r>
          </w:p>
        </w:tc>
      </w:tr>
      <w:tr>
        <w:trPr>
          <w:trHeight w:val="432"/>
        </w:trPr>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-4274185</wp:posOffset>
            </wp:positionH>
            <wp:positionV relativeFrom="paragraph">
              <wp:posOffset>-1284605</wp:posOffset>
            </wp:positionV>
            <wp:extent cx="64490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4906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-855980</wp:posOffset>
            </wp:positionV>
            <wp:extent cx="64490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4906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-426720</wp:posOffset>
            </wp:positionV>
            <wp:extent cx="64490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906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1270</wp:posOffset>
            </wp:positionV>
            <wp:extent cx="6449060"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9060" cy="53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-508635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-508635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2094865</wp:posOffset>
            </wp:positionH>
            <wp:positionV relativeFrom="paragraph">
              <wp:posOffset>-508635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1108710</wp:posOffset>
            </wp:positionH>
            <wp:positionV relativeFrom="paragraph">
              <wp:posOffset>-508635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2">
            <w:col w:w="6020" w:space="720"/>
            <w:col w:w="4620"/>
          </w:cols>
          <w:pgMar w:left="240" w:top="469" w:right="299" w:bottom="0" w:gutter="0" w:footer="0" w:header="0"/>
          <w:type w:val="continuous"/>
        </w:sectPr>
      </w:pPr>
    </w:p>
    <w:bookmarkStart w:id="1" w:name="page2"/>
    <w:bookmarkEnd w:id="1"/>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5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7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(loss) before taxes and minority interest</w:t>
            </w:r>
          </w:p>
        </w:tc>
        <w:tc>
          <w:tcPr>
            <w:tcW w:w="5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(443.1)</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7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8"/>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 in net income</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18"/>
        </w:trPr>
        <w:tc>
          <w:tcPr>
            <w:tcW w:w="6760" w:type="dxa"/>
            <w:vAlign w:val="bottom"/>
            <w:vMerge w:val="restart"/>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6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discontinued PC Operations, net of taxes and minority interest</w:t>
            </w:r>
          </w:p>
        </w:tc>
        <w:tc>
          <w:tcPr>
            <w:tcW w:w="5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18"/>
        </w:trPr>
        <w:tc>
          <w:tcPr>
            <w:tcW w:w="67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6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5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2"/>
        </w:trPr>
        <w:tc>
          <w:tcPr>
            <w:tcW w:w="67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5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5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580" w:type="dxa"/>
            <w:vAlign w:val="bottom"/>
          </w:tcPr>
          <w:p>
            <w:pPr>
              <w:jc w:val="right"/>
              <w:ind w:right="4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600" w:type="dxa"/>
            <w:vAlign w:val="bottom"/>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2"/>
        </w:trPr>
        <w:tc>
          <w:tcPr>
            <w:tcW w:w="67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5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5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760" w:type="dxa"/>
            <w:vAlign w:val="bottom"/>
          </w:tcPr>
          <w:p>
            <w:pPr>
              <w:ind w:left="22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-3751580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-3751580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-3751580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-3751580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-3030855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-3030855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-3030855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-3030855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-2447925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-2447925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-2447925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-2447925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(Amounts in millions except par value amounts)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November 29,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equivalents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357.9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Liquid investments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2,523.9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8,022.1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8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-4336415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-4336415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-4336415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-4336415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-3221355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-3221355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-3221355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-3221355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-2364105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-2364105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-2364105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-2364105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-1043305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-1043305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-1043305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-1043305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0219"/>
          </w:cols>
          <w:pgMar w:left="240" w:top="140"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$0.10 par value, authorized 3.0 billion shares, issued and outstanding 599.9</w:t>
            </w:r>
          </w:p>
        </w:tc>
        <w:tc>
          <w:tcPr>
            <w:tcW w:w="5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24"/>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million and 598.4 million shares, respectively</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Additional capital</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4,182.4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2,924.6</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Accumulated other comprehensive income (loss), net of tax</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112"/>
        </w:trPr>
        <w:tc>
          <w:tcPr>
            <w:tcW w:w="68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
        </w:trPr>
        <w:tc>
          <w:tcPr>
            <w:tcW w:w="6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6,903.3</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7,134.8</w:t>
            </w:r>
          </w:p>
        </w:tc>
        <w:tc>
          <w:tcPr>
            <w:tcW w:w="100" w:type="dxa"/>
            <w:vAlign w:val="bottom"/>
            <w:shd w:val="clear" w:color="auto" w:fill="CCEEFF"/>
          </w:tcPr>
          <w:p>
            <w:pPr>
              <w:spacing w:after="0"/>
              <w:rPr>
                <w:sz w:val="21"/>
                <w:szCs w:val="21"/>
                <w:color w:val="auto"/>
              </w:rPr>
            </w:pPr>
          </w:p>
        </w:tc>
      </w:tr>
      <w:tr>
        <w:trPr>
          <w:trHeight w:val="118"/>
        </w:trPr>
        <w:tc>
          <w:tcPr>
            <w:tcW w:w="68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r>
      <w:tr>
        <w:trPr>
          <w:trHeight w:val="346"/>
        </w:trPr>
        <w:tc>
          <w:tcPr>
            <w:tcW w:w="688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8,022.1</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8,363.2</w:t>
            </w:r>
          </w:p>
        </w:tc>
        <w:tc>
          <w:tcPr>
            <w:tcW w:w="100" w:type="dxa"/>
            <w:vAlign w:val="bottom"/>
          </w:tcPr>
          <w:p>
            <w:pPr>
              <w:spacing w:after="0"/>
              <w:rPr>
                <w:sz w:val="24"/>
                <w:szCs w:val="24"/>
                <w:color w:val="auto"/>
              </w:rPr>
            </w:pPr>
          </w:p>
        </w:tc>
      </w:tr>
      <w:tr>
        <w:trPr>
          <w:trHeight w:val="107"/>
        </w:trPr>
        <w:tc>
          <w:tcPr>
            <w:tcW w:w="6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61"/>
        </w:trPr>
        <w:tc>
          <w:tcPr>
            <w:tcW w:w="68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-648970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-648970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-648970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-648970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-340360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-340360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-340360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November 29,</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For the quarter ended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3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(265.9)</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PC Operations,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4"/>
              </w:rPr>
              <w:t>Adjustments to reconcile net income (loss) to net cash provided by operating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297.6</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Provision to write down inventories to estimated market values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172.8</w:t>
            </w: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write-down or disposition of equipment</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Loss from write-down or disposition of investments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tax effect of stock plans</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Change in assets and liabilities: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receivables</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496.9</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Increase in inventories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(131.8)</w:t>
            </w:r>
          </w:p>
        </w:tc>
        <w:tc>
          <w:tcPr>
            <w:tcW w:w="2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accounts payable and accrued expenses</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(164.5)</w:t>
            </w:r>
          </w:p>
        </w:tc>
        <w:tc>
          <w:tcPr>
            <w:tcW w:w="24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397.3</w:t>
            </w:r>
          </w:p>
        </w:tc>
        <w:tc>
          <w:tcPr>
            <w:tcW w:w="2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120"/>
        </w:trPr>
        <w:tc>
          <w:tcPr>
            <w:tcW w:w="65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Purchase of available-for-sale securities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(769.7)</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Purchase of held-to-maturity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Proceeds from maturities of held-to-maturity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(478.7)</w:t>
            </w:r>
          </w:p>
        </w:tc>
        <w:tc>
          <w:tcPr>
            <w:tcW w:w="24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120"/>
        </w:trPr>
        <w:tc>
          <w:tcPr>
            <w:tcW w:w="654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Repayments of debt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equivalents</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469.1</w:t>
            </w:r>
          </w:p>
        </w:tc>
        <w:tc>
          <w:tcPr>
            <w:tcW w:w="2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-6362065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-6362065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-6362065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-6362065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-6362065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-6362065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-3961130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-3961130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-3961130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-3961130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-3652520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-3652520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-3652520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-3652520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-2108835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-2108835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-2108835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-2108835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-1800225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-1800225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-1800225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-1800225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-805180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-805180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-805180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-805180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-496570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-496570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-496570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-496570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62230</wp:posOffset>
            </wp:positionV>
            <wp:extent cx="2101215" cy="4763"/>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01215" cy="4763"/>
                    </a:xfrm>
                    <a:prstGeom prst="rect">
                      <a:avLst/>
                    </a:prstGeom>
                    <a:noFill/>
                  </pic:spPr>
                </pic:pic>
              </a:graphicData>
            </a:graphic>
          </wp:anchor>
        </w:drawing>
      </w:r>
    </w:p>
    <w:p>
      <w:pPr>
        <w:sectPr>
          <w:pgSz w:w="11900" w:h="16838" w:orient="portrait"/>
          <w:cols w:equalWidth="0" w:num="1">
            <w:col w:w="10219"/>
          </w:cols>
          <w:pgMar w:left="240" w:top="563"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w:t>
            </w: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40" w:type="dxa"/>
            <w:vAlign w:val="bottom"/>
            <w:vMerge w:val="continue"/>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7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6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740" w:type="dxa"/>
            <w:vAlign w:val="bottom"/>
          </w:tcPr>
          <w:p>
            <w:pPr>
              <w:ind w:left="220"/>
              <w:spacing w:after="0"/>
              <w:rPr>
                <w:sz w:val="20"/>
                <w:szCs w:val="20"/>
                <w:color w:val="auto"/>
              </w:rPr>
            </w:pPr>
            <w:r>
              <w:rPr>
                <w:rFonts w:ascii="Arial" w:cs="Arial" w:eastAsia="Arial" w:hAnsi="Arial"/>
                <w:sz w:val="18"/>
                <w:szCs w:val="18"/>
                <w:color w:val="auto"/>
              </w:rPr>
              <w:t>Equipment acquisitions on contracts payable and capital leases</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notes to equity</w:t>
            </w:r>
          </w:p>
        </w:tc>
        <w:tc>
          <w:tcPr>
            <w:tcW w:w="6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4434840</wp:posOffset>
            </wp:positionH>
            <wp:positionV relativeFrom="page">
              <wp:posOffset>88900</wp:posOffset>
            </wp:positionV>
            <wp:extent cx="2105025" cy="107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05025" cy="10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Statements</w:t>
      </w:r>
    </w:p>
    <w:p>
      <w:pPr>
        <w:spacing w:after="0" w:line="225" w:lineRule="exact"/>
        <w:rPr>
          <w:sz w:val="20"/>
          <w:szCs w:val="20"/>
          <w:color w:val="auto"/>
        </w:rPr>
      </w:pPr>
    </w:p>
    <w:p>
      <w:pPr>
        <w:ind w:right="60" w:firstLine="176"/>
        <w:spacing w:after="0" w:line="25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principally design,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market semiconductor memory products. All significant intercompany accounts and transactions have been eliminated. The Company's fiscal year is the 52 or 53-week period ending on the Thursday closest to August 31. The Company's first quarter of fiscal 2002 and 2001 ended on November 29, 2001 and November 30, 2000, respectively. The Company's fiscal 2001 ended on August 30, 2001.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9" w:lineRule="exact"/>
        <w:rPr>
          <w:sz w:val="20"/>
          <w:szCs w:val="20"/>
          <w:color w:val="auto"/>
        </w:rPr>
      </w:pPr>
    </w:p>
    <w:p>
      <w:pPr>
        <w:ind w:right="20" w:firstLine="176"/>
        <w:spacing w:after="0" w:line="255" w:lineRule="auto"/>
        <w:rPr>
          <w:sz w:val="20"/>
          <w:szCs w:val="20"/>
          <w:color w:val="auto"/>
        </w:rPr>
      </w:pPr>
      <w:r>
        <w:rPr>
          <w:rFonts w:ascii="Arial" w:cs="Arial" w:eastAsia="Arial" w:hAnsi="Arial"/>
          <w:sz w:val="18"/>
          <w:szCs w:val="18"/>
          <w:color w:val="auto"/>
        </w:rPr>
        <w:t>On August 6, 2001, Micron Electronics, Inc. ("MEI") acquired Interland, Inc., in a stock-for-stock acquisition (the "Interland Merger"). Upon completion of the Interland Merger, MEI changed its name to Interland, Inc. ("Interland"), and the Company's ownership interest was reduced from 61% to 43% of MEI's outstanding common stock. On August 30, 2001, the Company contributed all of its shares of Interland common stock to the Micron Technology Foundation (the "Foundation"). MEI's 2001 financial results are included in the Company's consolidated financial statements for eleven months through the date of the Interland Merger.</w:t>
      </w:r>
    </w:p>
    <w:p>
      <w:pPr>
        <w:spacing w:after="0" w:line="191" w:lineRule="exact"/>
        <w:rPr>
          <w:sz w:val="20"/>
          <w:szCs w:val="20"/>
          <w:color w:val="auto"/>
        </w:rPr>
      </w:pPr>
    </w:p>
    <w:p>
      <w:pPr>
        <w:ind w:right="40" w:firstLine="176"/>
        <w:spacing w:after="0" w:line="310" w:lineRule="auto"/>
        <w:rPr>
          <w:sz w:val="20"/>
          <w:szCs w:val="20"/>
          <w:color w:val="auto"/>
        </w:rPr>
      </w:pPr>
      <w:r>
        <w:rPr>
          <w:rFonts w:ascii="Arial" w:cs="Arial" w:eastAsia="Arial" w:hAnsi="Arial"/>
          <w:sz w:val="16"/>
          <w:szCs w:val="16"/>
          <w:b w:val="1"/>
          <w:bCs w:val="1"/>
          <w:color w:val="auto"/>
        </w:rPr>
        <w:t xml:space="preserve">Restatements and reclassifications: </w:t>
      </w:r>
      <w:r>
        <w:rPr>
          <w:rFonts w:ascii="Arial" w:cs="Arial" w:eastAsia="Arial" w:hAnsi="Arial"/>
          <w:sz w:val="16"/>
          <w:szCs w:val="16"/>
          <w:color w:val="auto"/>
        </w:rPr>
        <w:t>As a result of MEI's disposal of its PC operations in 2001, the Company's previously reported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for 2001 have been restated to present the discontinued PC Operations separate from continuing operations. (See "Discontinued PC Operations" note.) Certain other reclassifications have been made, none of which affected the results of operations, to present the financial statements on a consistent basis.</w:t>
      </w:r>
    </w:p>
    <w:p>
      <w:pPr>
        <w:spacing w:after="0" w:line="151"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b w:val="1"/>
          <w:bCs w:val="1"/>
          <w:color w:val="auto"/>
        </w:rPr>
        <w:t xml:space="preserve">Recently issued accounting standards: </w:t>
      </w:r>
      <w:r>
        <w:rPr>
          <w:rFonts w:ascii="Arial" w:cs="Arial" w:eastAsia="Arial" w:hAnsi="Arial"/>
          <w:sz w:val="16"/>
          <w:szCs w:val="16"/>
          <w:color w:val="auto"/>
        </w:rPr>
        <w:t>In July 2001, the Financial Accounting Standards Board ("FASB") issued Statement of Financial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Standards ("SFAS") No. 141, "Business Combinations," and SFAS No. 142, "Goodwill and Other Intangible Assets." SFAS No. 141 addresses financial accounting and reporting for business combinations. It requires all business combinations to be accounted for by the purchase 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The Company adopted both SFAS No. 141 and SFAS No. 142 in the first quarter of 2002. The adoption of SFAS No. 141 and SFAS No. 142 did not have a significant impact on the Company's results of operations or financial position.</w:t>
      </w:r>
    </w:p>
    <w:p>
      <w:pPr>
        <w:spacing w:after="0" w:line="173" w:lineRule="exact"/>
        <w:rPr>
          <w:sz w:val="20"/>
          <w:szCs w:val="20"/>
          <w:color w:val="auto"/>
        </w:rPr>
      </w:pPr>
    </w:p>
    <w:p>
      <w:pPr>
        <w:jc w:val="both"/>
        <w:ind w:right="100" w:firstLine="176"/>
        <w:spacing w:after="0" w:line="256"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97"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In October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expect the adoption of SFAS No. 144 to have a significant impact on the Company's future results of operations or financial position.</w:t>
      </w:r>
    </w:p>
    <w:p>
      <w:pPr>
        <w:sectPr>
          <w:pgSz w:w="11900" w:h="16838" w:orient="portrait"/>
          <w:cols w:equalWidth="0" w:num="1">
            <w:col w:w="11400"/>
          </w:cols>
          <w:pgMar w:left="240" w:top="356" w:right="25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Supplemental Balance Sheet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429196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919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November 29,</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August 30,</w:t>
            </w:r>
          </w:p>
        </w:tc>
      </w:tr>
      <w:tr>
        <w:trPr>
          <w:trHeight w:val="174"/>
        </w:trPr>
        <w:tc>
          <w:tcPr>
            <w:tcW w:w="1460" w:type="dxa"/>
            <w:vAlign w:val="bottom"/>
          </w:tcPr>
          <w:p>
            <w:pPr>
              <w:jc w:val="right"/>
              <w:ind w:right="512"/>
              <w:spacing w:after="0"/>
              <w:rPr>
                <w:sz w:val="20"/>
                <w:szCs w:val="20"/>
                <w:color w:val="auto"/>
              </w:rPr>
            </w:pPr>
            <w:r>
              <w:rPr>
                <w:rFonts w:ascii="Arial" w:cs="Arial" w:eastAsia="Arial" w:hAnsi="Arial"/>
                <w:sz w:val="14"/>
                <w:szCs w:val="14"/>
                <w:b w:val="1"/>
                <w:bCs w:val="1"/>
                <w:color w:val="auto"/>
              </w:rPr>
              <w:t>2001</w:t>
            </w:r>
          </w:p>
        </w:tc>
        <w:tc>
          <w:tcPr>
            <w:tcW w:w="10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2001</w:t>
            </w:r>
          </w:p>
        </w:tc>
      </w:tr>
      <w:tr>
        <w:trPr>
          <w:trHeight w:val="105"/>
        </w:trPr>
        <w:tc>
          <w:tcPr>
            <w:tcW w:w="1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6220" w:space="720"/>
            <w:col w:w="4460"/>
          </w:cols>
          <w:pgMar w:left="240" w:top="356" w:right="259" w:bottom="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receivables</w:t>
            </w:r>
          </w:p>
        </w:tc>
        <w:tc>
          <w:tcPr>
            <w:tcW w:w="28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196.3</w:t>
            </w: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154.9</w:t>
            </w:r>
          </w:p>
        </w:tc>
      </w:tr>
      <w:tr>
        <w:trPr>
          <w:trHeight w:val="222"/>
        </w:trPr>
        <w:tc>
          <w:tcPr>
            <w:tcW w:w="47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8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28.3</w:t>
            </w:r>
          </w:p>
        </w:tc>
        <w:tc>
          <w:tcPr>
            <w:tcW w:w="3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560.2</w:t>
            </w:r>
          </w:p>
        </w:tc>
      </w:tr>
      <w:tr>
        <w:trPr>
          <w:trHeight w:val="21"/>
        </w:trPr>
        <w:tc>
          <w:tcPr>
            <w:tcW w:w="4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 other than income</w:t>
            </w:r>
          </w:p>
        </w:tc>
        <w:tc>
          <w:tcPr>
            <w:tcW w:w="28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w:t>
            </w:r>
          </w:p>
        </w:tc>
      </w:tr>
      <w:tr>
        <w:trPr>
          <w:trHeight w:val="222"/>
        </w:trPr>
        <w:tc>
          <w:tcPr>
            <w:tcW w:w="4720" w:type="dxa"/>
            <w:vAlign w:val="bottom"/>
          </w:tcPr>
          <w:p>
            <w:pPr>
              <w:ind w:left="200"/>
              <w:spacing w:after="0"/>
              <w:rPr>
                <w:sz w:val="20"/>
                <w:szCs w:val="20"/>
                <w:color w:val="auto"/>
              </w:rPr>
            </w:pPr>
            <w:r>
              <w:rPr>
                <w:rFonts w:ascii="Arial" w:cs="Arial" w:eastAsia="Arial" w:hAnsi="Arial"/>
                <w:sz w:val="18"/>
                <w:szCs w:val="18"/>
                <w:color w:val="auto"/>
              </w:rPr>
              <w:t>Joint venture</w:t>
            </w:r>
          </w:p>
        </w:tc>
        <w:tc>
          <w:tcPr>
            <w:tcW w:w="28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25.3</w:t>
            </w:r>
          </w:p>
        </w:tc>
      </w:tr>
      <w:tr>
        <w:trPr>
          <w:trHeight w:val="21"/>
        </w:trPr>
        <w:tc>
          <w:tcPr>
            <w:tcW w:w="4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3"/>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8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22"/>
        </w:trPr>
        <w:tc>
          <w:tcPr>
            <w:tcW w:w="47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9"/>
                <w:szCs w:val="19"/>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1"/>
        </w:trPr>
        <w:tc>
          <w:tcPr>
            <w:tcW w:w="4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2"/>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28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
        </w:trPr>
        <w:tc>
          <w:tcPr>
            <w:tcW w:w="47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ectPr>
          <w:pgSz w:w="11900" w:h="16838" w:orient="portrait"/>
          <w:cols w:equalWidth="0" w:num="1">
            <w:col w:w="11400"/>
          </w:cols>
          <w:pgMar w:left="240" w:top="356" w:right="259" w:bottom="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4563110</wp:posOffset>
            </wp:positionH>
            <wp:positionV relativeFrom="page">
              <wp:posOffset>88900</wp:posOffset>
            </wp:positionV>
            <wp:extent cx="160782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0782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296.6</w:t>
            </w:r>
          </w:p>
        </w:tc>
        <w:tc>
          <w:tcPr>
            <w:tcW w:w="18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w:t>
            </w: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40" w:type="dxa"/>
            <w:vAlign w:val="bottom"/>
            <w:gridSpan w:val="2"/>
            <w:vMerge w:val="continue"/>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9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7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Work in process</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Raw materials and supplies</w:t>
            </w: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40" w:type="dxa"/>
            <w:vAlign w:val="bottom"/>
            <w:gridSpan w:val="2"/>
          </w:tcPr>
          <w:p>
            <w:pPr>
              <w:ind w:left="200"/>
              <w:spacing w:after="0"/>
              <w:rPr>
                <w:sz w:val="20"/>
                <w:szCs w:val="20"/>
                <w:color w:val="auto"/>
              </w:rPr>
            </w:pPr>
            <w:r>
              <w:rPr>
                <w:rFonts w:ascii="Arial" w:cs="Arial" w:eastAsia="Arial" w:hAnsi="Arial"/>
                <w:sz w:val="18"/>
                <w:szCs w:val="18"/>
                <w:color w:val="auto"/>
              </w:rPr>
              <w:t>Allowance for obsolescence</w:t>
            </w:r>
          </w:p>
        </w:tc>
        <w:tc>
          <w:tcPr>
            <w:tcW w:w="5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39"/>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-1231900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-1249045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-1249045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-1249045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-1249045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172"/>
        <w:spacing w:after="0" w:line="268" w:lineRule="auto"/>
        <w:rPr>
          <w:sz w:val="20"/>
          <w:szCs w:val="20"/>
          <w:color w:val="auto"/>
        </w:rPr>
      </w:pPr>
      <w:r>
        <w:rPr>
          <w:rFonts w:ascii="Arial" w:cs="Arial" w:eastAsia="Arial" w:hAnsi="Arial"/>
          <w:sz w:val="18"/>
          <w:szCs w:val="18"/>
          <w:color w:val="auto"/>
        </w:rPr>
        <w:t>The Company wrote down the value of work in process and finished goods inventories to the lower of cost or market value in the first quarter of 2002 by an aggregate amount of $172.8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4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0"/>
        </w:trPr>
        <w:tc>
          <w:tcPr>
            <w:tcW w:w="70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105"/>
        </w:trPr>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2"/>
        </w:trPr>
        <w:tc>
          <w:tcPr>
            <w:tcW w:w="704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1,895.7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1,815.1</w:t>
            </w:r>
          </w:p>
        </w:tc>
        <w:tc>
          <w:tcPr>
            <w:tcW w:w="200" w:type="dxa"/>
            <w:vAlign w:val="bottom"/>
          </w:tcPr>
          <w:p>
            <w:pPr>
              <w:spacing w:after="0"/>
              <w:rPr>
                <w:sz w:val="19"/>
                <w:szCs w:val="19"/>
                <w:color w:val="auto"/>
              </w:rPr>
            </w:pPr>
          </w:p>
        </w:tc>
      </w:tr>
      <w:tr>
        <w:trPr>
          <w:trHeight w:val="21"/>
        </w:trPr>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5,721.3</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2"/>
        </w:trPr>
        <w:tc>
          <w:tcPr>
            <w:tcW w:w="704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Pr>
          <w:p>
            <w:pPr>
              <w:spacing w:after="0"/>
              <w:rPr>
                <w:sz w:val="19"/>
                <w:szCs w:val="19"/>
                <w:color w:val="auto"/>
              </w:rPr>
            </w:pPr>
          </w:p>
        </w:tc>
      </w:tr>
      <w:tr>
        <w:trPr>
          <w:trHeight w:val="21"/>
        </w:trPr>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Software</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18"/>
        </w:trPr>
        <w:tc>
          <w:tcPr>
            <w:tcW w:w="7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20"/>
        </w:trPr>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8,061.6</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8,198.9</w:t>
            </w:r>
          </w:p>
        </w:tc>
        <w:tc>
          <w:tcPr>
            <w:tcW w:w="200" w:type="dxa"/>
            <w:vAlign w:val="bottom"/>
          </w:tcPr>
          <w:p>
            <w:pPr>
              <w:spacing w:after="0"/>
              <w:rPr>
                <w:sz w:val="24"/>
                <w:szCs w:val="24"/>
                <w:color w:val="auto"/>
              </w:rPr>
            </w:pPr>
          </w:p>
        </w:tc>
      </w:tr>
      <w:tr>
        <w:trPr>
          <w:trHeight w:val="224"/>
        </w:trPr>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(3,491.0)</w:t>
            </w:r>
          </w:p>
        </w:tc>
        <w:tc>
          <w:tcPr>
            <w:tcW w:w="3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(3,494.8)</w:t>
            </w:r>
          </w:p>
        </w:tc>
      </w:tr>
      <w:tr>
        <w:trPr>
          <w:trHeight w:val="118"/>
        </w:trPr>
        <w:tc>
          <w:tcPr>
            <w:tcW w:w="7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040" w:type="dxa"/>
            <w:vAlign w:val="bottom"/>
          </w:tcPr>
          <w:p>
            <w:pPr>
              <w:spacing w:after="0"/>
              <w:rPr>
                <w:sz w:val="24"/>
                <w:szCs w:val="24"/>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4,570.6</w:t>
            </w:r>
          </w:p>
        </w:tc>
        <w:tc>
          <w:tcPr>
            <w:tcW w:w="200" w:type="dxa"/>
            <w:vAlign w:val="bottom"/>
          </w:tcPr>
          <w:p>
            <w:pPr>
              <w:spacing w:after="0"/>
              <w:rPr>
                <w:sz w:val="24"/>
                <w:szCs w:val="24"/>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4,704.1</w:t>
            </w:r>
          </w:p>
        </w:tc>
        <w:tc>
          <w:tcPr>
            <w:tcW w:w="200" w:type="dxa"/>
            <w:vAlign w:val="bottom"/>
          </w:tcPr>
          <w:p>
            <w:pPr>
              <w:spacing w:after="0"/>
              <w:rPr>
                <w:sz w:val="24"/>
                <w:szCs w:val="24"/>
                <w:color w:val="auto"/>
              </w:rPr>
            </w:pPr>
          </w:p>
        </w:tc>
      </w:tr>
      <w:tr>
        <w:trPr>
          <w:trHeight w:val="107"/>
        </w:trPr>
        <w:tc>
          <w:tcPr>
            <w:tcW w:w="7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7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-1695450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-1695450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-1695450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-1695450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-1695450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-768985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-768985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-768985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166"/>
        <w:spacing w:after="0" w:line="306" w:lineRule="auto"/>
        <w:rPr>
          <w:sz w:val="20"/>
          <w:szCs w:val="20"/>
          <w:color w:val="auto"/>
        </w:rPr>
      </w:pPr>
      <w:r>
        <w:rPr>
          <w:rFonts w:ascii="Arial" w:cs="Arial" w:eastAsia="Arial" w:hAnsi="Arial"/>
          <w:sz w:val="16"/>
          <w:szCs w:val="16"/>
          <w:color w:val="auto"/>
        </w:rPr>
        <w:t>As of November 29, 2001, construction in progress included costs of $198.2 million related to idle facilities in Lehi, Utah, which are not ready for their intended use and are not being depreciated. Timing for completion of the Lehi facility is dependent upon market conditions, including, but not limited to, worldwide market supply of, and demand for, semiconductor products and the Company's operations, cash flows and alternative capacity expansion opportunities.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expense was $284.8 million and $250.5 million in the first quarter of 2002 and 2001, respectively.</w:t>
      </w:r>
    </w:p>
    <w:p>
      <w:pPr>
        <w:sectPr>
          <w:pgSz w:w="11900" w:h="16865" w:orient="portrait"/>
          <w:cols w:equalWidth="0" w:num="1">
            <w:col w:w="11420"/>
          </w:cols>
          <w:pgMar w:left="240" w:top="347" w:right="239" w:bottom="0" w:gutter="0" w:footer="0" w:header="0"/>
        </w:sect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426656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656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November 29,</w:t>
            </w: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August 30,</w:t>
            </w:r>
          </w:p>
        </w:tc>
      </w:tr>
      <w:tr>
        <w:trPr>
          <w:trHeight w:val="174"/>
        </w:trPr>
        <w:tc>
          <w:tcPr>
            <w:tcW w:w="1520" w:type="dxa"/>
            <w:vAlign w:val="bottom"/>
          </w:tcPr>
          <w:p>
            <w:pPr>
              <w:jc w:val="right"/>
              <w:ind w:right="552"/>
              <w:spacing w:after="0"/>
              <w:rPr>
                <w:sz w:val="20"/>
                <w:szCs w:val="20"/>
                <w:color w:val="auto"/>
              </w:rPr>
            </w:pPr>
            <w:r>
              <w:rPr>
                <w:rFonts w:ascii="Arial" w:cs="Arial" w:eastAsia="Arial" w:hAnsi="Arial"/>
                <w:sz w:val="14"/>
                <w:szCs w:val="14"/>
                <w:b w:val="1"/>
                <w:bCs w:val="1"/>
                <w:color w:val="auto"/>
              </w:rPr>
              <w:t>2001</w:t>
            </w:r>
          </w:p>
        </w:tc>
        <w:tc>
          <w:tcPr>
            <w:tcW w:w="152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2001</w:t>
            </w:r>
          </w:p>
        </w:tc>
      </w:tr>
      <w:tr>
        <w:trPr>
          <w:trHeight w:val="105"/>
        </w:trPr>
        <w:tc>
          <w:tcPr>
            <w:tcW w:w="15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sectPr>
          <w:pgSz w:w="11900" w:h="16865" w:orient="portrait"/>
          <w:cols w:equalWidth="0" w:num="2">
            <w:col w:w="6180" w:space="720"/>
            <w:col w:w="4520"/>
          </w:cols>
          <w:pgMar w:left="240" w:top="347" w:right="239" w:bottom="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900" w:type="dxa"/>
            <w:vAlign w:val="bottom"/>
          </w:tcPr>
          <w:p>
            <w:pPr>
              <w:ind w:left="20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 other than income</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0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0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69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00" w:type="dxa"/>
            <w:vAlign w:val="bottom"/>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120" w:type="dxa"/>
            <w:vAlign w:val="bottom"/>
            <w:tcBorders>
              <w:bottom w:val="single" w:sz="8" w:color="808080"/>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7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8"/>
              </w:rPr>
              <w:t>Notes payable in periodic installments through July 2015, weighted average interest rate of 2.7%</w:t>
            </w: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2.7%, respectively</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273.3</w:t>
            </w: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900" w:type="dxa"/>
            <w:vAlign w:val="bottom"/>
          </w:tcPr>
          <w:p>
            <w:pPr>
              <w:ind w:left="180"/>
              <w:spacing w:after="0"/>
              <w:rPr>
                <w:sz w:val="20"/>
                <w:szCs w:val="20"/>
                <w:color w:val="auto"/>
              </w:rPr>
            </w:pPr>
            <w:r>
              <w:rPr>
                <w:rFonts w:ascii="Arial" w:cs="Arial" w:eastAsia="Arial" w:hAnsi="Arial"/>
                <w:sz w:val="18"/>
                <w:szCs w:val="18"/>
                <w:color w:val="auto"/>
                <w:w w:val="87"/>
              </w:rPr>
              <w:t>Subordinated notes payable, face amount of $210.0 million and stated interest rate of 6.5%, due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4"/>
          </w:tcPr>
          <w:p>
            <w:pPr>
              <w:ind w:left="180"/>
              <w:spacing w:after="0"/>
              <w:rPr>
                <w:sz w:val="20"/>
                <w:szCs w:val="20"/>
                <w:color w:val="auto"/>
              </w:rPr>
            </w:pPr>
            <w:r>
              <w:rPr>
                <w:rFonts w:ascii="Arial" w:cs="Arial" w:eastAsia="Arial" w:hAnsi="Arial"/>
                <w:sz w:val="18"/>
                <w:szCs w:val="18"/>
                <w:color w:val="auto"/>
                <w:w w:val="99"/>
              </w:rPr>
              <w:t>October 2005, with an effective yield to maturity of 10.7%, net of unamortized discount of $26.7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ind w:left="180"/>
              <w:spacing w:after="0"/>
              <w:rPr>
                <w:sz w:val="20"/>
                <w:szCs w:val="20"/>
                <w:color w:val="auto"/>
              </w:rPr>
            </w:pPr>
            <w:r>
              <w:rPr>
                <w:rFonts w:ascii="Arial" w:cs="Arial" w:eastAsia="Arial" w:hAnsi="Arial"/>
                <w:sz w:val="18"/>
                <w:szCs w:val="18"/>
                <w:color w:val="auto"/>
              </w:rPr>
              <w:t>million and $28.1 million, respectively</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Capital lease obligations payable in monthly installments through December 2005, weighted</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interest rate of 2.4% and 3.0%, respectively</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90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tcPr>
          <w:p>
            <w:pPr>
              <w:spacing w:after="0"/>
              <w:rPr>
                <w:sz w:val="24"/>
                <w:szCs w:val="2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-2638425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-2638425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-2638425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-2638425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-1884045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-1884045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-1884045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-1884045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-1884045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-768985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-768985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-768985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-768985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172"/>
        <w:spacing w:after="0" w:line="268" w:lineRule="auto"/>
        <w:rPr>
          <w:sz w:val="20"/>
          <w:szCs w:val="20"/>
          <w:color w:val="auto"/>
        </w:rPr>
      </w:pPr>
      <w:r>
        <w:rPr>
          <w:rFonts w:ascii="Arial" w:cs="Arial" w:eastAsia="Arial" w:hAnsi="Arial"/>
          <w:sz w:val="18"/>
          <w:szCs w:val="18"/>
          <w:color w:val="auto"/>
        </w:rPr>
        <w:t>The Company has pledged $50.0 million as cash collateral for a fully drawn revolving line of credit of TECH Semiconductor Singapore Pte. Ltd. (See "Joint Ventures" note.)</w:t>
      </w:r>
    </w:p>
    <w:p>
      <w:pPr>
        <w:sectPr>
          <w:pgSz w:w="11900" w:h="16865" w:orient="portrait"/>
          <w:cols w:equalWidth="0" w:num="1">
            <w:col w:w="11420"/>
          </w:cols>
          <w:pgMar w:left="240" w:top="347" w:right="239" w:bottom="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color w:val="auto"/>
        </w:rPr>
        <w:t>During the first quarter of 2002, the Company acquired $24.9 million of product and process technology and $3.8 million of other intangible assets with weighted average useful lives of nine and two years, respectively. No significant residual value is estimated for these intangibles. During the first quarter of 2002, the Company recorded goodwill of $12.3 million and, as of November 29, 2001, goodwill was $15.6 million.</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pro forma effect of adopting SFAS No. 142 on the historical financial results did not vary significantly from the Company's actual results.</w:t>
      </w:r>
    </w:p>
    <w:p>
      <w:pPr>
        <w:spacing w:after="0" w:line="225" w:lineRule="exact"/>
        <w:rPr>
          <w:sz w:val="20"/>
          <w:szCs w:val="20"/>
          <w:color w:val="auto"/>
        </w:rPr>
      </w:pPr>
    </w:p>
    <w:p>
      <w:pPr>
        <w:ind w:right="40" w:firstLine="176"/>
        <w:spacing w:after="0" w:line="268" w:lineRule="auto"/>
        <w:rPr>
          <w:sz w:val="20"/>
          <w:szCs w:val="20"/>
          <w:color w:val="auto"/>
        </w:rPr>
      </w:pPr>
      <w:r>
        <w:rPr>
          <w:rFonts w:ascii="Arial" w:cs="Arial" w:eastAsia="Arial" w:hAnsi="Arial"/>
          <w:sz w:val="18"/>
          <w:szCs w:val="18"/>
          <w:color w:val="auto"/>
        </w:rPr>
        <w:t>Intangible assets amortization expense was $11.0 million and $13.9 million in the first quarter of 2002 and 2001, respectively. Annual amortization expense for intangible assets held as of November 29,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2001 is estimated to be $44.9 million for 2002, $44.2 million in 2003, $41.7 million in 2004, $39.3 million in 2005, and $37.6 million in 2006. Intangible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November 29, 2001</w:t>
            </w:r>
          </w:p>
        </w:tc>
        <w:tc>
          <w:tcPr>
            <w:tcW w:w="200" w:type="dxa"/>
            <w:vAlign w:val="bottom"/>
          </w:tcPr>
          <w:p>
            <w:pPr>
              <w:spacing w:after="0"/>
              <w:rPr>
                <w:sz w:val="15"/>
                <w:szCs w:val="15"/>
                <w:color w:val="auto"/>
              </w:rPr>
            </w:pPr>
          </w:p>
        </w:tc>
        <w:tc>
          <w:tcPr>
            <w:tcW w:w="28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August 30,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center"/>
              <w:ind w:right="122"/>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Joint venture supply arrangement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421.4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392.9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-1326515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-1326515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-1326515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-1326515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-889000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-889000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-889000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-889000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-889000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-889000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-323215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100" w:firstLine="176"/>
        <w:spacing w:after="0" w:line="291"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these suits. A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4" w:lineRule="exact"/>
        <w:rPr>
          <w:sz w:val="20"/>
          <w:szCs w:val="20"/>
          <w:color w:val="auto"/>
        </w:rPr>
      </w:pPr>
    </w:p>
    <w:p>
      <w:pPr>
        <w:jc w:val="both"/>
        <w:ind w:right="100" w:firstLine="172"/>
        <w:spacing w:after="0" w:line="306" w:lineRule="auto"/>
        <w:rPr>
          <w:sz w:val="20"/>
          <w:szCs w:val="20"/>
          <w:color w:val="auto"/>
        </w:rPr>
      </w:pPr>
      <w:r>
        <w:rPr>
          <w:rFonts w:ascii="Arial" w:cs="Arial" w:eastAsia="Arial" w:hAnsi="Arial"/>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right="60" w:firstLine="172"/>
        <w:spacing w:after="0" w:line="306" w:lineRule="auto"/>
        <w:rPr>
          <w:sz w:val="20"/>
          <w:szCs w:val="20"/>
          <w:color w:val="auto"/>
        </w:rPr>
      </w:pPr>
      <w:r>
        <w:rPr>
          <w:rFonts w:ascii="Arial" w:cs="Arial" w:eastAsia="Arial" w:hAnsi="Arial"/>
          <w:sz w:val="16"/>
          <w:szCs w:val="16"/>
          <w:color w:val="auto"/>
        </w:rPr>
        <w:t>The Company's effective tax rate was 40.0% and 34.9% for the first quarter of 2002 and 2001, respectively. The Company's effective tax rate primarily reflects the statutory corporate income tax rate, the net effect of state taxes and the effect of foreign income at non-U.S. tax rates. The Company's future effective income tax rate will vary based on fluctuations in the mix of income and losses among tax jurisdictions with differing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PC Operations</w:t>
      </w:r>
    </w:p>
    <w:p>
      <w:pPr>
        <w:spacing w:after="0" w:line="231" w:lineRule="exact"/>
        <w:rPr>
          <w:sz w:val="20"/>
          <w:szCs w:val="20"/>
          <w:color w:val="auto"/>
        </w:rPr>
      </w:pPr>
    </w:p>
    <w:p>
      <w:pPr>
        <w:ind w:right="400" w:firstLine="176"/>
        <w:spacing w:after="0" w:line="268" w:lineRule="auto"/>
        <w:rPr>
          <w:sz w:val="20"/>
          <w:szCs w:val="20"/>
          <w:color w:val="auto"/>
        </w:rPr>
      </w:pPr>
      <w:r>
        <w:rPr>
          <w:rFonts w:ascii="Arial" w:cs="Arial" w:eastAsia="Arial" w:hAnsi="Arial"/>
          <w:sz w:val="18"/>
          <w:szCs w:val="18"/>
          <w:color w:val="auto"/>
        </w:rPr>
        <w:t>On May 31, 2001, MEI completed the disposition of its PC business to Gores Technology Group ("GTG"). In connection with the disposal, GTG received assets, including $76.5 million in cash,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assumed specified liabilities of the PC Operations. Summary operating results of the discontinued PC Operations follow: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Quarter ended</w:t>
            </w:r>
          </w:p>
        </w:tc>
      </w:tr>
      <w:tr>
        <w:trPr>
          <w:trHeight w:val="105"/>
        </w:trPr>
        <w:tc>
          <w:tcPr>
            <w:tcW w:w="7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241"/>
        </w:trPr>
        <w:tc>
          <w:tcPr>
            <w:tcW w:w="7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November 30,</w:t>
            </w:r>
          </w:p>
        </w:tc>
      </w:tr>
      <w:tr>
        <w:trPr>
          <w:trHeight w:val="174"/>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40"/>
              <w:spacing w:after="0"/>
              <w:rPr>
                <w:sz w:val="20"/>
                <w:szCs w:val="20"/>
                <w:color w:val="auto"/>
              </w:rPr>
            </w:pPr>
            <w:r>
              <w:rPr>
                <w:rFonts w:ascii="Arial" w:cs="Arial" w:eastAsia="Arial" w:hAnsi="Arial"/>
                <w:sz w:val="14"/>
                <w:szCs w:val="14"/>
                <w:b w:val="1"/>
                <w:bCs w:val="1"/>
                <w:color w:val="auto"/>
                <w:w w:val="83"/>
              </w:rPr>
              <w:t>2000</w:t>
            </w:r>
          </w:p>
        </w:tc>
        <w:tc>
          <w:tcPr>
            <w:tcW w:w="200" w:type="dxa"/>
            <w:vAlign w:val="bottom"/>
          </w:tcPr>
          <w:p>
            <w:pPr>
              <w:spacing w:after="0"/>
              <w:rPr>
                <w:sz w:val="15"/>
                <w:szCs w:val="15"/>
                <w:color w:val="auto"/>
              </w:rPr>
            </w:pPr>
          </w:p>
        </w:tc>
      </w:tr>
      <w:tr>
        <w:trPr>
          <w:trHeight w:val="105"/>
        </w:trPr>
        <w:tc>
          <w:tcPr>
            <w:tcW w:w="7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05"/>
        </w:trPr>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7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319"/>
        </w:trPr>
        <w:tc>
          <w:tcPr>
            <w:tcW w:w="7740" w:type="dxa"/>
            <w:vAlign w:val="bottom"/>
          </w:tcPr>
          <w:p>
            <w:pPr>
              <w:ind w:left="200"/>
              <w:spacing w:after="0"/>
              <w:rPr>
                <w:sz w:val="20"/>
                <w:szCs w:val="20"/>
                <w:color w:val="auto"/>
              </w:rPr>
            </w:pPr>
            <w:r>
              <w:rPr>
                <w:rFonts w:ascii="Arial" w:cs="Arial" w:eastAsia="Arial" w:hAnsi="Arial"/>
                <w:sz w:val="18"/>
                <w:szCs w:val="18"/>
                <w:color w:val="auto"/>
              </w:rPr>
              <w:t>Loss from operations of PC business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r>
      <w:tr>
        <w:trPr>
          <w:trHeight w:val="29"/>
        </w:trPr>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22"/>
        </w:trPr>
        <w:tc>
          <w:tcPr>
            <w:tcW w:w="7740" w:type="dxa"/>
            <w:vAlign w:val="bottom"/>
          </w:tcPr>
          <w:p>
            <w:pPr>
              <w:ind w:left="20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r>
      <w:tr>
        <w:trPr>
          <w:trHeight w:val="139"/>
        </w:trPr>
        <w:tc>
          <w:tcPr>
            <w:tcW w:w="774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r>
        <w:trPr>
          <w:trHeight w:val="105"/>
        </w:trPr>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operations of PC business, net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r>
      <w:tr>
        <w:trPr>
          <w:trHeight w:val="105"/>
        </w:trPr>
        <w:tc>
          <w:tcPr>
            <w:tcW w:w="7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77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5877560</wp:posOffset>
            </wp:positionH>
            <wp:positionV relativeFrom="paragraph">
              <wp:posOffset>-1626235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-1626235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-1283335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-1283335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-340360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-340360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61" w:gutter="0" w:footer="0" w:header="0"/>
        </w:sect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Earnings (loss) Per Share</w:t>
      </w:r>
    </w:p>
    <w:p>
      <w:pPr>
        <w:sectPr>
          <w:pgSz w:w="11900" w:h="16838" w:orient="portrait"/>
          <w:cols w:equalWidth="0" w:num="1">
            <w:col w:w="11420"/>
          </w:cols>
          <w:pgMar w:left="240" w:top="125" w:right="239" w:bottom="161" w:gutter="0" w:footer="0" w:header="0"/>
          <w:type w:val="continuous"/>
        </w:sectPr>
      </w:pPr>
    </w:p>
    <w:bookmarkStart w:id="6" w:name="page7"/>
    <w:bookmarkEnd w:id="6"/>
    <w:p>
      <w:pPr>
        <w:ind w:right="120" w:firstLine="176"/>
        <w:spacing w:after="0" w:line="298"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outstanding convertible debentures using the "if-converted" method and outstanding stock options and warrants using the "treasury stock" method. The dilutive potential common shares that were antidilutive for the first quarter of 2002 and 2001 amounted to 64.7 million shares and 3.7 million shares,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November 29,</w:t>
            </w:r>
          </w:p>
        </w:tc>
        <w:tc>
          <w:tcPr>
            <w:tcW w:w="36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November 30,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right="256"/>
              <w:spacing w:after="0"/>
              <w:rPr>
                <w:sz w:val="20"/>
                <w:szCs w:val="20"/>
                <w:color w:val="auto"/>
              </w:rPr>
            </w:pPr>
            <w:r>
              <w:rPr>
                <w:rFonts w:ascii="Arial" w:cs="Arial" w:eastAsia="Arial" w:hAnsi="Arial"/>
                <w:sz w:val="14"/>
                <w:szCs w:val="14"/>
                <w:b w:val="1"/>
                <w:bCs w:val="1"/>
                <w:color w:val="auto"/>
                <w:w w:val="83"/>
              </w:rPr>
              <w:t>2000</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 available to common shareholders</w:t>
            </w:r>
          </w:p>
        </w:tc>
        <w:tc>
          <w:tcPr>
            <w:tcW w:w="200" w:type="dxa"/>
            <w:vAlign w:val="bottom"/>
            <w:shd w:val="clear" w:color="auto" w:fill="CCEEFF"/>
          </w:tcPr>
          <w:p>
            <w:pPr>
              <w:jc w:val="right"/>
              <w:ind w:right="8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Adjustment for effects of assumed conversions</w:t>
            </w:r>
          </w:p>
        </w:tc>
        <w:tc>
          <w:tcPr>
            <w:tcW w:w="2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Income (loss) from continuing operations available to common shareholders, adjusted</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Loss from discontinued PC Operations, net of taxes and minority interest</w:t>
            </w:r>
          </w:p>
        </w:tc>
        <w:tc>
          <w:tcPr>
            <w:tcW w:w="20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 (loss), adjusted</w:t>
            </w:r>
          </w:p>
        </w:tc>
        <w:tc>
          <w:tcPr>
            <w:tcW w:w="200" w:type="dxa"/>
            <w:vAlign w:val="bottom"/>
            <w:shd w:val="clear" w:color="auto" w:fill="CCEEFF"/>
          </w:tcPr>
          <w:p>
            <w:pPr>
              <w:jc w:val="right"/>
              <w:ind w:right="81"/>
              <w:spacing w:after="0"/>
              <w:rPr>
                <w:sz w:val="20"/>
                <w:szCs w:val="20"/>
                <w:color w:val="auto"/>
              </w:rPr>
            </w:pPr>
            <w:r>
              <w:rPr>
                <w:rFonts w:ascii="Arial" w:cs="Arial" w:eastAsia="Arial" w:hAnsi="Arial"/>
                <w:sz w:val="10"/>
                <w:szCs w:val="10"/>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581.9</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 for effects of assumed exercises and conversions</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left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760" w:type="dxa"/>
            <w:vAlign w:val="bottom"/>
          </w:tcPr>
          <w:p>
            <w:pPr>
              <w:ind w:left="200"/>
              <w:spacing w:after="0"/>
              <w:rPr>
                <w:sz w:val="20"/>
                <w:szCs w:val="20"/>
                <w:color w:val="auto"/>
              </w:rPr>
            </w:pPr>
            <w:r>
              <w:rPr>
                <w:rFonts w:ascii="Arial" w:cs="Arial" w:eastAsia="Arial" w:hAnsi="Arial"/>
                <w:sz w:val="18"/>
                <w:szCs w:val="18"/>
                <w:color w:val="auto"/>
              </w:rPr>
              <w:t>Weighted average common shares and share equivalents outstanding</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599.2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tcBorders>
              <w:lef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8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7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earnings (loss) per share:</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tcBorders>
              <w:left w:val="single" w:sz="8" w:color="CCEEFF"/>
            </w:tcBorders>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tcBorders>
              <w:left w:val="single" w:sz="8" w:color="CCEEFF"/>
            </w:tcBorders>
            <w:shd w:val="clear" w:color="auto" w:fill="CCEEFF"/>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ind w:left="40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81"/>
              <w:spacing w:after="0"/>
              <w:rPr>
                <w:sz w:val="20"/>
                <w:szCs w:val="20"/>
                <w:color w:val="auto"/>
              </w:rPr>
            </w:pPr>
            <w:r>
              <w:rPr>
                <w:rFonts w:ascii="Arial" w:cs="Arial" w:eastAsia="Arial" w:hAnsi="Arial"/>
                <w:sz w:val="10"/>
                <w:szCs w:val="10"/>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gridSpan w:val="2"/>
          </w:tcPr>
          <w:p>
            <w:pPr>
              <w:jc w:val="right"/>
              <w:ind w:right="932"/>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The components of comprehensive income (loss), net of tax, are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November 29,</w:t>
            </w:r>
          </w:p>
        </w:tc>
        <w:tc>
          <w:tcPr>
            <w:tcW w:w="3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November 30,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center"/>
              <w:ind w:right="256"/>
              <w:spacing w:after="0"/>
              <w:rPr>
                <w:sz w:val="20"/>
                <w:szCs w:val="20"/>
                <w:color w:val="auto"/>
              </w:rPr>
            </w:pPr>
            <w:r>
              <w:rPr>
                <w:rFonts w:ascii="Arial" w:cs="Arial" w:eastAsia="Arial" w:hAnsi="Arial"/>
                <w:sz w:val="14"/>
                <w:szCs w:val="14"/>
                <w:b w:val="1"/>
                <w:bCs w:val="1"/>
                <w:color w:val="auto"/>
                <w:w w:val="83"/>
              </w:rPr>
              <w:t>2000</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(265.9)</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on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Unrealized gains on investments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Reclassification adjustment for losses included in net loss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7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(260.4)</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-6900545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-6900545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-6557645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-6557645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-6557645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-6557645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-6094730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-6094730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-6094730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-6094730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-5631180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-5631180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-5631180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-5631180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-4722495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-4722495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-4722495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-4722495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-2423795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-2423795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-1557655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-1557655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-1214755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-1214755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-1214755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-1214755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-323215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KMT Semiconductor Limited</w:t>
      </w:r>
    </w:p>
    <w:p>
      <w:pPr>
        <w:spacing w:after="0" w:line="225" w:lineRule="exact"/>
        <w:rPr>
          <w:sz w:val="20"/>
          <w:szCs w:val="20"/>
          <w:color w:val="auto"/>
        </w:rPr>
      </w:pPr>
    </w:p>
    <w:p>
      <w:pPr>
        <w:ind w:right="120" w:firstLine="176"/>
        <w:spacing w:after="0" w:line="290" w:lineRule="auto"/>
        <w:rPr>
          <w:sz w:val="20"/>
          <w:szCs w:val="20"/>
          <w:color w:val="auto"/>
        </w:rPr>
      </w:pPr>
      <w:r>
        <w:rPr>
          <w:rFonts w:ascii="Arial" w:cs="Arial" w:eastAsia="Arial" w:hAnsi="Arial"/>
          <w:sz w:val="16"/>
          <w:szCs w:val="16"/>
          <w:color w:val="auto"/>
        </w:rPr>
        <w:t>On April 30, 2001, the Company acquired Kobe Steel, Ltd.'s ("KSL") 75% interest in KMT Semiconductor Limited ("KMT") in a transaction (the "KMT Acquisition") that resulted in KMT becoming a wholly-owned subsidiary of the Company. The KMT Acquisition was accounted for as a business combination using the purchase method of accounting. The purchase price of $31.3 million, which includes $25.0 million cash paid to KSL for land and KSL's equity interest in KMT, is net of $37.7 million cash acquired and was allocated to the assets acquired and liabilities assumed based on their estimated fair value. In connection with the KMT Acquisition, the Company recorded total assets of $408.1 million, net of cash acquired, including deferred income taxes of $204.6 million and property, plant and equipment of $103.6 million, and total liabilities of $376.8 million, including debt and capital lease obligations totaling $296.4 million. The results of operations of KMT have been included in the accompanying financial statements from the date of acquisition.</w:t>
      </w:r>
    </w:p>
    <w:p>
      <w:pPr>
        <w:spacing w:after="0" w:line="172" w:lineRule="exact"/>
        <w:rPr>
          <w:sz w:val="20"/>
          <w:szCs w:val="20"/>
          <w:color w:val="auto"/>
        </w:rPr>
      </w:pPr>
    </w:p>
    <w:p>
      <w:pPr>
        <w:ind w:right="140" w:firstLine="172"/>
        <w:spacing w:after="0" w:line="259"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for the first quarter of 2001 as if the KMT Acquisition had taken place at the beginning of 2001. The pro forma information does not necessarily reflect the actual results that would have occurred nor is it necessarily indicative of future results of operations.</w:t>
      </w:r>
    </w:p>
    <w:p>
      <w:pPr>
        <w:sectPr>
          <w:pgSz w:w="11900" w:h="16838" w:orient="portrait"/>
          <w:cols w:equalWidth="0" w:num="1">
            <w:col w:w="11420"/>
          </w:cols>
          <w:pgMar w:left="240" w:top="131" w:right="239" w:bottom="0" w:gutter="0" w:footer="0" w:header="0"/>
        </w:sectPr>
      </w:pPr>
    </w:p>
    <w:p>
      <w:pPr>
        <w:spacing w:after="0" w:line="190" w:lineRule="exact"/>
        <w:rPr>
          <w:sz w:val="20"/>
          <w:szCs w:val="20"/>
          <w:color w:val="auto"/>
        </w:rPr>
      </w:pPr>
    </w:p>
    <w:p>
      <w:pPr>
        <w:jc w:val="center"/>
        <w:ind w:left="5680"/>
        <w:spacing w:after="0"/>
        <w:rPr>
          <w:sz w:val="20"/>
          <w:szCs w:val="20"/>
          <w:color w:val="auto"/>
        </w:rPr>
      </w:pPr>
      <w:r>
        <w:rPr>
          <w:rFonts w:ascii="Arial" w:cs="Arial" w:eastAsia="Arial" w:hAnsi="Arial"/>
          <w:sz w:val="12"/>
          <w:szCs w:val="12"/>
          <w:b w:val="1"/>
          <w:bCs w:val="1"/>
          <w:color w:val="auto"/>
        </w:rPr>
        <w:t>Quarter ended</w:t>
      </w:r>
    </w:p>
    <w:p>
      <w:pPr>
        <w:spacing w:after="0" w:line="25" w:lineRule="exact"/>
        <w:rPr>
          <w:sz w:val="20"/>
          <w:szCs w:val="20"/>
          <w:color w:val="auto"/>
        </w:rPr>
      </w:pPr>
    </w:p>
    <w:p>
      <w:pPr>
        <w:jc w:val="center"/>
        <w:ind w:left="5680"/>
        <w:spacing w:after="0"/>
        <w:rPr>
          <w:sz w:val="20"/>
          <w:szCs w:val="20"/>
          <w:color w:val="auto"/>
        </w:rPr>
      </w:pPr>
      <w:r>
        <w:rPr>
          <w:rFonts w:ascii="Arial" w:cs="Arial" w:eastAsia="Arial" w:hAnsi="Arial"/>
          <w:sz w:val="12"/>
          <w:szCs w:val="12"/>
          <w:b w:val="1"/>
          <w:bCs w:val="1"/>
          <w:color w:val="auto"/>
        </w:rPr>
        <w:t>November 30,</w:t>
      </w:r>
    </w:p>
    <w:p>
      <w:pPr>
        <w:spacing w:after="0" w:line="10"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58420</wp:posOffset>
            </wp:positionV>
            <wp:extent cx="1024890" cy="120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4890" cy="1206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from continuing operations</w:t>
            </w:r>
          </w:p>
        </w:tc>
        <w:tc>
          <w:tcPr>
            <w:tcW w:w="19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1,571.6</w:t>
            </w:r>
          </w:p>
        </w:tc>
      </w:tr>
      <w:tr>
        <w:trPr>
          <w:trHeight w:val="222"/>
        </w:trPr>
        <w:tc>
          <w:tcPr>
            <w:tcW w:w="6400" w:type="dxa"/>
            <w:vAlign w:val="bottom"/>
          </w:tcPr>
          <w:p>
            <w:pPr>
              <w:ind w:left="180"/>
              <w:spacing w:after="0"/>
              <w:rPr>
                <w:sz w:val="20"/>
                <w:szCs w:val="20"/>
                <w:color w:val="auto"/>
              </w:rPr>
            </w:pPr>
            <w:r>
              <w:rPr>
                <w:rFonts w:ascii="Arial" w:cs="Arial" w:eastAsia="Arial" w:hAnsi="Arial"/>
                <w:sz w:val="18"/>
                <w:szCs w:val="18"/>
                <w:color w:val="auto"/>
              </w:rPr>
              <w:t>Income from continuing operations, net of taxes and minority interest</w:t>
            </w:r>
          </w:p>
        </w:tc>
        <w:tc>
          <w:tcPr>
            <w:tcW w:w="19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413.0</w:t>
            </w:r>
          </w:p>
        </w:tc>
      </w:tr>
      <w:tr>
        <w:trPr>
          <w:trHeight w:val="21"/>
        </w:trPr>
        <w:tc>
          <w:tcPr>
            <w:tcW w:w="6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2"/>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per share from continuing operations — diluted</w:t>
            </w:r>
          </w:p>
        </w:tc>
        <w:tc>
          <w:tcPr>
            <w:tcW w:w="1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1"/>
        </w:trPr>
        <w:tc>
          <w:tcPr>
            <w:tcW w:w="64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31" w:lineRule="exact"/>
        <w:rPr>
          <w:sz w:val="20"/>
          <w:szCs w:val="20"/>
          <w:color w:val="auto"/>
        </w:rPr>
      </w:pPr>
    </w:p>
    <w:p>
      <w:pPr>
        <w:ind w:right="80" w:firstLine="172"/>
        <w:spacing w:after="0" w:line="291" w:lineRule="auto"/>
        <w:rPr>
          <w:sz w:val="20"/>
          <w:szCs w:val="20"/>
          <w:color w:val="auto"/>
        </w:rPr>
      </w:pPr>
      <w:r>
        <w:rPr>
          <w:rFonts w:ascii="Arial" w:cs="Arial" w:eastAsia="Arial" w:hAnsi="Arial"/>
          <w:sz w:val="16"/>
          <w:szCs w:val="16"/>
          <w:color w:val="auto"/>
        </w:rPr>
        <w:t>TECH Semiconductor Singapore Pte. Ltd. ("TECH"), which operates in Singapore, is a memory manufacturing joint venture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purchases semiconductor memory products from TECH at prices determined quarterly, generally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transactions with</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TECH are recognized as part of the net cost of products purchased from TECH. The net cost of products purchased from TECH amounted to $25.6 million and $320.8 million for the first quarter of 2002 and 2001, respectively. In 2000, as part of an equity capital infusion by the majority of TECH's shareholders, the Company funded TECH with $98.0 million as support for continuing the TECH supply arrangement. The Company amortizes the value of the TECH supply arrangement on a straight-line basis over the remaining contractual life of the TECH shareholders' agreement. Amortization expense resulting from the TECH supply arrangement, included in the cost of product purchased from TECH, was $2.6 million and $2.7 million for the first quarter of 2002 and 2001, respectively. Receivables from TECH were $27.2 million and payables were $25.2 million as of November 29, 2001. Receivables from TECH were $25.3 million and payables were $40.6 million as of August 30, 2001.</w:t>
      </w:r>
    </w:p>
    <w:p>
      <w:pPr>
        <w:spacing w:after="0" w:line="172" w:lineRule="exact"/>
        <w:rPr>
          <w:sz w:val="20"/>
          <w:szCs w:val="20"/>
          <w:color w:val="auto"/>
        </w:rPr>
      </w:pPr>
    </w:p>
    <w:p>
      <w:pPr>
        <w:ind w:right="60" w:firstLine="172"/>
        <w:spacing w:after="0" w:line="291" w:lineRule="auto"/>
        <w:rPr>
          <w:sz w:val="20"/>
          <w:szCs w:val="20"/>
          <w:color w:val="auto"/>
        </w:rPr>
      </w:pPr>
      <w:r>
        <w:rPr>
          <w:rFonts w:ascii="Arial" w:cs="Arial" w:eastAsia="Arial" w:hAnsi="Arial"/>
          <w:sz w:val="16"/>
          <w:szCs w:val="16"/>
          <w:color w:val="auto"/>
        </w:rPr>
        <w:t>Through April 30, 2001, the Company participated in KMT, a joint venture between the Company and KSL. On April 30, 2001, the Company acquired the remaining interest in KMT by completing the KMT Acquisition. The results of operations of KMT have been included in the accompanying financial statements from the date of acquisition. (See "Acquisition—KMT Semiconductor Limited" note.) Through the date of acquisition, the Company purchased all of KMT's production at prices generally based on a discount from the Company's average selling prices. The Company was also party to various agreements with KMT whereby the Company provided assembly and test services, and technology, engineering, and training support to KMT. The net cost of products purchased from KMT amounted to $142.2 million for the first quarter of 2001.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220" w:firstLine="172"/>
        <w:spacing w:after="0" w:line="298" w:lineRule="auto"/>
        <w:rPr>
          <w:sz w:val="20"/>
          <w:szCs w:val="20"/>
          <w:color w:val="auto"/>
        </w:rPr>
      </w:pPr>
      <w:r>
        <w:rPr>
          <w:rFonts w:ascii="Arial" w:cs="Arial" w:eastAsia="Arial" w:hAnsi="Arial"/>
          <w:sz w:val="16"/>
          <w:szCs w:val="16"/>
          <w:color w:val="auto"/>
        </w:rPr>
        <w:t>The Company's reportable segments have been determined based on the nature of its operations and products offered to customers. Through fiscal 2001, the Company's two reportable segments were Semiconductor Operations and Web-hosting Operations. As a result of the Interland Merger on August 6, 2001, the Company's only reportable segment is Semiconductor Operations. The Semiconductor Operations segment's primary product is DRAM. The Web-hosting Operations segment provided web-hosting and other internet products and services.</w:t>
      </w:r>
    </w:p>
    <w:p>
      <w:pPr>
        <w:spacing w:after="0" w:line="167" w:lineRule="exact"/>
        <w:rPr>
          <w:sz w:val="20"/>
          <w:szCs w:val="20"/>
          <w:color w:val="auto"/>
        </w:rPr>
      </w:pPr>
    </w:p>
    <w:p>
      <w:pPr>
        <w:ind w:right="260" w:firstLine="176"/>
        <w:spacing w:after="0" w:line="268" w:lineRule="auto"/>
        <w:rPr>
          <w:sz w:val="20"/>
          <w:szCs w:val="20"/>
          <w:color w:val="auto"/>
        </w:rPr>
      </w:pPr>
      <w:r>
        <w:rPr>
          <w:rFonts w:ascii="Arial" w:cs="Arial" w:eastAsia="Arial" w:hAnsi="Arial"/>
          <w:sz w:val="18"/>
          <w:szCs w:val="18"/>
          <w:color w:val="auto"/>
        </w:rPr>
        <w:t>Segment operating results are measured based on operating income (loss). De minimis amounts of intersegment eliminations of sales and operating income have been included with Other.</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57"/>
              <w:spacing w:after="0"/>
              <w:rPr>
                <w:sz w:val="20"/>
                <w:szCs w:val="20"/>
                <w:color w:val="auto"/>
              </w:rPr>
            </w:pPr>
            <w:r>
              <w:rPr>
                <w:rFonts w:ascii="Arial" w:cs="Arial" w:eastAsia="Arial" w:hAnsi="Arial"/>
                <w:sz w:val="14"/>
                <w:szCs w:val="14"/>
                <w:b w:val="1"/>
                <w:bCs w:val="1"/>
                <w:color w:val="auto"/>
                <w:w w:val="83"/>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Semiconductor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External</w:t>
            </w:r>
          </w:p>
        </w:tc>
        <w:tc>
          <w:tcPr>
            <w:tcW w:w="3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Sales to discontinued PC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Semiconductor Operations</w:t>
            </w:r>
          </w:p>
        </w:tc>
        <w:tc>
          <w:tcPr>
            <w:tcW w:w="2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Web-hosting Operations</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Consolidated net sales</w:t>
            </w:r>
          </w:p>
        </w:tc>
        <w:tc>
          <w:tcPr>
            <w:tcW w:w="3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460" w:type="dxa"/>
            <w:vAlign w:val="bottom"/>
            <w:gridSpan w:val="2"/>
          </w:tcPr>
          <w:p>
            <w:pPr>
              <w:spacing w:after="0"/>
              <w:rPr>
                <w:sz w:val="11"/>
                <w:szCs w:val="11"/>
                <w:color w:val="auto"/>
              </w:rPr>
            </w:pPr>
          </w:p>
        </w:tc>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Semiconductor Operations</w:t>
            </w:r>
          </w:p>
        </w:tc>
        <w:tc>
          <w:tcPr>
            <w:tcW w:w="3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Web-hosting Operations</w:t>
            </w:r>
          </w:p>
        </w:tc>
        <w:tc>
          <w:tcPr>
            <w:tcW w:w="2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Consolidated operating income</w:t>
            </w:r>
          </w:p>
        </w:tc>
        <w:tc>
          <w:tcPr>
            <w:tcW w:w="3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0" w:type="dxa"/>
            <w:vAlign w:val="bottom"/>
            <w:vMerge w:val="restart"/>
          </w:tcPr>
          <w:p>
            <w:pPr>
              <w:jc w:val="right"/>
              <w:ind w:right="209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-3286760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-3286760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-2532380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-2532380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-1914525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-1914525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-680085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-680085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jc w:val="both"/>
        <w:ind w:right="140" w:firstLine="176"/>
        <w:spacing w:after="0" w:line="306" w:lineRule="auto"/>
        <w:rPr>
          <w:sz w:val="20"/>
          <w:szCs w:val="20"/>
          <w:color w:val="auto"/>
        </w:rPr>
      </w:pPr>
      <w:r>
        <w:rPr>
          <w:rFonts w:ascii="Arial" w:cs="Arial" w:eastAsia="Arial" w:hAnsi="Arial"/>
          <w:sz w:val="16"/>
          <w:szCs w:val="16"/>
          <w:color w:val="auto"/>
        </w:rPr>
        <w:t>On December 18, 2001, the Company entered into a memorandum of understanding with Toshiba Corporation ("Toshiba") to acquire substantially all of the assets of Toshiba's DRAM business as currently conducted by Dominion Semiconductor L.L.C., a wholly-owned subsidiary of Toshiba located in Virginia. The purchase price of the assets is expected to consist of $250 million in cash and 1.5 million shares of the Company's Common Stock. The Company expects the</w:t>
      </w:r>
    </w:p>
    <w:p>
      <w:pPr>
        <w:sectPr>
          <w:pgSz w:w="11900" w:h="16838" w:orient="portrait"/>
          <w:cols w:equalWidth="0" w:num="1">
            <w:col w:w="11360"/>
          </w:cols>
          <w:pgMar w:left="240" w:top="248" w:right="299" w:bottom="0" w:gutter="0" w:footer="0" w:header="0"/>
        </w:sectPr>
      </w:pPr>
    </w:p>
    <w:bookmarkStart w:id="8" w:name="page9"/>
    <w:bookmarkEnd w:id="8"/>
    <w:p>
      <w:pPr>
        <w:spacing w:after="0" w:line="5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transaction to close in the first half of calendar 2002. The proposed transaction is subject to regulatory approvals, satisfactory completion of due diligence by the Company and the negotiation and execution of definitive documentation.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500" w:firstLine="176"/>
        <w:spacing w:after="0" w:line="268"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memory products.</w:t>
      </w:r>
    </w:p>
    <w:p>
      <w:pPr>
        <w:spacing w:after="0" w:line="186"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"Recent Events" and "Liquidity and Capital Resources" regarding the pending transaction with Toshiba and capital spending in 2002.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unless otherwise indicated. All per share amounts are presented on a diluted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31" w:lineRule="exact"/>
        <w:rPr>
          <w:sz w:val="20"/>
          <w:szCs w:val="20"/>
          <w:color w:val="auto"/>
        </w:rPr>
      </w:pPr>
    </w:p>
    <w:p>
      <w:pPr>
        <w:ind w:right="120" w:firstLine="176"/>
        <w:spacing w:after="0" w:line="294" w:lineRule="auto"/>
        <w:rPr>
          <w:sz w:val="20"/>
          <w:szCs w:val="20"/>
          <w:color w:val="auto"/>
        </w:rPr>
      </w:pPr>
      <w:r>
        <w:rPr>
          <w:rFonts w:ascii="Arial" w:cs="Arial" w:eastAsia="Arial" w:hAnsi="Arial"/>
          <w:sz w:val="16"/>
          <w:szCs w:val="16"/>
          <w:color w:val="auto"/>
        </w:rPr>
        <w:t>On December 18, 2001, the Company entered into a memorandum of understanding with Toshiba Corporation ("Toshiba") to acquire substantially all of the assets of Toshiba's DRAM business as currently conducted by Dominion Semiconductor L.L.C., a wholly-owned subsidiary of Toshiba located in Virginia. The purchase price of the assets is expected to consist of $250 million in cash and 1.5 million shares of the Company's Common Stock. The Company expects the transaction to close in the first half of calendar 2002. The proposed transaction is subject to regulatory approvals, satisfactory completion of due diligence by the Company and the negotiation and execution of definitive documentation.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First Quarter</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rPr>
              <w:t>(amounts in millions except per share amounts)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Semiconductor Operations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492"/>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1,558.0</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Web-hosting Operations</w:t>
            </w:r>
          </w:p>
        </w:tc>
        <w:tc>
          <w:tcPr>
            <w:tcW w:w="18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right w:val="single" w:sz="8" w:color="CCEEFF"/>
            </w:tcBorders>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100.0%</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200" w:type="dxa"/>
            <w:vAlign w:val="bottom"/>
            <w:tcBorders>
              <w:lef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60" w:type="dxa"/>
            <w:vAlign w:val="bottom"/>
            <w:gridSpan w:val="2"/>
            <w:vMerge w:val="continue"/>
          </w:tcPr>
          <w:p>
            <w:pPr>
              <w:spacing w:after="0"/>
              <w:rPr>
                <w:sz w:val="5"/>
                <w:szCs w:val="5"/>
                <w:color w:val="auto"/>
              </w:rPr>
            </w:pPr>
          </w:p>
        </w:tc>
        <w:tc>
          <w:tcPr>
            <w:tcW w:w="1840" w:type="dxa"/>
            <w:vAlign w:val="bottom"/>
            <w:tcBorders>
              <w:right w:val="single" w:sz="8" w:color="808080"/>
            </w:tcBorders>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4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Semiconductor Operations</w:t>
            </w:r>
          </w:p>
        </w:tc>
        <w:tc>
          <w:tcPr>
            <w:tcW w:w="196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(452.0)</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Web-hosting Operations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660" w:type="dxa"/>
            <w:vAlign w:val="bottom"/>
            <w:gridSpan w:val="2"/>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520.3</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660" w:type="dxa"/>
            <w:vAlign w:val="bottom"/>
            <w:gridSpan w:val="2"/>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840" w:type="dxa"/>
            <w:vAlign w:val="bottom"/>
            <w:tcBorders>
              <w:right w:val="single" w:sz="8" w:color="808080"/>
            </w:tcBorders>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4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(265.9)</w:t>
            </w:r>
          </w:p>
        </w:tc>
        <w:tc>
          <w:tcPr>
            <w:tcW w:w="120" w:type="dxa"/>
            <w:vAlign w:val="bottom"/>
            <w:tcBorders>
              <w:right w:val="single" w:sz="8" w:color="CCEEFF"/>
            </w:tcBorders>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00" w:type="dxa"/>
            <w:vAlign w:val="bottom"/>
            <w:tcBorders>
              <w:lef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40" w:type="dxa"/>
            <w:vAlign w:val="bottom"/>
          </w:tcPr>
          <w:p>
            <w:pPr>
              <w:jc w:val="right"/>
              <w:ind w:right="6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40" w:type="dxa"/>
            <w:vAlign w:val="bottom"/>
            <w:tcBorders>
              <w:top w:val="single" w:sz="8" w:color="808080"/>
            </w:tcBorders>
          </w:tcPr>
          <w:p>
            <w:pPr>
              <w:spacing w:after="0"/>
              <w:rPr>
                <w:sz w:val="9"/>
                <w:szCs w:val="9"/>
                <w:color w:val="auto"/>
              </w:rPr>
            </w:pPr>
          </w:p>
        </w:tc>
        <w:tc>
          <w:tcPr>
            <w:tcW w:w="18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gridSpan w:val="2"/>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78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PC Operations</w:t>
            </w:r>
          </w:p>
        </w:tc>
        <w:tc>
          <w:tcPr>
            <w:tcW w:w="18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60" w:type="dxa"/>
            <w:vAlign w:val="bottom"/>
            <w:gridSpan w:val="2"/>
          </w:tcPr>
          <w:p>
            <w:pPr>
              <w:spacing w:after="0"/>
              <w:rPr>
                <w:sz w:val="10"/>
                <w:szCs w:val="10"/>
                <w:color w:val="auto"/>
              </w:rPr>
            </w:pPr>
          </w:p>
        </w:tc>
        <w:tc>
          <w:tcPr>
            <w:tcW w:w="196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gridSpan w:val="2"/>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(265.9)</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352.2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660" w:type="dxa"/>
            <w:vAlign w:val="bottom"/>
            <w:gridSpan w:val="2"/>
          </w:tcPr>
          <w:p>
            <w:pPr>
              <w:spacing w:after="0"/>
              <w:rPr>
                <w:sz w:val="9"/>
                <w:szCs w:val="9"/>
                <w:color w:val="auto"/>
              </w:rPr>
            </w:pPr>
          </w:p>
        </w:tc>
        <w:tc>
          <w:tcPr>
            <w:tcW w:w="19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 from continuing operations</w:t>
            </w:r>
          </w:p>
        </w:tc>
        <w:tc>
          <w:tcPr>
            <w:tcW w:w="2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68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Borders>
              <w:lef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660" w:type="dxa"/>
            <w:vAlign w:val="bottom"/>
            <w:gridSpan w:val="2"/>
          </w:tcPr>
          <w:p>
            <w:pPr>
              <w:spacing w:after="0"/>
              <w:rPr>
                <w:sz w:val="9"/>
                <w:szCs w:val="9"/>
                <w:color w:val="auto"/>
              </w:rPr>
            </w:pPr>
          </w:p>
        </w:tc>
        <w:tc>
          <w:tcPr>
            <w:tcW w:w="2220" w:type="dxa"/>
            <w:vAlign w:val="bottom"/>
            <w:gridSpan w:val="3"/>
          </w:tcPr>
          <w:p>
            <w:pPr>
              <w:spacing w:after="0"/>
              <w:rPr>
                <w:sz w:val="9"/>
                <w:szCs w:val="9"/>
                <w:color w:val="auto"/>
              </w:rPr>
            </w:pPr>
          </w:p>
        </w:tc>
        <w:tc>
          <w:tcPr>
            <w:tcW w:w="860" w:type="dxa"/>
            <w:vAlign w:val="bottom"/>
            <w:gridSpan w:val="3"/>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60" w:type="dxa"/>
            <w:vAlign w:val="bottom"/>
            <w:gridSpan w:val="2"/>
          </w:tcPr>
          <w:p>
            <w:pPr>
              <w:spacing w:after="0"/>
              <w:rPr>
                <w:sz w:val="5"/>
                <w:szCs w:val="5"/>
                <w:color w:val="auto"/>
              </w:rPr>
            </w:pPr>
          </w:p>
        </w:tc>
        <w:tc>
          <w:tcPr>
            <w:tcW w:w="1960" w:type="dxa"/>
            <w:vAlign w:val="bottom"/>
            <w:tcBorders>
              <w:right w:val="single" w:sz="8" w:color="808080"/>
            </w:tcBorders>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40" w:type="dxa"/>
            <w:vAlign w:val="bottom"/>
            <w:gridSpan w:val="2"/>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(loss) per share</w:t>
            </w:r>
          </w:p>
        </w:tc>
        <w:tc>
          <w:tcPr>
            <w:tcW w:w="2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(0.44)</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-5057140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-5057140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-4808220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-4808220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-4808220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-4808220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-3804920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-3804920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-3804920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-3804920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-3804920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-3804920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-3804920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-3804920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-2912745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-2912745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-2912745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-2912745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-2449830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-2449830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-2449830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-2449830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-1369060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-1369060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-1077595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-1077595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-1077595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-1077595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fourth quarter of 2001, the net loss was $576 million, or $0.96 per share, on consolidated net sales of $480 million.</w:t>
      </w:r>
    </w:p>
    <w:p>
      <w:pPr>
        <w:spacing w:after="0" w:line="225" w:lineRule="exact"/>
        <w:rPr>
          <w:sz w:val="20"/>
          <w:szCs w:val="20"/>
          <w:color w:val="auto"/>
        </w:rPr>
      </w:pPr>
    </w:p>
    <w:p>
      <w:pPr>
        <w:ind w:right="100" w:firstLine="176"/>
        <w:spacing w:after="0" w:line="294" w:lineRule="auto"/>
        <w:rPr>
          <w:sz w:val="20"/>
          <w:szCs w:val="20"/>
          <w:color w:val="auto"/>
        </w:rPr>
      </w:pPr>
      <w:r>
        <w:rPr>
          <w:rFonts w:ascii="Arial" w:cs="Arial" w:eastAsia="Arial" w:hAnsi="Arial"/>
          <w:sz w:val="16"/>
          <w:szCs w:val="16"/>
          <w:color w:val="auto"/>
        </w:rPr>
        <w:t>In the third quarter of 2001, the Company completed the divestiture of its PC business. The Company's consolidated financial information presents the net effect of discontinued PC operations separate from the results of the Company's continuing operations. Historical financial information of the Company has been restated to present consistently the discontinued PC operations. In the fourth quarter of 2001, the Company contributed its interest in its Interland Web-hosting Operations to the Micron Technology Foundation (the "Foundation"). (See "Notes to Consolidated Financial Statements—Unaudited Interim Financial Statements—Basis of Presentation" and "Discontinued PC Operations.")</w:t>
      </w:r>
    </w:p>
    <w:p>
      <w:pPr>
        <w:spacing w:after="0" w:line="170"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On April 30, 2001, the Company acquired Kobe Steel, Ltd.'s ("KSL") 75% interest in KMT Semiconductor Limited ("KMT") (the "KMT Acquisition") in a transaction that resulted in KMT becoming a wholly-owned subsidiary of the Company. (See "Notes to Consolidated Financial Statements—Acquisition—KMT Semiconductor Limited.")</w:t>
      </w:r>
    </w:p>
    <w:p>
      <w:pPr>
        <w:sectPr>
          <w:pgSz w:w="11900" w:h="16897" w:orient="portrait"/>
          <w:cols w:equalWidth="0" w:num="1">
            <w:col w:w="11420"/>
          </w:cols>
          <w:pgMar w:left="240" w:top="131" w:right="239" w:bottom="0" w:gutter="0" w:footer="0" w:header="0"/>
        </w:sectPr>
      </w:pPr>
    </w:p>
    <w:bookmarkStart w:id="9" w:name="page10"/>
    <w:bookmarkEnd w:id="9"/>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176"/>
        <w:spacing w:after="0" w:line="289" w:lineRule="auto"/>
        <w:rPr>
          <w:sz w:val="20"/>
          <w:szCs w:val="20"/>
          <w:color w:val="auto"/>
        </w:rPr>
      </w:pPr>
      <w:r>
        <w:rPr>
          <w:rFonts w:ascii="Arial" w:cs="Arial" w:eastAsia="Arial" w:hAnsi="Arial"/>
          <w:sz w:val="16"/>
          <w:szCs w:val="16"/>
          <w:color w:val="auto"/>
        </w:rPr>
        <w:t>Net sales for the first quarter of 2002 decreased by 73% and 12% as compared to the first and fourth quarters of 2001, respectively, primarily due to declines in average selling prices for the Company's semiconductor memory products. Average selling prices for the Company's semiconductor memory products for the first quarter of 2002 decreased by 88% and 24% as compared to the first quarter of 2001 and the fourth quarter of 2001, respectively. The decrease in average selling prices led to lower net sales and also to a $173 million charge in the first quarter of 2002 to write down the Company's work in process and finished goods semiconductor memory inventories. Total megabits of semiconductor memory sold increased by approximately 130% for the first quarter of 2002 as compared to the first quarter of 2001 and increased by approximately 20% for the first quarter of 2002 as compared to the fourth quarter of 2001. The Company achieved higher megabit sales for these comparative periods through reductions in inventories, modest increases in production resulting from shifts to higher density products, ongoing transitions to smaller die size versions of existing memory products ("shrink versions") and increases in total wafer outs.</w:t>
      </w:r>
    </w:p>
    <w:p>
      <w:pPr>
        <w:spacing w:after="0" w:line="172" w:lineRule="exact"/>
        <w:rPr>
          <w:sz w:val="20"/>
          <w:szCs w:val="20"/>
          <w:color w:val="auto"/>
        </w:rPr>
      </w:pPr>
    </w:p>
    <w:p>
      <w:pPr>
        <w:ind w:right="320" w:firstLine="172"/>
        <w:spacing w:after="0" w:line="268" w:lineRule="auto"/>
        <w:rPr>
          <w:sz w:val="20"/>
          <w:szCs w:val="20"/>
          <w:color w:val="auto"/>
        </w:rPr>
      </w:pPr>
      <w:r>
        <w:rPr>
          <w:rFonts w:ascii="Arial" w:cs="Arial" w:eastAsia="Arial" w:hAnsi="Arial"/>
          <w:sz w:val="18"/>
          <w:szCs w:val="18"/>
          <w:color w:val="auto"/>
        </w:rPr>
        <w:t>The Company's primary memory product in the first quarter of 2002 was the 128 Meg Synchronous DRAM ("SDRAM"), which constituted approximately 54% of net sales.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9"/>
              </w:rPr>
              <w:t>First Quarter</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1"/>
              </w:rPr>
              <w:t>% Change</w:t>
            </w: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w:t>
            </w: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(127.9)%   $</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42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-894080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-894080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-645795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-645795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-645795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-645795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-645795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-645795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The lower gross margin for the first quarter of 2002 as compared to the first quarter of 2001 was primarily due to the 88% decrease in average selling prices per megabit of memory and a $173 million charge recorded by the Company in the first quarter of 2002 to write down the carrying value of semiconductor memory inventories to their estimated market values. The Company incurred similar inventory write-downs of $466 million and $261 million in the fourth and third quarters of 2001, respectively. The Company's gross margin for the fourth quarter of 2001, which reflects the effect of inventory write-downs, was negative $576 million.</w:t>
      </w:r>
    </w:p>
    <w:p>
      <w:pPr>
        <w:spacing w:after="0" w:line="197" w:lineRule="exact"/>
        <w:rPr>
          <w:sz w:val="20"/>
          <w:szCs w:val="20"/>
          <w:color w:val="auto"/>
        </w:rPr>
      </w:pPr>
    </w:p>
    <w:p>
      <w:pPr>
        <w:ind w:right="140" w:firstLine="176"/>
        <w:spacing w:after="0" w:line="323" w:lineRule="auto"/>
        <w:rPr>
          <w:sz w:val="20"/>
          <w:szCs w:val="20"/>
          <w:color w:val="auto"/>
        </w:rPr>
      </w:pPr>
      <w:r>
        <w:rPr>
          <w:rFonts w:ascii="Arial" w:cs="Arial" w:eastAsia="Arial" w:hAnsi="Arial"/>
          <w:sz w:val="15"/>
          <w:szCs w:val="15"/>
          <w:color w:val="auto"/>
        </w:rPr>
        <w:t>In recent periods, average selling prices for our memory products have been below our manufacturing costs, and, accordingly, our results of operations, cash flows and financial condition have been adversely affected. Should average selling prices be at levels that are below cost, we would expect to continue to record significant losses on product sales. To the extent the estimated market price of products held in finished goods and work in process inventories at a quarter end date is below the cost of these products, we would recognize a charge against operations to write down the carrying value of inventory to market value.</w:t>
      </w:r>
    </w:p>
    <w:p>
      <w:pPr>
        <w:spacing w:after="0" w:line="152" w:lineRule="exact"/>
        <w:rPr>
          <w:sz w:val="20"/>
          <w:szCs w:val="20"/>
          <w:color w:val="auto"/>
        </w:rPr>
      </w:pPr>
    </w:p>
    <w:p>
      <w:pPr>
        <w:ind w:right="180" w:firstLine="176"/>
        <w:spacing w:after="0" w:line="288" w:lineRule="auto"/>
        <w:rPr>
          <w:sz w:val="20"/>
          <w:szCs w:val="20"/>
          <w:color w:val="auto"/>
        </w:rPr>
      </w:pPr>
      <w:r>
        <w:rPr>
          <w:rFonts w:ascii="Arial" w:cs="Arial" w:eastAsia="Arial" w:hAnsi="Arial"/>
          <w:sz w:val="16"/>
          <w:szCs w:val="16"/>
          <w:color w:val="auto"/>
        </w:rPr>
        <w:t>Subject to specific terms and conditions, the Company has agreed to purchase all of the products manufactured by its joint venture wafer fabrication facility, TECH Semiconductor Singapore Pte. Ltd. ("TECH"). TECH supplied in excess of 20% of the total megabits of memory produced by the Company in the first quarter of 2002 and 2001 and the fourth quarter of 2001. The Company purchases semiconductor memory products from TECH at prices determined quarterly, generally based on a discount from average selling price realized by the Company for the immediately preceding quarter. Depending on market conditions, the gross margin from the sale of TECH products may be higher or lower than the gross margin from the sale of products manufactured by the Company's wholly-owned facilities. The Company realized higher gross margins on sales of TECH products than for products manufactured by its wholly-owned facilities in the first quarter of 2002 and lower gross margins on sales of TECH products for the first and fourth quarters of 2001. The Company performs assembly and test services on products manufactured by TECH. The Company also provides certain technology, engineering, and training support to TECH. All transactions with TECH are recognized as part of the net cost of products purchased from TECH.</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23"/>
                <w:szCs w:val="23"/>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5"/>
              </w:rPr>
              <w:t>79.9</w:t>
            </w: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-607695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-607695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-359410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-359410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-359410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-359410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-359410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-359410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60" w:firstLine="176"/>
        <w:spacing w:after="0" w:line="306" w:lineRule="auto"/>
        <w:rPr>
          <w:sz w:val="20"/>
          <w:szCs w:val="20"/>
          <w:color w:val="auto"/>
        </w:rPr>
      </w:pPr>
      <w:r>
        <w:rPr>
          <w:rFonts w:ascii="Arial" w:cs="Arial" w:eastAsia="Arial" w:hAnsi="Arial"/>
          <w:sz w:val="16"/>
          <w:szCs w:val="16"/>
          <w:color w:val="auto"/>
        </w:rPr>
        <w:t>Selling, general and administrative expenses ("SG&amp;A") decreased in the first quarter of 2002 as compared to the first quarter of 2001 primarily because previously consolidated Web-hosting Operations, which accounted for 17% of total SG&amp;A in the first quarter of 2001, were disposed of at the end of fiscal 2001. In addition, technical and professional fees were lower in the first quarter of 2002 as compared to the first quarter of 2001.</w:t>
      </w:r>
    </w:p>
    <w:p>
      <w:pPr>
        <w:spacing w:after="0" w:line="161" w:lineRule="exact"/>
        <w:rPr>
          <w:sz w:val="20"/>
          <w:szCs w:val="20"/>
          <w:color w:val="auto"/>
        </w:rPr>
      </w:pPr>
    </w:p>
    <w:p>
      <w:pPr>
        <w:ind w:right="60" w:firstLine="176"/>
        <w:spacing w:after="0" w:line="298" w:lineRule="auto"/>
        <w:rPr>
          <w:sz w:val="20"/>
          <w:szCs w:val="20"/>
          <w:color w:val="auto"/>
        </w:rPr>
      </w:pPr>
      <w:r>
        <w:rPr>
          <w:rFonts w:ascii="Arial" w:cs="Arial" w:eastAsia="Arial" w:hAnsi="Arial"/>
          <w:sz w:val="16"/>
          <w:szCs w:val="16"/>
          <w:color w:val="auto"/>
        </w:rPr>
        <w:t>SG&amp;A was $204 million for the fourth quarter of 2001, including the contribution charge of $94 million for the market value of the Company's remaining equity interest in Interland contributed to the Foundation. Web-hosting Operations accounted for 5% of the fourth quarter 2001 total SG&amp;A. In addition, legal expenses associated with product and process technology rights litigation and patent prosecution were lower in the first quarter of 2002 as compared to the fourth quarter of 2001. (See "Notes to Consolidated Financial Statements—Commitments and Contingencies.")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First Quarter</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Pr>
          <w:p>
            <w:pPr>
              <w:spacing w:after="0"/>
              <w:rPr>
                <w:sz w:val="23"/>
                <w:szCs w:val="23"/>
                <w:color w:val="auto"/>
              </w:rPr>
            </w:pPr>
          </w:p>
        </w:tc>
        <w:tc>
          <w:tcPr>
            <w:tcW w:w="6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-607695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-607695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-359410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-359410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-359410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-359410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-359410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-359410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0" w:name="page11"/>
    <w:bookmarkEnd w:id="10"/>
    <w:p>
      <w:pPr>
        <w:ind w:right="200" w:firstLine="176"/>
        <w:spacing w:after="0" w:line="303" w:lineRule="auto"/>
        <w:rPr>
          <w:sz w:val="20"/>
          <w:szCs w:val="20"/>
          <w:color w:val="auto"/>
        </w:rPr>
      </w:pPr>
      <w:r>
        <w:rPr>
          <w:rFonts w:ascii="Arial" w:cs="Arial" w:eastAsia="Arial" w:hAnsi="Arial"/>
          <w:sz w:val="15"/>
          <w:szCs w:val="15"/>
          <w:color w:val="auto"/>
        </w:rPr>
        <w:t>Research and development expenses vary primarily with the number of development wafers processed, the cost of advanced equipment dedicated to new product and process development and personnel costs. The increase in research and development expenses in the first quarter of 2002 as compared to the first quarter of 2001 is primarily due to an increased number of development wafers processed. Process technology research and development efforts are focused on</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.13µ and .11µ line-width process technologies which are designed to facilitate the Company's transition to next generation products. Research and development expense was $105 million for the fourth quarter of 2001. The increase in research and development expenses in the first quarter of 2002 as compared to the fourth quarter of 2001 reflects a significantly higher number of development wafers processed for next generation DDR products and 256 Meg products.</w:t>
      </w:r>
    </w:p>
    <w:p>
      <w:pPr>
        <w:spacing w:after="0" w:line="163" w:lineRule="exact"/>
        <w:rPr>
          <w:sz w:val="20"/>
          <w:szCs w:val="20"/>
          <w:color w:val="auto"/>
        </w:rPr>
      </w:pPr>
    </w:p>
    <w:p>
      <w:pPr>
        <w:ind w:right="40" w:firstLine="176"/>
        <w:spacing w:after="0" w:line="298" w:lineRule="auto"/>
        <w:rPr>
          <w:sz w:val="20"/>
          <w:szCs w:val="20"/>
          <w:color w:val="auto"/>
        </w:rPr>
      </w:pPr>
      <w:r>
        <w:rPr>
          <w:rFonts w:ascii="Arial" w:cs="Arial" w:eastAsia="Arial" w:hAnsi="Arial"/>
          <w:sz w:val="16"/>
          <w:szCs w:val="16"/>
          <w:color w:val="auto"/>
        </w:rPr>
        <w:t>In addition to process technology, the Company continues to emphasize product designs that utilize advanced process technology. Currently these designs include further shrink versions of the Company's 256 Meg and 128 Meg SDRAMs. Efforts towards the design and development of new products are concentrated on the Company's 512 Meg SDRAM, DDR SDRAM, Flash and SRAM memory products. Other research and development efforts are devoted to the design and development of embedded memory and advanced DRAM technology products.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right="80" w:firstLine="172"/>
        <w:spacing w:after="0" w:line="306" w:lineRule="auto"/>
        <w:rPr>
          <w:sz w:val="20"/>
          <w:szCs w:val="20"/>
          <w:color w:val="auto"/>
        </w:rPr>
      </w:pPr>
      <w:r>
        <w:rPr>
          <w:rFonts w:ascii="Arial" w:cs="Arial" w:eastAsia="Arial" w:hAnsi="Arial"/>
          <w:sz w:val="16"/>
          <w:szCs w:val="16"/>
          <w:color w:val="auto"/>
        </w:rPr>
        <w:t>The effective tax rates for the first quarter of 2002 and 2001 were 40% and 35%, respectively. The Company's effective tax rate primarily reflects the statutory corporate income tax rate, the net effect of state taxes and the effect of foreign income at non-U.S. tax rates. The Company's future effective income tax rate will vary based on fluctuations in the mix of income and losses among tax jurisdictions with differing rates.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In July 2001, the Financial Accounting Standards Board ("FASB") issued Statement of Financial Accounting Standards ("SFAS") No. 141, "Business Combinations," and SFAS No. 142, "Goodwill and Other Intangible Assets." SFAS No. 141 addresses financial accounting and reporting for business combinations. It requires all business combinations to be accounted for by the purchase method and modifies the criteria for recognition of certain intangible assets separate and apart from goodwill. SFAS No. 142 addresses financial accounting and reporting for acquired goodwill and other intangible assets. Under SFAS No. 142, goodwill and other intangible assets that have indefinite useful lives are not amortized but rather are periodically tested for impairment. The Company adopted both SFAS No. 141 and SFAS No. 142 in the first quarter of 2002. The adoption of SFAS No. 141 and SFAS No. 142 did not have a significant impact on the Company's results of operations or financial position.</w:t>
      </w:r>
    </w:p>
    <w:p>
      <w:pPr>
        <w:spacing w:after="0" w:line="172" w:lineRule="exact"/>
        <w:rPr>
          <w:sz w:val="20"/>
          <w:szCs w:val="20"/>
          <w:color w:val="auto"/>
        </w:rPr>
      </w:pPr>
    </w:p>
    <w:p>
      <w:pPr>
        <w:ind w:right="120" w:firstLine="176"/>
        <w:spacing w:after="0" w:line="256"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2003. The Company does not expect the adoption of SFAS No. 143 to have a significant impact on the Company's future results of operations or financial position.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In October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2003. The Company does not expect the adoption of SFAS No. 144 to have a significant impact on the Company's future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right="200" w:firstLine="172"/>
        <w:spacing w:after="0" w:line="298" w:lineRule="auto"/>
        <w:rPr>
          <w:sz w:val="20"/>
          <w:szCs w:val="20"/>
          <w:color w:val="auto"/>
        </w:rPr>
      </w:pPr>
      <w:r>
        <w:rPr>
          <w:rFonts w:ascii="Arial" w:cs="Arial" w:eastAsia="Arial" w:hAnsi="Arial"/>
          <w:sz w:val="16"/>
          <w:szCs w:val="16"/>
          <w:color w:val="auto"/>
        </w:rPr>
        <w:t>The Company's liquidity is highly dependent on average selling prices for its semiconductor memory products. The Company's principal source of liquidity during the first quarter of 2002 was net cash flow from operations of $397 million which reflects income tax refunds of $547 million received by the Company. During the first quarter of 2002, the Company expended $183 million for property, plant and equipment. As of November 29, 2001, the Company had cash and liquid investments totaling $1,732 million, representing a decrease of $53 million from August 30, 2001.</w:t>
      </w:r>
    </w:p>
    <w:p>
      <w:pPr>
        <w:spacing w:after="0" w:line="167" w:lineRule="exact"/>
        <w:rPr>
          <w:sz w:val="20"/>
          <w:szCs w:val="20"/>
          <w:color w:val="auto"/>
        </w:rPr>
      </w:pPr>
    </w:p>
    <w:p>
      <w:pPr>
        <w:ind w:firstLine="172"/>
        <w:spacing w:after="0" w:line="289" w:lineRule="auto"/>
        <w:rPr>
          <w:sz w:val="20"/>
          <w:szCs w:val="20"/>
          <w:color w:val="auto"/>
        </w:rPr>
      </w:pPr>
      <w:r>
        <w:rPr>
          <w:rFonts w:ascii="Arial" w:cs="Arial" w:eastAsia="Arial" w:hAnsi="Arial"/>
          <w:sz w:val="16"/>
          <w:szCs w:val="16"/>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This investment may also consist of business acquisitions or strategic alliances. The Company has historically utilized external sources of financing to fund a portion of operations and has a shelf registration statement in place pursuant to which the Company may from time to time issue debt or equity securities for up to $1 billion. The Company may also seek to raise funds through issuing securities not covered by the existing shelf registration statement or by increasing the size of the existing shelf registration statement. The Company expects capital spending to approximate $1 billion in 2002. As of November 29, 2001, the Company had commitments extending into 2003 of approximately $370 million for equipment purchases and software infrastructure, and approximately $60 million for the construction of facilities.</w:t>
      </w:r>
    </w:p>
    <w:p>
      <w:pPr>
        <w:spacing w:after="0" w:line="172" w:lineRule="exact"/>
        <w:rPr>
          <w:sz w:val="20"/>
          <w:szCs w:val="20"/>
          <w:color w:val="auto"/>
        </w:rPr>
      </w:pPr>
    </w:p>
    <w:p>
      <w:pPr>
        <w:ind w:right="160" w:firstLine="172"/>
        <w:spacing w:after="0" w:line="253" w:lineRule="auto"/>
        <w:rPr>
          <w:sz w:val="20"/>
          <w:szCs w:val="20"/>
          <w:color w:val="auto"/>
        </w:rPr>
      </w:pPr>
      <w:r>
        <w:rPr>
          <w:rFonts w:ascii="Arial" w:cs="Arial" w:eastAsia="Arial" w:hAnsi="Arial"/>
          <w:sz w:val="18"/>
          <w:szCs w:val="18"/>
          <w:color w:val="auto"/>
        </w:rPr>
        <w:t>The Company is currently engaged in discussion with various parties regarding potential acquisitions or strategic alliances. These discussions could result in the Company being required to make significant additional expenditures over the next several quarters. On December 18, 2001, the Company entered into a memorandum of understanding with Toshiba to acquire substantially all of the assets of Toshiba's DRAM business as currently conducted by Dominion Semiconductor L.L.C., a wholly-owned subsidiary of Toshiba located in Virginia. The purchase price of the assets is expected to consist of $250 million in cash and 1.5 million shares of the Company's Common Stock. The Company expects the transaction to close in the first half of calendar 2002. The proposed transaction is subject to regulatory approvals, satisfactory completion of due diligence by the Company and the negotiation and execution of definitive documentation.</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has pledged $50 million as cash collateral to secure TECH's fully-drawn revolving line of credit.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31" w:lineRule="exact"/>
        <w:rPr>
          <w:sz w:val="20"/>
          <w:szCs w:val="20"/>
          <w:color w:val="auto"/>
        </w:rPr>
      </w:pPr>
    </w:p>
    <w:p>
      <w:pPr>
        <w:jc w:val="both"/>
        <w:ind w:right="80" w:firstLine="176"/>
        <w:spacing w:after="0" w:line="259" w:lineRule="auto"/>
        <w:rPr>
          <w:sz w:val="20"/>
          <w:szCs w:val="20"/>
          <w:color w:val="auto"/>
        </w:rPr>
      </w:pPr>
      <w:r>
        <w:rPr>
          <w:rFonts w:ascii="Arial" w:cs="Arial" w:eastAsia="Arial" w:hAnsi="Arial"/>
          <w:sz w:val="18"/>
          <w:szCs w:val="18"/>
          <w:i w:val="1"/>
          <w:iCs w:val="1"/>
          <w:color w:val="auto"/>
        </w:rPr>
        <w:t>In addition to the factors discussed elsewhere in this Form 10-Q and in the Company's Form 10-K for the fiscal year ended August 30, 2001, the following are important factors which could cause actual results or events to differ materially from those contained in any forward looking statements made by or on behalf of the Company.</w:t>
      </w:r>
    </w:p>
    <w:p>
      <w:pPr>
        <w:sectPr>
          <w:pgSz w:w="11900" w:h="16838" w:orient="portrait"/>
          <w:cols w:equalWidth="0" w:num="1">
            <w:col w:w="11400"/>
          </w:cols>
          <w:pgMar w:left="240" w:top="131" w:right="259" w:bottom="157"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57"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If average selling prices for our memory products do not exceed costs, we would expect to continue to record significant losses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Average selling prices for our memory products in the first quarter of 2002 decreased 88% and 24%, respectively, compared to the first and fourth quarters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2001. In four of the last five fiscal years we experienced the following decreases in average selling prices: 60% in 2001, 37% in 1999, 60% in 1998 and 75%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1997. We are unable to predict pricing conditions for any future period.</w:t>
      </w:r>
    </w:p>
    <w:p>
      <w:pPr>
        <w:spacing w:after="0" w:line="219" w:lineRule="exact"/>
        <w:rPr>
          <w:sz w:val="20"/>
          <w:szCs w:val="20"/>
          <w:color w:val="auto"/>
        </w:rPr>
      </w:pPr>
    </w:p>
    <w:p>
      <w:pPr>
        <w:ind w:right="60" w:firstLine="176"/>
        <w:spacing w:after="0" w:line="298" w:lineRule="auto"/>
        <w:rPr>
          <w:sz w:val="20"/>
          <w:szCs w:val="20"/>
          <w:color w:val="auto"/>
        </w:rPr>
      </w:pPr>
      <w:r>
        <w:rPr>
          <w:rFonts w:ascii="Arial" w:cs="Arial" w:eastAsia="Arial" w:hAnsi="Arial"/>
          <w:sz w:val="16"/>
          <w:szCs w:val="16"/>
          <w:color w:val="auto"/>
        </w:rPr>
        <w:t>In recent periods, average selling prices for our memory products have been below our manufacturing costs, and accordingly our results of operations, cash flows and financial condition have been adversely affected. Should average selling prices be at levels that are below cost, we would expect to record significant losses on product sales. To the extent the estimated market price of products held in finished goods and work in process inventories at a quarter end date is below the cost of these products, we would recognize a charge against operations to write down the carrying value of inventory to market value.</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average selling prices of memory products do not improve significantly, we may not be able to generate sufficient cash flows to fund our operations or make adequate capital investments</w:t>
      </w:r>
    </w:p>
    <w:p>
      <w:pPr>
        <w:spacing w:after="0" w:line="180" w:lineRule="exact"/>
        <w:rPr>
          <w:sz w:val="20"/>
          <w:szCs w:val="20"/>
          <w:color w:val="auto"/>
        </w:rPr>
      </w:pPr>
    </w:p>
    <w:p>
      <w:pPr>
        <w:ind w:right="140" w:firstLine="176"/>
        <w:spacing w:after="0" w:line="294" w:lineRule="auto"/>
        <w:rPr>
          <w:sz w:val="20"/>
          <w:szCs w:val="20"/>
          <w:color w:val="auto"/>
        </w:rPr>
      </w:pPr>
      <w:r>
        <w:rPr>
          <w:rFonts w:ascii="Arial" w:cs="Arial" w:eastAsia="Arial" w:hAnsi="Arial"/>
          <w:sz w:val="16"/>
          <w:szCs w:val="16"/>
          <w:color w:val="auto"/>
        </w:rPr>
        <w:t>Our cash flows from operations depend primarily on average selling prices and per megabit manufacturing costs of our semiconductor memory products. In recent periods average selling prices for our memory products have been below our manufacturing costs. 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If average selling prices do not improve significantly, we may not be able to generate sufficient cash flows to sustain our operations.</w:t>
      </w:r>
    </w:p>
    <w:p>
      <w:pPr>
        <w:spacing w:after="0" w:line="164"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the growth rate of either PCs sold or the amount of memory included in each PC decreases, sales of our memory products could decrease</w:t>
      </w:r>
    </w:p>
    <w:p>
      <w:pPr>
        <w:spacing w:after="0" w:line="134"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In 2001 and in the first quarter of 2002, we sold most of our memory products to PC or peripheral markets. DRAMs are the most widely used semiconductor memory components in PCs. In recent periods, the growth rate of PCs sold has slowed significantly or declined. If we experience a sustained reduction in the growth rate of either PCs sold or the average amount of memory included in each PC, sales of our memory products could decrease and our results of operations, cash flows and financial condition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80" w:firstLine="172"/>
        <w:spacing w:after="0" w:line="255" w:lineRule="auto"/>
        <w:rPr>
          <w:sz w:val="20"/>
          <w:szCs w:val="20"/>
          <w:color w:val="auto"/>
        </w:rPr>
      </w:pPr>
      <w:r>
        <w:rPr>
          <w:rFonts w:ascii="Arial" w:cs="Arial" w:eastAsia="Arial" w:hAnsi="Arial"/>
          <w:sz w:val="18"/>
          <w:szCs w:val="18"/>
          <w:color w:val="auto"/>
        </w:rPr>
        <w:t>The semiconductor memory industry is highly competitive. We face intense competition from a number of companies, including Hynix Semiconductor Inc., Infineon Technologies AG and Samsung Semiconductor, Inc. Some of these competitors are large corporations or conglomerates that may have greater resources to withstand downturns in the semiconductor memory market, invest in technology and capitalize on growth opportunities. Like us, these competitors aggressively seek to improve yields, reduce die size and decrease mask levels in their product designs. These factors have significantly increased worldwide supply and put downward pressures on prices.</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are currently engaged in discussions with other parties relating to possible acquisitions, strategic alliances, joint ventures or other transactions. We may not be able to come to agreement on terms acceptable to us concerning these possible transactions.</w:t>
      </w:r>
    </w:p>
    <w:p>
      <w:pPr>
        <w:spacing w:after="0" w:line="180" w:lineRule="exact"/>
        <w:rPr>
          <w:sz w:val="20"/>
          <w:szCs w:val="20"/>
          <w:color w:val="auto"/>
        </w:rPr>
      </w:pPr>
    </w:p>
    <w:p>
      <w:pPr>
        <w:ind w:right="160" w:firstLine="176"/>
        <w:spacing w:after="0" w:line="268" w:lineRule="auto"/>
        <w:rPr>
          <w:sz w:val="20"/>
          <w:szCs w:val="20"/>
          <w:color w:val="auto"/>
        </w:rPr>
      </w:pPr>
      <w:r>
        <w:rPr>
          <w:rFonts w:ascii="Arial" w:cs="Arial" w:eastAsia="Arial" w:hAnsi="Arial"/>
          <w:sz w:val="18"/>
          <w:szCs w:val="18"/>
          <w:color w:val="auto"/>
        </w:rPr>
        <w:t>From time to time, we engage in discussions with other parties relating to possible acquisitions, strategic alliances, joint ventures or other transactions. In this regard, we recently entered into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memorandum of understanding with Toshiba to acquire substantially all the assets of Toshiba's DRAM business as currently conducted by Dominion Semiconductor L.L.C., a wholly-owned subsidiary of Toshiba located in Virginia. The proposed transaction with Toshiba will be subject to regulatory approvals, satisfactory completion of due diligence by the Company and the negotiation and execution of definitive documentation. We are also engaged in preliminary discussions with Hynix Semiconductor Inc. regarding a possible strategic alliance or other transaction. We may not be able to come to agreement on terms acceptable to us with these or other entities regarding such possible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right="360" w:firstLine="172"/>
        <w:spacing w:after="0" w:line="268" w:lineRule="auto"/>
        <w:rPr>
          <w:sz w:val="20"/>
          <w:szCs w:val="20"/>
          <w:color w:val="auto"/>
        </w:rPr>
      </w:pPr>
      <w:r>
        <w:rPr>
          <w:rFonts w:ascii="Arial" w:cs="Arial" w:eastAsia="Arial" w:hAnsi="Arial"/>
          <w:sz w:val="18"/>
          <w:szCs w:val="18"/>
          <w:color w:val="auto"/>
        </w:rPr>
        <w:t>We expect to make future acquisitions where we believe it is advisable to enhance our market position. Acquisitions involve numerous risks, including the following: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increasing our exposure to changes in average selling prices for semiconductor memory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difficulties in integrating the operations, technologies, and products of the acquired companies,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increasing capital expenditures to upgrade and maintain facilities,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increasing debt to finance any acquisition,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diverting management's attention from normal daily operations,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managing larger operations and facilities and employees in separate geographic areas;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hiring and retention of key employees.</w:t>
      </w:r>
    </w:p>
    <w:p>
      <w:pPr>
        <w:sectPr>
          <w:pgSz w:w="11900" w:h="16838" w:orient="portrait"/>
          <w:cols w:equalWidth="0" w:num="1">
            <w:col w:w="11400"/>
          </w:cols>
          <w:pgMar w:left="240" w:top="125" w:right="259" w:bottom="0" w:gutter="0" w:footer="0" w:header="0"/>
        </w:sectPr>
      </w:pPr>
    </w:p>
    <w:bookmarkStart w:id="12" w:name="page13"/>
    <w:bookmarkEnd w:id="12"/>
    <w:p>
      <w:pPr>
        <w:ind w:right="440" w:firstLine="176"/>
        <w:spacing w:after="0" w:line="268" w:lineRule="auto"/>
        <w:rPr>
          <w:sz w:val="20"/>
          <w:szCs w:val="20"/>
          <w:color w:val="auto"/>
        </w:rPr>
      </w:pPr>
      <w:r>
        <w:rPr>
          <w:rFonts w:ascii="Arial" w:cs="Arial" w:eastAsia="Arial" w:hAnsi="Arial"/>
          <w:sz w:val="18"/>
          <w:szCs w:val="18"/>
          <w:color w:val="auto"/>
        </w:rPr>
        <w:t>Mergers and acquisition of high-technology companies are inherently risky, and no assurance can be given that our previous or future acquisitions will be successful and will not materially adversely affect our business, results of operations, or financial condition.</w:t>
      </w:r>
    </w:p>
    <w:p>
      <w:pPr>
        <w:spacing w:after="0" w:line="18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and cash flows could be adversely affected</w:t>
      </w:r>
    </w:p>
    <w:p>
      <w:pPr>
        <w:spacing w:after="0" w:line="180" w:lineRule="exact"/>
        <w:rPr>
          <w:sz w:val="20"/>
          <w:szCs w:val="20"/>
          <w:color w:val="auto"/>
        </w:rPr>
      </w:pPr>
    </w:p>
    <w:p>
      <w:pPr>
        <w:jc w:val="both"/>
        <w:ind w:firstLine="172"/>
        <w:spacing w:after="0" w:line="259" w:lineRule="auto"/>
        <w:rPr>
          <w:sz w:val="20"/>
          <w:szCs w:val="20"/>
          <w:color w:val="auto"/>
        </w:rPr>
      </w:pPr>
      <w:r>
        <w:rPr>
          <w:rFonts w:ascii="Arial" w:cs="Arial" w:eastAsia="Arial" w:hAnsi="Arial"/>
          <w:sz w:val="18"/>
          <w:szCs w:val="18"/>
          <w:color w:val="auto"/>
        </w:rPr>
        <w:t>We supply several major PC customers with more than 30% of their memory requirements. Aggregate sales to three of our PC customers approximated 20% of our net sales in the first quarter of 2002. If any one of our major PC customers significantly reduces its purchases of DRAM from us, our results of operations and cash flows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firstLine="172"/>
        <w:spacing w:after="0" w:line="289"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or have begun to manufacture, semiconductors in facilities that process 300-millimeter ("300mm") wafers. 300mm wafers have approximately 130% greater usable surface area than 200mm wafers, the current industry standard. The widespread use of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Increases in worldwide supply of DRAM, if not offset by increases in demand, could lead to further declines in average selling prices for our products and adversely affect our results of operations, cash flows and financial condition.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40" w:firstLine="176"/>
        <w:spacing w:after="0" w:line="290" w:lineRule="auto"/>
        <w:rPr>
          <w:sz w:val="20"/>
          <w:szCs w:val="20"/>
          <w:color w:val="auto"/>
        </w:rPr>
      </w:pPr>
      <w:r>
        <w:rPr>
          <w:rFonts w:ascii="Arial" w:cs="Arial" w:eastAsia="Arial" w:hAnsi="Arial"/>
          <w:sz w:val="16"/>
          <w:szCs w:val="16"/>
          <w:color w:val="auto"/>
        </w:rPr>
        <w:t>Deteriorating global economic conditions and the effects of terrorist actions or ongoing military actions against terrorists may cause significant disruptions to worldwide commerce. If such disruptions result in delays or cancellations of customer orders, a decrease in corporate spending on information technology or our inability to effectively market, manufacture or ship our products, our business, results of operations and financial condition could be adversely affected. In addition, our ability to raise capital for research and development, capital expenditures and ongoing operations is dependent upon ready access to capital markets. During times of adverse global economic and political conditions, accessibility to capital markets could decrease. If we are unable to access the capital markets over an extended period of time, we may be unable to fund operations, invest in capital expenditures and fully carry out our research and development efforts, which could materially adversely affect our business, results of operations and financial conditions.</w:t>
      </w:r>
    </w:p>
    <w:p>
      <w:pPr>
        <w:spacing w:after="0" w:line="16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memory products from TECH is interrupted, our results of operations could be adversely affected</w:t>
      </w:r>
    </w:p>
    <w:p>
      <w:pPr>
        <w:spacing w:after="0" w:line="180"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TECH currently supplies in excess of 20% of our total megabits of memory produced. We have agreements to purchase all of the production from TECH subject to specific terms and conditions. Any reduction in supply could adversely affect our results of operations and cash flows. TECH has historically been required to seek additional external financing to fund its ongoing operations and transition to next generation technologies. TECH is expected to require financing in the near future in order to continue operations, therefore our source of supply may be interrupted if TECH is unable to obtain required financing. We have pledged $50 million as cash collateral to secure current TECH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reduce per megabit manufacturing costs at the same rate as we have in the past</w:t>
      </w:r>
    </w:p>
    <w:p>
      <w:pPr>
        <w:spacing w:after="0" w:line="231"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In recent years, we have decreased per megabit manufacturing costs through improvements in our manufacturing processes, including reducing the die size of our existing products. In future periods, we may not be able to reduce our per megabit manufacturing costs at historical rates. Our ability to reduce per megabit manufacturing costs in future periods may be affected by the following: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successfully implement product and process technology upgrades,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manufacturing yields may decrease as we implement more complex technologies,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ramp the latest reduced die size versions of existing devices or new generation devices to commercial volumes,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reduction in the scale of our operations, which would result in losing economies of scale.</w:t>
      </w:r>
    </w:p>
    <w:p>
      <w:pPr>
        <w:spacing w:after="0" w:line="21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business, results of operation and financial condition</w:t>
      </w:r>
    </w:p>
    <w:p>
      <w:pPr>
        <w:spacing w:after="0" w:line="180" w:lineRule="exact"/>
        <w:rPr>
          <w:sz w:val="20"/>
          <w:szCs w:val="20"/>
          <w:color w:val="auto"/>
        </w:rPr>
      </w:pPr>
    </w:p>
    <w:p>
      <w:pPr>
        <w:ind w:right="120" w:firstLine="176"/>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Lawsuits between Rambus and us are pending in the United States, Germany, France, the United Kingdom and Italy. On August 28, 2000, we filed a declaratory judgment action against Rambus in the U.S. District Court for the District of Delaware. On February 1, 2001, we amended our complaint. Pursuant to our complaint, we are seeking (1) relief under the federal antitrust laws for violations by Rambus of Section 2 of the Sherman Act; (2) a declaratory judgment that</w:t>
      </w:r>
    </w:p>
    <w:p>
      <w:pPr>
        <w:spacing w:after="0" w:line="2" w:lineRule="exact"/>
        <w:rPr>
          <w:sz w:val="20"/>
          <w:szCs w:val="20"/>
          <w:color w:val="auto"/>
        </w:rPr>
      </w:pPr>
    </w:p>
    <w:p>
      <w:pPr>
        <w:ind w:right="40" w:firstLine="8"/>
        <w:spacing w:after="0" w:line="261" w:lineRule="auto"/>
        <w:tabs>
          <w:tab w:leader="none" w:pos="239"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Rambus patents are not infringed, are invalid and/or are unenforceable, (b) we have an implied license to Rambus' patents, and (c) Rambus is estopped from enforcing its patents against us</w:t>
      </w:r>
    </w:p>
    <w:p>
      <w:pPr>
        <w:sectPr>
          <w:pgSz w:w="11900" w:h="16838" w:orient="portrait"/>
          <w:cols w:equalWidth="0" w:num="1">
            <w:col w:w="11400"/>
          </w:cols>
          <w:pgMar w:left="240" w:top="131" w:right="259" w:bottom="373"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73" w:gutter="0" w:footer="0" w:header="0"/>
          <w:type w:val="continuous"/>
        </w:sectPr>
      </w:pPr>
    </w:p>
    <w:bookmarkStart w:id="13" w:name="page14"/>
    <w:bookmarkEnd w:id="13"/>
    <w:p>
      <w:pPr>
        <w:spacing w:after="0" w:line="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we are entitled to relief and has alleged willful infringement by us of eight Rambus patents. We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74" w:lineRule="exact"/>
        <w:rPr>
          <w:sz w:val="20"/>
          <w:szCs w:val="20"/>
          <w:color w:val="auto"/>
        </w:rPr>
      </w:pPr>
    </w:p>
    <w:p>
      <w:pPr>
        <w:ind w:right="100" w:firstLine="172"/>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foreign sales and operations that could adversely affect our operating results</w:t>
      </w:r>
    </w:p>
    <w:p>
      <w:pPr>
        <w:spacing w:after="0" w:line="231" w:lineRule="exact"/>
        <w:rPr>
          <w:sz w:val="20"/>
          <w:szCs w:val="20"/>
          <w:color w:val="auto"/>
        </w:rPr>
      </w:pPr>
    </w:p>
    <w:p>
      <w:pPr>
        <w:ind w:right="300" w:firstLine="176"/>
        <w:spacing w:after="0" w:line="268" w:lineRule="auto"/>
        <w:rPr>
          <w:sz w:val="20"/>
          <w:szCs w:val="20"/>
          <w:color w:val="auto"/>
        </w:rPr>
      </w:pPr>
      <w:r>
        <w:rPr>
          <w:rFonts w:ascii="Arial" w:cs="Arial" w:eastAsia="Arial" w:hAnsi="Arial"/>
          <w:sz w:val="18"/>
          <w:szCs w:val="18"/>
          <w:color w:val="auto"/>
        </w:rPr>
        <w:t>Foreign sales approximated 50% of our consolidated net sales in the first quarter of 2002. In addition, we have or support manufacturing operations in Italy, Japan, Scotland and Singapore. Our foreign sales and foreign operations are subject to a variety of risks, including: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problems with the transportation or delivery of our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issues arising from cultural or language differences and labor unrest,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longer payment cycles and greater difficulty in collecting accounts receivable,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compliance with a variety of foreign laws.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These factors may adversely affect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in our supply of raw materials could adversely affect our results of operations, cash flows and financial position</w:t>
      </w:r>
    </w:p>
    <w:p>
      <w:pPr>
        <w:spacing w:after="0" w:line="231"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In addition, any transportation problems could delay our receipt of raw materials. Although raw materials shortages or transportation problems have not interrupted our operations in the past, shortages may occur from time to time in the future. Lead times for the supply of raw materials have been extended in the past. If our supply of raw materials is interrupted or our lead times extended, our results of operations could be adversely affected.</w:t>
      </w:r>
    </w:p>
    <w:p>
      <w:pPr>
        <w:spacing w:after="0" w:line="16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120" w:firstLine="176"/>
        <w:spacing w:after="0" w:line="332" w:lineRule="auto"/>
        <w:rPr>
          <w:sz w:val="20"/>
          <w:szCs w:val="20"/>
          <w:color w:val="auto"/>
        </w:rPr>
      </w:pPr>
      <w:r>
        <w:rPr>
          <w:rFonts w:ascii="Arial" w:cs="Arial" w:eastAsia="Arial" w:hAnsi="Arial"/>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qualification procedures, problems with nonconforming, defective or incompatible products occur after we have shipped such products, we could be adversely affected in the following ways: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20"/>
        <w:spacing w:after="0" w:line="261" w:lineRule="auto"/>
        <w:rPr>
          <w:sz w:val="20"/>
          <w:szCs w:val="20"/>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encounter adverse publicity, which could cause a decrease in sales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interrupted, our results of operations and cash flows could be adversely affected</w:t>
      </w:r>
    </w:p>
    <w:p>
      <w:pPr>
        <w:spacing w:after="0" w:line="231" w:lineRule="exact"/>
        <w:rPr>
          <w:sz w:val="20"/>
          <w:szCs w:val="20"/>
          <w:color w:val="auto"/>
        </w:rPr>
      </w:pPr>
    </w:p>
    <w:p>
      <w:pPr>
        <w:ind w:right="20" w:firstLine="172"/>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interrupt production and affect our ability to deliver products on time in a cost-effective manner. Additionally, if production at a fabrication facility is interrupted for any reason, we may be unable to meet our customers' requirements and they may purchase products from other suppliers. The resulting loss of revenues and damage to customer relationships could be significant.</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operations and cash flows could be adversely affected</w:t>
      </w:r>
    </w:p>
    <w:p>
      <w:pPr>
        <w:spacing w:after="0" w:line="180" w:lineRule="exact"/>
        <w:rPr>
          <w:sz w:val="20"/>
          <w:szCs w:val="20"/>
          <w:color w:val="auto"/>
        </w:rPr>
      </w:pPr>
    </w:p>
    <w:p>
      <w:pPr>
        <w:ind w:right="140" w:firstLine="172"/>
        <w:spacing w:after="0" w:line="332"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a slightly higher cost for each wafer, resulting in substantially reduced costs for each die. Several of our</w:t>
      </w:r>
    </w:p>
    <w:p>
      <w:pPr>
        <w:sectPr>
          <w:pgSz w:w="11900" w:h="16858" w:orient="portrait"/>
          <w:cols w:equalWidth="0" w:num="1">
            <w:col w:w="11420"/>
          </w:cols>
          <w:pgMar w:left="240" w:top="131" w:right="239" w:bottom="0" w:gutter="0" w:footer="0" w:header="0"/>
        </w:sectPr>
      </w:pPr>
    </w:p>
    <w:bookmarkStart w:id="14" w:name="page15"/>
    <w:bookmarkEnd w:id="14"/>
    <w:p>
      <w:pPr>
        <w:ind w:right="220"/>
        <w:spacing w:after="0" w:line="294" w:lineRule="auto"/>
        <w:rPr>
          <w:sz w:val="20"/>
          <w:szCs w:val="20"/>
          <w:color w:val="auto"/>
        </w:rPr>
      </w:pPr>
      <w:r>
        <w:rPr>
          <w:rFonts w:ascii="Arial" w:cs="Arial" w:eastAsia="Arial" w:hAnsi="Arial"/>
          <w:sz w:val="16"/>
          <w:szCs w:val="16"/>
          <w:color w:val="auto"/>
        </w:rPr>
        <w:t>competitors are evaluating plans, or have begun, to shift part or all of their memory manufacturing operations to 300mm wafers in the near future. If these competitors are able to transition operations to 300mm wafers before us, we could be at a cost disadvantage.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initial transition to larger wafer sizes. If we are unable to successfully transition to 300mm wafer processing at the appropriate time, our results of operations and cash flows could be adversely affected.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Substantially all of the Company's liquid investments and long-term debt are at fixed interest rates; therefore, the fair value of these instruments is affected by changes in market interest rates. The Company believes that the market risk arising from its holdings of liquid investments is minimal as substantially all of the Company's investments mature within one year. The carrying value of the Company's long-term debt was $490 million at November 29, 2001, and $531 million at August 30, 2001. The functional currency for substantially all of the Company's operations is the U.S. dollar. The Company held aggregate cash and other assets in foreign currency valued at approximately US $218 million as of November 29, 2001, and US $48 million as of August 30, 2001. The Company also held aggregate foreign currency liabilities valued at approximately US $413 million as of November 29, 2001, and US $453 million as of August 30, 2001 (including long-term debt denominated in Yen valued at approximately US $252 million as of November 29, 2001, and US $281 as of August 30, 2001). Foreign currency receivables and payables are comprised primarily of Japanese Yen, Euros, Singapore Dollars and British Pounds.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176"/>
        <w:spacing w:after="0" w:line="282" w:lineRule="auto"/>
        <w:rPr>
          <w:sz w:val="20"/>
          <w:szCs w:val="20"/>
          <w:color w:val="auto"/>
        </w:rPr>
      </w:pPr>
      <w:r>
        <w:rPr>
          <w:rFonts w:ascii="Arial" w:cs="Arial" w:eastAsia="Arial" w:hAnsi="Arial"/>
          <w:sz w:val="16"/>
          <w:szCs w:val="16"/>
          <w:color w:val="auto"/>
        </w:rPr>
        <w:t>On August 28, 2000, the Company filed suit against Rambus, Inc. ("Rambus") in U.S. District Court for the District of Delaware seeking (1) relief under the federal antitrust laws for violations of Section 2 of the Shearman Act; (2) a declaratory judgement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and (3) damages and declaratory relief for Rambus' breach of contract, fraud, deceptive trade practices, negligent misrepresentation, and conduct requiring the application of equitable estoppel.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w:t>
      </w:r>
    </w:p>
    <w:p>
      <w:pPr>
        <w:spacing w:after="0" w:line="5" w:lineRule="exact"/>
        <w:rPr>
          <w:sz w:val="20"/>
          <w:szCs w:val="20"/>
          <w:color w:val="auto"/>
        </w:rPr>
      </w:pPr>
    </w:p>
    <w:p>
      <w:pPr>
        <w:ind w:right="40" w:firstLine="8"/>
        <w:spacing w:after="0" w:line="287"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 certain materials and the entry of a preliminary injunction. On December 21, 2000, an appeals panel of the Court of Monza ordered that the seizure be revoked and held that the Monza court had no jurisdiction to adjudicate the matter. On December 29, 2000, the Company filed suit against Rambus in the Civil Court of Avezzano, Italy, alleging invalidity and non-infringement of the Italian counterpart to European patent 1 004 956. On August 10, 2001, Rambus initiated a preliminary proceeding against the Company and Assitec S.r.l. (an electronics retail store) in the Civil Court of Pavia, Italy, alleging that certain DDR SDRAM products infringe the Italian counterpart to European patent 1 022 642. In August 2001, Rambus filed various papers seeking to add the German counterpart to European patent 1 022 642 to the pending Mannheim case. The Mannheim Court established a separate proceeding for the '642 patent. The Company is unable to predict the outcome of these suits.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Shareholders</w:t>
      </w:r>
    </w:p>
    <w:p>
      <w:pPr>
        <w:spacing w:after="0" w:line="231" w:lineRule="exact"/>
        <w:rPr>
          <w:sz w:val="20"/>
          <w:szCs w:val="20"/>
          <w:color w:val="auto"/>
        </w:rPr>
      </w:pPr>
    </w:p>
    <w:p>
      <w:pPr>
        <w:ind w:right="280" w:firstLine="172"/>
        <w:spacing w:after="0" w:line="268" w:lineRule="auto"/>
        <w:rPr>
          <w:sz w:val="20"/>
          <w:szCs w:val="20"/>
          <w:color w:val="auto"/>
        </w:rPr>
      </w:pPr>
      <w:r>
        <w:rPr>
          <w:rFonts w:ascii="Arial" w:cs="Arial" w:eastAsia="Arial" w:hAnsi="Arial"/>
          <w:sz w:val="18"/>
          <w:szCs w:val="18"/>
          <w:color w:val="auto"/>
        </w:rPr>
        <w:t>The registrant's 2001 Annual Meeting of Shareholders was held on November 27, 2001. At the meeting, the following items were submitted to a vote of the shareholders:</w:t>
      </w:r>
    </w:p>
    <w:p>
      <w:pPr>
        <w:spacing w:after="0" w:line="186" w:lineRule="exact"/>
        <w:rPr>
          <w:sz w:val="20"/>
          <w:szCs w:val="20"/>
          <w:color w:val="auto"/>
        </w:rPr>
      </w:pPr>
    </w:p>
    <w:p>
      <w:pPr>
        <w:ind w:right="100" w:firstLine="184"/>
        <w:spacing w:after="0" w:line="268" w:lineRule="auto"/>
        <w:tabs>
          <w:tab w:leader="none" w:pos="41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3"/>
              </w:rPr>
              <w:t>Votes</w:t>
            </w:r>
          </w:p>
        </w:tc>
        <w:tc>
          <w:tcPr>
            <w:tcW w:w="180" w:type="dxa"/>
            <w:vAlign w:val="bottom"/>
          </w:tcPr>
          <w:p>
            <w:pPr>
              <w:spacing w:after="0"/>
              <w:rPr>
                <w:sz w:val="14"/>
                <w:szCs w:val="14"/>
                <w:color w:val="auto"/>
              </w:rPr>
            </w:pPr>
          </w:p>
        </w:tc>
        <w:tc>
          <w:tcPr>
            <w:tcW w:w="1660" w:type="dxa"/>
            <w:vAlign w:val="bottom"/>
          </w:tcPr>
          <w:p>
            <w:pPr>
              <w:jc w:val="right"/>
              <w:ind w:right="452"/>
              <w:spacing w:after="0"/>
              <w:rPr>
                <w:sz w:val="20"/>
                <w:szCs w:val="20"/>
                <w:color w:val="auto"/>
              </w:rPr>
            </w:pPr>
            <w:r>
              <w:rPr>
                <w:rFonts w:ascii="Arial" w:cs="Arial" w:eastAsia="Arial" w:hAnsi="Arial"/>
                <w:sz w:val="14"/>
                <w:szCs w:val="14"/>
                <w:b w:val="1"/>
                <w:bCs w:val="1"/>
                <w:color w:val="auto"/>
              </w:rPr>
              <w:t>Votes Cast</w:t>
            </w:r>
          </w:p>
        </w:tc>
        <w:tc>
          <w:tcPr>
            <w:tcW w:w="0" w:type="dxa"/>
            <w:vAlign w:val="bottom"/>
          </w:tcPr>
          <w:p>
            <w:pPr>
              <w:spacing w:after="0"/>
              <w:rPr>
                <w:sz w:val="1"/>
                <w:szCs w:val="1"/>
                <w:color w:val="auto"/>
              </w:rPr>
            </w:pPr>
          </w:p>
        </w:tc>
      </w:tr>
      <w:tr>
        <w:trPr>
          <w:trHeight w:val="174"/>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Name of Nominee</w:t>
            </w:r>
          </w:p>
        </w:tc>
        <w:tc>
          <w:tcPr>
            <w:tcW w:w="1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Cast For</w:t>
            </w:r>
          </w:p>
        </w:tc>
        <w:tc>
          <w:tcPr>
            <w:tcW w:w="180" w:type="dxa"/>
            <w:vAlign w:val="bottom"/>
          </w:tcPr>
          <w:p>
            <w:pPr>
              <w:spacing w:after="0"/>
              <w:rPr>
                <w:sz w:val="15"/>
                <w:szCs w:val="15"/>
                <w:color w:val="auto"/>
              </w:rPr>
            </w:pPr>
          </w:p>
        </w:tc>
        <w:tc>
          <w:tcPr>
            <w:tcW w:w="1660" w:type="dxa"/>
            <w:vAlign w:val="bottom"/>
          </w:tcPr>
          <w:p>
            <w:pPr>
              <w:jc w:val="right"/>
              <w:ind w:right="252"/>
              <w:spacing w:after="0"/>
              <w:rPr>
                <w:sz w:val="20"/>
                <w:szCs w:val="20"/>
                <w:color w:val="auto"/>
              </w:rPr>
            </w:pPr>
            <w:r>
              <w:rPr>
                <w:rFonts w:ascii="Arial" w:cs="Arial" w:eastAsia="Arial" w:hAnsi="Arial"/>
                <w:sz w:val="14"/>
                <w:szCs w:val="14"/>
                <w:b w:val="1"/>
                <w:bCs w:val="1"/>
                <w:color w:val="auto"/>
              </w:rPr>
              <w:t>Against/Withheld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452,383,667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62,432,731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James W. Bagley</w:t>
            </w:r>
          </w:p>
        </w:tc>
        <w:tc>
          <w:tcPr>
            <w:tcW w:w="15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492,969,698</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21,846,700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1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511,355,734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Thomas T. Nicholson</w:t>
            </w:r>
          </w:p>
        </w:tc>
        <w:tc>
          <w:tcPr>
            <w:tcW w:w="15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511,443,364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3,373,034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Don J. Simplot</w:t>
            </w:r>
          </w:p>
        </w:tc>
        <w:tc>
          <w:tcPr>
            <w:tcW w:w="1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496,094,373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18,722,025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Gordon C. Smith</w:t>
            </w:r>
          </w:p>
        </w:tc>
        <w:tc>
          <w:tcPr>
            <w:tcW w:w="154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390,539,636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124,276,762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William P. Weber</w:t>
            </w:r>
          </w:p>
        </w:tc>
        <w:tc>
          <w:tcPr>
            <w:tcW w:w="154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511,516,387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-1041400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-1041400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-1041400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-1041400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-1041400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80" w:firstLine="184"/>
        <w:spacing w:after="0" w:line="268" w:lineRule="auto"/>
        <w:tabs>
          <w:tab w:leader="none" w:pos="42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proposal by the Company to approve the 2001 Stock Option plan was approved with 406,263,272 votes in favor, 104,926,467 votes against, 3,626,659 abstentions and 0 broker non-votes.</w:t>
      </w:r>
    </w:p>
    <w:p>
      <w:pPr>
        <w:spacing w:after="0" w:line="185" w:lineRule="exact"/>
        <w:rPr>
          <w:rFonts w:ascii="Arial" w:cs="Arial" w:eastAsia="Arial" w:hAnsi="Arial"/>
          <w:sz w:val="18"/>
          <w:szCs w:val="18"/>
          <w:color w:val="auto"/>
        </w:rPr>
      </w:pPr>
    </w:p>
    <w:p>
      <w:pPr>
        <w:ind w:right="100" w:firstLine="184"/>
        <w:spacing w:after="0" w:line="332" w:lineRule="auto"/>
        <w:tabs>
          <w:tab w:leader="none" w:pos="41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ratification and appointment of PricewaterhouseCoopers LLP as independent public accountants of the Company for the fiscal year ending August 29, 2002, was approved with 497,431,174 votes in favor, 14,500,790 votes against, 2,884,434 abstentions and 0 broker non-votes.</w:t>
      </w:r>
    </w:p>
    <w:p>
      <w:pPr>
        <w:sectPr>
          <w:pgSz w:w="11900" w:h="16838" w:orient="portrait"/>
          <w:cols w:equalWidth="0" w:num="1">
            <w:col w:w="11400"/>
          </w:cols>
          <w:pgMar w:left="240" w:top="131" w:right="259" w:bottom="0" w:gutter="0" w:footer="0" w:header="0"/>
        </w:sectPr>
      </w:pPr>
    </w:p>
    <w:bookmarkStart w:id="15" w:name="page16"/>
    <w:bookmarkEnd w:id="15"/>
    <w:p>
      <w:pPr>
        <w:ind w:right="180" w:firstLine="184"/>
        <w:spacing w:after="0" w:line="268" w:lineRule="auto"/>
        <w:tabs>
          <w:tab w:leader="none" w:pos="42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proposal by a shareholder regarding the nomination of candidates to the Company's Board of Director was denied with 10,069,694 votes in favor, 423,089,002 votes against, 5,352,567 abstentions and 76,305,135 broker non-votes.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filed as a part of this report:</w:t>
      </w:r>
    </w:p>
    <w:p>
      <w:pPr>
        <w:sectPr>
          <w:pgSz w:w="11900" w:h="16838" w:orient="portrait"/>
          <w:cols w:equalWidth="0" w:num="1">
            <w:col w:w="11160"/>
          </w:cols>
          <w:pgMar w:left="240" w:top="131" w:right="499" w:bottom="20" w:gutter="0" w:footer="0" w:header="0"/>
        </w:sect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57848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84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497840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00" w:space="480"/>
            <w:col w:w="9980"/>
          </w:cols>
          <w:pgMar w:left="240" w:top="131" w:right="499" w:bottom="20" w:gutter="0" w:footer="0" w:header="0"/>
          <w:type w:val="continuous"/>
        </w:sectPr>
      </w:pPr>
    </w:p>
    <w:p>
      <w:pPr>
        <w:spacing w:after="0" w:line="4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color w:val="auto"/>
        </w:rPr>
        <w:t>2001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registrant did not file any reports on Form 8-K during the fiscal quarter ended November 29, 2001.</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77470</wp:posOffset>
            </wp:positionV>
            <wp:extent cx="29197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Dated: January 14, 2002</w:t>
      </w:r>
      <w:r>
        <w:rPr>
          <w:sz w:val="20"/>
          <w:szCs w:val="20"/>
          <w:color w:val="auto"/>
        </w:rPr>
        <w:tab/>
      </w:r>
      <w:r>
        <w:rPr>
          <w:rFonts w:ascii="Arial" w:cs="Arial" w:eastAsia="Arial" w:hAnsi="Arial"/>
          <w:sz w:val="16"/>
          <w:szCs w:val="16"/>
          <w:color w:val="auto"/>
        </w:rPr>
        <w:t>/s/ 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77470</wp:posOffset>
            </wp:positionV>
            <wp:extent cx="29197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Wilbur G. Stover, Jr., Vice President of Finance and Chief</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Financial Officer (Principal Financial and Accounting Officer)</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160"/>
          </w:cols>
          <w:pgMar w:left="240" w:top="131" w:right="499" w:bottom="20" w:gutter="0" w:footer="0" w:header="0"/>
          <w:type w:val="continuous"/>
        </w:sectPr>
      </w:pPr>
    </w:p>
    <w:p>
      <w:pPr>
        <w:spacing w:after="0" w:line="227"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57848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84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497840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00" w:space="480"/>
            <w:col w:w="9980"/>
          </w:cols>
          <w:pgMar w:left="240" w:top="131" w:right="499" w:bottom="20" w:gutter="0" w:footer="0" w:header="0"/>
          <w:type w:val="continuous"/>
        </w:sectPr>
      </w:pPr>
    </w:p>
    <w:p>
      <w:pPr>
        <w:spacing w:after="0" w:line="4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5"/>
          <w:szCs w:val="15"/>
          <w:color w:val="auto"/>
        </w:rPr>
        <w:t>2001 Stock Option Plan</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 FINANCIAL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MICRON TECHNOLOGY, INC. CONSOLIDATED STATEMENTS OF OPERATIONS (Amounts in millions except per share amounts) (Unaudited)</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MICRON TECHNOLOGY, INC. CONSOLIDATED BALANCE SHEETS (Amounts in millions except par value amounts)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MICRON TECHNOLOGY, INC. CONSOLIDATED STATEMENTS OF CASH FLOWS (Amounts in millions) (Unaudited)</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MICRON TECHNOLOGY, INC. NOTES TO CONSOLIDATED FINANCIAL STATEMENTS (All tabular amounts in millions except per share amounts)</w:t>
        </w:r>
      </w:hyperlink>
    </w:p>
    <w:p>
      <w:pPr>
        <w:spacing w:after="0" w:line="242" w:lineRule="exact"/>
        <w:rPr>
          <w:sz w:val="20"/>
          <w:szCs w:val="20"/>
          <w:color w:val="auto"/>
        </w:rPr>
      </w:pPr>
    </w:p>
    <w:p>
      <w:pPr>
        <w:ind w:left="540" w:right="3780"/>
        <w:spacing w:after="0" w:line="268"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Item 3. Quantitative and Qualitative Disclosures about Market Risk</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4. Submission of Matters to a Vote of Shareholders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6. Exhibits and Reports on Form 8-K</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EXHIBIT INDEX</w:t>
        </w:r>
      </w:hyperlink>
    </w:p>
    <w:p>
      <w:pPr>
        <w:sectPr>
          <w:pgSz w:w="11900" w:h="16838" w:orient="portrait"/>
          <w:cols w:equalWidth="0" w:num="1">
            <w:col w:w="11160"/>
          </w:cols>
          <w:pgMar w:left="240" w:top="131" w:right="499" w:bottom="20" w:gutter="0" w:footer="0" w:header="0"/>
          <w:type w:val="continuous"/>
        </w:sectPr>
      </w:pPr>
    </w:p>
    <w:bookmarkStart w:id="16" w:name="page17"/>
    <w:bookmarkEnd w:id="16"/>
    <w:p>
      <w:pPr>
        <w:spacing w:after="0"/>
        <w:rPr>
          <w:rFonts w:ascii="Arial" w:cs="Arial" w:eastAsia="Arial" w:hAnsi="Arial"/>
          <w:sz w:val="22"/>
          <w:szCs w:val="22"/>
          <w:color w:val="0000EE"/>
        </w:rPr>
      </w:pPr>
      <w:hyperlink w:anchor="page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2001 STOCK OPTION PLAN</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Purposes of the Plan.</w:t>
      </w:r>
      <w:r>
        <w:rPr>
          <w:rFonts w:ascii="Arial" w:cs="Arial" w:eastAsia="Arial" w:hAnsi="Arial"/>
          <w:sz w:val="18"/>
          <w:szCs w:val="18"/>
          <w:color w:val="auto"/>
        </w:rPr>
        <w:t xml:space="preserve"> The purposes of this Stock Option Plan are: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attract and retain the best available personnel for positions of substantial responsibility,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provide additional incentive to Employees, Directors, and Consultants,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 promote the success of the Company's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48" w:lineRule="exact"/>
        <w:rPr>
          <w:sz w:val="20"/>
          <w:szCs w:val="20"/>
          <w:color w:val="auto"/>
        </w:rPr>
      </w:pPr>
    </w:p>
    <w:p>
      <w:pPr>
        <w:ind w:left="400" w:hanging="216"/>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following definitions shall apply:</w:t>
      </w:r>
    </w:p>
    <w:p>
      <w:pPr>
        <w:spacing w:after="0" w:line="225" w:lineRule="exact"/>
        <w:rPr>
          <w:rFonts w:ascii="Arial" w:cs="Arial" w:eastAsia="Arial" w:hAnsi="Arial"/>
          <w:sz w:val="18"/>
          <w:szCs w:val="18"/>
          <w:color w:val="auto"/>
        </w:rPr>
      </w:pPr>
    </w:p>
    <w:p>
      <w:pPr>
        <w:ind w:left="960" w:hanging="236"/>
        <w:spacing w:after="0"/>
        <w:tabs>
          <w:tab w:leader="none" w:pos="960"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Administrator</w:t>
      </w:r>
      <w:r>
        <w:rPr>
          <w:rFonts w:ascii="Arial" w:cs="Arial" w:eastAsia="Arial" w:hAnsi="Arial"/>
          <w:sz w:val="16"/>
          <w:szCs w:val="16"/>
          <w:color w:val="auto"/>
        </w:rPr>
        <w:t>" means the Board or any of its Committees as shall be administering the Plan, in accordance with Section 4 of the Plan.</w:t>
      </w:r>
    </w:p>
    <w:p>
      <w:pPr>
        <w:spacing w:after="0" w:line="248" w:lineRule="exact"/>
        <w:rPr>
          <w:rFonts w:ascii="Arial" w:cs="Arial" w:eastAsia="Arial" w:hAnsi="Arial"/>
          <w:sz w:val="16"/>
          <w:szCs w:val="16"/>
          <w:color w:val="auto"/>
        </w:rPr>
      </w:pPr>
    </w:p>
    <w:p>
      <w:pPr>
        <w:ind w:left="540" w:right="180" w:firstLine="184"/>
        <w:spacing w:after="0" w:line="268"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the legal requirements relating to the administration of stock option plans under Delaware corporate and securities laws and the Code.</w:t>
      </w:r>
    </w:p>
    <w:p>
      <w:pPr>
        <w:spacing w:after="0" w:line="185" w:lineRule="exact"/>
        <w:rPr>
          <w:rFonts w:ascii="Arial" w:cs="Arial" w:eastAsia="Arial" w:hAnsi="Arial"/>
          <w:sz w:val="18"/>
          <w:szCs w:val="18"/>
          <w:color w:val="auto"/>
        </w:rPr>
      </w:pPr>
    </w:p>
    <w:p>
      <w:pPr>
        <w:ind w:left="960" w:hanging="236"/>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540" w:firstLine="184"/>
        <w:spacing w:after="0" w:line="268"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the acquisition by any person or entity, directly, indirectly or beneficially, acting alone or in concert, of more than thirty-five percent (35%) of the Common Stock of the Company outstanding at any time.</w:t>
      </w:r>
    </w:p>
    <w:p>
      <w:pPr>
        <w:spacing w:after="0" w:line="185" w:lineRule="exact"/>
        <w:rPr>
          <w:rFonts w:ascii="Arial" w:cs="Arial" w:eastAsia="Arial" w:hAnsi="Arial"/>
          <w:sz w:val="18"/>
          <w:szCs w:val="18"/>
          <w:color w:val="auto"/>
        </w:rPr>
      </w:pPr>
    </w:p>
    <w:p>
      <w:pPr>
        <w:ind w:left="960" w:hanging="236"/>
        <w:spacing w:after="0"/>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a Committee appointed by the Board in accordance with Section 4 of the Plan.</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Micron Technology, Inc., a Delaware corporation.</w:t>
      </w:r>
    </w:p>
    <w:p>
      <w:pPr>
        <w:spacing w:after="0" w:line="225" w:lineRule="exact"/>
        <w:rPr>
          <w:rFonts w:ascii="Arial" w:cs="Arial" w:eastAsia="Arial" w:hAnsi="Arial"/>
          <w:sz w:val="18"/>
          <w:szCs w:val="18"/>
          <w:color w:val="auto"/>
        </w:rPr>
      </w:pPr>
    </w:p>
    <w:p>
      <w:pPr>
        <w:ind w:left="540" w:right="940" w:firstLine="184"/>
        <w:spacing w:after="0" w:line="268" w:lineRule="auto"/>
        <w:tabs>
          <w:tab w:leader="none" w:pos="969"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means any person, including an advisor, engaged by the Company or a Parent or Subsidiary to render services and who is compensated for such services.</w:t>
      </w:r>
    </w:p>
    <w:p>
      <w:pPr>
        <w:spacing w:after="0" w:line="185" w:lineRule="exact"/>
        <w:rPr>
          <w:rFonts w:ascii="Arial" w:cs="Arial" w:eastAsia="Arial" w:hAnsi="Arial"/>
          <w:sz w:val="18"/>
          <w:szCs w:val="18"/>
          <w:color w:val="auto"/>
        </w:rPr>
      </w:pPr>
    </w:p>
    <w:p>
      <w:pPr>
        <w:ind w:left="540" w:right="40" w:firstLine="184"/>
        <w:spacing w:after="0" w:line="289" w:lineRule="auto"/>
        <w:tabs>
          <w:tab w:leader="none" w:pos="969"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Continuous Status as an Employee or Consultant</w:t>
      </w:r>
      <w:r>
        <w:rPr>
          <w:rFonts w:ascii="Arial" w:cs="Arial" w:eastAsia="Arial" w:hAnsi="Arial"/>
          <w:sz w:val="16"/>
          <w:szCs w:val="16"/>
          <w:color w:val="auto"/>
        </w:rPr>
        <w:t>" means that the employment or consulting relationship with the Company, any Parent, or Subsidiary, is not 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2" w:lineRule="exact"/>
        <w:rPr>
          <w:rFonts w:ascii="Arial" w:cs="Arial" w:eastAsia="Arial" w:hAnsi="Arial"/>
          <w:sz w:val="16"/>
          <w:szCs w:val="16"/>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means total and permanent disability as defined in Section 22(e)(3) of the Code.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160" w:firstLine="184"/>
        <w:spacing w:after="0" w:line="332" w:lineRule="auto"/>
        <w:tabs>
          <w:tab w:leader="none" w:pos="1013" w:val="left"/>
        </w:tabs>
        <w:numPr>
          <w:ilvl w:val="1"/>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39" w:lineRule="exact"/>
        <w:rPr>
          <w:rFonts w:ascii="Arial" w:cs="Arial" w:eastAsia="Arial" w:hAnsi="Arial"/>
          <w:sz w:val="16"/>
          <w:szCs w:val="16"/>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left="1080" w:right="60" w:firstLine="184"/>
        <w:spacing w:after="0" w:line="255" w:lineRule="auto"/>
        <w:tabs>
          <w:tab w:leader="none" w:pos="1509"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8"/>
          <w:szCs w:val="18"/>
          <w:i w:val="1"/>
          <w:iCs w:val="1"/>
          <w:color w:val="auto"/>
        </w:rPr>
        <w:t>Bloomberg L.L.P.</w:t>
      </w:r>
      <w:r>
        <w:rPr>
          <w:rFonts w:ascii="Arial" w:cs="Arial" w:eastAsia="Arial" w:hAnsi="Arial"/>
          <w:sz w:val="18"/>
          <w:szCs w:val="18"/>
          <w:color w:val="auto"/>
        </w:rPr>
        <w:t xml:space="preserve"> or such other source as the Administrator deems reliable;</w:t>
      </w:r>
    </w:p>
    <w:p>
      <w:pPr>
        <w:spacing w:after="0" w:line="196" w:lineRule="exact"/>
        <w:rPr>
          <w:rFonts w:ascii="Arial" w:cs="Arial" w:eastAsia="Arial" w:hAnsi="Arial"/>
          <w:sz w:val="18"/>
          <w:szCs w:val="18"/>
          <w:color w:val="auto"/>
        </w:rPr>
      </w:pPr>
    </w:p>
    <w:p>
      <w:pPr>
        <w:ind w:left="1080" w:right="40" w:firstLine="184"/>
        <w:spacing w:after="0" w:line="370" w:lineRule="auto"/>
        <w:tabs>
          <w:tab w:leader="none" w:pos="1514" w:val="left"/>
        </w:tabs>
        <w:numPr>
          <w:ilvl w:val="2"/>
          <w:numId w:val="8"/>
        </w:numPr>
        <w:rPr>
          <w:rFonts w:ascii="Arial" w:cs="Arial" w:eastAsia="Arial" w:hAnsi="Arial"/>
          <w:sz w:val="15"/>
          <w:szCs w:val="15"/>
          <w:color w:val="auto"/>
        </w:rPr>
      </w:pPr>
      <w:r>
        <w:rPr>
          <w:rFonts w:ascii="Arial" w:cs="Arial" w:eastAsia="Arial" w:hAnsi="Arial"/>
          <w:sz w:val="15"/>
          <w:szCs w:val="15"/>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-2272030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0" w:gutter="0" w:footer="0" w:header="0"/>
        </w:sectPr>
      </w:pPr>
    </w:p>
    <w:bookmarkStart w:id="17" w:name="page18"/>
    <w:bookmarkEnd w:id="17"/>
    <w:p>
      <w:pPr>
        <w:ind w:left="1080" w:right="160"/>
        <w:spacing w:after="0" w:line="268" w:lineRule="auto"/>
        <w:rPr>
          <w:sz w:val="20"/>
          <w:szCs w:val="20"/>
          <w:color w:val="auto"/>
        </w:rPr>
      </w:pPr>
      <w:r>
        <w:rPr>
          <w:rFonts w:ascii="Arial" w:cs="Arial" w:eastAsia="Arial" w:hAnsi="Arial"/>
          <w:sz w:val="18"/>
          <w:szCs w:val="18"/>
          <w:color w:val="auto"/>
        </w:rPr>
        <w:t xml:space="preserve">Stock on the last market trading day prior to the day of determination, as reported by </w:t>
      </w:r>
      <w:r>
        <w:rPr>
          <w:rFonts w:ascii="Arial" w:cs="Arial" w:eastAsia="Arial" w:hAnsi="Arial"/>
          <w:sz w:val="18"/>
          <w:szCs w:val="18"/>
          <w:i w:val="1"/>
          <w:iCs w:val="1"/>
          <w:color w:val="auto"/>
        </w:rPr>
        <w:t>Bloomberg L.L.P.</w:t>
      </w:r>
      <w:r>
        <w:rPr>
          <w:rFonts w:ascii="Arial" w:cs="Arial" w:eastAsia="Arial" w:hAnsi="Arial"/>
          <w:sz w:val="18"/>
          <w:szCs w:val="18"/>
          <w:color w:val="auto"/>
        </w:rPr>
        <w:t xml:space="preserve"> or such other source as the Administrator deems reliable;</w:t>
      </w:r>
    </w:p>
    <w:p>
      <w:pPr>
        <w:spacing w:after="0" w:line="186" w:lineRule="exact"/>
        <w:rPr>
          <w:sz w:val="20"/>
          <w:szCs w:val="20"/>
          <w:color w:val="auto"/>
        </w:rPr>
      </w:pPr>
    </w:p>
    <w:p>
      <w:pPr>
        <w:ind w:left="1080" w:right="960" w:firstLine="184"/>
        <w:spacing w:after="0" w:line="268" w:lineRule="auto"/>
        <w:tabs>
          <w:tab w:leader="none" w:pos="1563"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shall be determined in good faith by the Administrator.</w:t>
      </w:r>
    </w:p>
    <w:p>
      <w:pPr>
        <w:spacing w:after="0" w:line="185" w:lineRule="exact"/>
        <w:rPr>
          <w:rFonts w:ascii="Arial" w:cs="Arial" w:eastAsia="Arial" w:hAnsi="Arial"/>
          <w:sz w:val="18"/>
          <w:szCs w:val="18"/>
          <w:color w:val="auto"/>
        </w:rPr>
      </w:pPr>
    </w:p>
    <w:p>
      <w:pPr>
        <w:ind w:left="540" w:right="620" w:firstLine="184"/>
        <w:spacing w:after="0" w:line="268"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185" w:lineRule="exact"/>
        <w:rPr>
          <w:rFonts w:ascii="Arial" w:cs="Arial" w:eastAsia="Arial" w:hAnsi="Arial"/>
          <w:sz w:val="18"/>
          <w:szCs w:val="18"/>
          <w:color w:val="auto"/>
        </w:rPr>
      </w:pPr>
    </w:p>
    <w:p>
      <w:pPr>
        <w:ind w:left="980" w:hanging="25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225" w:lineRule="exact"/>
        <w:rPr>
          <w:rFonts w:ascii="Arial" w:cs="Arial" w:eastAsia="Arial" w:hAnsi="Arial"/>
          <w:sz w:val="18"/>
          <w:szCs w:val="18"/>
          <w:color w:val="auto"/>
        </w:rPr>
      </w:pPr>
    </w:p>
    <w:p>
      <w:pPr>
        <w:ind w:left="540" w:firstLine="184"/>
        <w:spacing w:after="0" w:line="268" w:lineRule="auto"/>
        <w:tabs>
          <w:tab w:leader="none" w:pos="9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Grant</w:t>
      </w:r>
      <w:r>
        <w:rPr>
          <w:rFonts w:ascii="Arial" w:cs="Arial" w:eastAsia="Arial" w:hAnsi="Arial"/>
          <w:sz w:val="18"/>
          <w:szCs w:val="18"/>
          <w:color w:val="auto"/>
        </w:rPr>
        <w:t>" means a written notice evidencing certain terms and conditions of an individual Option grant. The Notice of Grant is subject to the terms and conditions of the Option Agreement.</w:t>
      </w:r>
    </w:p>
    <w:p>
      <w:pPr>
        <w:spacing w:after="0" w:line="185" w:lineRule="exact"/>
        <w:rPr>
          <w:rFonts w:ascii="Arial" w:cs="Arial" w:eastAsia="Arial" w:hAnsi="Arial"/>
          <w:sz w:val="18"/>
          <w:szCs w:val="18"/>
          <w:color w:val="auto"/>
        </w:rPr>
      </w:pPr>
    </w:p>
    <w:p>
      <w:pPr>
        <w:ind w:left="540" w:right="360" w:firstLine="184"/>
        <w:spacing w:after="0" w:line="268" w:lineRule="auto"/>
        <w:tabs>
          <w:tab w:leader="none" w:pos="9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85" w:lineRule="exact"/>
        <w:rPr>
          <w:rFonts w:ascii="Arial" w:cs="Arial" w:eastAsia="Arial" w:hAnsi="Arial"/>
          <w:sz w:val="18"/>
          <w:szCs w:val="18"/>
          <w:color w:val="auto"/>
        </w:rPr>
      </w:pPr>
    </w:p>
    <w:p>
      <w:pPr>
        <w:ind w:left="980" w:hanging="25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stock option granted pursuant to the Plan.</w:t>
      </w:r>
    </w:p>
    <w:p>
      <w:pPr>
        <w:spacing w:after="0" w:line="225" w:lineRule="exact"/>
        <w:rPr>
          <w:rFonts w:ascii="Arial" w:cs="Arial" w:eastAsia="Arial" w:hAnsi="Arial"/>
          <w:sz w:val="18"/>
          <w:szCs w:val="18"/>
          <w:color w:val="auto"/>
        </w:rPr>
      </w:pPr>
    </w:p>
    <w:p>
      <w:pPr>
        <w:ind w:left="540" w:firstLine="184"/>
        <w:spacing w:after="0" w:line="268"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The Option Agreement is subject to the terms and conditions of the Plan.</w:t>
      </w:r>
    </w:p>
    <w:p>
      <w:pPr>
        <w:spacing w:after="0" w:line="185" w:lineRule="exact"/>
        <w:rPr>
          <w:rFonts w:ascii="Arial" w:cs="Arial" w:eastAsia="Arial" w:hAnsi="Arial"/>
          <w:sz w:val="18"/>
          <w:szCs w:val="18"/>
          <w:color w:val="auto"/>
        </w:rPr>
      </w:pPr>
    </w:p>
    <w:p>
      <w:pPr>
        <w:ind w:left="980" w:hanging="25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Optioned Stock</w:t>
      </w:r>
      <w:r>
        <w:rPr>
          <w:rFonts w:ascii="Arial" w:cs="Arial" w:eastAsia="Arial" w:hAnsi="Arial"/>
          <w:sz w:val="18"/>
          <w:szCs w:val="18"/>
          <w:color w:val="auto"/>
        </w:rPr>
        <w:t>" means the Common Stock subject to an Option.</w:t>
      </w:r>
    </w:p>
    <w:p>
      <w:pPr>
        <w:spacing w:after="0" w:line="225" w:lineRule="exact"/>
        <w:rPr>
          <w:rFonts w:ascii="Arial" w:cs="Arial" w:eastAsia="Arial" w:hAnsi="Arial"/>
          <w:sz w:val="18"/>
          <w:szCs w:val="18"/>
          <w:color w:val="auto"/>
        </w:rPr>
      </w:pPr>
    </w:p>
    <w:p>
      <w:pPr>
        <w:ind w:left="1020" w:hanging="296"/>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Optionee</w:t>
      </w:r>
      <w:r>
        <w:rPr>
          <w:rFonts w:ascii="Arial" w:cs="Arial" w:eastAsia="Arial" w:hAnsi="Arial"/>
          <w:sz w:val="18"/>
          <w:szCs w:val="18"/>
          <w:color w:val="auto"/>
        </w:rPr>
        <w:t>" means an Employee or Consultant who holds an outstanding</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980" w:hanging="25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2001 Option Plan.</w:t>
      </w:r>
    </w:p>
    <w:p>
      <w:pPr>
        <w:spacing w:after="0" w:line="225" w:lineRule="exact"/>
        <w:rPr>
          <w:rFonts w:ascii="Arial" w:cs="Arial" w:eastAsia="Arial" w:hAnsi="Arial"/>
          <w:sz w:val="18"/>
          <w:szCs w:val="18"/>
          <w:color w:val="auto"/>
        </w:rPr>
      </w:pPr>
    </w:p>
    <w:p>
      <w:pPr>
        <w:ind w:left="540" w:right="100" w:firstLine="184"/>
        <w:spacing w:after="0" w:line="268" w:lineRule="auto"/>
        <w:tabs>
          <w:tab w:leader="none" w:pos="9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16b-3</w:t>
      </w:r>
      <w:r>
        <w:rPr>
          <w:rFonts w:ascii="Arial" w:cs="Arial" w:eastAsia="Arial" w:hAnsi="Arial"/>
          <w:sz w:val="18"/>
          <w:szCs w:val="18"/>
          <w:color w:val="auto"/>
        </w:rPr>
        <w:t>" means Rule 16b-3 of the Exchange Act or any successor to Rule 16b-3, as in effect when discretion is being exercised with respect to the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40" w:hanging="316"/>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w:t>
      </w:r>
      <w:r>
        <w:rPr>
          <w:rFonts w:ascii="Arial" w:cs="Arial" w:eastAsia="Arial" w:hAnsi="Arial"/>
          <w:sz w:val="16"/>
          <w:szCs w:val="16"/>
          <w:color w:val="auto"/>
        </w:rPr>
        <w:t>" means a share of the Common Stock, as adjusted in accordance with Section 12 of the Plan.</w:t>
      </w:r>
    </w:p>
    <w:p>
      <w:pPr>
        <w:spacing w:after="0" w:line="248" w:lineRule="exact"/>
        <w:rPr>
          <w:rFonts w:ascii="Arial" w:cs="Arial" w:eastAsia="Arial" w:hAnsi="Arial"/>
          <w:sz w:val="16"/>
          <w:szCs w:val="16"/>
          <w:color w:val="auto"/>
        </w:rPr>
      </w:pPr>
    </w:p>
    <w:p>
      <w:pPr>
        <w:ind w:left="540" w:right="20" w:firstLine="184"/>
        <w:spacing w:after="0" w:line="259" w:lineRule="auto"/>
        <w:tabs>
          <w:tab w:leader="none" w:pos="10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94" w:lineRule="exact"/>
        <w:rPr>
          <w:sz w:val="20"/>
          <w:szCs w:val="20"/>
          <w:color w:val="auto"/>
        </w:rPr>
      </w:pPr>
    </w:p>
    <w:p>
      <w:pPr>
        <w:ind w:right="200" w:firstLine="184"/>
        <w:spacing w:after="0" w:line="268" w:lineRule="auto"/>
        <w:tabs>
          <w:tab w:leader="none" w:pos="39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Stock Subject to the Plan. </w:t>
      </w:r>
      <w:r>
        <w:rPr>
          <w:rFonts w:ascii="Arial" w:cs="Arial" w:eastAsia="Arial" w:hAnsi="Arial"/>
          <w:sz w:val="18"/>
          <w:szCs w:val="18"/>
          <w:color w:val="auto"/>
        </w:rPr>
        <w:t>Subject to the provisions of Section 12 of the Plan, the maximum aggregate number of Shares which may be optioned and sold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is 10,000,000 Shares. The Shares may be authorized, but unissued, or reacquired Common Stock.</w:t>
      </w:r>
    </w:p>
    <w:p>
      <w:pPr>
        <w:spacing w:after="0" w:line="186" w:lineRule="exact"/>
        <w:rPr>
          <w:sz w:val="20"/>
          <w:szCs w:val="20"/>
          <w:color w:val="auto"/>
        </w:rPr>
      </w:pPr>
    </w:p>
    <w:p>
      <w:pPr>
        <w:ind w:right="340" w:firstLine="176"/>
        <w:spacing w:after="0" w:line="306"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Shares that have actually been issued under the Plan shall not be returned to the Plan and shall not become available for future distribution under the Plan.</w:t>
      </w:r>
    </w:p>
    <w:p>
      <w:pPr>
        <w:spacing w:after="0" w:line="161" w:lineRule="exact"/>
        <w:rPr>
          <w:sz w:val="20"/>
          <w:szCs w:val="20"/>
          <w:color w:val="auto"/>
        </w:rPr>
      </w:pPr>
    </w:p>
    <w:p>
      <w:pPr>
        <w:ind w:left="400" w:hanging="216"/>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rFonts w:ascii="Arial" w:cs="Arial" w:eastAsia="Arial" w:hAnsi="Arial"/>
          <w:sz w:val="18"/>
          <w:szCs w:val="18"/>
          <w:color w:val="auto"/>
        </w:rPr>
      </w:pPr>
    </w:p>
    <w:p>
      <w:pPr>
        <w:ind w:left="540" w:right="60" w:firstLine="184"/>
        <w:spacing w:after="0" w:line="287" w:lineRule="auto"/>
        <w:tabs>
          <w:tab w:leader="none" w:pos="954"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The Plan shall be administered by a Committee appointed by the Board (which Committee shall consist of two or more directors) or,</w:t>
      </w:r>
      <w:r>
        <w:rPr>
          <w:rFonts w:ascii="Arial" w:cs="Arial" w:eastAsia="Arial" w:hAnsi="Arial"/>
          <w:sz w:val="16"/>
          <w:szCs w:val="16"/>
          <w:i w:val="1"/>
          <w:iCs w:val="1"/>
          <w:color w:val="auto"/>
        </w:rPr>
        <w:t xml:space="preserve"> </w:t>
      </w:r>
      <w:r>
        <w:rPr>
          <w:rFonts w:ascii="Arial" w:cs="Arial" w:eastAsia="Arial" w:hAnsi="Arial"/>
          <w:sz w:val="16"/>
          <w:szCs w:val="16"/>
          <w:color w:val="auto"/>
        </w:rPr>
        <w:t>at the 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76" w:lineRule="exact"/>
        <w:rPr>
          <w:rFonts w:ascii="Arial" w:cs="Arial" w:eastAsia="Arial" w:hAnsi="Arial"/>
          <w:sz w:val="16"/>
          <w:szCs w:val="16"/>
          <w:color w:val="auto"/>
        </w:rPr>
      </w:pPr>
    </w:p>
    <w:p>
      <w:pPr>
        <w:ind w:left="540" w:right="280" w:firstLine="184"/>
        <w:spacing w:after="0" w:line="268"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Powers of the Administrator. </w:t>
      </w:r>
      <w:r>
        <w:rPr>
          <w:rFonts w:ascii="Arial" w:cs="Arial" w:eastAsia="Arial" w:hAnsi="Arial"/>
          <w:sz w:val="18"/>
          <w:szCs w:val="18"/>
          <w:color w:val="auto"/>
        </w:rPr>
        <w:t>Subject to the provisions of the Plan, and in the case of a Committee, subject to the specific duties delegated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such Committee, the Administrator shall have the authority, in its discretion:</w:t>
      </w:r>
    </w:p>
    <w:p>
      <w:pPr>
        <w:spacing w:after="0" w:line="185" w:lineRule="exact"/>
        <w:rPr>
          <w:rFonts w:ascii="Arial" w:cs="Arial" w:eastAsia="Arial" w:hAnsi="Arial"/>
          <w:sz w:val="18"/>
          <w:szCs w:val="18"/>
          <w:color w:val="auto"/>
        </w:rPr>
      </w:pPr>
    </w:p>
    <w:p>
      <w:pPr>
        <w:ind w:left="1520" w:hanging="256"/>
        <w:spacing w:after="0"/>
        <w:tabs>
          <w:tab w:leader="none" w:pos="15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 of the Plan;</w:t>
      </w:r>
    </w:p>
    <w:p>
      <w:pPr>
        <w:spacing w:after="0" w:line="225" w:lineRule="exact"/>
        <w:rPr>
          <w:rFonts w:ascii="Arial" w:cs="Arial" w:eastAsia="Arial" w:hAnsi="Arial"/>
          <w:sz w:val="18"/>
          <w:szCs w:val="18"/>
          <w:color w:val="auto"/>
        </w:rPr>
      </w:pPr>
    </w:p>
    <w:p>
      <w:pPr>
        <w:ind w:left="1520" w:hanging="256"/>
        <w:spacing w:after="0"/>
        <w:tabs>
          <w:tab w:leader="none" w:pos="15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Options may be granted hereunder;</w:t>
      </w:r>
    </w:p>
    <w:p>
      <w:pPr>
        <w:spacing w:after="0" w:line="225" w:lineRule="exact"/>
        <w:rPr>
          <w:rFonts w:ascii="Arial" w:cs="Arial" w:eastAsia="Arial" w:hAnsi="Arial"/>
          <w:sz w:val="18"/>
          <w:szCs w:val="18"/>
          <w:color w:val="auto"/>
        </w:rPr>
      </w:pPr>
    </w:p>
    <w:p>
      <w:pPr>
        <w:ind w:left="1580" w:hanging="316"/>
        <w:spacing w:after="0"/>
        <w:tabs>
          <w:tab w:leader="none" w:pos="15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determine whether and to what extent Options are granted</w:t>
      </w:r>
    </w:p>
    <w:p>
      <w:pPr>
        <w:spacing w:after="0" w:line="225" w:lineRule="exact"/>
        <w:rPr>
          <w:rFonts w:ascii="Arial" w:cs="Arial" w:eastAsia="Arial" w:hAnsi="Arial"/>
          <w:sz w:val="18"/>
          <w:szCs w:val="18"/>
          <w:color w:val="auto"/>
        </w:rPr>
      </w:pPr>
    </w:p>
    <w:p>
      <w:pPr>
        <w:ind w:left="1560" w:hanging="296"/>
        <w:spacing w:after="0"/>
        <w:tabs>
          <w:tab w:leader="none" w:pos="15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Option granted hereunder;</w:t>
      </w:r>
    </w:p>
    <w:p>
      <w:pPr>
        <w:spacing w:after="0" w:line="225" w:lineRule="exact"/>
        <w:rPr>
          <w:rFonts w:ascii="Arial" w:cs="Arial" w:eastAsia="Arial" w:hAnsi="Arial"/>
          <w:sz w:val="18"/>
          <w:szCs w:val="18"/>
          <w:color w:val="auto"/>
        </w:rPr>
      </w:pPr>
    </w:p>
    <w:p>
      <w:pPr>
        <w:ind w:left="1520" w:hanging="256"/>
        <w:spacing w:after="0"/>
        <w:tabs>
          <w:tab w:leader="none" w:pos="152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approve forms of agreement for use under the Plan;</w:t>
      </w:r>
    </w:p>
    <w:p>
      <w:pPr>
        <w:sectPr>
          <w:pgSz w:w="11900" w:h="16838" w:orient="portrait"/>
          <w:cols w:equalWidth="0" w:num="1">
            <w:col w:w="11400"/>
          </w:cols>
          <w:pgMar w:left="240" w:top="131" w:right="259" w:bottom="134" w:gutter="0" w:footer="0" w:header="0"/>
        </w:sectPr>
      </w:pPr>
    </w:p>
    <w:bookmarkStart w:id="18" w:name="page19"/>
    <w:bookmarkEnd w:id="18"/>
    <w:p>
      <w:pPr>
        <w:ind w:left="1080" w:right="660" w:firstLine="184"/>
        <w:spacing w:after="0" w:line="370" w:lineRule="auto"/>
        <w:tabs>
          <w:tab w:leader="none" w:pos="1553"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300"/>
        <w:spacing w:after="0" w:line="332" w:lineRule="auto"/>
        <w:rPr>
          <w:sz w:val="20"/>
          <w:szCs w:val="20"/>
          <w:color w:val="auto"/>
        </w:rPr>
      </w:pPr>
      <w:r>
        <w:rPr>
          <w:rFonts w:ascii="Arial" w:cs="Arial" w:eastAsia="Arial" w:hAnsi="Arial"/>
          <w:sz w:val="16"/>
          <w:szCs w:val="16"/>
          <w:color w:val="auto"/>
        </w:rPr>
        <w:t>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39" w:lineRule="exact"/>
        <w:rPr>
          <w:sz w:val="20"/>
          <w:szCs w:val="20"/>
          <w:color w:val="auto"/>
        </w:rPr>
      </w:pPr>
    </w:p>
    <w:p>
      <w:pPr>
        <w:ind w:left="1620" w:hanging="356"/>
        <w:spacing w:after="0"/>
        <w:tabs>
          <w:tab w:leader="none" w:pos="16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225" w:lineRule="exact"/>
        <w:rPr>
          <w:rFonts w:ascii="Arial" w:cs="Arial" w:eastAsia="Arial" w:hAnsi="Arial"/>
          <w:sz w:val="18"/>
          <w:szCs w:val="18"/>
          <w:color w:val="auto"/>
        </w:rPr>
      </w:pPr>
    </w:p>
    <w:p>
      <w:pPr>
        <w:ind w:left="1080" w:right="20" w:firstLine="184"/>
        <w:spacing w:after="0" w:line="268" w:lineRule="auto"/>
        <w:tabs>
          <w:tab w:leader="none" w:pos="1651"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5" w:lineRule="exact"/>
        <w:rPr>
          <w:rFonts w:ascii="Arial" w:cs="Arial" w:eastAsia="Arial" w:hAnsi="Arial"/>
          <w:sz w:val="18"/>
          <w:szCs w:val="18"/>
          <w:color w:val="auto"/>
        </w:rPr>
      </w:pPr>
    </w:p>
    <w:p>
      <w:pPr>
        <w:ind w:left="1080" w:right="40" w:firstLine="184"/>
        <w:spacing w:after="0" w:line="268" w:lineRule="auto"/>
        <w:tabs>
          <w:tab w:leader="none" w:pos="1553"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 and</w:t>
      </w:r>
    </w:p>
    <w:p>
      <w:pPr>
        <w:spacing w:after="0" w:line="185" w:lineRule="exact"/>
        <w:rPr>
          <w:rFonts w:ascii="Arial" w:cs="Arial" w:eastAsia="Arial" w:hAnsi="Arial"/>
          <w:sz w:val="18"/>
          <w:szCs w:val="18"/>
          <w:color w:val="auto"/>
        </w:rPr>
      </w:pPr>
    </w:p>
    <w:p>
      <w:pPr>
        <w:ind w:left="1520" w:hanging="256"/>
        <w:spacing w:after="0"/>
        <w:tabs>
          <w:tab w:leader="none" w:pos="15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 and</w:t>
      </w:r>
    </w:p>
    <w:p>
      <w:pPr>
        <w:spacing w:after="0" w:line="225" w:lineRule="exact"/>
        <w:rPr>
          <w:rFonts w:ascii="Arial" w:cs="Arial" w:eastAsia="Arial" w:hAnsi="Arial"/>
          <w:sz w:val="18"/>
          <w:szCs w:val="18"/>
          <w:color w:val="auto"/>
        </w:rPr>
      </w:pPr>
    </w:p>
    <w:p>
      <w:pPr>
        <w:ind w:left="1080" w:firstLine="184"/>
        <w:spacing w:after="0" w:line="255" w:lineRule="auto"/>
        <w:tabs>
          <w:tab w:leader="none" w:pos="1553"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96" w:lineRule="exact"/>
        <w:rPr>
          <w:rFonts w:ascii="Arial" w:cs="Arial" w:eastAsia="Arial" w:hAnsi="Arial"/>
          <w:sz w:val="18"/>
          <w:szCs w:val="18"/>
          <w:color w:val="auto"/>
        </w:rPr>
      </w:pPr>
    </w:p>
    <w:p>
      <w:pPr>
        <w:ind w:left="540" w:firstLine="184"/>
        <w:spacing w:after="0" w:line="268" w:lineRule="auto"/>
        <w:tabs>
          <w:tab w:leader="none" w:pos="954"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Effect of Administrator's Decision. </w:t>
      </w:r>
      <w:r>
        <w:rPr>
          <w:rFonts w:ascii="Arial" w:cs="Arial" w:eastAsia="Arial" w:hAnsi="Arial"/>
          <w:sz w:val="18"/>
          <w:szCs w:val="18"/>
          <w:color w:val="auto"/>
        </w:rPr>
        <w:t>The Administrator's decisions, determinations, and interpretations shall be final and binding on all Optionees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holders of Options.</w:t>
      </w:r>
    </w:p>
    <w:p>
      <w:pPr>
        <w:spacing w:after="0" w:line="185" w:lineRule="exact"/>
        <w:rPr>
          <w:rFonts w:ascii="Arial" w:cs="Arial" w:eastAsia="Arial" w:hAnsi="Arial"/>
          <w:sz w:val="18"/>
          <w:szCs w:val="18"/>
          <w:color w:val="auto"/>
        </w:rPr>
      </w:pPr>
    </w:p>
    <w:p>
      <w:pPr>
        <w:ind w:right="680" w:firstLine="184"/>
        <w:spacing w:after="0" w:line="332" w:lineRule="auto"/>
        <w:tabs>
          <w:tab w:leader="none" w:pos="39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Nonstatutory Stock Options may be granted to Employees, Directors, and Consultants. Incentive Stock Options may be granted only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If otherwise eligible, an Employee or Consultant who has been granted an Option may be granted additional Options.</w:t>
      </w:r>
    </w:p>
    <w:p>
      <w:pPr>
        <w:spacing w:after="0" w:line="139" w:lineRule="exact"/>
        <w:rPr>
          <w:rFonts w:ascii="Arial" w:cs="Arial" w:eastAsia="Arial" w:hAnsi="Arial"/>
          <w:sz w:val="16"/>
          <w:szCs w:val="16"/>
          <w:color w:val="auto"/>
        </w:rPr>
      </w:pPr>
    </w:p>
    <w:p>
      <w:pPr>
        <w:ind w:left="400" w:hanging="216"/>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Limitations.</w:t>
      </w:r>
    </w:p>
    <w:p>
      <w:pPr>
        <w:spacing w:after="0" w:line="225" w:lineRule="exact"/>
        <w:rPr>
          <w:rFonts w:ascii="Arial" w:cs="Arial" w:eastAsia="Arial" w:hAnsi="Arial"/>
          <w:sz w:val="18"/>
          <w:szCs w:val="18"/>
          <w:color w:val="auto"/>
        </w:rPr>
      </w:pPr>
    </w:p>
    <w:p>
      <w:pPr>
        <w:ind w:left="540" w:right="20" w:firstLine="184"/>
        <w:spacing w:after="0" w:line="254" w:lineRule="auto"/>
        <w:tabs>
          <w:tab w:leader="none" w:pos="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8" w:lineRule="exact"/>
        <w:rPr>
          <w:rFonts w:ascii="Arial" w:cs="Arial" w:eastAsia="Arial" w:hAnsi="Arial"/>
          <w:sz w:val="18"/>
          <w:szCs w:val="18"/>
          <w:color w:val="auto"/>
        </w:rPr>
      </w:pPr>
    </w:p>
    <w:p>
      <w:pPr>
        <w:ind w:left="540" w:right="400" w:firstLine="184"/>
        <w:spacing w:after="0" w:line="259"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94" w:lineRule="exact"/>
        <w:rPr>
          <w:rFonts w:ascii="Arial" w:cs="Arial" w:eastAsia="Arial" w:hAnsi="Arial"/>
          <w:sz w:val="18"/>
          <w:szCs w:val="18"/>
          <w:color w:val="auto"/>
        </w:rPr>
      </w:pPr>
    </w:p>
    <w:p>
      <w:pPr>
        <w:ind w:left="960" w:hanging="236"/>
        <w:spacing w:after="0"/>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following limitations shall apply to grants of Options to Employees:</w:t>
      </w:r>
    </w:p>
    <w:p>
      <w:pPr>
        <w:spacing w:after="0" w:line="225" w:lineRule="exact"/>
        <w:rPr>
          <w:rFonts w:ascii="Arial" w:cs="Arial" w:eastAsia="Arial" w:hAnsi="Arial"/>
          <w:sz w:val="18"/>
          <w:szCs w:val="18"/>
          <w:color w:val="auto"/>
        </w:rPr>
      </w:pPr>
    </w:p>
    <w:p>
      <w:pPr>
        <w:ind w:left="1520" w:hanging="256"/>
        <w:spacing w:after="0"/>
        <w:tabs>
          <w:tab w:leader="none" w:pos="15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No Employee shall be granted, in any fiscal year of the Company, Options to purchase more than 2,000,000 Shares.</w:t>
      </w:r>
    </w:p>
    <w:p>
      <w:pPr>
        <w:spacing w:after="0" w:line="225" w:lineRule="exact"/>
        <w:rPr>
          <w:rFonts w:ascii="Arial" w:cs="Arial" w:eastAsia="Arial" w:hAnsi="Arial"/>
          <w:sz w:val="18"/>
          <w:szCs w:val="18"/>
          <w:color w:val="auto"/>
        </w:rPr>
      </w:pPr>
    </w:p>
    <w:p>
      <w:pPr>
        <w:ind w:left="1080" w:right="220" w:firstLine="184"/>
        <w:spacing w:after="0" w:line="268" w:lineRule="auto"/>
        <w:tabs>
          <w:tab w:leader="none" w:pos="1511"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foregoing limitations shall be adjusted proportionately in connection with any change in the Company's capitalization as described in Section 12.</w:t>
      </w:r>
    </w:p>
    <w:p>
      <w:pPr>
        <w:spacing w:after="0" w:line="185" w:lineRule="exact"/>
        <w:rPr>
          <w:rFonts w:ascii="Arial" w:cs="Arial" w:eastAsia="Arial" w:hAnsi="Arial"/>
          <w:sz w:val="18"/>
          <w:szCs w:val="18"/>
          <w:color w:val="auto"/>
        </w:rPr>
      </w:pPr>
    </w:p>
    <w:p>
      <w:pPr>
        <w:ind w:right="60" w:firstLine="184"/>
        <w:spacing w:after="0" w:line="268"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Term of Plan. </w:t>
      </w:r>
      <w:r>
        <w:rPr>
          <w:rFonts w:ascii="Arial" w:cs="Arial" w:eastAsia="Arial" w:hAnsi="Arial"/>
          <w:sz w:val="18"/>
          <w:szCs w:val="18"/>
          <w:color w:val="auto"/>
        </w:rPr>
        <w:t>Subject to Section 18 of the Plan, the Plan shall become effective upon the earlier to occur of its adoption by the Board or its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as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described in Section 18 of the Plan. It shall continue in effect for a term of ten (10) years unless terminated earlier under Section 14 of the Plan.</w:t>
      </w:r>
    </w:p>
    <w:p>
      <w:pPr>
        <w:spacing w:after="0" w:line="225" w:lineRule="exact"/>
        <w:rPr>
          <w:sz w:val="20"/>
          <w:szCs w:val="20"/>
          <w:color w:val="auto"/>
        </w:rPr>
      </w:pPr>
    </w:p>
    <w:p>
      <w:pPr>
        <w:ind w:right="20" w:firstLine="184"/>
        <w:spacing w:after="0" w:line="256"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Term of Option. </w:t>
      </w:r>
      <w:r>
        <w:rPr>
          <w:rFonts w:ascii="Arial" w:cs="Arial" w:eastAsia="Arial" w:hAnsi="Arial"/>
          <w:sz w:val="18"/>
          <w:szCs w:val="18"/>
          <w:color w:val="auto"/>
        </w:rPr>
        <w:t>The term of each Option shall be stated in the Notice of Grant, but shall not exceed ten (10) years; provided, however, that in the case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97" w:lineRule="exact"/>
        <w:rPr>
          <w:rFonts w:ascii="Arial" w:cs="Arial" w:eastAsia="Arial" w:hAnsi="Arial"/>
          <w:sz w:val="18"/>
          <w:szCs w:val="18"/>
          <w:color w:val="auto"/>
        </w:rPr>
      </w:pPr>
    </w:p>
    <w:p>
      <w:pPr>
        <w:ind w:left="400" w:hanging="216"/>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Option Exercise Price and Consideration.</w:t>
      </w:r>
    </w:p>
    <w:p>
      <w:pPr>
        <w:spacing w:after="0" w:line="225" w:lineRule="exact"/>
        <w:rPr>
          <w:rFonts w:ascii="Arial" w:cs="Arial" w:eastAsia="Arial" w:hAnsi="Arial"/>
          <w:sz w:val="18"/>
          <w:szCs w:val="18"/>
          <w:color w:val="auto"/>
        </w:rPr>
      </w:pPr>
    </w:p>
    <w:p>
      <w:pPr>
        <w:ind w:left="540" w:right="80" w:firstLine="184"/>
        <w:spacing w:after="0" w:line="255" w:lineRule="auto"/>
        <w:tabs>
          <w:tab w:leader="none" w:pos="954"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per share exercise price for the Shares to be issued pursuant to exercise of an Option shall be determined by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but shall not 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96" w:lineRule="exact"/>
        <w:rPr>
          <w:rFonts w:ascii="Arial" w:cs="Arial" w:eastAsia="Arial" w:hAnsi="Arial"/>
          <w:sz w:val="18"/>
          <w:szCs w:val="18"/>
          <w:color w:val="auto"/>
        </w:rPr>
      </w:pPr>
    </w:p>
    <w:p>
      <w:pPr>
        <w:ind w:left="540" w:right="40" w:firstLine="184"/>
        <w:spacing w:after="0" w:line="259"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Waiting Period and Exercise Dates. </w:t>
      </w:r>
      <w:r>
        <w:rPr>
          <w:rFonts w:ascii="Arial" w:cs="Arial" w:eastAsia="Arial" w:hAnsi="Arial"/>
          <w:sz w:val="18"/>
          <w:szCs w:val="18"/>
          <w:color w:val="auto"/>
        </w:rPr>
        <w:t>At the time an Option is granted, the Administrator shall fix the period within which the Option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and shall determine any conditions which must be satisfied before the Option may be exercised. In doing so, the Administrator may specify that an Option may not be exercised until the completion of a service period.</w:t>
      </w:r>
    </w:p>
    <w:p>
      <w:pPr>
        <w:sectPr>
          <w:pgSz w:w="11900" w:h="16838" w:orient="portrait"/>
          <w:cols w:equalWidth="0" w:num="1">
            <w:col w:w="11400"/>
          </w:cols>
          <w:pgMar w:left="240" w:top="131" w:right="259" w:bottom="0" w:gutter="0" w:footer="0" w:header="0"/>
        </w:sectPr>
      </w:pPr>
    </w:p>
    <w:bookmarkStart w:id="19" w:name="page20"/>
    <w:bookmarkEnd w:id="19"/>
    <w:p>
      <w:pPr>
        <w:spacing w:after="0" w:line="44" w:lineRule="exact"/>
        <w:rPr>
          <w:sz w:val="20"/>
          <w:szCs w:val="20"/>
          <w:color w:val="auto"/>
        </w:rPr>
      </w:pPr>
    </w:p>
    <w:p>
      <w:pPr>
        <w:ind w:left="360" w:right="200" w:firstLine="184"/>
        <w:spacing w:after="0" w:line="332" w:lineRule="auto"/>
        <w:tabs>
          <w:tab w:leader="none" w:pos="774"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Form of Consideration. </w:t>
      </w:r>
      <w:r>
        <w:rPr>
          <w:rFonts w:ascii="Arial" w:cs="Arial" w:eastAsia="Arial" w:hAnsi="Arial"/>
          <w:sz w:val="16"/>
          <w:szCs w:val="16"/>
          <w:color w:val="auto"/>
        </w:rPr>
        <w:t>The Administrator shall determine the acceptable form of consideration for exercising an Option, including the method of</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The Administrator shall determine the acceptable form of consideration at the time of grant. Such consideration may consist entirely of:</w:t>
      </w:r>
    </w:p>
    <w:p>
      <w:pPr>
        <w:spacing w:after="0" w:line="139" w:lineRule="exact"/>
        <w:rPr>
          <w:rFonts w:ascii="Arial" w:cs="Arial" w:eastAsia="Arial" w:hAnsi="Arial"/>
          <w:sz w:val="16"/>
          <w:szCs w:val="16"/>
          <w:color w:val="auto"/>
        </w:rPr>
      </w:pPr>
    </w:p>
    <w:p>
      <w:pPr>
        <w:ind w:left="1340" w:hanging="256"/>
        <w:spacing w:after="0"/>
        <w:tabs>
          <w:tab w:leader="none" w:pos="1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340" w:hanging="256"/>
        <w:spacing w:after="0"/>
        <w:tabs>
          <w:tab w:leader="none" w:pos="1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left="1400" w:hanging="316"/>
        <w:spacing w:after="0"/>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promissory note;</w:t>
      </w:r>
    </w:p>
    <w:p>
      <w:pPr>
        <w:spacing w:after="0" w:line="225" w:lineRule="exact"/>
        <w:rPr>
          <w:rFonts w:ascii="Arial" w:cs="Arial" w:eastAsia="Arial" w:hAnsi="Arial"/>
          <w:sz w:val="18"/>
          <w:szCs w:val="18"/>
          <w:color w:val="auto"/>
        </w:rPr>
      </w:pPr>
    </w:p>
    <w:p>
      <w:pPr>
        <w:ind w:left="900" w:right="220" w:firstLine="184"/>
        <w:spacing w:after="0" w:line="332" w:lineRule="auto"/>
        <w:tabs>
          <w:tab w:leader="none" w:pos="1373" w:val="left"/>
        </w:tabs>
        <w:numPr>
          <w:ilvl w:val="1"/>
          <w:numId w:val="19"/>
        </w:numPr>
        <w:rPr>
          <w:rFonts w:ascii="Arial" w:cs="Arial" w:eastAsia="Arial" w:hAnsi="Arial"/>
          <w:sz w:val="16"/>
          <w:szCs w:val="16"/>
          <w:color w:val="auto"/>
        </w:rPr>
      </w:pPr>
      <w:r>
        <w:rPr>
          <w:rFonts w:ascii="Arial" w:cs="Arial" w:eastAsia="Arial" w:hAnsi="Arial"/>
          <w:sz w:val="16"/>
          <w:szCs w:val="16"/>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39" w:lineRule="exact"/>
        <w:rPr>
          <w:rFonts w:ascii="Arial" w:cs="Arial" w:eastAsia="Arial" w:hAnsi="Arial"/>
          <w:sz w:val="16"/>
          <w:szCs w:val="16"/>
          <w:color w:val="auto"/>
        </w:rPr>
      </w:pPr>
    </w:p>
    <w:p>
      <w:pPr>
        <w:ind w:left="1340" w:hanging="256"/>
        <w:spacing w:after="0"/>
        <w:tabs>
          <w:tab w:leader="none" w:pos="13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the extent permitted under Regulation T of the Federal Reserve Board, and subject to applicable securities laws and the Company's</w:t>
      </w:r>
    </w:p>
    <w:p>
      <w:pPr>
        <w:spacing w:after="0" w:line="38" w:lineRule="exact"/>
        <w:rPr>
          <w:rFonts w:ascii="Arial" w:cs="Arial" w:eastAsia="Arial" w:hAnsi="Arial"/>
          <w:sz w:val="16"/>
          <w:szCs w:val="16"/>
          <w:color w:val="auto"/>
        </w:rPr>
      </w:pPr>
    </w:p>
    <w:p>
      <w:pPr>
        <w:ind w:left="900"/>
        <w:spacing w:after="0" w:line="253" w:lineRule="auto"/>
        <w:rPr>
          <w:rFonts w:ascii="Arial" w:cs="Arial" w:eastAsia="Arial" w:hAnsi="Arial"/>
          <w:sz w:val="16"/>
          <w:szCs w:val="16"/>
          <w:color w:val="auto"/>
        </w:rPr>
      </w:pPr>
      <w:r>
        <w:rPr>
          <w:rFonts w:ascii="Arial" w:cs="Arial" w:eastAsia="Arial" w:hAnsi="Arial"/>
          <w:sz w:val="18"/>
          <w:szCs w:val="18"/>
          <w:color w:val="auto"/>
        </w:rPr>
        <w:t>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99" w:lineRule="exact"/>
        <w:rPr>
          <w:rFonts w:ascii="Arial" w:cs="Arial" w:eastAsia="Arial" w:hAnsi="Arial"/>
          <w:sz w:val="16"/>
          <w:szCs w:val="16"/>
          <w:color w:val="auto"/>
        </w:rPr>
      </w:pPr>
    </w:p>
    <w:p>
      <w:pPr>
        <w:ind w:left="900" w:right="20" w:firstLine="184"/>
        <w:spacing w:after="0" w:line="268" w:lineRule="auto"/>
        <w:tabs>
          <w:tab w:leader="none" w:pos="137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reduction in the amount of any Company liability to the Optionee, including any liability attributable to the Optionee's participation in any Company sponsored deferred compensation program or arrangement;</w:t>
      </w:r>
    </w:p>
    <w:p>
      <w:pPr>
        <w:spacing w:after="0" w:line="185" w:lineRule="exact"/>
        <w:rPr>
          <w:rFonts w:ascii="Arial" w:cs="Arial" w:eastAsia="Arial" w:hAnsi="Arial"/>
          <w:sz w:val="18"/>
          <w:szCs w:val="18"/>
          <w:color w:val="auto"/>
        </w:rPr>
      </w:pPr>
    </w:p>
    <w:p>
      <w:pPr>
        <w:ind w:left="1440" w:hanging="356"/>
        <w:spacing w:after="0"/>
        <w:tabs>
          <w:tab w:leader="none" w:pos="1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 or</w:t>
      </w:r>
    </w:p>
    <w:p>
      <w:pPr>
        <w:spacing w:after="0" w:line="225" w:lineRule="exact"/>
        <w:rPr>
          <w:rFonts w:ascii="Arial" w:cs="Arial" w:eastAsia="Arial" w:hAnsi="Arial"/>
          <w:sz w:val="18"/>
          <w:szCs w:val="18"/>
          <w:color w:val="auto"/>
        </w:rPr>
      </w:pPr>
    </w:p>
    <w:p>
      <w:pPr>
        <w:ind w:left="900" w:right="140" w:firstLine="184"/>
        <w:spacing w:after="0" w:line="268" w:lineRule="auto"/>
        <w:tabs>
          <w:tab w:leader="none" w:pos="14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approved by the Administrator and permitted by Applicable Laws.</w:t>
      </w:r>
    </w:p>
    <w:p>
      <w:pPr>
        <w:spacing w:after="0" w:line="18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20" w:hanging="316"/>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sz w:val="20"/>
          <w:szCs w:val="20"/>
          <w:color w:val="auto"/>
        </w:rPr>
      </w:pPr>
    </w:p>
    <w:p>
      <w:pPr>
        <w:ind w:left="360" w:right="120" w:firstLine="184"/>
        <w:spacing w:after="0" w:line="268" w:lineRule="auto"/>
        <w:tabs>
          <w:tab w:leader="none" w:pos="77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Procedure for Exercise; Rights as a Shareholder. </w:t>
      </w:r>
      <w:r>
        <w:rPr>
          <w:rFonts w:ascii="Arial" w:cs="Arial" w:eastAsia="Arial" w:hAnsi="Arial"/>
          <w:sz w:val="18"/>
          <w:szCs w:val="18"/>
          <w:color w:val="auto"/>
        </w:rPr>
        <w:t>Any Option granted thereunder shall be exercisable according to the terms of the Plan and at such</w:t>
      </w:r>
      <w:r>
        <w:rPr>
          <w:rFonts w:ascii="Arial" w:cs="Arial" w:eastAsia="Arial" w:hAnsi="Arial"/>
          <w:sz w:val="18"/>
          <w:szCs w:val="18"/>
          <w:i w:val="1"/>
          <w:iCs w:val="1"/>
          <w:color w:val="auto"/>
        </w:rPr>
        <w:t xml:space="preserve"> </w:t>
      </w:r>
      <w:r>
        <w:rPr>
          <w:rFonts w:ascii="Arial" w:cs="Arial" w:eastAsia="Arial" w:hAnsi="Arial"/>
          <w:sz w:val="18"/>
          <w:szCs w:val="18"/>
          <w:color w:val="auto"/>
        </w:rPr>
        <w:t>times and under such conditions as determined by the Administrator and set forth in the Option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Option may not be exercised for a fraction of a Share.</w:t>
      </w:r>
    </w:p>
    <w:p>
      <w:pPr>
        <w:spacing w:after="0" w:line="225" w:lineRule="exact"/>
        <w:rPr>
          <w:sz w:val="20"/>
          <w:szCs w:val="20"/>
          <w:color w:val="auto"/>
        </w:rPr>
      </w:pPr>
    </w:p>
    <w:p>
      <w:pPr>
        <w:ind w:left="360" w:right="140" w:firstLine="166"/>
        <w:spacing w:after="0" w:line="289" w:lineRule="auto"/>
        <w:rPr>
          <w:sz w:val="20"/>
          <w:szCs w:val="20"/>
          <w:color w:val="auto"/>
        </w:rPr>
      </w:pPr>
      <w:r>
        <w:rPr>
          <w:rFonts w:ascii="Arial" w:cs="Arial" w:eastAsia="Arial" w:hAnsi="Arial"/>
          <w:sz w:val="16"/>
          <w:szCs w:val="16"/>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72" w:lineRule="exact"/>
        <w:rPr>
          <w:sz w:val="20"/>
          <w:szCs w:val="20"/>
          <w:color w:val="auto"/>
        </w:rPr>
      </w:pPr>
    </w:p>
    <w:p>
      <w:pPr>
        <w:ind w:left="360" w:right="520" w:firstLine="176"/>
        <w:spacing w:after="0" w:line="268" w:lineRule="auto"/>
        <w:rPr>
          <w:sz w:val="20"/>
          <w:szCs w:val="20"/>
          <w:color w:val="auto"/>
        </w:rPr>
      </w:pPr>
      <w:r>
        <w:rPr>
          <w:rFonts w:ascii="Arial" w:cs="Arial" w:eastAsia="Arial" w:hAnsi="Arial"/>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186" w:lineRule="exact"/>
        <w:rPr>
          <w:sz w:val="20"/>
          <w:szCs w:val="20"/>
          <w:color w:val="auto"/>
        </w:rPr>
      </w:pPr>
    </w:p>
    <w:p>
      <w:pPr>
        <w:ind w:left="360" w:right="40" w:firstLine="184"/>
        <w:spacing w:after="0" w:line="289" w:lineRule="auto"/>
        <w:tabs>
          <w:tab w:leader="none" w:pos="784"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or Consulting Relationship. </w:t>
      </w:r>
      <w:r>
        <w:rPr>
          <w:rFonts w:ascii="Arial" w:cs="Arial" w:eastAsia="Arial" w:hAnsi="Arial"/>
          <w:sz w:val="16"/>
          <w:szCs w:val="16"/>
          <w:color w:val="auto"/>
        </w:rPr>
        <w:t>Upon termination of an Optionee's Continuous Status as an Employee or Consultant,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2" w:lineRule="exact"/>
        <w:rPr>
          <w:rFonts w:ascii="Arial" w:cs="Arial" w:eastAsia="Arial" w:hAnsi="Arial"/>
          <w:sz w:val="16"/>
          <w:szCs w:val="16"/>
          <w:color w:val="auto"/>
        </w:rPr>
      </w:pPr>
    </w:p>
    <w:p>
      <w:pPr>
        <w:ind w:left="360" w:right="80" w:firstLine="184"/>
        <w:spacing w:after="0" w:line="291" w:lineRule="auto"/>
        <w:tabs>
          <w:tab w:leader="none" w:pos="774"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Disability of Optionee. </w:t>
      </w:r>
      <w:r>
        <w:rPr>
          <w:rFonts w:ascii="Arial" w:cs="Arial" w:eastAsia="Arial" w:hAnsi="Arial"/>
          <w:sz w:val="16"/>
          <w:szCs w:val="16"/>
          <w:color w:val="auto"/>
        </w:rPr>
        <w:t>In the event that an Optionee's Continuous Status as an Employee or Consultant terminates as a result of the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4" w:lineRule="exact"/>
        <w:rPr>
          <w:rFonts w:ascii="Arial" w:cs="Arial" w:eastAsia="Arial" w:hAnsi="Arial"/>
          <w:sz w:val="16"/>
          <w:szCs w:val="16"/>
          <w:color w:val="auto"/>
        </w:rPr>
      </w:pPr>
    </w:p>
    <w:p>
      <w:pPr>
        <w:ind w:left="360" w:right="120" w:firstLine="184"/>
        <w:spacing w:after="0" w:line="256" w:lineRule="auto"/>
        <w:tabs>
          <w:tab w:leader="none" w:pos="78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Death of Optionee. </w:t>
      </w:r>
      <w:r>
        <w:rPr>
          <w:rFonts w:ascii="Arial" w:cs="Arial" w:eastAsia="Arial" w:hAnsi="Arial"/>
          <w:sz w:val="18"/>
          <w:szCs w:val="18"/>
          <w:color w:val="auto"/>
        </w:rPr>
        <w:t>In the event of the death of an Optionee, the Option may be exercised at any time within twelve (12) months following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right="200"/>
        <w:spacing w:after="0" w:line="335" w:lineRule="auto"/>
        <w:rPr>
          <w:sz w:val="20"/>
          <w:szCs w:val="20"/>
          <w:color w:val="auto"/>
        </w:rPr>
      </w:pPr>
      <w:r>
        <w:rPr>
          <w:rFonts w:ascii="Arial" w:cs="Arial" w:eastAsia="Arial" w:hAnsi="Arial"/>
          <w:sz w:val="15"/>
          <w:szCs w:val="15"/>
          <w:color w:val="auto"/>
        </w:rPr>
        <w:t>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ectPr>
          <w:pgSz w:w="11900" w:h="16882" w:orient="portrait"/>
          <w:cols w:equalWidth="0" w:num="1">
            <w:col w:w="11240"/>
          </w:cols>
          <w:pgMar w:left="420" w:top="131" w:right="239" w:bottom="0" w:gutter="0" w:footer="0" w:header="0"/>
        </w:sectPr>
      </w:pPr>
    </w:p>
    <w:bookmarkStart w:id="20" w:name="page21"/>
    <w:bookmarkEnd w:id="20"/>
    <w:p>
      <w:pPr>
        <w:ind w:left="540" w:right="320" w:firstLine="184"/>
        <w:spacing w:after="0" w:line="256" w:lineRule="auto"/>
        <w:tabs>
          <w:tab w:leader="none" w:pos="954"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Suspension. </w:t>
      </w:r>
      <w:r>
        <w:rPr>
          <w:rFonts w:ascii="Arial" w:cs="Arial" w:eastAsia="Arial" w:hAnsi="Arial"/>
          <w:sz w:val="18"/>
          <w:szCs w:val="18"/>
          <w:color w:val="auto"/>
        </w:rPr>
        <w:t>Any Optionee who is also a participant in the Retirement at Micron ("RAM") Section 401(k) Plan and who requests and receives a</w:t>
      </w:r>
      <w:r>
        <w:rPr>
          <w:rFonts w:ascii="Arial" w:cs="Arial" w:eastAsia="Arial" w:hAnsi="Arial"/>
          <w:sz w:val="18"/>
          <w:szCs w:val="18"/>
          <w:i w:val="1"/>
          <w:iCs w:val="1"/>
          <w:color w:val="auto"/>
        </w:rPr>
        <w:t xml:space="preserve"> </w:t>
      </w:r>
      <w:r>
        <w:rPr>
          <w:rFonts w:ascii="Arial" w:cs="Arial" w:eastAsia="Arial" w:hAnsi="Arial"/>
          <w:sz w:val="18"/>
          <w:szCs w:val="18"/>
          <w:color w:val="auto"/>
        </w:rPr>
        <w:t>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7" w:lineRule="exact"/>
        <w:rPr>
          <w:rFonts w:ascii="Arial" w:cs="Arial" w:eastAsia="Arial" w:hAnsi="Arial"/>
          <w:sz w:val="18"/>
          <w:szCs w:val="18"/>
          <w:color w:val="auto"/>
        </w:rPr>
      </w:pPr>
    </w:p>
    <w:p>
      <w:pPr>
        <w:ind w:left="480" w:hanging="296"/>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Non-Transferability of Options. </w:t>
      </w:r>
      <w:r>
        <w:rPr>
          <w:rFonts w:ascii="Arial" w:cs="Arial" w:eastAsia="Arial" w:hAnsi="Arial"/>
          <w:sz w:val="16"/>
          <w:szCs w:val="16"/>
          <w:color w:val="auto"/>
        </w:rPr>
        <w:t>Unless determined otherwise by the Administrator, an Option may not be sold, pledged, assigned, hypothecated,</w:t>
      </w:r>
    </w:p>
    <w:p>
      <w:pPr>
        <w:spacing w:after="0" w:line="38" w:lineRule="exact"/>
        <w:rPr>
          <w:rFonts w:ascii="Arial" w:cs="Arial" w:eastAsia="Arial" w:hAnsi="Arial"/>
          <w:sz w:val="16"/>
          <w:szCs w:val="16"/>
          <w:color w:val="auto"/>
        </w:rPr>
      </w:pPr>
    </w:p>
    <w:p>
      <w:pPr>
        <w:ind w:right="240"/>
        <w:spacing w:after="0" w:line="255" w:lineRule="auto"/>
        <w:rPr>
          <w:rFonts w:ascii="Arial" w:cs="Arial" w:eastAsia="Arial" w:hAnsi="Arial"/>
          <w:sz w:val="16"/>
          <w:szCs w:val="16"/>
          <w:color w:val="auto"/>
        </w:rPr>
      </w:pPr>
      <w:r>
        <w:rPr>
          <w:rFonts w:ascii="Arial" w:cs="Arial" w:eastAsia="Arial" w:hAnsi="Arial"/>
          <w:sz w:val="18"/>
          <w:szCs w:val="18"/>
          <w:color w:val="auto"/>
        </w:rPr>
        <w:t>transferred, or 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pacing w:after="0" w:line="198" w:lineRule="exact"/>
        <w:rPr>
          <w:rFonts w:ascii="Arial" w:cs="Arial" w:eastAsia="Arial" w:hAnsi="Arial"/>
          <w:sz w:val="16"/>
          <w:szCs w:val="16"/>
          <w:color w:val="auto"/>
        </w:rPr>
      </w:pPr>
    </w:p>
    <w:p>
      <w:pPr>
        <w:ind w:left="480" w:hanging="296"/>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 Dissolution, Corporate Transaction, or Change in Control.</w:t>
      </w:r>
    </w:p>
    <w:p>
      <w:pPr>
        <w:spacing w:after="0" w:line="225" w:lineRule="exact"/>
        <w:rPr>
          <w:rFonts w:ascii="Arial" w:cs="Arial" w:eastAsia="Arial" w:hAnsi="Arial"/>
          <w:sz w:val="18"/>
          <w:szCs w:val="18"/>
          <w:color w:val="auto"/>
        </w:rPr>
      </w:pPr>
    </w:p>
    <w:p>
      <w:pPr>
        <w:ind w:left="540" w:firstLine="184"/>
        <w:spacing w:after="0" w:line="286" w:lineRule="auto"/>
        <w:tabs>
          <w:tab w:leader="none" w:pos="954"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In the event of a corporate transaction involving the Company (including, without limitation, any stock dividend,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split, 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 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81" w:lineRule="exact"/>
        <w:rPr>
          <w:rFonts w:ascii="Arial" w:cs="Arial" w:eastAsia="Arial" w:hAnsi="Arial"/>
          <w:sz w:val="16"/>
          <w:szCs w:val="16"/>
          <w:color w:val="auto"/>
        </w:rPr>
      </w:pPr>
    </w:p>
    <w:p>
      <w:pPr>
        <w:jc w:val="both"/>
        <w:ind w:left="540" w:right="40" w:firstLine="184"/>
        <w:spacing w:after="0" w:line="294" w:lineRule="auto"/>
        <w:tabs>
          <w:tab w:leader="none" w:pos="964"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To the extent not previously exercised, Options will terminate immediately prior to the consummation of any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69" w:lineRule="exact"/>
        <w:rPr>
          <w:rFonts w:ascii="Arial" w:cs="Arial" w:eastAsia="Arial" w:hAnsi="Arial"/>
          <w:sz w:val="16"/>
          <w:szCs w:val="16"/>
          <w:color w:val="auto"/>
        </w:rPr>
      </w:pPr>
    </w:p>
    <w:p>
      <w:pPr>
        <w:ind w:left="540" w:right="280" w:firstLine="184"/>
        <w:spacing w:after="0" w:line="259" w:lineRule="auto"/>
        <w:tabs>
          <w:tab w:leader="none" w:pos="954"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Corporate Transaction. </w:t>
      </w:r>
      <w:r>
        <w:rPr>
          <w:rFonts w:ascii="Arial" w:cs="Arial" w:eastAsia="Arial" w:hAnsi="Arial"/>
          <w:sz w:val="18"/>
          <w:szCs w:val="18"/>
          <w:color w:val="auto"/>
        </w:rPr>
        <w:t>In the event of a reorganization, merger, consolidation, statutory share exchange or similar form of corporate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Company that requires the approval of the Company's shareholders, whether for such transaction or the issuance of securities in the transaction, or the sale or other disposition of all or substantially all of the assets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
        <w:spacing w:after="0" w:line="310" w:lineRule="auto"/>
        <w:rPr>
          <w:sz w:val="20"/>
          <w:szCs w:val="20"/>
          <w:color w:val="auto"/>
        </w:rPr>
      </w:pPr>
      <w:r>
        <w:rPr>
          <w:rFonts w:ascii="Arial" w:cs="Arial" w:eastAsia="Arial" w:hAnsi="Arial"/>
          <w:sz w:val="15"/>
          <w:szCs w:val="15"/>
          <w:color w:val="auto"/>
        </w:rPr>
        <w:t>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 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62" w:lineRule="exact"/>
        <w:rPr>
          <w:sz w:val="20"/>
          <w:szCs w:val="20"/>
          <w:color w:val="auto"/>
        </w:rPr>
      </w:pPr>
    </w:p>
    <w:p>
      <w:pPr>
        <w:ind w:left="540" w:right="220" w:firstLine="184"/>
        <w:spacing w:after="0" w:line="259"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the unexercised portion of each Option then outstanding shall become wholly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exercisable. To the extent that this provision causes Incentive Stock Options to exceed the dollar limitation set forth in Section 6(a), the excess Options shall be deemed to be Nonstatutory Stock Options.</w:t>
      </w:r>
    </w:p>
    <w:p>
      <w:pPr>
        <w:spacing w:after="0" w:line="194" w:lineRule="exact"/>
        <w:rPr>
          <w:rFonts w:ascii="Arial" w:cs="Arial" w:eastAsia="Arial" w:hAnsi="Arial"/>
          <w:sz w:val="18"/>
          <w:szCs w:val="18"/>
          <w:color w:val="auto"/>
        </w:rPr>
      </w:pPr>
    </w:p>
    <w:p>
      <w:pPr>
        <w:ind w:right="260" w:firstLine="184"/>
        <w:spacing w:after="0" w:line="259" w:lineRule="auto"/>
        <w:tabs>
          <w:tab w:leader="none" w:pos="48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w:t>
      </w:r>
      <w:r>
        <w:rPr>
          <w:rFonts w:ascii="Arial" w:cs="Arial" w:eastAsia="Arial" w:hAnsi="Arial"/>
          <w:sz w:val="18"/>
          <w:szCs w:val="18"/>
          <w:color w:val="auto"/>
        </w:rPr>
        <w:t>The date of grant of an Option shall be, for all purposes, the date on which the Administrator makes the determination granting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such other later date as is determined by the Administrator. Notice of the determination shall be provided to each Optionee within a reasonable time after the date of such grant.</w:t>
      </w:r>
    </w:p>
    <w:p>
      <w:pPr>
        <w:spacing w:after="0" w:line="194" w:lineRule="exact"/>
        <w:rPr>
          <w:rFonts w:ascii="Arial" w:cs="Arial" w:eastAsia="Arial" w:hAnsi="Arial"/>
          <w:sz w:val="18"/>
          <w:szCs w:val="18"/>
          <w:color w:val="auto"/>
        </w:rPr>
      </w:pPr>
    </w:p>
    <w:p>
      <w:pPr>
        <w:ind w:left="480" w:hanging="296"/>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Amendment and Termination of the Plan.</w:t>
      </w:r>
    </w:p>
    <w:p>
      <w:pPr>
        <w:spacing w:after="0" w:line="225" w:lineRule="exact"/>
        <w:rPr>
          <w:rFonts w:ascii="Arial" w:cs="Arial" w:eastAsia="Arial" w:hAnsi="Arial"/>
          <w:sz w:val="18"/>
          <w:szCs w:val="18"/>
          <w:color w:val="auto"/>
        </w:rPr>
      </w:pPr>
    </w:p>
    <w:p>
      <w:pPr>
        <w:ind w:left="540" w:right="140" w:firstLine="184"/>
        <w:spacing w:after="0" w:line="306" w:lineRule="auto"/>
        <w:tabs>
          <w:tab w:leader="none" w:pos="954"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The Board may at any time amend, alter, suspend, or terminate the Plan without shareholder approval;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the Board may condition any amendment or modification on the approval of shareholders of the Company if such approval is necessary or deemed advisable with respect to tax, securities or other applicable laws, policies or regulations.</w:t>
      </w:r>
    </w:p>
    <w:p>
      <w:pPr>
        <w:spacing w:after="0" w:line="160" w:lineRule="exact"/>
        <w:rPr>
          <w:rFonts w:ascii="Arial" w:cs="Arial" w:eastAsia="Arial" w:hAnsi="Arial"/>
          <w:sz w:val="16"/>
          <w:szCs w:val="16"/>
          <w:color w:val="auto"/>
        </w:rPr>
      </w:pPr>
    </w:p>
    <w:p>
      <w:pPr>
        <w:ind w:left="540" w:right="220" w:firstLine="184"/>
        <w:spacing w:after="0" w:line="259"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Effect of Amendment or Termination. </w:t>
      </w:r>
      <w:r>
        <w:rPr>
          <w:rFonts w:ascii="Arial" w:cs="Arial" w:eastAsia="Arial" w:hAnsi="Arial"/>
          <w:sz w:val="18"/>
          <w:szCs w:val="18"/>
          <w:color w:val="auto"/>
        </w:rPr>
        <w:t>No amendment, alteration, suspension, or termination of the Plan shall impair the rights of any Optionee,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mutually agreed otherwise between the Optionee and the Administrator, which agreement must be in writing and signed by the Optionee and the Company.</w:t>
      </w:r>
    </w:p>
    <w:p>
      <w:pPr>
        <w:spacing w:after="0" w:line="194" w:lineRule="exact"/>
        <w:rPr>
          <w:rFonts w:ascii="Arial" w:cs="Arial" w:eastAsia="Arial" w:hAnsi="Arial"/>
          <w:sz w:val="18"/>
          <w:szCs w:val="18"/>
          <w:color w:val="auto"/>
        </w:rPr>
      </w:pPr>
    </w:p>
    <w:p>
      <w:pPr>
        <w:ind w:left="500" w:hanging="316"/>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p>
    <w:p>
      <w:pPr>
        <w:spacing w:after="0" w:line="225" w:lineRule="exact"/>
        <w:rPr>
          <w:rFonts w:ascii="Arial" w:cs="Arial" w:eastAsia="Arial" w:hAnsi="Arial"/>
          <w:sz w:val="18"/>
          <w:szCs w:val="18"/>
          <w:color w:val="auto"/>
        </w:rPr>
      </w:pPr>
    </w:p>
    <w:p>
      <w:pPr>
        <w:ind w:left="540" w:right="60" w:firstLine="184"/>
        <w:spacing w:after="0" w:line="323" w:lineRule="auto"/>
        <w:tabs>
          <w:tab w:leader="none" w:pos="954" w:val="left"/>
        </w:tabs>
        <w:numPr>
          <w:ilvl w:val="1"/>
          <w:numId w:val="26"/>
        </w:numPr>
        <w:rPr>
          <w:rFonts w:ascii="Arial" w:cs="Arial" w:eastAsia="Arial" w:hAnsi="Arial"/>
          <w:sz w:val="15"/>
          <w:szCs w:val="15"/>
          <w:color w:val="auto"/>
        </w:rPr>
      </w:pPr>
      <w:r>
        <w:rPr>
          <w:rFonts w:ascii="Arial" w:cs="Arial" w:eastAsia="Arial" w:hAnsi="Arial"/>
          <w:sz w:val="15"/>
          <w:szCs w:val="15"/>
          <w:i w:val="1"/>
          <w:iCs w:val="1"/>
          <w:color w:val="auto"/>
        </w:rPr>
        <w:t xml:space="preserve">Legal Compliance. </w:t>
      </w:r>
      <w:r>
        <w:rPr>
          <w:rFonts w:ascii="Arial" w:cs="Arial" w:eastAsia="Arial" w:hAnsi="Arial"/>
          <w:sz w:val="15"/>
          <w:szCs w:val="15"/>
          <w:color w:val="auto"/>
        </w:rPr>
        <w:t>Shares shall not be issued pursuant to the exercise of an Option unless the exercise of such Option and the issuance and delivery</w:t>
      </w:r>
      <w:r>
        <w:rPr>
          <w:rFonts w:ascii="Arial" w:cs="Arial" w:eastAsia="Arial" w:hAnsi="Arial"/>
          <w:sz w:val="15"/>
          <w:szCs w:val="15"/>
          <w:i w:val="1"/>
          <w:iCs w:val="1"/>
          <w:color w:val="auto"/>
        </w:rPr>
        <w:t xml:space="preserve"> </w:t>
      </w:r>
      <w:r>
        <w:rPr>
          <w:rFonts w:ascii="Arial" w:cs="Arial" w:eastAsia="Arial" w:hAnsi="Arial"/>
          <w:sz w:val="15"/>
          <w:szCs w:val="15"/>
          <w:color w:val="auto"/>
        </w:rPr>
        <w:t>of such 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1" w:lineRule="exact"/>
        <w:rPr>
          <w:rFonts w:ascii="Arial" w:cs="Arial" w:eastAsia="Arial" w:hAnsi="Arial"/>
          <w:sz w:val="15"/>
          <w:szCs w:val="15"/>
          <w:color w:val="auto"/>
        </w:rPr>
      </w:pPr>
    </w:p>
    <w:p>
      <w:pPr>
        <w:ind w:left="540" w:right="60" w:firstLine="184"/>
        <w:spacing w:after="0" w:line="259" w:lineRule="auto"/>
        <w:tabs>
          <w:tab w:leader="none" w:pos="964"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Investment Representations. </w:t>
      </w:r>
      <w:r>
        <w:rPr>
          <w:rFonts w:ascii="Arial" w:cs="Arial" w:eastAsia="Arial" w:hAnsi="Arial"/>
          <w:sz w:val="18"/>
          <w:szCs w:val="18"/>
          <w:color w:val="auto"/>
        </w:rPr>
        <w:t>As a condition to the exercise of an Option, the Company may require the person exercising such Option to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and warrant at the time of any such exercise that the Shares are being purchased only for investment and without any present intention to sell or distribute such Shares if, in the opinion of counsel for the Company, such a representation is required.</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131" w:right="259" w:bottom="0" w:gutter="0" w:footer="0" w:header="0"/>
          <w:type w:val="continuous"/>
        </w:sectPr>
      </w:pPr>
    </w:p>
    <w:bookmarkStart w:id="21" w:name="page22"/>
    <w:bookmarkEnd w:id="21"/>
    <w:p>
      <w:pPr>
        <w:ind w:left="500" w:hanging="316"/>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19050"/>
                    </a:xfrm>
                    <a:prstGeom prst="rect">
                      <a:avLst/>
                    </a:prstGeom>
                    <a:noFill/>
                  </pic:spPr>
                </pic:pic>
              </a:graphicData>
            </a:graphic>
          </wp:anchor>
        </w:drawing>
        <w:t>Liability of Company.</w:t>
      </w:r>
    </w:p>
    <w:p>
      <w:pPr>
        <w:spacing w:after="0" w:line="225" w:lineRule="exact"/>
        <w:rPr>
          <w:rFonts w:ascii="Arial" w:cs="Arial" w:eastAsia="Arial" w:hAnsi="Arial"/>
          <w:sz w:val="18"/>
          <w:szCs w:val="18"/>
          <w:color w:val="auto"/>
        </w:rPr>
      </w:pPr>
    </w:p>
    <w:p>
      <w:pPr>
        <w:ind w:left="540" w:right="200" w:firstLine="184"/>
        <w:spacing w:after="0" w:line="306" w:lineRule="auto"/>
        <w:tabs>
          <w:tab w:leader="none" w:pos="954"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Obtain Authority. </w:t>
      </w:r>
      <w:r>
        <w:rPr>
          <w:rFonts w:ascii="Arial" w:cs="Arial" w:eastAsia="Arial" w:hAnsi="Arial"/>
          <w:sz w:val="16"/>
          <w:szCs w:val="16"/>
          <w:color w:val="auto"/>
        </w:rPr>
        <w:t>The inability of the Company to obtain authority from any regulatory body having jurisdiction, which authority is</w:t>
      </w:r>
      <w:r>
        <w:rPr>
          <w:rFonts w:ascii="Arial" w:cs="Arial" w:eastAsia="Arial" w:hAnsi="Arial"/>
          <w:sz w:val="16"/>
          <w:szCs w:val="16"/>
          <w:i w:val="1"/>
          <w:iCs w:val="1"/>
          <w:color w:val="auto"/>
        </w:rPr>
        <w:t xml:space="preserve"> </w:t>
      </w:r>
      <w:r>
        <w:rPr>
          <w:rFonts w:ascii="Arial" w:cs="Arial" w:eastAsia="Arial" w:hAnsi="Arial"/>
          <w:sz w:val="16"/>
          <w:szCs w:val="16"/>
          <w:color w:val="auto"/>
        </w:rPr>
        <w:t>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0" w:lineRule="exact"/>
        <w:rPr>
          <w:rFonts w:ascii="Arial" w:cs="Arial" w:eastAsia="Arial" w:hAnsi="Arial"/>
          <w:sz w:val="16"/>
          <w:szCs w:val="16"/>
          <w:color w:val="auto"/>
        </w:rPr>
      </w:pPr>
    </w:p>
    <w:p>
      <w:pPr>
        <w:ind w:left="540" w:firstLine="184"/>
        <w:spacing w:after="0" w:line="335" w:lineRule="auto"/>
        <w:tabs>
          <w:tab w:leader="none" w:pos="964" w:val="left"/>
        </w:tabs>
        <w:numPr>
          <w:ilvl w:val="1"/>
          <w:numId w:val="27"/>
        </w:numPr>
        <w:rPr>
          <w:rFonts w:ascii="Arial" w:cs="Arial" w:eastAsia="Arial" w:hAnsi="Arial"/>
          <w:sz w:val="15"/>
          <w:szCs w:val="15"/>
          <w:color w:val="auto"/>
        </w:rPr>
      </w:pPr>
      <w:r>
        <w:rPr>
          <w:rFonts w:ascii="Arial" w:cs="Arial" w:eastAsia="Arial" w:hAnsi="Arial"/>
          <w:sz w:val="15"/>
          <w:szCs w:val="15"/>
          <w:i w:val="1"/>
          <w:iCs w:val="1"/>
          <w:color w:val="auto"/>
        </w:rPr>
        <w:t xml:space="preserve">Grants Exceeding Allotted Shares. </w:t>
      </w:r>
      <w:r>
        <w:rPr>
          <w:rFonts w:ascii="Arial" w:cs="Arial" w:eastAsia="Arial" w:hAnsi="Arial"/>
          <w:sz w:val="15"/>
          <w:szCs w:val="15"/>
          <w:color w:val="auto"/>
        </w:rPr>
        <w:t>If the Optioned Stock covered by an Option exceeds, as of the date of grant, the number of Shares which may be</w:t>
      </w:r>
      <w:r>
        <w:rPr>
          <w:rFonts w:ascii="Arial" w:cs="Arial" w:eastAsia="Arial" w:hAnsi="Arial"/>
          <w:sz w:val="15"/>
          <w:szCs w:val="15"/>
          <w:i w:val="1"/>
          <w:iCs w:val="1"/>
          <w:color w:val="auto"/>
        </w:rPr>
        <w:t xml:space="preserve"> </w:t>
      </w:r>
      <w:r>
        <w:rPr>
          <w:rFonts w:ascii="Arial" w:cs="Arial" w:eastAsia="Arial" w:hAnsi="Arial"/>
          <w:sz w:val="15"/>
          <w:szCs w:val="15"/>
          <w:color w:val="auto"/>
        </w:rPr>
        <w:t>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42" w:lineRule="exact"/>
        <w:rPr>
          <w:rFonts w:ascii="Arial" w:cs="Arial" w:eastAsia="Arial" w:hAnsi="Arial"/>
          <w:sz w:val="15"/>
          <w:szCs w:val="15"/>
          <w:color w:val="auto"/>
        </w:rPr>
      </w:pPr>
    </w:p>
    <w:p>
      <w:pPr>
        <w:ind w:right="40" w:firstLine="184"/>
        <w:spacing w:after="0" w:line="268" w:lineRule="auto"/>
        <w:tabs>
          <w:tab w:leader="none" w:pos="48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Shares. </w:t>
      </w:r>
      <w:r>
        <w:rPr>
          <w:rFonts w:ascii="Arial" w:cs="Arial" w:eastAsia="Arial" w:hAnsi="Arial"/>
          <w:sz w:val="18"/>
          <w:szCs w:val="18"/>
          <w:color w:val="auto"/>
        </w:rPr>
        <w:t>The Company, during the term of this Plan, will at all times reserve and keep available such number of Shares as shall be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to satisfy the requirements of the Plan.</w:t>
      </w:r>
    </w:p>
    <w:p>
      <w:pPr>
        <w:spacing w:after="0" w:line="185" w:lineRule="exact"/>
        <w:rPr>
          <w:rFonts w:ascii="Arial" w:cs="Arial" w:eastAsia="Arial" w:hAnsi="Arial"/>
          <w:sz w:val="18"/>
          <w:szCs w:val="18"/>
          <w:color w:val="auto"/>
        </w:rPr>
      </w:pPr>
    </w:p>
    <w:p>
      <w:pPr>
        <w:ind w:right="40" w:firstLine="184"/>
        <w:spacing w:after="0" w:line="332" w:lineRule="auto"/>
        <w:tabs>
          <w:tab w:leader="none" w:pos="483"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Continuance of the Plan shall be subject to approval by the shareholders of the Company within twelve (12) months before or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the Plan is adopted. Such shareholder approval shall be obtained in the manner and to the degree required under applicable federal and Delaware law.</w:t>
      </w:r>
    </w:p>
    <w:p>
      <w:pPr>
        <w:spacing w:after="0" w:line="139" w:lineRule="exact"/>
        <w:rPr>
          <w:rFonts w:ascii="Arial" w:cs="Arial" w:eastAsia="Arial" w:hAnsi="Arial"/>
          <w:sz w:val="16"/>
          <w:szCs w:val="16"/>
          <w:color w:val="auto"/>
        </w:rPr>
      </w:pPr>
    </w:p>
    <w:p>
      <w:pPr>
        <w:ind w:right="60" w:firstLine="184"/>
        <w:spacing w:after="0" w:line="268" w:lineRule="auto"/>
        <w:tabs>
          <w:tab w:leader="none" w:pos="48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Restriction on Repricing. </w:t>
      </w:r>
      <w:r>
        <w:rPr>
          <w:rFonts w:ascii="Arial" w:cs="Arial" w:eastAsia="Arial" w:hAnsi="Arial"/>
          <w:sz w:val="18"/>
          <w:szCs w:val="18"/>
          <w:color w:val="auto"/>
        </w:rPr>
        <w:t>Without the prior approval of the shareholders of the Company, the Administrator shall not reprice any Options issued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through cancellation and regrant, by lowering the exercise price, or by any other means.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EXHIBIT 4.10</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MICRON TECHNOLOGY, INC. 2001 STOCK OPTION PLAN</w:t>
        </w:r>
      </w:hyperlink>
    </w:p>
    <w:sectPr>
      <w:pgSz w:w="11900" w:h="16838" w:orient="portrait"/>
      <w:cols w:equalWidth="0" w:num="1">
        <w:col w:w="11400"/>
      </w:cols>
      <w:pgMar w:left="240" w:top="3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decimal"/>
      <w:start w:val="68"/>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2"/>
    </w:lvl>
  </w:abstractNum>
  <w:abstractNum w:abstractNumId="6">
    <w:nsid w:val="25E45D32"/>
    <w:multiLevelType w:val="hybridMultilevel"/>
    <w:lvl w:ilvl="0">
      <w:lvlJc w:val="left"/>
      <w:lvlText w:val="(%1)"/>
      <w:numFmt w:val="lowerLetter"/>
      <w:start w:val="4"/>
    </w:lvl>
  </w:abstractNum>
  <w:abstractNum w:abstractNumId="7">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
    <w:nsid w:val="431BD7B7"/>
    <w:multiLevelType w:val="hybridMultilevel"/>
    <w:lvl w:ilvl="0">
      <w:lvlJc w:val="left"/>
      <w:lvlText w:val="%1"/>
      <w:numFmt w:val="lowerLetter"/>
      <w:start w:val="1"/>
    </w:lvl>
    <w:lvl w:ilvl="1">
      <w:lvlJc w:val="left"/>
      <w:lvlText w:val="(%2)"/>
      <w:numFmt w:val="lowerLetter"/>
      <w:start w:val="61"/>
    </w:lvl>
  </w:abstractNum>
  <w:abstractNum w:abstractNumId="9">
    <w:nsid w:val="3F2DBA31"/>
    <w:multiLevelType w:val="hybridMultilevel"/>
    <w:lvl w:ilvl="0">
      <w:lvlJc w:val="left"/>
      <w:lvlText w:val="(%1)"/>
      <w:numFmt w:val="lowerLetter"/>
      <w:start w:val="16"/>
    </w:lvl>
    <w:lvl w:ilvl="1">
      <w:lvlJc w:val="left"/>
      <w:lvlText w:val="%2"/>
      <w:numFmt w:val="lowerLetter"/>
      <w:start w:val="1"/>
    </w:lvl>
  </w:abstractNum>
  <w:abstractNum w:abstractNumId="10">
    <w:nsid w:val="7C83E458"/>
    <w:multiLevelType w:val="hybridMultilevel"/>
    <w:lvl w:ilvl="0">
      <w:lvlJc w:val="left"/>
      <w:lvlText w:val="(%1)"/>
      <w:numFmt w:val="lowerLetter"/>
      <w:start w:val="27"/>
    </w:lvl>
  </w:abstractNum>
  <w:abstractNum w:abstractNumId="11">
    <w:nsid w:val="257130A3"/>
    <w:multiLevelType w:val="hybridMultilevel"/>
    <w:lvl w:ilvl="0">
      <w:lvlJc w:val="left"/>
      <w:lvlText w:val="%1."/>
      <w:numFmt w:val="decimal"/>
      <w:start w:val="3"/>
    </w:lvl>
  </w:abstractNum>
  <w:abstractNum w:abstractNumId="12">
    <w:nsid w:val="62BBD95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
    <w:nsid w:val="436C6125"/>
    <w:multiLevelType w:val="hybridMultilevel"/>
    <w:lvl w:ilvl="0">
      <w:lvlJc w:val="left"/>
      <w:lvlText w:val="(%1)"/>
      <w:numFmt w:val="lowerRoman"/>
      <w:start w:val="6"/>
    </w:lvl>
  </w:abstractNum>
  <w:abstractNum w:abstractNumId="14">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5">
    <w:nsid w:val="333AB1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
    <w:nsid w:val="2443A858"/>
    <w:multiLevelType w:val="hybridMultilevel"/>
    <w:lvl w:ilvl="0">
      <w:lvlJc w:val="left"/>
      <w:lvlText w:val="%1."/>
      <w:numFmt w:val="decimal"/>
      <w:start w:val="8"/>
    </w:lvl>
    <w:lvl w:ilvl="1">
      <w:lvlJc w:val="left"/>
      <w:lvlText w:val="(%2)"/>
      <w:numFmt w:val="lowerLetter"/>
      <w:start w:val="1"/>
    </w:lvl>
  </w:abstractNum>
  <w:abstractNum w:abstractNumId="18">
    <w:nsid w:val="2D1D5AE9"/>
    <w:multiLevelType w:val="hybridMultilevel"/>
    <w:lvl w:ilvl="0">
      <w:lvlJc w:val="left"/>
      <w:lvlText w:val="(%1)"/>
      <w:numFmt w:val="lowerLetter"/>
      <w:start w:val="3"/>
    </w:lvl>
    <w:lvl w:ilvl="1">
      <w:lvlJc w:val="left"/>
      <w:lvlText w:val="(%2)"/>
      <w:numFmt w:val="lowerRoman"/>
      <w:start w:val="1"/>
    </w:lvl>
  </w:abstractNum>
  <w:abstractNum w:abstractNumId="19">
    <w:nsid w:val="6763845E"/>
    <w:multiLevelType w:val="hybridMultilevel"/>
    <w:lvl w:ilvl="0">
      <w:lvlJc w:val="left"/>
      <w:lvlText w:val="%1."/>
      <w:numFmt w:val="decimal"/>
      <w:start w:val="10"/>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2"/>
    </w:lvl>
  </w:abstractNum>
  <w:abstractNum w:abstractNumId="22">
    <w:nsid w:val="79838CB2"/>
    <w:multiLevelType w:val="hybridMultilevel"/>
    <w:lvl w:ilvl="0">
      <w:lvlJc w:val="left"/>
      <w:lvlText w:val="%1"/>
      <w:numFmt w:val="decimal"/>
      <w:start w:val="1"/>
    </w:lvl>
    <w:lvl w:ilvl="1">
      <w:lvlJc w:val="left"/>
      <w:lvlText w:val="(%2)"/>
      <w:numFmt w:val="lowerLetter"/>
      <w:start w:val="5"/>
    </w:lvl>
  </w:abstractNum>
  <w:abstractNum w:abstractNumId="23">
    <w:nsid w:val="4353D0CD"/>
    <w:multiLevelType w:val="hybridMultilevel"/>
    <w:lvl w:ilvl="0">
      <w:lvlJc w:val="left"/>
      <w:lvlText w:val="%1."/>
      <w:numFmt w:val="decimal"/>
      <w:start w:val="1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4"/>
    </w:lvl>
  </w:abstractNum>
  <w:abstractNum w:abstractNumId="25">
    <w:nsid w:val="189A769B"/>
    <w:multiLevelType w:val="hybridMultilevel"/>
    <w:lvl w:ilvl="0">
      <w:lvlJc w:val="left"/>
      <w:lvlText w:val="%1."/>
      <w:numFmt w:val="decimal"/>
      <w:start w:val="13"/>
    </w:lvl>
    <w:lvl w:ilvl="1">
      <w:lvlJc w:val="left"/>
      <w:lvlText w:val="(%2)"/>
      <w:numFmt w:val="lowerLetter"/>
      <w:start w:val="1"/>
    </w:lvl>
  </w:abstractNum>
  <w:abstractNum w:abstractNumId="26">
    <w:nsid w:val="54E49EB4"/>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2019-12-13T13:18:23Z</dcterms:created>
  <dcterms:modified xsi:type="dcterms:W3CDTF">2019-12-13T13:18:23Z</dcterms:modified>
</cp:coreProperties>
</file>