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9,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2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90"/>
              <w:spacing w:after="0"/>
              <w:rPr>
                <w:sz w:val="20"/>
                <w:szCs w:val="20"/>
                <w:color w:val="auto"/>
              </w:rPr>
            </w:pPr>
            <w:r>
              <w:rPr>
                <w:rFonts w:ascii="Arial" w:cs="Arial" w:eastAsia="Arial" w:hAnsi="Arial"/>
                <w:sz w:val="18"/>
                <w:szCs w:val="18"/>
                <w:color w:val="auto"/>
                <w:w w:val="92"/>
              </w:rPr>
              <w:t>(State or other jurisdiction of incorporation)</w:t>
            </w:r>
          </w:p>
        </w:tc>
        <w:tc>
          <w:tcPr>
            <w:tcW w:w="4100" w:type="dxa"/>
            <w:vAlign w:val="bottom"/>
          </w:tcPr>
          <w:p>
            <w:pPr>
              <w:jc w:val="center"/>
              <w:ind w:left="210"/>
              <w:spacing w:after="0"/>
              <w:rPr>
                <w:sz w:val="20"/>
                <w:szCs w:val="20"/>
                <w:color w:val="auto"/>
              </w:rPr>
            </w:pPr>
            <w:r>
              <w:rPr>
                <w:rFonts w:ascii="Arial" w:cs="Arial" w:eastAsia="Arial" w:hAnsi="Arial"/>
                <w:sz w:val="18"/>
                <w:szCs w:val="18"/>
                <w:color w:val="auto"/>
                <w:w w:val="93"/>
              </w:rPr>
              <w:t>(Commission File Number)</w:t>
            </w:r>
          </w:p>
        </w:tc>
        <w:tc>
          <w:tcPr>
            <w:tcW w:w="3520" w:type="dxa"/>
            <w:vAlign w:val="bottom"/>
          </w:tcPr>
          <w:p>
            <w:pPr>
              <w:jc w:val="right"/>
              <w:ind w:right="37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352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352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r>
    </w:tbl>
    <w:p>
      <w:pPr>
        <w:spacing w:after="0" w:line="210"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33445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17145"/>
                    </a:xfrm>
                    <a:prstGeom prst="rect">
                      <a:avLst/>
                    </a:prstGeom>
                    <a:noFill/>
                  </pic:spPr>
                </pic:pic>
              </a:graphicData>
            </a:graphic>
          </wp:anchor>
        </w:drawing>
      </w:r>
    </w:p>
    <w:p>
      <w:pPr>
        <w:spacing w:after="0" w:line="2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00" w:lineRule="exact"/>
        <w:rPr>
          <w:sz w:val="20"/>
          <w:szCs w:val="20"/>
          <w:color w:val="auto"/>
        </w:rPr>
      </w:pPr>
    </w:p>
    <w:p>
      <w:pPr>
        <w:spacing w:after="0" w:line="29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On April 9, 2014, the Company’s Board of Directors amended and restated the Company’s Bylaws. The amendments include the following primary substantive changes:</w:t>
      </w:r>
    </w:p>
    <w:p>
      <w:pPr>
        <w:spacing w:after="0" w:line="197" w:lineRule="exact"/>
        <w:rPr>
          <w:sz w:val="20"/>
          <w:szCs w:val="20"/>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stockholder meetings may take place by means of remote communication;</w:t>
      </w:r>
    </w:p>
    <w:p>
      <w:pPr>
        <w:spacing w:after="0" w:line="23" w:lineRule="exact"/>
        <w:rPr>
          <w:rFonts w:ascii="Arial" w:cs="Arial" w:eastAsia="Arial" w:hAnsi="Arial"/>
          <w:sz w:val="18"/>
          <w:szCs w:val="18"/>
          <w:color w:val="auto"/>
        </w:rPr>
      </w:pPr>
    </w:p>
    <w:p>
      <w:pPr>
        <w:ind w:left="980" w:hanging="13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proposals of business and nominations of directors by stockholders and adjournments of stockholder meetings are subject to certain procedural requirements;</w:t>
      </w: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stockholders must request the Company to set a record date prior to any stockholder action by written consent;</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treatment of abstentions and broker non-votes is clarified;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nominees for director must disclose third-party compensation arrangements;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nominees for director and stockholders proposing business or nominees must disclose derivative holdings;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attendance at a meeting of the Board of Directors constitutes a waiver of any lack of notice;</w:t>
      </w:r>
    </w:p>
    <w:p>
      <w:pPr>
        <w:spacing w:after="0" w:line="9" w:lineRule="exact"/>
        <w:rPr>
          <w:rFonts w:ascii="Arial" w:cs="Arial" w:eastAsia="Arial" w:hAnsi="Arial"/>
          <w:sz w:val="18"/>
          <w:szCs w:val="18"/>
          <w:color w:val="auto"/>
        </w:rPr>
      </w:pPr>
    </w:p>
    <w:p>
      <w:pPr>
        <w:ind w:left="980" w:hanging="13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committees of the Board of Directors may fill vacancies on such committee and certain procedural and conduct provisions apply to such committees;</w:t>
      </w: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descriptions of officers of the Company are clarified;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officers of the Company are permitted to vote the shares of stock or other securities that the Company holds in another entity;</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advance payment of expenses for officers and directors involved in litigation is permitted; and</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Delaware is the exclusive forum for certain stockholder actions.</w:t>
      </w:r>
    </w:p>
    <w:p>
      <w:pPr>
        <w:spacing w:after="0" w:line="23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Company’s Bylaws, as amended, are attached as Exhibit 99.1 to this Current Report on Form 8-K and the foregoing summary is qualified in its entirety by reference to the text of the Company’s Bylaws, as amended and restated.</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20" w:type="dxa"/>
            <w:vAlign w:val="bottom"/>
            <w:gridSpan w:val="2"/>
          </w:tcPr>
          <w:p>
            <w:pPr>
              <w:ind w:left="100"/>
              <w:spacing w:after="0"/>
              <w:rPr>
                <w:sz w:val="20"/>
                <w:szCs w:val="20"/>
                <w:color w:val="auto"/>
              </w:rPr>
            </w:pPr>
            <w:r>
              <w:rPr>
                <w:rFonts w:ascii="Arial" w:cs="Arial" w:eastAsia="Arial" w:hAnsi="Arial"/>
                <w:sz w:val="18"/>
                <w:szCs w:val="18"/>
                <w:i w:val="1"/>
                <w:iCs w:val="1"/>
                <w:color w:val="auto"/>
              </w:rPr>
              <w:t>(d) Exhibits.</w:t>
            </w:r>
          </w:p>
        </w:tc>
      </w:tr>
      <w:tr>
        <w:trPr>
          <w:trHeight w:val="432"/>
        </w:trPr>
        <w:tc>
          <w:tcPr>
            <w:tcW w:w="11420" w:type="dxa"/>
            <w:vAlign w:val="bottom"/>
            <w:gridSpan w:val="4"/>
          </w:tcPr>
          <w:p>
            <w:pPr>
              <w:spacing w:after="0"/>
              <w:rPr>
                <w:sz w:val="20"/>
                <w:szCs w:val="20"/>
                <w:color w:val="auto"/>
              </w:rPr>
            </w:pPr>
            <w:r>
              <w:rPr>
                <w:rFonts w:ascii="Arial" w:cs="Arial" w:eastAsia="Arial" w:hAnsi="Arial"/>
                <w:sz w:val="18"/>
                <w:szCs w:val="18"/>
                <w:color w:val="auto"/>
              </w:rPr>
              <w:t>The following exhibits are attached herewith:</w:t>
            </w:r>
          </w:p>
        </w:tc>
      </w:tr>
      <w:tr>
        <w:trPr>
          <w:trHeight w:val="46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8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1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0"/>
                <w:szCs w:val="20"/>
                <w:color w:val="auto"/>
              </w:rPr>
            </w:pPr>
          </w:p>
        </w:tc>
        <w:tc>
          <w:tcPr>
            <w:tcW w:w="9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Bylaws (Amended and Restated as of April 9,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32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660" w:type="dxa"/>
            <w:vAlign w:val="bottom"/>
          </w:tcPr>
          <w:p>
            <w:pPr>
              <w:spacing w:after="0"/>
              <w:rPr>
                <w:sz w:val="20"/>
                <w:szCs w:val="20"/>
                <w:color w:val="auto"/>
              </w:rPr>
            </w:pPr>
            <w:r>
              <w:rPr>
                <w:rFonts w:ascii="Arial" w:cs="Arial" w:eastAsia="Arial" w:hAnsi="Arial"/>
                <w:sz w:val="18"/>
                <w:szCs w:val="18"/>
                <w:color w:val="auto"/>
              </w:rPr>
              <w:t>Date:   April 15, 2014</w:t>
            </w:r>
          </w:p>
        </w:tc>
        <w:tc>
          <w:tcPr>
            <w:tcW w:w="4060" w:type="dxa"/>
            <w:vAlign w:val="bottom"/>
          </w:tcPr>
          <w:p>
            <w:pPr>
              <w:ind w:left="328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ind w:left="80"/>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660" w:type="dxa"/>
            <w:vAlign w:val="bottom"/>
          </w:tcPr>
          <w:p>
            <w:pPr>
              <w:spacing w:after="0"/>
              <w:rPr>
                <w:sz w:val="17"/>
                <w:szCs w:val="17"/>
                <w:color w:val="auto"/>
              </w:rPr>
            </w:pPr>
          </w:p>
        </w:tc>
        <w:tc>
          <w:tcPr>
            <w:tcW w:w="4060" w:type="dxa"/>
            <w:vAlign w:val="bottom"/>
          </w:tcPr>
          <w:p>
            <w:pPr>
              <w:ind w:left="328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660" w:type="dxa"/>
            <w:vAlign w:val="bottom"/>
          </w:tcPr>
          <w:p>
            <w:pPr>
              <w:spacing w:after="0"/>
              <w:rPr>
                <w:sz w:val="18"/>
                <w:szCs w:val="18"/>
                <w:color w:val="auto"/>
              </w:rPr>
            </w:pPr>
          </w:p>
        </w:tc>
        <w:tc>
          <w:tcPr>
            <w:tcW w:w="4060" w:type="dxa"/>
            <w:vAlign w:val="bottom"/>
          </w:tcPr>
          <w:p>
            <w:pPr>
              <w:ind w:left="328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6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851"/>
        </w:trPr>
        <w:tc>
          <w:tcPr>
            <w:tcW w:w="3660" w:type="dxa"/>
            <w:vAlign w:val="bottom"/>
          </w:tcPr>
          <w:p>
            <w:pPr>
              <w:spacing w:after="0"/>
              <w:rPr>
                <w:sz w:val="24"/>
                <w:szCs w:val="24"/>
                <w:color w:val="auto"/>
              </w:rPr>
            </w:pPr>
          </w:p>
        </w:tc>
        <w:tc>
          <w:tcPr>
            <w:tcW w:w="4060" w:type="dxa"/>
            <w:vAlign w:val="bottom"/>
          </w:tcPr>
          <w:p>
            <w:pPr>
              <w:ind w:left="2000"/>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r>
      <w:tr>
        <w:trPr>
          <w:trHeight w:val="118"/>
        </w:trPr>
        <w:tc>
          <w:tcPr>
            <w:tcW w:w="366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THE CURRENT REPORT ON FORM 8-K DATED APRIL 9, 2014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Bylaws (Amended and Restated as of April 9,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707390</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8631555</wp:posOffset>
            </wp:positionV>
            <wp:extent cx="725043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9839"/>
          </w:cols>
          <w:pgMar w:left="620" w:top="513"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w:t>
      </w:r>
    </w:p>
    <w:p>
      <w:pPr>
        <w:jc w:val="center"/>
        <w:spacing w:after="0"/>
        <w:rPr>
          <w:sz w:val="20"/>
          <w:szCs w:val="20"/>
          <w:color w:val="auto"/>
        </w:rPr>
      </w:pPr>
      <w:r>
        <w:rPr>
          <w:rFonts w:ascii="Arial" w:cs="Arial" w:eastAsia="Arial" w:hAnsi="Arial"/>
          <w:sz w:val="22"/>
          <w:szCs w:val="22"/>
          <w:b w:val="1"/>
          <w:bCs w:val="1"/>
          <w:color w:val="auto"/>
        </w:rPr>
        <w:t>(Amended and Restated as of April 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CORPORATE OFFICES</w:t>
      </w:r>
    </w:p>
    <w:p>
      <w:pPr>
        <w:spacing w:after="0" w:line="200" w:lineRule="exact"/>
        <w:rPr>
          <w:sz w:val="20"/>
          <w:szCs w:val="20"/>
          <w:color w:val="auto"/>
        </w:rPr>
      </w:pPr>
    </w:p>
    <w:p>
      <w:pPr>
        <w:spacing w:after="0" w:line="29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Registered Office.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office shall be fixed in the corporation’s Certificate of Incorporation, as the same may be amended from time to time.</w:t>
      </w:r>
    </w:p>
    <w:p>
      <w:pPr>
        <w:spacing w:after="0" w:line="248"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Other Offices.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00" w:lineRule="exact"/>
        <w:rPr>
          <w:sz w:val="20"/>
          <w:szCs w:val="20"/>
          <w:color w:val="auto"/>
        </w:rPr>
      </w:pPr>
    </w:p>
    <w:p>
      <w:pPr>
        <w:spacing w:after="0" w:line="29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Place of Meetings.</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w:t>
      </w:r>
    </w:p>
    <w:p>
      <w:pPr>
        <w:spacing w:after="0" w:line="193"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Annual Meeting.</w:t>
      </w:r>
    </w:p>
    <w:p>
      <w:pPr>
        <w:spacing w:after="0" w:line="256"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Notice of Stockholder Meeting.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Whenever stockholders are required or permitted to take any action at a meeting, a notice of the meeting shall be given that shall state the place, if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any, date and hour of the meeting, the means of remote communications, if any, by which stockholders and proxy holders may be deemed to be present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 and vote at such meeting, the record date for determining the stockholders entitled to vote at the meeting (if such date is different from the record date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determining stockholders entitled to notice of the meeting), and, in the case of a special meeting, the purpose or purposes for which the meeting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called. Except as otherwise provided by law, the Certificate of Incorporation or these Bylaws, the written notice of any meeting of stockholders shall be given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less than ten (10) nor more than sixty (60) days before the date of the meeting to each stockholder entitled to vote at such meeting as of the record date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determining the stockholders entitled to notice of the meeting.</w:t>
      </w:r>
    </w:p>
    <w:p>
      <w:pPr>
        <w:spacing w:after="0" w:line="234"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List of Stockholders Entitled to Vote</w:t>
      </w:r>
      <w:r>
        <w:rPr>
          <w:rFonts w:ascii="Arial" w:cs="Arial" w:eastAsia="Arial" w:hAnsi="Arial"/>
          <w:sz w:val="16"/>
          <w:szCs w:val="16"/>
          <w:color w:val="auto"/>
        </w:rPr>
        <w:t>.</w:t>
      </w:r>
    </w:p>
    <w:p>
      <w:pPr>
        <w:spacing w:after="0" w:line="25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officer who has charge of the stock ledger of the corporation shall prepare and make, at least ten (10) days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meeting. Except as otherwise provided by law, the stock ledger shall be the only evidence as to who are the stockholders entitled to examine the list of stockholders required by this Article II, Section 4 or to vote in person or by proxy at any meeting of stockholders.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 w:name="page7"/>
    <w:bookmarkEnd w:id="6"/>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Special Meetings.</w:t>
      </w:r>
    </w:p>
    <w:p>
      <w:pPr>
        <w:spacing w:after="0" w:line="256" w:lineRule="exact"/>
        <w:rPr>
          <w:sz w:val="20"/>
          <w:szCs w:val="20"/>
          <w:color w:val="auto"/>
        </w:rPr>
      </w:pPr>
    </w:p>
    <w:p>
      <w:pPr>
        <w:ind w:firstLine="656"/>
        <w:spacing w:after="0" w:line="286" w:lineRule="auto"/>
        <w:tabs>
          <w:tab w:leader="none" w:pos="1343" w:val="left"/>
        </w:tabs>
        <w:numPr>
          <w:ilvl w:val="0"/>
          <w:numId w:val="2"/>
        </w:numPr>
        <w:rPr>
          <w:rFonts w:ascii="Arial" w:cs="Arial" w:eastAsia="Arial" w:hAnsi="Arial"/>
          <w:sz w:val="16"/>
          <w:szCs w:val="16"/>
          <w:color w:val="auto"/>
        </w:rPr>
      </w:pPr>
      <w:r>
        <w:rPr>
          <w:rFonts w:ascii="Arial" w:cs="Arial" w:eastAsia="Arial" w:hAnsi="Arial"/>
          <w:sz w:val="16"/>
          <w:szCs w:val="16"/>
          <w:color w:val="auto"/>
        </w:rPr>
        <w:t>Special meetings of the stockholders, for any purpose or purposes, unless otherwise prescribed by law or by the Certificate of Incorporation, may be called by the Board of Directors, the Chairman of the Board, the Chief Executive Officer, or by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or Section 11(c) of this Article II, as applicable.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 (a) the business proposed to be brought before the special meeting by stockholders is not a proper subject for stockholder action under applicable law or (b) the Board of Directors has called or calls for an annual meeting of stockholders to be held within ninety (90) days after the 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right="180" w:firstLine="656"/>
        <w:spacing w:after="0" w:line="264" w:lineRule="auto"/>
        <w:tabs>
          <w:tab w:leader="none" w:pos="1353"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w:t>
      </w:r>
    </w:p>
    <w:p>
      <w:pPr>
        <w:spacing w:after="0" w:line="204"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7"/>
          <w:szCs w:val="17"/>
          <w:b w:val="1"/>
          <w:bCs w:val="1"/>
          <w:color w:val="auto"/>
        </w:rPr>
        <w:t>Quorum.</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holders of a majority in voting power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thereat may, by a majority in voting power thereof, adjourn the meeting from time to time in the manner provided by this Article II until a quorum shall be present or represented.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7" w:name="page8"/>
    <w:bookmarkEnd w:id="7"/>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Adjourned Meeting Notice.</w:t>
      </w:r>
    </w:p>
    <w:p>
      <w:pPr>
        <w:spacing w:after="0" w:line="25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Any meeting of stockholders, annual or special, may adjourn from time to time to reconvene at the same or some other place, and notice need not be given of any such reconvened meeting if the time, place, if any, and means of remote communications are announced at the meeting at which the adjournment is taken.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as the record date for determining stockholders entitled to notice of such reconvened meeting the same or an earlier date as that fixed for determination of stockholders entitled to vote at the adjourned meeting, and shall give notice of the reconvened meeting to each stockholder of record as of the record date so fixed for notice of such reconvened meeting.</w:t>
      </w:r>
    </w:p>
    <w:p>
      <w:pPr>
        <w:spacing w:after="0" w:line="202"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Proxies.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When a quorum is present at any meeting, the vote of the holders of a majority of the voting power of the stock present in person or represented by proxy shall decide any issue brought before such meeting, unless the issue is (a) one upon which by express provision of the Certificate of Incorporation, these Bylaws, the rules or regulations of any stock exchange applicable to the corporation, or applicable law or pursuant to any regulation applicable to the corporation or its securities, a different vote is required in which case such express provision shall govern and control the decision of the issue or (b) relates to the election of directors, in which case the provisions of Article III, Section 2 shall apply.</w:t>
      </w:r>
    </w:p>
    <w:p>
      <w:pPr>
        <w:spacing w:after="0" w:line="21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Cumulative Voting.</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the Secretary of the stockholder's intention to cumulate votes at least fifteen (15) days prior to the date of the meeting. If any stockholder has given such notice, all stockholders may cumulate their votes for candidates in nomination.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p>
      <w:pPr>
        <w:ind w:left="620"/>
        <w:spacing w:after="0"/>
        <w:tabs>
          <w:tab w:leader="none" w:pos="23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Action by Written Consent.</w:t>
      </w:r>
    </w:p>
    <w:p>
      <w:pPr>
        <w:spacing w:after="0" w:line="256" w:lineRule="exact"/>
        <w:rPr>
          <w:sz w:val="20"/>
          <w:szCs w:val="20"/>
          <w:color w:val="auto"/>
        </w:rPr>
      </w:pPr>
    </w:p>
    <w:p>
      <w:pPr>
        <w:ind w:left="-40" w:firstLine="656"/>
        <w:spacing w:after="0" w:line="288" w:lineRule="auto"/>
        <w:tabs>
          <w:tab w:leader="none" w:pos="1303"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Notice. </w:t>
      </w:r>
      <w:r>
        <w:rPr>
          <w:rFonts w:ascii="Arial" w:cs="Arial" w:eastAsia="Arial" w:hAnsi="Arial"/>
          <w:sz w:val="16"/>
          <w:szCs w:val="16"/>
          <w:color w:val="auto"/>
        </w:rPr>
        <w:t>Unless otherwise restricted by the Certificate of Incorporation, any action required to be taken at any annual or special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of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96" w:lineRule="exact"/>
        <w:rPr>
          <w:rFonts w:ascii="Arial" w:cs="Arial" w:eastAsia="Arial" w:hAnsi="Arial"/>
          <w:sz w:val="16"/>
          <w:szCs w:val="16"/>
          <w:color w:val="auto"/>
        </w:rPr>
      </w:pPr>
    </w:p>
    <w:p>
      <w:pPr>
        <w:ind w:left="-40" w:right="40" w:firstLine="656"/>
        <w:spacing w:after="0" w:line="286" w:lineRule="auto"/>
        <w:tabs>
          <w:tab w:leader="none" w:pos="1313"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Record Date. </w:t>
      </w:r>
      <w:r>
        <w:rPr>
          <w:rFonts w:ascii="Arial" w:cs="Arial" w:eastAsia="Arial" w:hAnsi="Arial"/>
          <w:sz w:val="16"/>
          <w:szCs w:val="16"/>
          <w:color w:val="auto"/>
        </w:rPr>
        <w:t>Unless otherwise restricted by the Certificate of Incorporation, in order that the corporation may determine the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 Section 10(b)). If no record date has been fixed by the Board of Directors pursuant to the first sentence of this Article II, Section 10(b) or otherwise within ten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270" w:right="259" w:bottom="1440" w:gutter="0" w:footer="0" w:header="0"/>
        </w:sectPr>
      </w:pPr>
    </w:p>
    <w:bookmarkStart w:id="9" w:name="page10"/>
    <w:bookmarkEnd w:id="9"/>
    <w:p>
      <w:pPr>
        <w:ind w:firstLine="8"/>
        <w:spacing w:after="0" w:line="288" w:lineRule="auto"/>
        <w:tabs>
          <w:tab w:leader="none" w:pos="695"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Inspector of Elections. </w:t>
      </w:r>
      <w:r>
        <w:rPr>
          <w:rFonts w:ascii="Arial" w:cs="Arial" w:eastAsia="Arial" w:hAnsi="Arial"/>
          <w:sz w:val="16"/>
          <w:szCs w:val="16"/>
          <w:color w:val="auto"/>
        </w:rPr>
        <w:t>In the event of the delivery, in the manner provided by this Article II, Section 10 and applicable law, to the corporation of a</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96" w:lineRule="exact"/>
        <w:rPr>
          <w:rFonts w:ascii="Arial" w:cs="Arial" w:eastAsia="Arial" w:hAnsi="Arial"/>
          <w:sz w:val="16"/>
          <w:szCs w:val="16"/>
          <w:color w:val="auto"/>
        </w:rPr>
      </w:pPr>
    </w:p>
    <w:p>
      <w:pPr>
        <w:ind w:right="240" w:firstLine="8"/>
        <w:spacing w:after="0" w:line="279" w:lineRule="auto"/>
        <w:tabs>
          <w:tab w:leader="none" w:pos="70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Every written consent shall bear the date of signature of each stockholder who signs the consent and no written consent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to take the corporate action referred to therein unless, within sixty (60) days after the earliest dated written consent delivered in the manner prescribed in this Article II, Section 10 to the corporation, written consents signed by a sufficient number of holders to take such action are delivered to the corporation in the manner prescribed in this Article II, Section 10 and applicable law, and not revoked.</w:t>
      </w:r>
    </w:p>
    <w:p>
      <w:pPr>
        <w:spacing w:after="0" w:line="200" w:lineRule="exact"/>
        <w:rPr>
          <w:sz w:val="20"/>
          <w:szCs w:val="20"/>
          <w:color w:val="auto"/>
        </w:rPr>
      </w:pPr>
    </w:p>
    <w:p>
      <w:pPr>
        <w:spacing w:after="0" w:line="238"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Advance Notice of Stockholder Nominees and Stockholder Business.</w:t>
      </w:r>
    </w:p>
    <w:p>
      <w:pPr>
        <w:spacing w:after="0" w:line="256" w:lineRule="exact"/>
        <w:rPr>
          <w:sz w:val="20"/>
          <w:szCs w:val="20"/>
          <w:color w:val="auto"/>
        </w:rPr>
      </w:pPr>
    </w:p>
    <w:p>
      <w:pPr>
        <w:ind w:right="80" w:firstLine="656"/>
        <w:spacing w:after="0" w:line="342" w:lineRule="auto"/>
        <w:tabs>
          <w:tab w:leader="none" w:pos="1333"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w:t>
      </w:r>
    </w:p>
    <w:p>
      <w:pPr>
        <w:spacing w:after="0" w:line="151" w:lineRule="exact"/>
        <w:rPr>
          <w:sz w:val="20"/>
          <w:szCs w:val="20"/>
          <w:color w:val="auto"/>
        </w:rPr>
      </w:pPr>
    </w:p>
    <w:p>
      <w:pPr>
        <w:jc w:val="center"/>
        <w:ind w:left="5660" w:right="360" w:hanging="5004"/>
        <w:spacing w:after="0" w:line="731" w:lineRule="auto"/>
        <w:tabs>
          <w:tab w:leader="none" w:pos="862"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specified in the notice of meeting (or any supplement thereto) given by or at the direction of the Board of Directors or any committee thereof,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ind w:left="920" w:hanging="264"/>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of Directors or any committee thereof, or</w:t>
      </w:r>
    </w:p>
    <w:p>
      <w:pPr>
        <w:spacing w:after="0" w:line="252" w:lineRule="exact"/>
        <w:rPr>
          <w:rFonts w:ascii="Arial" w:cs="Arial" w:eastAsia="Arial" w:hAnsi="Arial"/>
          <w:sz w:val="18"/>
          <w:szCs w:val="18"/>
          <w:color w:val="auto"/>
        </w:rPr>
      </w:pPr>
    </w:p>
    <w:p>
      <w:pPr>
        <w:ind w:right="280" w:firstLine="656"/>
        <w:spacing w:after="0" w:line="264" w:lineRule="auto"/>
        <w:tabs>
          <w:tab w:leader="none" w:pos="963"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otherwise properly brought before an annual meeting by a stockholder who: (A) is a stockholder of record of the corporation at the time such notice of meeting is delivered and at the time the notice required hereunder is delivered to the Secretary; (B) is entitled to vote at the meeting; and (C) complies with the notice procedures and disclosure requirements set forth in this Article II, Section 11.</w:t>
      </w: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 pursuant to this Article II, Section 11(a) or Section 11(c) below, as applicable, in writing to the Secretary even if such matter is already the subject of any notice to the stockholders or public disclosure by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w:t>
      </w:r>
    </w:p>
    <w:p>
      <w:pPr>
        <w:spacing w:after="0" w:line="209" w:lineRule="exact"/>
        <w:rPr>
          <w:sz w:val="20"/>
          <w:szCs w:val="20"/>
          <w:color w:val="auto"/>
        </w:rPr>
      </w:pPr>
    </w:p>
    <w:p>
      <w:pPr>
        <w:ind w:firstLine="656"/>
        <w:spacing w:after="0" w:line="255" w:lineRule="auto"/>
        <w:tabs>
          <w:tab w:leader="none" w:pos="1353"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Only persons who are nominated in accordance with the procedures set forth in this Article II, Section 11(b) shall be eligible for election as directors. Nominations of persons for election to the Board of Directors may be made at a meeting of stockholders by or at the direction of the Board of Directors or by any stockholder of the corporation entitled to vote in the election of directors at the meeting who complies with the notice procedures set forth in this Article II, Section 11(b). Such nominations, other than those made by or at the direction of the Board of Directors, shall be made pursuant to timely notice in writing to the Secretary in accordance with the provisions of this Article II, Section 11(b). For the nomination of any person or persons for election to the Board of Directors by any stockholder, whether at an annual meeting or a properly called special meeting of stockholders, the stockholder's notice to the Secretary shall set forth:</w:t>
      </w:r>
    </w:p>
    <w:p>
      <w:pPr>
        <w:spacing w:after="0" w:line="216" w:lineRule="exact"/>
        <w:rPr>
          <w:rFonts w:ascii="Arial" w:cs="Arial" w:eastAsia="Arial" w:hAnsi="Arial"/>
          <w:sz w:val="18"/>
          <w:szCs w:val="18"/>
          <w:color w:val="auto"/>
        </w:rPr>
      </w:pPr>
    </w:p>
    <w:p>
      <w:pPr>
        <w:ind w:left="1520" w:hanging="215"/>
        <w:spacing w:after="0"/>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each nominee proposed in such notice,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1" w:name="page12"/>
    <w:bookmarkEnd w:id="11"/>
    <w:p>
      <w:pPr>
        <w:ind w:left="904" w:hanging="255"/>
        <w:spacing w:after="0"/>
        <w:tabs>
          <w:tab w:leader="none" w:pos="904"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principal occupation or employment of each such nominee,</w:t>
      </w:r>
    </w:p>
    <w:p>
      <w:pPr>
        <w:spacing w:after="0" w:line="252" w:lineRule="exact"/>
        <w:rPr>
          <w:rFonts w:ascii="Arial" w:cs="Arial" w:eastAsia="Arial" w:hAnsi="Arial"/>
          <w:sz w:val="18"/>
          <w:szCs w:val="18"/>
          <w:color w:val="auto"/>
        </w:rPr>
      </w:pPr>
    </w:p>
    <w:p>
      <w:pPr>
        <w:ind w:left="4" w:right="20" w:firstLine="645"/>
        <w:spacing w:after="0" w:line="291" w:lineRule="auto"/>
        <w:tabs>
          <w:tab w:leader="none" w:pos="967" w:val="left"/>
        </w:tabs>
        <w:numPr>
          <w:ilvl w:val="1"/>
          <w:numId w:val="9"/>
        </w:numPr>
        <w:rPr>
          <w:rFonts w:ascii="Arial" w:cs="Arial" w:eastAsia="Arial" w:hAnsi="Arial"/>
          <w:sz w:val="16"/>
          <w:szCs w:val="16"/>
          <w:color w:val="auto"/>
        </w:rPr>
      </w:pPr>
      <w:r>
        <w:rPr>
          <w:rFonts w:ascii="Arial" w:cs="Arial" w:eastAsia="Arial" w:hAnsi="Arial"/>
          <w:sz w:val="16"/>
          <w:szCs w:val="16"/>
          <w:color w:val="auto"/>
        </w:rPr>
        <w:t>(A) the number of shares of capital stock of the corporation which are owned of record and beneficially by each such nominee and any affiliates or associates of such nominee (if any) and (B) a description of any agreement, arrangement or understanding of the type described in clause</w:t>
      </w:r>
    </w:p>
    <w:p>
      <w:pPr>
        <w:ind w:left="304" w:hanging="304"/>
        <w:spacing w:after="0"/>
        <w:tabs>
          <w:tab w:leader="none" w:pos="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 of this section, but as it relates to each such nominee rather than the stockholder,</w:t>
      </w:r>
    </w:p>
    <w:p>
      <w:pPr>
        <w:spacing w:after="0" w:line="237" w:lineRule="exact"/>
        <w:rPr>
          <w:rFonts w:ascii="Arial" w:cs="Arial" w:eastAsia="Arial" w:hAnsi="Arial"/>
          <w:sz w:val="18"/>
          <w:szCs w:val="18"/>
          <w:color w:val="auto"/>
        </w:rPr>
      </w:pPr>
    </w:p>
    <w:p>
      <w:pPr>
        <w:ind w:left="4" w:firstLine="645"/>
        <w:spacing w:after="0" w:line="272" w:lineRule="auto"/>
        <w:tabs>
          <w:tab w:leader="none" w:pos="95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 if any such nominee is a party to any compensatory, payment or other financial agreement, arrangement or understanding with any person or entity other than the corporation, or has received any compensation or other payment from any person or entity other than the corporation, in each case in connection with candidacy or service as a director of the corporation, a detailed description of such agreement, arrangement or understanding and its terms and any such compensation received and (B) such other information concerning each such nominee as would be required to be disclosed in a proxy statement soliciting proxies for the election of such nominee as a director in an election contest (even if an election contest is not involved) or that is otherwise required to be disclosed, under Section 14(a) of the Securities Exchange Act of 1934, as amended, and the rules and regulations promulgated thereunder (the “Exchange Act”),</w:t>
      </w:r>
    </w:p>
    <w:p>
      <w:pPr>
        <w:spacing w:after="0" w:line="204" w:lineRule="exact"/>
        <w:rPr>
          <w:rFonts w:ascii="Arial" w:cs="Arial" w:eastAsia="Arial" w:hAnsi="Arial"/>
          <w:sz w:val="17"/>
          <w:szCs w:val="17"/>
          <w:color w:val="auto"/>
        </w:rPr>
      </w:pPr>
    </w:p>
    <w:p>
      <w:pPr>
        <w:ind w:left="904" w:hanging="255"/>
        <w:spacing w:after="0"/>
        <w:tabs>
          <w:tab w:leader="none" w:pos="90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consent of the nominee to being named in the proxy statement as a nominee and to serving as a director if elected and a</w:t>
      </w:r>
    </w:p>
    <w:p>
      <w:pPr>
        <w:spacing w:after="0" w:line="34" w:lineRule="exact"/>
        <w:rPr>
          <w:rFonts w:ascii="Arial" w:cs="Arial" w:eastAsia="Arial" w:hAnsi="Arial"/>
          <w:sz w:val="17"/>
          <w:szCs w:val="17"/>
          <w:color w:val="auto"/>
        </w:rPr>
      </w:pPr>
    </w:p>
    <w:p>
      <w:pPr>
        <w:ind w:left="4" w:right="80"/>
        <w:spacing w:after="0" w:line="261" w:lineRule="auto"/>
        <w:rPr>
          <w:rFonts w:ascii="Arial" w:cs="Arial" w:eastAsia="Arial" w:hAnsi="Arial"/>
          <w:sz w:val="17"/>
          <w:szCs w:val="17"/>
          <w:color w:val="auto"/>
        </w:rPr>
      </w:pPr>
      <w:r>
        <w:rPr>
          <w:rFonts w:ascii="Arial" w:cs="Arial" w:eastAsia="Arial" w:hAnsi="Arial"/>
          <w:sz w:val="18"/>
          <w:szCs w:val="18"/>
          <w:color w:val="auto"/>
        </w:rPr>
        <w:t>representation by the nominee to the effect that, if elected, the nominee will agree to and abide by all policies of the Board of Directors as may be in place at any time and from time to time, and</w:t>
      </w:r>
    </w:p>
    <w:p>
      <w:pPr>
        <w:spacing w:after="0" w:line="35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4"/>
          </w:cols>
          <w:pgMar w:left="896" w:top="274" w:right="259" w:bottom="1440" w:gutter="0" w:footer="0" w:header="0"/>
        </w:sectPr>
      </w:pPr>
    </w:p>
    <w:bookmarkStart w:id="12" w:name="page13"/>
    <w:bookmarkEnd w:id="12"/>
    <w:p>
      <w:pPr>
        <w:ind w:left="660" w:right="120" w:firstLine="645"/>
        <w:spacing w:after="0" w:line="268" w:lineRule="auto"/>
        <w:tabs>
          <w:tab w:leader="none" w:pos="1613"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to the proposing stockholder: (A) the name and address of the stockholder as they appear on the corporation's books and of the beneficial owner, if any, on whose behalf the nomination is being made, (B) the class and number of shares of the corporation which are owned by the proposing stockholder (beneficially and of record) and owned by the beneficial owner, if any, on whose behalf the nomination is being made, as of the date of the proposing stockholder's notice, (C) a description of any agreement, arrangement or understanding with respect to such nomination between or among the proposing stockholder and any of its affiliates or</w:t>
      </w:r>
    </w:p>
    <w:p>
      <w:pPr>
        <w:spacing w:after="0" w:line="3" w:lineRule="exact"/>
        <w:rPr>
          <w:rFonts w:ascii="Arial" w:cs="Arial" w:eastAsia="Arial" w:hAnsi="Arial"/>
          <w:sz w:val="17"/>
          <w:szCs w:val="17"/>
          <w:color w:val="auto"/>
        </w:rPr>
      </w:pPr>
    </w:p>
    <w:p>
      <w:pPr>
        <w:ind w:left="660"/>
        <w:spacing w:after="0" w:line="286" w:lineRule="auto"/>
        <w:rPr>
          <w:rFonts w:ascii="Arial" w:cs="Arial" w:eastAsia="Arial" w:hAnsi="Arial"/>
          <w:sz w:val="17"/>
          <w:szCs w:val="17"/>
          <w:color w:val="auto"/>
        </w:rPr>
      </w:pPr>
      <w:r>
        <w:rPr>
          <w:rFonts w:ascii="Arial" w:cs="Arial" w:eastAsia="Arial" w:hAnsi="Arial"/>
          <w:sz w:val="16"/>
          <w:szCs w:val="16"/>
          <w:color w:val="auto"/>
        </w:rPr>
        <w:t>associates, and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the corporation,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intends to deliver a proxy statement and/or form of proxy to holders of at least the percentage of the corporation's outstanding capital stock required to approve the election of the nominee and/or otherwise to solicit proxies from stockholders in support of such election and (G) and, with respect to (B), (C) and (D) above, a representation that the proposing stockholder will promptly notify the corporation in writing of the same as of the record date for the meeting promptly following the later of the record date or the date notice of the record date is first publicly disclosed.</w:t>
      </w:r>
    </w:p>
    <w:p>
      <w:pPr>
        <w:spacing w:after="0" w:line="194"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ind w:right="300" w:firstLine="656"/>
        <w:spacing w:after="0" w:line="277" w:lineRule="auto"/>
        <w:tabs>
          <w:tab w:leader="none" w:pos="13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all business other than director nominations, a stockholder's notice to the Secretary shall set forth as to each matter the stockholder proposes to bring before the annual meeting or properly called special meeting:</w:t>
      </w:r>
    </w:p>
    <w:p>
      <w:pPr>
        <w:spacing w:after="0" w:line="197" w:lineRule="exact"/>
        <w:rPr>
          <w:rFonts w:ascii="Arial" w:cs="Arial" w:eastAsia="Arial" w:hAnsi="Arial"/>
          <w:sz w:val="18"/>
          <w:szCs w:val="18"/>
          <w:color w:val="auto"/>
        </w:rPr>
      </w:pPr>
    </w:p>
    <w:p>
      <w:pPr>
        <w:ind w:left="1520" w:hanging="215"/>
        <w:spacing w:after="0"/>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and the reasons for conducting such business at the meeting,</w:t>
      </w:r>
    </w:p>
    <w:p>
      <w:pPr>
        <w:spacing w:after="0" w:line="275" w:lineRule="exact"/>
        <w:rPr>
          <w:rFonts w:ascii="Arial" w:cs="Arial" w:eastAsia="Arial" w:hAnsi="Arial"/>
          <w:sz w:val="16"/>
          <w:szCs w:val="16"/>
          <w:color w:val="auto"/>
        </w:rPr>
      </w:pPr>
    </w:p>
    <w:p>
      <w:pPr>
        <w:jc w:val="both"/>
        <w:ind w:left="660" w:right="280" w:firstLine="645"/>
        <w:spacing w:after="0" w:line="312" w:lineRule="auto"/>
        <w:tabs>
          <w:tab w:leader="none" w:pos="1573"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other information relating to the proposing stockholder or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w:t>
      </w:r>
    </w:p>
    <w:p>
      <w:pPr>
        <w:spacing w:after="0" w:line="173" w:lineRule="exact"/>
        <w:rPr>
          <w:rFonts w:ascii="Arial" w:cs="Arial" w:eastAsia="Arial" w:hAnsi="Arial"/>
          <w:sz w:val="16"/>
          <w:szCs w:val="16"/>
          <w:color w:val="auto"/>
        </w:rPr>
      </w:pPr>
    </w:p>
    <w:p>
      <w:pPr>
        <w:ind w:left="660" w:firstLine="645"/>
        <w:spacing w:after="0" w:line="259" w:lineRule="auto"/>
        <w:tabs>
          <w:tab w:leader="none" w:pos="162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w:t>
      </w:r>
    </w:p>
    <w:p>
      <w:pPr>
        <w:spacing w:after="0" w:line="213" w:lineRule="exact"/>
        <w:rPr>
          <w:rFonts w:ascii="Arial" w:cs="Arial" w:eastAsia="Arial" w:hAnsi="Arial"/>
          <w:sz w:val="18"/>
          <w:szCs w:val="18"/>
          <w:color w:val="auto"/>
        </w:rPr>
      </w:pPr>
    </w:p>
    <w:p>
      <w:pPr>
        <w:ind w:left="1600" w:hanging="295"/>
        <w:spacing w:after="0"/>
        <w:tabs>
          <w:tab w:leader="none" w:pos="16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information required by Article II, Section 11(b)(vi) above.</w:t>
      </w:r>
    </w:p>
    <w:p>
      <w:pPr>
        <w:spacing w:after="0" w:line="252"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w:t>
      </w:r>
    </w:p>
    <w:p>
      <w:pPr>
        <w:spacing w:after="0" w:line="174" w:lineRule="exact"/>
        <w:rPr>
          <w:sz w:val="20"/>
          <w:szCs w:val="20"/>
          <w:color w:val="auto"/>
        </w:rPr>
      </w:pPr>
    </w:p>
    <w:p>
      <w:pPr>
        <w:ind w:right="120" w:firstLine="656"/>
        <w:spacing w:after="0" w:line="264" w:lineRule="auto"/>
        <w:tabs>
          <w:tab w:leader="none" w:pos="1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w:t>
      </w:r>
    </w:p>
    <w:p>
      <w:pPr>
        <w:spacing w:after="0" w:line="208" w:lineRule="exact"/>
        <w:rPr>
          <w:rFonts w:ascii="Arial" w:cs="Arial" w:eastAsia="Arial" w:hAnsi="Arial"/>
          <w:sz w:val="18"/>
          <w:szCs w:val="18"/>
          <w:color w:val="auto"/>
        </w:rPr>
      </w:pPr>
    </w:p>
    <w:p>
      <w:pPr>
        <w:ind w:left="1520" w:hanging="215"/>
        <w:spacing w:after="0"/>
        <w:tabs>
          <w:tab w:leader="none" w:pos="15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by or at the direction of the Board of Directors or any committee thereof (or stockholders pursuant to Article II, Section 5 above), or</w:t>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14" w:name="page15"/>
    <w:bookmarkEnd w:id="14"/>
    <w:p>
      <w:pPr>
        <w:ind w:left="660" w:right="160" w:firstLine="645"/>
        <w:spacing w:after="0" w:line="259" w:lineRule="auto"/>
        <w:tabs>
          <w:tab w:leader="none" w:pos="15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provided that the Board of Directors (or stockholders pursuant to Article II, Section 5 above) has determined that directors shall be elected at such meeting, by any stockholder of the corporation who is a stockholder of record at the time the notice provided for in this Article II, Section 11 is delivered to the Secretary, who is entitled to vote at the meeting and upon such election and who complies with the notice procedures set forth in this Article II, Section 11.</w:t>
      </w:r>
    </w:p>
    <w:p>
      <w:pPr>
        <w:spacing w:after="0" w:line="21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Article II, Section 11 shall be delivered to the Secretary at the principal executive offices of the corporation not later than the close of business on the tenth (10</w:t>
      </w:r>
      <w:r>
        <w:rPr>
          <w:rFonts w:ascii="Arial" w:cs="Arial" w:eastAsia="Arial" w:hAnsi="Arial"/>
          <w:sz w:val="22"/>
          <w:szCs w:val="22"/>
          <w:color w:val="auto"/>
          <w:vertAlign w:val="superscript"/>
        </w:rPr>
        <w:t>th</w:t>
      </w:r>
      <w:r>
        <w:rPr>
          <w:rFonts w:ascii="Arial" w:cs="Arial" w:eastAsia="Arial" w:hAnsi="Arial"/>
          <w:sz w:val="16"/>
          <w:szCs w:val="16"/>
          <w:color w:val="auto"/>
        </w:rPr>
        <w:t>) day following the day on which notice of the date of the special meeting was mailed or public disclosure of the date of the special meeting was made by the corporation, whichever first occurs. In no event shall any adjournment or postponement of a special meeting, or the public disclosure thereof, commence a new time period (or extend any notice time period).</w:t>
      </w:r>
    </w:p>
    <w:p>
      <w:pPr>
        <w:spacing w:after="0" w:line="205" w:lineRule="exact"/>
        <w:rPr>
          <w:sz w:val="20"/>
          <w:szCs w:val="20"/>
          <w:color w:val="auto"/>
        </w:rPr>
      </w:pPr>
    </w:p>
    <w:p>
      <w:pPr>
        <w:ind w:left="1360" w:hanging="704"/>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w:t>
      </w:r>
    </w:p>
    <w:p>
      <w:pPr>
        <w:spacing w:after="0" w:line="252" w:lineRule="exact"/>
        <w:rPr>
          <w:rFonts w:ascii="Arial" w:cs="Arial" w:eastAsia="Arial" w:hAnsi="Arial"/>
          <w:sz w:val="18"/>
          <w:szCs w:val="18"/>
          <w:color w:val="auto"/>
        </w:rPr>
      </w:pPr>
    </w:p>
    <w:p>
      <w:pPr>
        <w:ind w:left="660" w:right="300" w:firstLine="645"/>
        <w:spacing w:after="0" w:line="277" w:lineRule="auto"/>
        <w:tabs>
          <w:tab w:leader="none" w:pos="1523"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 nominations shall be made or business shall be conducted at any annual meeting or special meeting except in accordance with the procedures set forth in this Article II, Section 11, and</w:t>
      </w:r>
    </w:p>
    <w:p>
      <w:pPr>
        <w:spacing w:after="0" w:line="197" w:lineRule="exact"/>
        <w:rPr>
          <w:rFonts w:ascii="Arial" w:cs="Arial" w:eastAsia="Arial" w:hAnsi="Arial"/>
          <w:sz w:val="18"/>
          <w:szCs w:val="18"/>
          <w:color w:val="auto"/>
        </w:rPr>
      </w:pPr>
    </w:p>
    <w:p>
      <w:pPr>
        <w:ind w:left="660" w:firstLine="645"/>
        <w:spacing w:after="0" w:line="290" w:lineRule="auto"/>
        <w:tabs>
          <w:tab w:leader="none" w:pos="1573" w:val="left"/>
        </w:tabs>
        <w:numPr>
          <w:ilvl w:val="1"/>
          <w:numId w:val="15"/>
        </w:numPr>
        <w:rPr>
          <w:rFonts w:ascii="Arial" w:cs="Arial" w:eastAsia="Arial" w:hAnsi="Arial"/>
          <w:sz w:val="16"/>
          <w:szCs w:val="16"/>
          <w:color w:val="auto"/>
        </w:rPr>
      </w:pPr>
      <w:r>
        <w:rPr>
          <w:rFonts w:ascii="Arial" w:cs="Arial" w:eastAsia="Arial" w:hAnsi="Arial"/>
          <w:sz w:val="16"/>
          <w:szCs w:val="16"/>
          <w:color w:val="auto"/>
        </w:rPr>
        <w:t>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at the meeting to present the proposed business or nominations, such business or nominations shall not be considered, notwithstanding that proxies in respect of such business or nominations may have been received by the corporation. The Chairman of the meeting shall, if the facts warrant, determine and declare at the meeting that any nomination or business, as the case may be, was not properly brought before the meeting and in accordance with the provisions of this Article II, Section 11, and, if he should so determine, he shall so declare at the meeting that any such nomination or business, as the case may be, not properly brought before the meeting shall not be transacted.</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5" w:name="page16"/>
    <w:bookmarkEnd w:id="15"/>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Conduct of Meetings.</w:t>
      </w:r>
    </w:p>
    <w:p>
      <w:pPr>
        <w:spacing w:after="0" w:line="256" w:lineRule="exact"/>
        <w:rPr>
          <w:sz w:val="20"/>
          <w:szCs w:val="20"/>
          <w:color w:val="auto"/>
        </w:rPr>
      </w:pPr>
    </w:p>
    <w:p>
      <w:pPr>
        <w:ind w:right="100" w:firstLine="656"/>
        <w:spacing w:after="0" w:line="259" w:lineRule="auto"/>
        <w:tabs>
          <w:tab w:leader="none" w:pos="13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Chairman of the Board of Directors, if any, or in his or her absence, the Chief Executive Officer, if any, or in his or her absence by the President, if any,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213" w:lineRule="exact"/>
        <w:rPr>
          <w:rFonts w:ascii="Arial" w:cs="Arial" w:eastAsia="Arial" w:hAnsi="Arial"/>
          <w:sz w:val="18"/>
          <w:szCs w:val="18"/>
          <w:color w:val="auto"/>
        </w:rPr>
      </w:pPr>
    </w:p>
    <w:p>
      <w:pPr>
        <w:ind w:firstLine="656"/>
        <w:spacing w:after="0" w:line="286" w:lineRule="auto"/>
        <w:tabs>
          <w:tab w:leader="none" w:pos="135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Inspector of Elections.</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 - DIRECTORS</w:t>
      </w:r>
    </w:p>
    <w:p>
      <w:pPr>
        <w:spacing w:after="0" w:line="200" w:lineRule="exact"/>
        <w:rPr>
          <w:sz w:val="20"/>
          <w:szCs w:val="20"/>
          <w:color w:val="auto"/>
        </w:rPr>
      </w:pPr>
    </w:p>
    <w:p>
      <w:pPr>
        <w:spacing w:after="0" w:line="29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Number of Directors.</w:t>
      </w:r>
    </w:p>
    <w:p>
      <w:pPr>
        <w:spacing w:after="0" w:line="25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authorized number of directors of the corporation shall be eight. The number of directors provided in this Article III, Section 1 may be changed from time to time by a Bylaw duly adopted by the affirmative vote of a majority in voting power of the outstanding shares entitled to vote or by a resolution of the Board of Directors.</w:t>
      </w:r>
    </w:p>
    <w:p>
      <w:pPr>
        <w:spacing w:after="0" w:line="204"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Election of Directors.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directors shall be elected at each annual meeting of stockholders, but if any such annual meeting is not held, or the directors are not elected thereat, the directors may be elected at any special meeting of the stockholders held for that purpose. All directors shall hold office until the expiration of the term for which elected and qualified and until their respective successors are elected, except in the case of death, resignation or removal of any director. A director need not be a stockholder.</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17" w:name="page18"/>
    <w:bookmarkEnd w:id="17"/>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Majority Voting.</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Except as provided in Section 5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not counted as a vote cast either “for” or “against” that director’s election). The Governance Committee has established procedures under which any incumbent director that fails to receive a majority of the votes cast in an election that is not a Contested Election shall offer to tender his or her resignation to the Board. The Governance Committee shall make a recommendation to the Board on whether to accept or reject the resignation of such incumbent director, or whether other action should be taken. The Board shall act on the resignation, taking into account the Governance Committee’s recommendation, and publicly disclose its decision and the rationale behind it within ninety (90) days from the date of the certification of the election results.</w:t>
      </w:r>
    </w:p>
    <w:p>
      <w:pPr>
        <w:spacing w:after="0" w:line="203"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Resignation of Directors.</w:t>
      </w:r>
    </w:p>
    <w:p>
      <w:pPr>
        <w:spacing w:after="0" w:line="256"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Any director may resign effective upon giving notice in writing or by electronic transmission to the Chairman of the Board, the Chief Executive Officer, the President, the Secretary or the Board of Directors, unless the notice specifies a later time for the effectiveness of such resignation. If the resignation is effective at a future time, a successor may be elected to take office when the resignation becomes effective.</w:t>
      </w:r>
    </w:p>
    <w:p>
      <w:pPr>
        <w:spacing w:after="0" w:line="189"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Removal of Directors.</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provided however, that, so long as stockholders of the corporation are entitled to cumulative voting, if less than the entire Board of Directors is to be removed, no director shall be removed without cause if the votes cast against his or her removal would be sufficient to elect such director if then cumulatively voted at an election of the entire Board of Directors. No reduction of the authorized number of directors shall have the effect of removing any director prior to the expiration of such director's term of office.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8" w:name="page19"/>
    <w:bookmarkEnd w:id="18"/>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Vacancies.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Unless otherwise provided by law or the Certificate of Incorporation, any newly created directorship or any vacancy occurring in the Board of Directors for any reason shall be filled by a majority of the directors then in office, whether or not less than a quorum, or by a sole remaining director.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200" w:lineRule="exact"/>
        <w:rPr>
          <w:sz w:val="20"/>
          <w:szCs w:val="20"/>
          <w:color w:val="auto"/>
        </w:rPr>
      </w:pPr>
    </w:p>
    <w:p>
      <w:pPr>
        <w:spacing w:after="0" w:line="253"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Powers.</w:t>
      </w:r>
    </w:p>
    <w:p>
      <w:pPr>
        <w:spacing w:after="0" w:line="25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spacing w:after="0" w:line="204"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Place of Meetings.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the corporation may hold meetings, both regular and special, either within or without the State of Delaware.</w:t>
      </w:r>
    </w:p>
    <w:p>
      <w:pPr>
        <w:spacing w:after="0" w:line="248"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Notice.</w:t>
      </w:r>
    </w:p>
    <w:p>
      <w:pPr>
        <w:spacing w:after="0" w:line="25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9" w:name="page20"/>
    <w:bookmarkEnd w:id="19"/>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Special Meetings.</w:t>
      </w:r>
    </w:p>
    <w:p>
      <w:pPr>
        <w:spacing w:after="0" w:line="256"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Special meetings of the Board may be called by the Chairman of the Board of Directors or the Chief Executive Officer on two (2) days' notice to each director, either personally or by mail or by phone, facsimile or other electronic transmission; special meetings shall be called by the Chief Executive Officer or Secretary in like manner and on like notice on the request of the Chairman of the Board of Directors or two (2) directors.</w:t>
      </w:r>
    </w:p>
    <w:p>
      <w:pPr>
        <w:spacing w:after="0" w:line="189" w:lineRule="exact"/>
        <w:rPr>
          <w:sz w:val="20"/>
          <w:szCs w:val="20"/>
          <w:color w:val="auto"/>
        </w:rPr>
      </w:pPr>
    </w:p>
    <w:p>
      <w:pPr>
        <w:ind w:left="660"/>
        <w:spacing w:after="0"/>
        <w:tabs>
          <w:tab w:leader="none" w:pos="24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7"/>
          <w:szCs w:val="17"/>
          <w:b w:val="1"/>
          <w:bCs w:val="1"/>
          <w:color w:val="auto"/>
        </w:rPr>
        <w:t>Quorum.</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211"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Written Consent.</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transmissions are filed with the minutes of proceedings of the Board of Directors or committee in accordance with applicable law.</w:t>
      </w:r>
    </w:p>
    <w:p>
      <w:pPr>
        <w:spacing w:after="0" w:line="210" w:lineRule="exact"/>
        <w:rPr>
          <w:sz w:val="20"/>
          <w:szCs w:val="20"/>
          <w:color w:val="auto"/>
        </w:rPr>
      </w:pPr>
    </w:p>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Meeting by Telephone.</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20" w:name="page21"/>
    <w:bookmarkEnd w:id="20"/>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Board Committees.</w:t>
      </w:r>
    </w:p>
    <w:p>
      <w:pPr>
        <w:spacing w:after="0" w:line="256" w:lineRule="exact"/>
        <w:rPr>
          <w:sz w:val="20"/>
          <w:szCs w:val="20"/>
          <w:color w:val="auto"/>
        </w:rPr>
      </w:pPr>
    </w:p>
    <w:p>
      <w:pPr>
        <w:ind w:right="20" w:firstLine="656"/>
        <w:spacing w:after="0" w:line="291" w:lineRule="auto"/>
        <w:tabs>
          <w:tab w:leader="none" w:pos="1343"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Executive Committee. </w:t>
      </w:r>
      <w:r>
        <w:rPr>
          <w:rFonts w:ascii="Arial" w:cs="Arial" w:eastAsia="Arial" w:hAnsi="Arial"/>
          <w:sz w:val="16"/>
          <w:szCs w:val="16"/>
          <w:color w:val="auto"/>
        </w:rPr>
        <w:t>The Board of Directors may designate an executive committee consisting of one or more of the directors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The Board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94" w:lineRule="exact"/>
        <w:rPr>
          <w:rFonts w:ascii="Arial" w:cs="Arial" w:eastAsia="Arial" w:hAnsi="Arial"/>
          <w:sz w:val="16"/>
          <w:szCs w:val="16"/>
          <w:color w:val="auto"/>
        </w:rPr>
      </w:pPr>
    </w:p>
    <w:p>
      <w:pPr>
        <w:ind w:firstLine="656"/>
        <w:spacing w:after="0" w:line="270" w:lineRule="auto"/>
        <w:tabs>
          <w:tab w:leader="none" w:pos="1353"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Other Committees. </w:t>
      </w:r>
      <w:r>
        <w:rPr>
          <w:rFonts w:ascii="Arial" w:cs="Arial" w:eastAsia="Arial" w:hAnsi="Arial"/>
          <w:sz w:val="17"/>
          <w:szCs w:val="17"/>
          <w:color w:val="auto"/>
        </w:rPr>
        <w:t>The Board of Directors may designate such other committees, each consisting of one or more directors, as it may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deem advisable to perform such general or special duties as may from time to time be delegated to any such committee by the Board of Directors, subject to the limitations imposed by law, the Certificate of Incorporation or by these Bylaws. The Board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208" w:lineRule="exact"/>
        <w:rPr>
          <w:rFonts w:ascii="Arial" w:cs="Arial" w:eastAsia="Arial" w:hAnsi="Arial"/>
          <w:sz w:val="17"/>
          <w:szCs w:val="17"/>
          <w:color w:val="auto"/>
        </w:rPr>
      </w:pPr>
    </w:p>
    <w:p>
      <w:pPr>
        <w:ind w:firstLine="656"/>
        <w:spacing w:after="0" w:line="259" w:lineRule="auto"/>
        <w:tabs>
          <w:tab w:leader="none" w:pos="1343"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Conduct of Committee Meetings. </w:t>
      </w:r>
      <w:r>
        <w:rPr>
          <w:rFonts w:ascii="Arial" w:cs="Arial" w:eastAsia="Arial" w:hAnsi="Arial"/>
          <w:sz w:val="18"/>
          <w:szCs w:val="18"/>
          <w:color w:val="auto"/>
        </w:rPr>
        <w:t>Unless the Board of Directors otherwise provides, each committee designated by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make, alter and 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 w:name="page22"/>
    <w:bookmarkEnd w:id="21"/>
    <w:p>
      <w:pPr>
        <w:ind w:left="660"/>
        <w:spacing w:after="0"/>
        <w:tabs>
          <w:tab w:leader="none" w:pos="246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Compensation of Directors.</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 - NOTICES</w:t>
      </w:r>
    </w:p>
    <w:p>
      <w:pPr>
        <w:spacing w:after="0" w:line="200" w:lineRule="exact"/>
        <w:rPr>
          <w:sz w:val="20"/>
          <w:szCs w:val="20"/>
          <w:color w:val="auto"/>
        </w:rPr>
      </w:pPr>
    </w:p>
    <w:p>
      <w:pPr>
        <w:spacing w:after="0" w:line="29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Notice to Directors and Stockholders.</w:t>
      </w:r>
    </w:p>
    <w:p>
      <w:pPr>
        <w:spacing w:after="0" w:line="25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Whenever, under any provision of applicable law, the Certificate of Incorporation or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facsimile or by other forms of electronic transmission. Notice to stockholders may also be given by electronic transmission in compliance with applicable law.</w:t>
      </w:r>
    </w:p>
    <w:p>
      <w:pPr>
        <w:spacing w:after="0" w:line="196"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Waiver of Notice.</w:t>
      </w:r>
    </w:p>
    <w:p>
      <w:pPr>
        <w:spacing w:after="0" w:line="25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Whenever any notice is required to be given under any provision of Delaware law, the Certificate of Incorporation or these Bylaws, a waiver thereof in writing, signed by the person entitled to notice, or a waiver thereof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ARTICLE V – OFFICERS</w:t>
      </w:r>
    </w:p>
    <w:p>
      <w:pPr>
        <w:spacing w:after="0" w:line="200" w:lineRule="exact"/>
        <w:rPr>
          <w:sz w:val="20"/>
          <w:szCs w:val="20"/>
          <w:color w:val="auto"/>
        </w:rPr>
      </w:pPr>
    </w:p>
    <w:p>
      <w:pPr>
        <w:spacing w:after="0" w:line="29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Officers.</w:t>
      </w:r>
    </w:p>
    <w:p>
      <w:pPr>
        <w:spacing w:after="0" w:line="256"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The officers of the corporation shall be a Chief Executive Officer and a Secretary. The corporation may also have, at the discretion of the Board of Directors, a Chairman of the Board of Directors, a Vice Chairman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spacing w:after="0" w:line="210"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Appointment of Officers.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Board of Directors shall appoint the officers of the corporation, including such officers as may be appointed in accordance with the provisions of Article V, Section 3 of these Bylaws, subject to the rights, if any, of an officer under any contract of employment.</w:t>
      </w:r>
    </w:p>
    <w:p>
      <w:pPr>
        <w:spacing w:after="0" w:line="193"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Subordinate Officers.</w:t>
      </w:r>
    </w:p>
    <w:p>
      <w:pPr>
        <w:spacing w:after="0" w:line="25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Board of Directors or Chief Executive Officer may appoint, or in the absence of a Chief Executive Officer the President may appoint, subordinate officers and agents as the business of the corporation may require. Each of such officers and agents shall hold office for such period, have such authority, and perform such duties as are provided in these Bylaws or as the Board of Directors, Chief Executive Officer or President may from time to time determine.</w:t>
      </w:r>
    </w:p>
    <w:p>
      <w:pPr>
        <w:spacing w:after="0" w:line="210"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Removal and Resignation of Officers.</w:t>
      </w:r>
    </w:p>
    <w:p>
      <w:pPr>
        <w:spacing w:after="0" w:line="256" w:lineRule="exact"/>
        <w:rPr>
          <w:sz w:val="20"/>
          <w:szCs w:val="20"/>
          <w:color w:val="auto"/>
        </w:rPr>
      </w:pPr>
    </w:p>
    <w:p>
      <w:pPr>
        <w:jc w:val="both"/>
        <w:ind w:firstLine="656"/>
        <w:spacing w:after="0" w:line="302" w:lineRule="auto"/>
        <w:tabs>
          <w:tab w:leader="none" w:pos="1343"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Removal</w:t>
      </w:r>
      <w:r>
        <w:rPr>
          <w:rFonts w:ascii="Arial" w:cs="Arial" w:eastAsia="Arial" w:hAnsi="Arial"/>
          <w:sz w:val="16"/>
          <w:szCs w:val="16"/>
          <w:color w:val="auto"/>
        </w:rPr>
        <w:t>. Subject to the rights, if any, of an officer under any contract of employment, any officer may be removed, either with or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An officer appointed by the Chief Executive Officer or President pursuant to Article V, Section 3, may be removed by the Chief Executive Officer or President.</w:t>
      </w:r>
    </w:p>
    <w:p>
      <w:pPr>
        <w:spacing w:after="0" w:line="181" w:lineRule="exact"/>
        <w:rPr>
          <w:rFonts w:ascii="Arial" w:cs="Arial" w:eastAsia="Arial" w:hAnsi="Arial"/>
          <w:sz w:val="16"/>
          <w:szCs w:val="16"/>
          <w:color w:val="auto"/>
        </w:rPr>
      </w:pPr>
    </w:p>
    <w:p>
      <w:pPr>
        <w:ind w:right="20" w:firstLine="656"/>
        <w:spacing w:after="0" w:line="259" w:lineRule="auto"/>
        <w:tabs>
          <w:tab w:leader="none" w:pos="1353"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Resignation. </w:t>
      </w:r>
      <w:r>
        <w:rPr>
          <w:rFonts w:ascii="Arial" w:cs="Arial" w:eastAsia="Arial" w:hAnsi="Arial"/>
          <w:sz w:val="18"/>
          <w:szCs w:val="18"/>
          <w:color w:val="auto"/>
        </w:rPr>
        <w:t>Any officer may resign at any time by giving written notice to the corporation. Any resignation shall take effect at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10"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Vacancies in Office.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Article V, Section 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Representation of Shares of Other Corporations.</w:t>
      </w:r>
    </w:p>
    <w:p>
      <w:pPr>
        <w:spacing w:after="0" w:line="256" w:lineRule="exact"/>
        <w:rPr>
          <w:sz w:val="20"/>
          <w:szCs w:val="20"/>
          <w:color w:val="auto"/>
        </w:rPr>
      </w:pPr>
    </w:p>
    <w:p>
      <w:pPr>
        <w:ind w:firstLine="648"/>
        <w:spacing w:after="0" w:line="265" w:lineRule="auto"/>
        <w:rPr>
          <w:sz w:val="20"/>
          <w:szCs w:val="20"/>
          <w:color w:val="auto"/>
        </w:rPr>
      </w:pPr>
      <w:r>
        <w:rPr>
          <w:rFonts w:ascii="Arial" w:cs="Arial" w:eastAsia="Arial" w:hAnsi="Arial"/>
          <w:sz w:val="18"/>
          <w:szCs w:val="18"/>
          <w:color w:val="auto"/>
        </w:rPr>
        <w:t>The Chairman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204"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Authority and Duties of Officers.</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 CERTIFICATES OF STOCK</w:t>
      </w:r>
    </w:p>
    <w:p>
      <w:pPr>
        <w:spacing w:after="0" w:line="252"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Certificates.</w:t>
      </w:r>
    </w:p>
    <w:p>
      <w:pPr>
        <w:spacing w:after="0" w:line="25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or Vice Chairman of the Board of Directors, if any, or the President or a Vice President and the Treasurer or an Assistant Treasurer, or the Secretary or an Assistant Secretary certifying the number of shares owned by such holder in the corporation.</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the State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4" w:name="page25"/>
    <w:bookmarkEnd w:id="24"/>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Signatures on Certificates.</w:t>
      </w:r>
    </w:p>
    <w:p>
      <w:pPr>
        <w:spacing w:after="0" w:line="256"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9"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Lost Certificates.</w:t>
      </w:r>
    </w:p>
    <w:p>
      <w:pPr>
        <w:spacing w:after="0" w:line="2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Board of Directors may direct a new certificate or certificates of stock or uncertificated shares to be issued in place of any certificate or certificates theretofore issued by the corporation, alleged to have been lost, stolen or destroyed, upon the making of an affidavit to that fact by the person claiming the certificate of stock to be lost, stolen or destroyed. When authorizing such issue of a new certificate or certificates of stock or uncertificated shares, the Board of Directors may, in its discretion and as a condition precedent to the issuance thereof, require the owner of such lost, stolen or destroyed certificate or certificates, or such owner’s legal representative, to give the corporation a bond in such sum as it may direct as indemnity against any claim that may be made against the corporation with respect to the certificate alleged to have been lost, stolen or destroyed.</w:t>
      </w:r>
    </w:p>
    <w:p>
      <w:pPr>
        <w:spacing w:after="0" w:line="201"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Transfer of Stock.</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Transfer of shares of stock of the corporation shall be made only on the transfer books of the corporation upon authorization by the registered holder thereof or by such holder’s attorney thereunto authorized by a power of attorney duly executed and filed with the Secretary or a transfer agent of such stock, and if such shares are represented by a certificate, upon surrender of the certificate or certificates for such shares properly endorsed or accompanied by a duly executed stock transfer power and payment of any taxes thereon; provided however, that the corporation shall be entitled to recognize any lawful restriction on transfer.</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25" w:name="page26"/>
    <w:bookmarkEnd w:id="25"/>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Record Date.</w:t>
      </w:r>
    </w:p>
    <w:p>
      <w:pPr>
        <w:spacing w:after="0" w:line="256" w:lineRule="exact"/>
        <w:rPr>
          <w:sz w:val="20"/>
          <w:szCs w:val="20"/>
          <w:color w:val="auto"/>
        </w:rPr>
      </w:pPr>
    </w:p>
    <w:p>
      <w:pPr>
        <w:ind w:firstLine="656"/>
        <w:spacing w:after="0" w:line="269" w:lineRule="auto"/>
        <w:tabs>
          <w:tab w:leader="none" w:pos="1343"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herewith at the reconvened meeting.</w:t>
      </w:r>
    </w:p>
    <w:p>
      <w:pPr>
        <w:spacing w:after="0" w:line="206" w:lineRule="exact"/>
        <w:rPr>
          <w:rFonts w:ascii="Arial" w:cs="Arial" w:eastAsia="Arial" w:hAnsi="Arial"/>
          <w:sz w:val="17"/>
          <w:szCs w:val="17"/>
          <w:color w:val="auto"/>
        </w:rPr>
      </w:pPr>
    </w:p>
    <w:p>
      <w:pPr>
        <w:ind w:right="120" w:firstLine="656"/>
        <w:spacing w:after="0" w:line="297" w:lineRule="auto"/>
        <w:tabs>
          <w:tab w:leader="none" w:pos="1353"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spacing w:after="0" w:line="181"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Registered Stockholders.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ARTICLE VII - FORUM FOR DISPUTES</w:t>
      </w:r>
    </w:p>
    <w:p>
      <w:pPr>
        <w:spacing w:after="0" w:line="200" w:lineRule="exact"/>
        <w:rPr>
          <w:sz w:val="20"/>
          <w:szCs w:val="20"/>
          <w:color w:val="auto"/>
        </w:rPr>
      </w:pPr>
    </w:p>
    <w:p>
      <w:pPr>
        <w:spacing w:after="0" w:line="295" w:lineRule="exact"/>
        <w:rPr>
          <w:sz w:val="20"/>
          <w:szCs w:val="20"/>
          <w:color w:val="auto"/>
        </w:rPr>
      </w:pPr>
    </w:p>
    <w:p>
      <w:pPr>
        <w:ind w:left="640"/>
        <w:spacing w:after="0"/>
        <w:tabs>
          <w:tab w:leader="none" w:pos="234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Forum for Disputes.</w:t>
      </w:r>
    </w:p>
    <w:p>
      <w:pPr>
        <w:spacing w:after="0" w:line="256" w:lineRule="exact"/>
        <w:rPr>
          <w:sz w:val="20"/>
          <w:szCs w:val="20"/>
          <w:color w:val="auto"/>
        </w:rPr>
      </w:pPr>
    </w:p>
    <w:p>
      <w:pPr>
        <w:ind w:left="-20" w:firstLine="656"/>
        <w:spacing w:after="0" w:line="257" w:lineRule="auto"/>
        <w:tabs>
          <w:tab w:leader="none" w:pos="1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General Corporation Law of Delaware, or (iv) any action asserting a claim governed by the internal affairs doctrine.</w:t>
      </w:r>
    </w:p>
    <w:p>
      <w:pPr>
        <w:spacing w:after="0" w:line="215" w:lineRule="exact"/>
        <w:rPr>
          <w:rFonts w:ascii="Arial" w:cs="Arial" w:eastAsia="Arial" w:hAnsi="Arial"/>
          <w:sz w:val="18"/>
          <w:szCs w:val="18"/>
          <w:color w:val="auto"/>
        </w:rPr>
      </w:pPr>
    </w:p>
    <w:p>
      <w:pPr>
        <w:ind w:left="-20" w:right="20" w:firstLine="656"/>
        <w:spacing w:after="0" w:line="276" w:lineRule="auto"/>
        <w:tabs>
          <w:tab w:leader="none" w:pos="1333"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any action the subject matter of which is within the scope of Article VII, Section 1(a)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Article VII, Section 1(a) above (an “FSC Enforcement Action”) and (ii) having service of process made upon such stockholder in any such FSC Enforcement Action by service upon such stockholder’s counsel in the Foreign Action as agent for such stockholder.</w:t>
      </w:r>
    </w:p>
    <w:p>
      <w:pPr>
        <w:spacing w:after="0" w:line="199" w:lineRule="exact"/>
        <w:rPr>
          <w:rFonts w:ascii="Arial" w:cs="Arial" w:eastAsia="Arial" w:hAnsi="Arial"/>
          <w:sz w:val="17"/>
          <w:szCs w:val="17"/>
          <w:color w:val="auto"/>
        </w:rPr>
      </w:pPr>
    </w:p>
    <w:p>
      <w:pPr>
        <w:ind w:left="-20" w:right="120" w:firstLine="656"/>
        <w:spacing w:after="0" w:line="277" w:lineRule="auto"/>
        <w:tabs>
          <w:tab w:leader="none" w:pos="1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enforce the foregoing provisions would cause the corporation irreparable harm and the corporation shall be entitled to equitable relief, including injunctive relief and specific performance, to enforce the foregoing provisions.</w:t>
      </w:r>
    </w:p>
    <w:p>
      <w:pPr>
        <w:spacing w:after="0" w:line="197" w:lineRule="exact"/>
        <w:rPr>
          <w:rFonts w:ascii="Arial" w:cs="Arial" w:eastAsia="Arial" w:hAnsi="Arial"/>
          <w:sz w:val="18"/>
          <w:szCs w:val="18"/>
          <w:color w:val="auto"/>
        </w:rPr>
      </w:pPr>
    </w:p>
    <w:p>
      <w:pPr>
        <w:ind w:left="-20" w:right="260" w:firstLine="656"/>
        <w:spacing w:after="0" w:line="277" w:lineRule="auto"/>
        <w:tabs>
          <w:tab w:leader="none" w:pos="1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any interest in shares of capital stock of the corporation shall be deemed to have notice of and consented to the provisions of this Article VII Section 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13"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ARTICLE VIII – GENERAL PROVISIONS</w:t>
      </w:r>
    </w:p>
    <w:p>
      <w:pPr>
        <w:spacing w:after="0" w:line="200" w:lineRule="exact"/>
        <w:rPr>
          <w:sz w:val="20"/>
          <w:szCs w:val="20"/>
          <w:color w:val="auto"/>
        </w:rPr>
      </w:pPr>
    </w:p>
    <w:p>
      <w:pPr>
        <w:spacing w:after="0" w:line="29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Dividends.</w:t>
      </w:r>
    </w:p>
    <w:p>
      <w:pPr>
        <w:spacing w:after="0" w:line="256" w:lineRule="exact"/>
        <w:rPr>
          <w:sz w:val="20"/>
          <w:szCs w:val="20"/>
          <w:color w:val="auto"/>
        </w:rPr>
      </w:pPr>
    </w:p>
    <w:p>
      <w:pPr>
        <w:jc w:val="both"/>
        <w:ind w:right="100" w:firstLine="656"/>
        <w:spacing w:after="0" w:line="264" w:lineRule="auto"/>
        <w:tabs>
          <w:tab w:leader="none" w:pos="1343"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Declaration of Dividends</w:t>
      </w:r>
      <w:r>
        <w:rPr>
          <w:rFonts w:ascii="Arial" w:cs="Arial" w:eastAsia="Arial" w:hAnsi="Arial"/>
          <w:sz w:val="18"/>
          <w:szCs w:val="18"/>
          <w:color w:val="auto"/>
        </w:rPr>
        <w:t>. Dividends upon the capital stock of the corporation, subject to the provision of the Certificate of Incorporation,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if any, may be declared by the Board of Directors at any regular or special meeting, pursuant to law. Dividends may be paid in cash, in property, or in shares of the capital stock, subject to the provisions of the Certificate of Incorporation.</w:t>
      </w:r>
    </w:p>
    <w:p>
      <w:pPr>
        <w:spacing w:after="0" w:line="208" w:lineRule="exact"/>
        <w:rPr>
          <w:rFonts w:ascii="Arial" w:cs="Arial" w:eastAsia="Arial" w:hAnsi="Arial"/>
          <w:sz w:val="18"/>
          <w:szCs w:val="18"/>
          <w:color w:val="auto"/>
        </w:rPr>
      </w:pPr>
    </w:p>
    <w:p>
      <w:pPr>
        <w:ind w:firstLine="656"/>
        <w:spacing w:after="0" w:line="279" w:lineRule="auto"/>
        <w:tabs>
          <w:tab w:leader="none" w:pos="1353"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Payment of Dividends. </w:t>
      </w:r>
      <w:r>
        <w:rPr>
          <w:rFonts w:ascii="Arial" w:cs="Arial" w:eastAsia="Arial" w:hAnsi="Arial"/>
          <w:sz w:val="17"/>
          <w:szCs w:val="17"/>
          <w:color w:val="auto"/>
        </w:rPr>
        <w:t>Before payment of any dividend, there may be set aside out of funds of the corporation available for dividends such</w:t>
      </w:r>
      <w:r>
        <w:rPr>
          <w:rFonts w:ascii="Arial" w:cs="Arial" w:eastAsia="Arial" w:hAnsi="Arial"/>
          <w:sz w:val="17"/>
          <w:szCs w:val="17"/>
          <w:i w:val="1"/>
          <w:iCs w:val="1"/>
          <w:color w:val="auto"/>
        </w:rPr>
        <w:t xml:space="preserve"> </w:t>
      </w:r>
      <w:r>
        <w:rPr>
          <w:rFonts w:ascii="Arial" w:cs="Arial" w:eastAsia="Arial" w:hAnsi="Arial"/>
          <w:sz w:val="17"/>
          <w:szCs w:val="17"/>
          <w:color w:val="auto"/>
        </w:rPr>
        <w:t>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94"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Checks.</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All checks or demands for money and notes of the corporation shall be signed by such officer or officers or such other person or persons as the Board of Directors may from time to time designate.</w:t>
      </w:r>
    </w:p>
    <w:p>
      <w:pPr>
        <w:spacing w:after="0" w:line="193"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Fiscal Year.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resolution of the Board of Directors.</w:t>
      </w:r>
    </w:p>
    <w:p>
      <w:pPr>
        <w:spacing w:after="0" w:line="248"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Corporate Seal.</w:t>
      </w:r>
    </w:p>
    <w:p>
      <w:pPr>
        <w:spacing w:after="0" w:line="256" w:lineRule="exact"/>
        <w:rPr>
          <w:sz w:val="20"/>
          <w:szCs w:val="20"/>
          <w:color w:val="auto"/>
        </w:rPr>
      </w:pPr>
    </w:p>
    <w:p>
      <w:pPr>
        <w:ind w:right="1040" w:firstLine="648"/>
        <w:spacing w:after="0" w:line="342" w:lineRule="auto"/>
        <w:rPr>
          <w:sz w:val="20"/>
          <w:szCs w:val="20"/>
          <w:color w:val="auto"/>
        </w:rPr>
      </w:pPr>
      <w:r>
        <w:rPr>
          <w:rFonts w:ascii="Arial" w:cs="Arial" w:eastAsia="Arial" w:hAnsi="Arial"/>
          <w:sz w:val="16"/>
          <w:szCs w:val="16"/>
          <w:color w:val="auto"/>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47"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Indemnification.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indemnify its officers, directors, employees and agents to the extent set forth in the Certificate of Incorporation.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Advancement of Expenses.</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corporation shall, to the fullest extent not prohibited by applicable law, pay the expenses (including attorneys’ fees) incurred by a director or officer in defending any action, suit or proceeding, whether civil, criminal, administrative or investigative (a “proceeding”) in advance of its final disposition,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w:t>
      </w:r>
    </w:p>
    <w:p>
      <w:pPr>
        <w:spacing w:after="0" w:line="211"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Amendment.</w:t>
      </w:r>
    </w:p>
    <w:p>
      <w:pPr>
        <w:spacing w:after="0" w:line="25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lowerLetter"/>
      <w:start w:val="3"/>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Roman"/>
      <w:start w:val="1"/>
    </w:lvl>
  </w:abstractNum>
  <w:abstractNum w:abstractNumId="6">
    <w:nsid w:val="DED7263"/>
    <w:multiLevelType w:val="hybridMultilevel"/>
    <w:lvl w:ilvl="0">
      <w:lvlJc w:val="left"/>
      <w:lvlText w:val="(%1)"/>
      <w:numFmt w:val="lowerRoman"/>
      <w:start w:val="2"/>
    </w:lvl>
  </w:abstractNum>
  <w:abstractNum w:abstractNumId="7">
    <w:nsid w:val="7FDCC233"/>
    <w:multiLevelType w:val="hybridMultilevel"/>
    <w:lvl w:ilvl="0">
      <w:lvlJc w:val="left"/>
      <w:lvlText w:val="(%1)"/>
      <w:numFmt w:val="lowerLetter"/>
      <w:start w:val="2"/>
    </w:lvl>
    <w:lvl w:ilvl="1">
      <w:lvlJc w:val="left"/>
      <w:lvlText w:val="(%2)"/>
      <w:numFmt w:val="lowerLetter"/>
      <w:start w:val="9"/>
    </w:lvl>
  </w:abstractNum>
  <w:abstractNum w:abstractNumId="8">
    <w:nsid w:val="1BEFD79F"/>
    <w:multiLevelType w:val="hybridMultilevel"/>
    <w:lvl w:ilvl="0">
      <w:lvlJc w:val="left"/>
      <w:lvlText w:val="%1"/>
      <w:numFmt w:val="lowerRoman"/>
      <w:start w:val="1"/>
    </w:lvl>
    <w:lvl w:ilvl="1">
      <w:lvlJc w:val="left"/>
      <w:lvlText w:val="(%2)"/>
      <w:numFmt w:val="lowerRoman"/>
      <w:start w:val="2"/>
    </w:lvl>
  </w:abstractNum>
  <w:abstractNum w:abstractNumId="9">
    <w:nsid w:val="41A7C4C9"/>
    <w:multiLevelType w:val="hybridMultilevel"/>
    <w:lvl w:ilvl="0">
      <w:lvlJc w:val="left"/>
      <w:lvlText w:val="(%1)"/>
      <w:numFmt w:val="lowerRoman"/>
      <w:start w:val="6"/>
    </w:lvl>
    <w:lvl w:ilvl="1">
      <w:lvlJc w:val="left"/>
      <w:lvlText w:val="(%2)"/>
      <w:numFmt w:val="lowerRoman"/>
      <w:start w:val="4"/>
    </w:lvl>
  </w:abstractNum>
  <w:abstractNum w:abstractNumId="10">
    <w:nsid w:val="6B68079A"/>
    <w:multiLevelType w:val="hybridMultilevel"/>
    <w:lvl w:ilvl="0">
      <w:lvlJc w:val="left"/>
      <w:lvlText w:val="(%1)"/>
      <w:numFmt w:val="lowerRoman"/>
      <w:start w:val="6"/>
    </w:lvl>
  </w:abstractNum>
  <w:abstractNum w:abstractNumId="11">
    <w:nsid w:val="4E6AFB66"/>
    <w:multiLevelType w:val="hybridMultilevel"/>
    <w:lvl w:ilvl="0">
      <w:lvlJc w:val="left"/>
      <w:lvlText w:val="(%1)"/>
      <w:numFmt w:val="lowerLetter"/>
      <w:start w:val="3"/>
    </w:lvl>
    <w:lvl w:ilvl="1">
      <w:lvlJc w:val="left"/>
      <w:lvlText w:val="(%2)"/>
      <w:numFmt w:val="lowerRoman"/>
      <w:start w:val="1"/>
    </w:lvl>
  </w:abstractNum>
  <w:abstractNum w:abstractNumId="12">
    <w:nsid w:val="25E45D32"/>
    <w:multiLevelType w:val="hybridMultilevel"/>
    <w:lvl w:ilvl="0">
      <w:lvlJc w:val="left"/>
      <w:lvlText w:val="(%1)"/>
      <w:numFmt w:val="lowerLetter"/>
      <w:start w:val="4"/>
    </w:lvl>
    <w:lvl w:ilvl="1">
      <w:lvlJc w:val="left"/>
      <w:lvlText w:val="(%2)"/>
      <w:numFmt w:val="lowerLetter"/>
      <w:start w:val="9"/>
    </w:lvl>
  </w:abstractNum>
  <w:abstractNum w:abstractNumId="13">
    <w:nsid w:val="519B500D"/>
    <w:multiLevelType w:val="hybridMultilevel"/>
    <w:lvl w:ilvl="0">
      <w:lvlJc w:val="left"/>
      <w:lvlText w:val="(%1)"/>
      <w:numFmt w:val="lowerRoman"/>
      <w:start w:val="2"/>
    </w:lvl>
  </w:abstractNum>
  <w:abstractNum w:abstractNumId="14">
    <w:nsid w:val="431BD7B7"/>
    <w:multiLevelType w:val="hybridMultilevel"/>
    <w:lvl w:ilvl="0">
      <w:lvlJc w:val="left"/>
      <w:lvlText w:val="(%1)"/>
      <w:numFmt w:val="lowerLetter"/>
      <w:start w:val="5"/>
    </w:lvl>
    <w:lvl w:ilvl="1">
      <w:lvlJc w:val="left"/>
      <w:lvlText w:val="(%2)"/>
      <w:numFmt w:val="lowerRoman"/>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2019-12-05T19:25:39Z</dcterms:created>
  <dcterms:modified xsi:type="dcterms:W3CDTF">2019-12-05T19:25:39Z</dcterms:modified>
</cp:coreProperties>
</file>