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26, 2011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2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2031</w:t>
      </w:r>
    </w:p>
    <w:p>
      <w:pPr>
        <w:spacing w:after="0" w:line="225" w:lineRule="exact"/>
        <w:rPr>
          <w:sz w:val="24"/>
          <w:szCs w:val="24"/>
          <w:color w:val="auto"/>
        </w:rPr>
      </w:pPr>
    </w:p>
    <w:p>
      <w:pPr>
        <w:ind w:right="40"/>
        <w:spacing w:after="0" w:line="270" w:lineRule="auto"/>
        <w:rPr>
          <w:sz w:val="20"/>
          <w:szCs w:val="20"/>
          <w:color w:val="auto"/>
        </w:rPr>
      </w:pPr>
      <w:r>
        <w:rPr>
          <w:rFonts w:ascii="Arial" w:cs="Arial" w:eastAsia="Arial" w:hAnsi="Arial"/>
          <w:sz w:val="17"/>
          <w:szCs w:val="17"/>
          <w:color w:val="auto"/>
        </w:rPr>
        <w:t>On July 20, 2011, Micron Technology, Inc., a Delaware corporation (“Micron”), entered into a purchase agreement (the “Purchase Agreement”) with Morgan Stanley &amp; Co. LLC, as representative (the “Representative”) of the several initial purchasers named therein (collectively, the “Initial Purchasers”), to issue and sell $300.0 million aggregate principal amount of 1.50% Convertible Senior Notes due 2031 (the “2031A Notes”) and $300.0 million aggregate principal amount of 1.875% Convertible Senior Notes due 2031 (the “2031B Notes” and together with the 2031A Notes, the “Notes”) in the United States to qualified institutional buyers pursuant to Rule 144A under the Securities Act of 1933, as amended. In addition, Micron granted the Initial Purchasers an option to purchase up to an additional $45.0 million aggregate principal amount of 2031A Notes and up to an additional $45.0 million aggregate principal amount of 2031B Notes on the same terms and conditions to cover over-allotments, if any. On July 22, 2011, the Representative exercised this option in full. Micron estimates that the net proceeds from the offering, including the exercise of the Initial Purchasers’ option to purchase the additional Notes, will be approximately $672.1 million, after deducting underwriting discounts and estimated offering expenses. The Purchase Agreement is filed as Exhibit 1.1 to this Current Report on Form 8-K.</w:t>
      </w:r>
    </w:p>
    <w:p>
      <w:pPr>
        <w:spacing w:after="0" w:line="178"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On July 26, 2011, Micron entered into an indenture with U.S. Bank National Association, as trustee (the “Trustee”), relating to the 2031A Notes (the “2031A Indenture”) and an indenture with the Trustee, relating to the 2031B Notes (the “2031B Indenture” and together with the 2031A Indenture, the “Indentures”). The 2031A Indenture and the form of global note for the 2031A Notes are filed as Exhibits 4.1 and 4.2, respectively, and the 2031B Indenture and the form of global note for the 2031B Notes are filed as Exhibits 4.3 and 4.4, respectively, to this Current Report on Form 8-K. The 2031A Notes bear interest at a rate of 1.50% per year on the principal amount and the 2031B Notes bear interest at a rate of 1.875% per year on the principal amount, in each case accruing from July 26, 2011. Interest is payable semiannually in arrears in cash on February 1 and August 1 of each year, beginning on February 1, 2012. The Notes will mature on August 1, 2031, subject to earlier conversion, redemption or repurchase.</w:t>
      </w:r>
    </w:p>
    <w:p>
      <w:pPr>
        <w:spacing w:after="0" w:line="178" w:lineRule="exact"/>
        <w:rPr>
          <w:sz w:val="24"/>
          <w:szCs w:val="24"/>
          <w:color w:val="auto"/>
        </w:rPr>
      </w:pPr>
    </w:p>
    <w:p>
      <w:pPr>
        <w:ind w:right="40"/>
        <w:spacing w:after="0" w:line="293" w:lineRule="auto"/>
        <w:rPr>
          <w:sz w:val="20"/>
          <w:szCs w:val="20"/>
          <w:color w:val="auto"/>
        </w:rPr>
      </w:pPr>
      <w:r>
        <w:rPr>
          <w:rFonts w:ascii="Arial" w:cs="Arial" w:eastAsia="Arial" w:hAnsi="Arial"/>
          <w:sz w:val="16"/>
          <w:szCs w:val="16"/>
          <w:color w:val="auto"/>
        </w:rPr>
        <w:t>The initial conversion rate for the 2031A Notes is 105.2632 shares of Micron’s common stock, par value $0.10 per share (“Common Stock”), per $1,000 principal amount of 2031A Notes. This is equivalent to an initial conversion price of approximately $9.50 per share of Common Stock. The initial conversion rate for the 2031B Notes is 105.2632 shares of Common Stock per $1,000 principal amount of 2031B Notes. This is equivalent to an initial conversion price of approximately $9.50 per share of Common Stock. Holders may surrender their Notes for conversion prior to the close of business on the business day immediately preceding the maturity date for the Notes only under the following circumstances: (1) if the Notes are called for redemption; (2) during any calendar quarter commencing at any time after September 30, 2011, and only during such calendar quarter, if the closing price of Common Stock for at least</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20 trading days in a period of 30 consecutive trading days ending on the last trading day of the preceding calendar quarter is more than 130% of the then applicable conversion price for the Notes per share of Common Stock, which is $1,000 divided by the then applicable conversion rate of the Notes; (3) during the five business days immediately after any five consecutive trading day period in which the trading price per $1,000 principal amount of Notes for each day of that period was less than 98% of the product of the closing price of Common Stock and the then applicable conversion rate of the Notes; (4) if specified distributions to holders of Common Stock are made or specified corporate events occur; or (5) at any time on or after May 1, 2031.</w:t>
      </w:r>
    </w:p>
    <w:p>
      <w:pPr>
        <w:spacing w:after="0" w:line="158"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Upon conversion, Micron will pay cash up to the aggregate principal amount of the Notes being converted and cash, shares of Common Stock or a combination of cash and shares of Common Stock, at Micron’s option, for the remainder, if any, of Micron’s conversion obligations.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a holder elects to convert its Notes in connection with a make-whole change in control, as defined in the Indentures, Micron will, in certain circumstances, pay a make-whole premium by increasing the conversion rate for the Notes converted in connection with such make-whole change in control. Micron may not redeem the 2031A Notes prior to August 5, 2013 and may not redeem the 2031B Notes prior to August 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2014. On or after August 5, 2013, in the case of the 2031A Notes, and on or after August 5, 2014, in the case of the 2031B Notes, Micron may redeem for cash all or part of the Notes if the last reported sale price of Common Stock has been at least 130% of the conversion price then in effect for at least 20 trading days during any 30 consecutive trading day period ending within five trading days prior to the date on which Micron provides notice of redemption. The redemption price will equal 100% of the principal amount of the Notes to be redeemed, plus accrued and unpaid interest, including any additional interest, if any, to, but excluding, the redemption date. If Micron redeems the Notes prior to August 5, 2015, in the case of the 2031A Notes, or prior to August 5, 2016, in the case of the 2031B Notes, Micron will also make a “make-whole premium” payment in cash equal to the present value of all remaining scheduled payments of interest on the Notes to be redeemed through August 5, 2015, in the case of the 2031A Notes, or through August 5, 2016, in the case of the 2031B Notes. The present value of the remaining interest payments will be computed using a discount rate equal to 150 basis points. On or after August 5, 2015, in the case of the 2031A Notes, and on or after August 5, 2016, in the case of the 2031B Notes, Micron may redeem for cash all or part of the Notes at a redemption price equal to the sum of 100% of the principal amount of the Notes to be redeemed, plus accrued and unpaid interest, including additional interest, if any, to, but excluding, the redemption date.</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August 1, 2018, with respect to the 2031A Notes, and on August 1, 2020, with respect to the 2031B Notes, the holders may require Micron to repurchase all or a portion of their Notes at a cash repurchase price equal to 100% of the principal amount of the Notes being repurchased, plus accrued and unpaid interest, including any additional interest, to, but excluding, the repurchase date. Upon a change in control or a termination of trading, as defined in the Indenture, the holders may require Micron to repurchase for cash all or a portion of their Notes at a repurchase price equal to 100% of the principal amount of the Notes being repurchased, plus accrued and unpaid interest, if any, to, but excluding, the repurchase date.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Notes are Micron’s general, unsecured obligations and are effectively subordinated to all of Micron’s existing and future secured debt, to the extent of the assets securing such debt, and are structurally subordinated to all liabilities of Micron’s subsidiaries, including trade payables. The Indentures do not limit the amount of indebtedness that Micron or any of its subsidiaries may incur.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events are considered “Events of Default,” which may result in the acceleration of the maturity of each series of Notes under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1300" w:right="220" w:hanging="320"/>
        <w:spacing w:after="0" w:line="258"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when due the principal on any of the Notes at maturity, upon optional redemption, upon required repurchase, upon declaration or otherwise;</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on any of the Notes for 30 days after the date when due;</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a termination of trading, a change of control or a make-whole change in control (each as defined in the Indentures) that does not constitute a change in control, which continues for a period of three business days;</w:t>
      </w:r>
    </w:p>
    <w:p>
      <w:pPr>
        <w:ind w:left="1300" w:right="28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comply with its obligation to convert the Notes into cash or a combination of cash and shares of Common Stock upon exercise of a holder’s conversion right;</w:t>
      </w:r>
    </w:p>
    <w:p>
      <w:pPr>
        <w:ind w:left="1300" w:right="240" w:hanging="320"/>
        <w:spacing w:after="0" w:line="265" w:lineRule="auto"/>
        <w:tabs>
          <w:tab w:leader="none" w:pos="1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Micron’s failure to perform or observe any other covenants or agreement under the Notes or the applicable Indenture governing the Notes and Micron fails to cure or obtain a waiver of such default for a period of 60 days after receiving notice of such failure;</w:t>
      </w:r>
    </w:p>
    <w:p>
      <w:pPr>
        <w:ind w:left="130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default by Micron under any debt (as defined in the Indentures) that results in acceleration of such debt, or the failure to pay any such debt at maturity, in an aggregate principal amount in excess of $100 million, and such acceleration has not been rescinded or annulled within 30 days;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Micron or any significant subsidiary.</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Purchase Agreement and Indentures, each of which are included as exhibits hereto and are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the offering of the Notes, on July 20, 2011, Micron also entered into capped call transactions with Société Générale (the “Initial Capped Calls”). The Initial Capped Calls each have a lower strike price of $9.50 per share, subject to certain adjustments, which matches the initial conversion price of the Notes. The Initial Capped Calls have cap prices that range from $11.40 to $13.17 per share. The Initial Capped Calls cover, subject to anti-dilution adjustments, approximately 63.2 million shares of Common Stock. In connection with the Initial Purchasers’ exercise of their option to purchase additional Notes, Micron entered into additional capped call transactions with BNP Paribas and Morgan Stanley &amp; Co. International plc (the “Additional Capped Calls” and together with the Initial Capped Calls, the “Capped Calls”). The Additional Capped Calls each have a lower strike price of $9.50 per share, subject to certain adjustments, which matches the initial conversion price of the Notes. The Additional Capped Calls have cap prices that range from $11.4000 to $13.1708 per share. The Additional Capped Calls cover, subject to anti-dilution adjustments, approximately 9.5 million shares of Common Stock. The Capped Calls are intended to reduce the potential dilution upon conversion of the Notes. To the extent that market value per share of Common Stock exceeds the lower strike price, Micron will be entitled to receive, at Micron’s election, shares of Common Stock or, subject to satisfaction of certain conditions, cash from the counterparties. If, however, the market value per share of the Common Stock, as measured under the terms of the Capped Calls, exceeds the</w:t>
      </w:r>
    </w:p>
    <w:p>
      <w:pPr>
        <w:sectPr>
          <w:pgSz w:w="11900" w:h="16926" w:orient="portrait"/>
          <w:cols w:equalWidth="0" w:num="1">
            <w:col w:w="11420"/>
          </w:cols>
          <w:pgMar w:left="240" w:top="125" w:right="239" w:bottom="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t>applicable cap price of the Capped Calls, there would be dilution to the extent that the then market value per share of the Common Stock exceeds the cap price. Micron paid approximately $56.8 million from the net proceeds from the issuance and sale of the Notes to purchase the Capped Calls. The expiration dates of the Capped Calls range from three to four-and-a-half years. The Capped Calls are subject to either adjustment or termination upon the occurrence of specified extraordinary events affecting Micron, including a merger event; tender offer; and a nationalization, insolvency or delisting involving Micron. In addition, the Capped Calls are subject to certain specified additional disruption events that may give rise to a termination of the Capped Calls, including changes in law; insolvency filings and hedging disruptions.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Capped Calls, a form of which will be filed with Micron’s next annual report on Form 10-K.</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terms and conditions of the Notes and Indentures described in Items 1.01 and 3.02 of this Current Report on Form 8-K are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described in Item 1.01 of this Current Report on Form 8-K, which is incorporated herein by reference, Micron issued $690,000,000 aggregate principal amount of Notes to the Initial Purchasers on July 26, 2011 in a private placement pursuant to exemptions from the registration requirements of the Securities Act.</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Micron offered and sold the Notes to the Initial Purchasers in reliance on the exemption from registration provided by Section 4(2) of the Securities Act. The Initial Purchasers are initially offering the Notes to “qualified institutional buyers” pursuant to the exemption from registration provided by Rule 144A under the Securities Act. Micron relied on these exemptions from registration based in part on representations made by the Initial Purchasers.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Notes and Common Stock issuable upon conversion of the Notes have not been registered under the Securities Act and may not be offered or sold in the United States absent registration or an applicable exemption from registration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are convertible into cash and shares of Common Stock, if any, as described above.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vMerge w:val="restart"/>
          </w:tcPr>
          <w:p>
            <w:pPr>
              <w:ind w:left="270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0" w:right="300" w:hanging="733"/>
        <w:spacing w:after="0" w:line="249" w:lineRule="auto"/>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Purchase Agreement, dated July 20, 2011, by and between Micron Technology, Inc. and Morgan Stanley &amp; Co. LLC, as representative of the initial purchasers.</w:t>
      </w:r>
    </w:p>
    <w:p>
      <w:pPr>
        <w:spacing w:after="0" w:line="1"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July 26, 2011, by and between Micron Technology, Inc. and U.S. Bank National Association, as trustee.</w:t>
      </w:r>
    </w:p>
    <w:p>
      <w:pPr>
        <w:spacing w:after="0" w:line="9"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2031A Note (included in Exhibit 4.1).</w:t>
      </w:r>
    </w:p>
    <w:p>
      <w:pPr>
        <w:spacing w:after="0" w:line="9"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Indenture, dated as of July 26, 2011, by and between Micron Technology, Inc. and U.S. Bank National Association, as trustee.</w:t>
      </w:r>
    </w:p>
    <w:p>
      <w:pPr>
        <w:spacing w:after="0" w:line="9"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2031B Note (included in Exhibit 4.3).</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26, 2011</w:t>
            </w:r>
          </w:p>
        </w:tc>
        <w:tc>
          <w:tcPr>
            <w:tcW w:w="3100" w:type="dxa"/>
            <w:vAlign w:val="bottom"/>
          </w:tcPr>
          <w:p>
            <w:pPr>
              <w:ind w:left="23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310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3100" w:type="dxa"/>
            <w:vAlign w:val="bottom"/>
          </w:tcPr>
          <w:p>
            <w:pPr>
              <w:ind w:left="23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3100" w:type="dxa"/>
            <w:vAlign w:val="bottom"/>
          </w:tcPr>
          <w:p>
            <w:pPr>
              <w:ind w:left="2120"/>
              <w:spacing w:after="0"/>
              <w:rPr>
                <w:sz w:val="20"/>
                <w:szCs w:val="20"/>
                <w:color w:val="auto"/>
              </w:rPr>
            </w:pPr>
            <w:r>
              <w:rPr>
                <w:rFonts w:ascii="Arial" w:cs="Arial" w:eastAsia="Arial" w:hAnsi="Arial"/>
                <w:sz w:val="18"/>
                <w:szCs w:val="18"/>
                <w:color w:val="auto"/>
              </w:rPr>
              <w:t>6</w:t>
            </w: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JULY 26,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vMerge w:val="restart"/>
          </w:tcPr>
          <w:p>
            <w:pPr>
              <w:ind w:left="270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28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Purchase Agreement, dated July 20, 2011, by and between Micron Technology, Inc. and Morgan Stanley &amp; Co. LLC, as representative of the</w:t>
      </w:r>
    </w:p>
    <w:p>
      <w:pPr>
        <w:sectPr>
          <w:pgSz w:w="11900" w:h="16838" w:orient="portrait"/>
          <w:cols w:equalWidth="0" w:num="1">
            <w:col w:w="11460"/>
          </w:cols>
          <w:pgMar w:left="240" w:top="125" w:right="199" w:bottom="0" w:gutter="0" w:footer="0" w:header="0"/>
          <w:type w:val="continuous"/>
        </w:sectPr>
      </w:pPr>
    </w:p>
    <w:bookmarkStart w:id="3" w:name="page4"/>
    <w:bookmarkEnd w:id="3"/>
    <w:p>
      <w:pPr>
        <w:ind w:left="720"/>
        <w:spacing w:after="0"/>
        <w:rPr>
          <w:sz w:val="20"/>
          <w:szCs w:val="20"/>
          <w:color w:val="auto"/>
        </w:rPr>
      </w:pPr>
      <w:r>
        <w:rPr>
          <w:rFonts w:ascii="Arial" w:cs="Arial" w:eastAsia="Arial" w:hAnsi="Arial"/>
          <w:sz w:val="18"/>
          <w:szCs w:val="18"/>
          <w:color w:val="auto"/>
        </w:rPr>
        <w:t>initial purchasers.</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July 26, 2011, by and between Micron Technology, Inc. and U.S. Bank National Association, as trustee.</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2031A Note (included in Exhibit 4.1).</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Indenture, dated as of July 26, 2011, by and between Micron Technology, Inc. and U.S. Bank National Association, as trustee.</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2031B Note (included in Exhibit 4.3).</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939"/>
          </w:cols>
          <w:pgMar w:left="520" w:top="125" w:right="1440" w:bottom="1440" w:gutter="0" w:footer="0" w:header="0"/>
        </w:sectPr>
      </w:pPr>
    </w:p>
    <w:bookmarkStart w:id="4" w:name="page5"/>
    <w:bookmarkEnd w:id="4"/>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 CONVERTIBLE SENIOR NOTES DUE 2031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NOTES DUE 2031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Lazard Capital Markets LLC</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color w:val="auto"/>
        </w:rPr>
        <w:t>Morgan Stanley &amp;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purchasers named in Schedule I hereto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Initial Purchasers</w:t>
      </w:r>
      <w:r>
        <w:rPr>
          <w:rFonts w:ascii="Arial" w:cs="Arial" w:eastAsia="Arial" w:hAnsi="Arial"/>
          <w:sz w:val="16"/>
          <w:szCs w:val="16"/>
          <w:color w:val="auto"/>
        </w:rPr>
        <w:t>”) $300,000,000 principal amount of its 1.50% Convertible Senior Notes due 2031 (the “</w:t>
      </w:r>
      <w:r>
        <w:rPr>
          <w:rFonts w:ascii="Arial" w:cs="Arial" w:eastAsia="Arial" w:hAnsi="Arial"/>
          <w:sz w:val="16"/>
          <w:szCs w:val="16"/>
          <w:b w:val="1"/>
          <w:bCs w:val="1"/>
          <w:color w:val="auto"/>
        </w:rPr>
        <w:t>2031A Notes</w:t>
      </w:r>
      <w:r>
        <w:rPr>
          <w:rFonts w:ascii="Arial" w:cs="Arial" w:eastAsia="Arial" w:hAnsi="Arial"/>
          <w:sz w:val="16"/>
          <w:szCs w:val="16"/>
          <w:color w:val="auto"/>
        </w:rPr>
        <w:t>”), to be issued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an Indenture dated as of July 26, 2011 (the “</w:t>
      </w:r>
      <w:r>
        <w:rPr>
          <w:rFonts w:ascii="Arial" w:cs="Arial" w:eastAsia="Arial" w:hAnsi="Arial"/>
          <w:sz w:val="16"/>
          <w:szCs w:val="16"/>
          <w:b w:val="1"/>
          <w:bCs w:val="1"/>
          <w:color w:val="auto"/>
        </w:rPr>
        <w:t>2031A Indenture</w:t>
      </w:r>
      <w:r>
        <w:rPr>
          <w:rFonts w:ascii="Arial" w:cs="Arial" w:eastAsia="Arial" w:hAnsi="Arial"/>
          <w:sz w:val="16"/>
          <w:szCs w:val="16"/>
          <w:color w:val="auto"/>
        </w:rPr>
        <w:t>”), and $300,000,000 principal amount of its 1.875% Convertible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2031 (the “</w:t>
      </w:r>
      <w:r>
        <w:rPr>
          <w:rFonts w:ascii="Arial" w:cs="Arial" w:eastAsia="Arial" w:hAnsi="Arial"/>
          <w:sz w:val="16"/>
          <w:szCs w:val="16"/>
          <w:b w:val="1"/>
          <w:bCs w:val="1"/>
          <w:color w:val="auto"/>
        </w:rPr>
        <w:t>2031B Notes</w:t>
      </w:r>
      <w:r>
        <w:rPr>
          <w:rFonts w:ascii="Arial" w:cs="Arial" w:eastAsia="Arial" w:hAnsi="Arial"/>
          <w:sz w:val="16"/>
          <w:szCs w:val="16"/>
          <w:color w:val="auto"/>
        </w:rPr>
        <w:t>”, together with the 2031A Notes, the “</w:t>
      </w:r>
      <w:r>
        <w:rPr>
          <w:rFonts w:ascii="Arial" w:cs="Arial" w:eastAsia="Arial" w:hAnsi="Arial"/>
          <w:sz w:val="16"/>
          <w:szCs w:val="16"/>
          <w:b w:val="1"/>
          <w:bCs w:val="1"/>
          <w:color w:val="auto"/>
        </w:rPr>
        <w:t>Firm Securities</w:t>
      </w:r>
      <w:r>
        <w:rPr>
          <w:rFonts w:ascii="Arial" w:cs="Arial" w:eastAsia="Arial" w:hAnsi="Arial"/>
          <w:sz w:val="16"/>
          <w:szCs w:val="16"/>
          <w:color w:val="auto"/>
        </w:rPr>
        <w:t>”), to be issued pursuant to the provisions of an Indenture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26, 2011 (together with the 2031A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between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proposes to issue and sell to the Initial Purchasers not more than an additional $45,000,000 principal amount of its 1.50%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2031 and not more than an additional $45,000,000 principal amount of its 1.875% Convertible Senior Notes due 2031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Securities</w:t>
      </w:r>
      <w:r>
        <w:rPr>
          <w:rFonts w:ascii="Arial" w:cs="Arial" w:eastAsia="Arial" w:hAnsi="Arial"/>
          <w:sz w:val="16"/>
          <w:szCs w:val="16"/>
          <w:color w:val="auto"/>
        </w:rPr>
        <w:t>”) if and to the extent that you, as Managers of the offering, shall have determined to exercise, on behalf of the Initial Purchasers,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purchase such Additional Securities granted to the Initial Purchasers in Section 2 hereof. The Firm Securities and the Additional Securities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hereinafter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shares of common stock of the Company, par value $0.10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(the “Common Stock”). The Common Stock into which the Securities are convertible are hereinafter collectively referred to as the “</w:t>
      </w:r>
      <w:r>
        <w:rPr>
          <w:rFonts w:ascii="Arial" w:cs="Arial" w:eastAsia="Arial" w:hAnsi="Arial"/>
          <w:sz w:val="17"/>
          <w:szCs w:val="17"/>
          <w:b w:val="1"/>
          <w:bCs w:val="1"/>
          <w:color w:val="auto"/>
        </w:rPr>
        <w:t>Underlying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7"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The Securities and the Underlying Securities will be offered without being registered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to qualified institutional buyers in compliance with the exemption from registration provided by Rule 144A under the Securities Act.</w:t>
      </w:r>
    </w:p>
    <w:p>
      <w:pPr>
        <w:spacing w:after="0" w:line="13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In connection with the sale of the Securities, the Company has prepared a preliminary offering memorandum dated July 20, 2011 (the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w:t>
      </w:r>
      <w:r>
        <w:rPr>
          <w:rFonts w:ascii="Arial" w:cs="Arial" w:eastAsia="Arial" w:hAnsi="Arial"/>
          <w:sz w:val="18"/>
          <w:szCs w:val="18"/>
          <w:color w:val="auto"/>
        </w:rPr>
        <w:t>”) and will prepare a final offering memorandum (the “</w:t>
      </w:r>
      <w:r>
        <w:rPr>
          <w:rFonts w:ascii="Arial" w:cs="Arial" w:eastAsia="Arial" w:hAnsi="Arial"/>
          <w:sz w:val="18"/>
          <w:szCs w:val="18"/>
          <w:b w:val="1"/>
          <w:bCs w:val="1"/>
          <w:color w:val="auto"/>
        </w:rPr>
        <w:t>Final Memorandum</w:t>
      </w:r>
      <w:r>
        <w:rPr>
          <w:rFonts w:ascii="Arial" w:cs="Arial" w:eastAsia="Arial" w:hAnsi="Arial"/>
          <w:sz w:val="18"/>
          <w:szCs w:val="18"/>
          <w:color w:val="auto"/>
        </w:rPr>
        <w:t>”) including or incorporating by reference a description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Securities and the Underlying Securities, the terms of the offering and a description of the Company. For purposes of this Agreement, “</w:t>
      </w:r>
      <w:r>
        <w:rPr>
          <w:rFonts w:ascii="Arial" w:cs="Arial" w:eastAsia="Arial" w:hAnsi="Arial"/>
          <w:sz w:val="18"/>
          <w:szCs w:val="18"/>
          <w:b w:val="1"/>
          <w:bCs w:val="1"/>
          <w:color w:val="auto"/>
        </w:rPr>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Written Offering Communication</w:t>
      </w:r>
      <w:r>
        <w:rPr>
          <w:rFonts w:ascii="Arial" w:cs="Arial" w:eastAsia="Arial" w:hAnsi="Arial"/>
          <w:sz w:val="17"/>
          <w:szCs w:val="17"/>
          <w:color w:val="auto"/>
        </w:rPr>
        <w:t>” means any written communication (as defined in Rule 405 under the Securities Act) that constitutes an offer to sell or a</w:t>
      </w:r>
      <w:r>
        <w:rPr>
          <w:rFonts w:ascii="Arial" w:cs="Arial" w:eastAsia="Arial" w:hAnsi="Arial"/>
          <w:sz w:val="17"/>
          <w:szCs w:val="17"/>
          <w:b w:val="1"/>
          <w:bCs w:val="1"/>
          <w:color w:val="auto"/>
        </w:rPr>
        <w:t xml:space="preserve"> </w:t>
      </w:r>
      <w:r>
        <w:rPr>
          <w:rFonts w:ascii="Arial" w:cs="Arial" w:eastAsia="Arial" w:hAnsi="Arial"/>
          <w:sz w:val="17"/>
          <w:szCs w:val="17"/>
          <w:color w:val="auto"/>
        </w:rPr>
        <w:t>solicitation of an offer to buy the Securities other than the Preliminary Memorandum or the Final Memorandum, and “</w:t>
      </w:r>
      <w:r>
        <w:rPr>
          <w:rFonts w:ascii="Arial" w:cs="Arial" w:eastAsia="Arial" w:hAnsi="Arial"/>
          <w:sz w:val="17"/>
          <w:szCs w:val="17"/>
          <w:b w:val="1"/>
          <w:bCs w:val="1"/>
          <w:color w:val="auto"/>
        </w:rPr>
        <w:t>Time of Sale Memorandum</w:t>
      </w:r>
      <w:r>
        <w:rPr>
          <w:rFonts w:ascii="Arial" w:cs="Arial" w:eastAsia="Arial" w:hAnsi="Arial"/>
          <w:sz w:val="17"/>
          <w:szCs w:val="17"/>
          <w:color w:val="auto"/>
        </w:rPr>
        <w:t>” means the Preliminary Memorandum together with the Additional Written Offering Communications, if any, each identified in Schedule II hereto. As used herein, the terms Preliminary Memorandum, Time of Sale Memorandum and Final Memorandum shall include the documents, if any, incorporated by reference therein on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that are deemed to be incorporated by reference therein.</w:t>
      </w:r>
    </w:p>
    <w:p>
      <w:pPr>
        <w:spacing w:after="0" w:line="176" w:lineRule="exact"/>
        <w:rPr>
          <w:sz w:val="20"/>
          <w:szCs w:val="20"/>
          <w:color w:val="auto"/>
        </w:rPr>
      </w:pPr>
    </w:p>
    <w:p>
      <w:pPr>
        <w:ind w:left="1380" w:hanging="72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220" w:firstLine="645"/>
        <w:spacing w:after="0" w:line="288" w:lineRule="auto"/>
        <w:tabs>
          <w:tab w:leader="none" w:pos="2003" w:val="left"/>
        </w:tabs>
        <w:numPr>
          <w:ilvl w:val="1"/>
          <w:numId w:val="3"/>
        </w:numPr>
        <w:rPr>
          <w:rFonts w:ascii="Arial" w:cs="Arial" w:eastAsia="Arial" w:hAnsi="Arial"/>
          <w:sz w:val="16"/>
          <w:szCs w:val="16"/>
          <w:color w:val="auto"/>
        </w:rPr>
      </w:pPr>
      <w:r>
        <w:rPr>
          <w:rFonts w:ascii="Arial" w:cs="Arial" w:eastAsia="Arial" w:hAnsi="Arial"/>
          <w:sz w:val="16"/>
          <w:szCs w:val="16"/>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provided, however, that our Report on Form 8-K/A, filed April 22, 2011, was required under such rules and regulations to have been filed no later than April 13, 2011,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(as defined in Section 4), will not contain any untrue statement of a material fact or omit to state a material fact necessary to make the statements therein, in the light of the circumstances</w:t>
      </w:r>
    </w:p>
    <w:p>
      <w:pPr>
        <w:sectPr>
          <w:pgSz w:w="11900" w:h="16930" w:orient="portrait"/>
          <w:cols w:equalWidth="0" w:num="1">
            <w:col w:w="11420"/>
          </w:cols>
          <w:pgMar w:left="240" w:top="121" w:right="239" w:bottom="0" w:gutter="0" w:footer="0" w:header="0"/>
        </w:sectPr>
      </w:pPr>
    </w:p>
    <w:bookmarkStart w:id="5" w:name="page6"/>
    <w:bookmarkEnd w:id="5"/>
    <w:p>
      <w:pPr>
        <w:ind w:right="40"/>
        <w:spacing w:after="0" w:line="286" w:lineRule="auto"/>
        <w:rPr>
          <w:sz w:val="20"/>
          <w:szCs w:val="20"/>
          <w:color w:val="auto"/>
        </w:rPr>
      </w:pPr>
      <w:r>
        <w:rPr>
          <w:rFonts w:ascii="Arial" w:cs="Arial" w:eastAsia="Arial" w:hAnsi="Arial"/>
          <w:sz w:val="17"/>
          <w:szCs w:val="17"/>
          <w:color w:val="auto"/>
        </w:rPr>
        <w:t>under which they were made, not misleading, except that the representations and warranties set forth in this paragraph do not apply to statements or omissions in the Preliminary Memorandum, the Time of Sale Memorandum or the Final Memorandum based upon information relating to any Initial Purchaser furnished to the Company in writing by such Initial Purchaser through you expressly for use therein.</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5"/>
        <w:spacing w:after="0" w:line="264"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the Company has not prepared, used or referred to, and will not, without your prior consent, prepare, use or refer to, any Additional Written Offering Communication.</w:t>
      </w:r>
    </w:p>
    <w:p>
      <w:pPr>
        <w:spacing w:after="0" w:line="181" w:lineRule="exact"/>
        <w:rPr>
          <w:rFonts w:ascii="Arial" w:cs="Arial" w:eastAsia="Arial" w:hAnsi="Arial"/>
          <w:sz w:val="18"/>
          <w:szCs w:val="18"/>
          <w:color w:val="auto"/>
        </w:rPr>
      </w:pPr>
    </w:p>
    <w:p>
      <w:pPr>
        <w:ind w:right="180" w:firstLine="645"/>
        <w:spacing w:after="0" w:line="257" w:lineRule="auto"/>
        <w:tabs>
          <w:tab w:leader="none" w:pos="1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Memorandum and is duly qualified to transact business and is in good standing in each jurisdiction identified on Schedule III hereto in which the conduct of its business or its ownership or leasing of property requires such qualification or is subject to material liability or disability by reason of failure to be so qualified in any such jurisdiction.</w:t>
      </w:r>
    </w:p>
    <w:p>
      <w:pPr>
        <w:spacing w:after="0" w:line="188" w:lineRule="exact"/>
        <w:rPr>
          <w:rFonts w:ascii="Arial" w:cs="Arial" w:eastAsia="Arial" w:hAnsi="Arial"/>
          <w:sz w:val="18"/>
          <w:szCs w:val="18"/>
          <w:color w:val="auto"/>
        </w:rPr>
      </w:pPr>
    </w:p>
    <w:p>
      <w:pPr>
        <w:ind w:left="1340" w:hanging="69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40" w:firstLine="645"/>
        <w:spacing w:after="0" w:line="264" w:lineRule="auto"/>
        <w:tabs>
          <w:tab w:leader="none" w:pos="1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 and conform in all material respects to the description thereof contained in the Time of Sale Memorandum.</w:t>
      </w:r>
    </w:p>
    <w:p>
      <w:pPr>
        <w:spacing w:after="0" w:line="181" w:lineRule="exact"/>
        <w:rPr>
          <w:rFonts w:ascii="Arial" w:cs="Arial" w:eastAsia="Arial" w:hAnsi="Arial"/>
          <w:sz w:val="18"/>
          <w:szCs w:val="18"/>
          <w:color w:val="auto"/>
        </w:rPr>
      </w:pPr>
    </w:p>
    <w:p>
      <w:pPr>
        <w:ind w:right="220" w:firstLine="645"/>
        <w:spacing w:after="0" w:line="272" w:lineRule="auto"/>
        <w:tabs>
          <w:tab w:leader="none" w:pos="1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executed and authenticated in accordance with the provisions of the Indentures and delivered to and paid for by the Initial Purchasers in accordance with the terms of this Agreement (assuming due authentication by the Trustee in the manner described in the Indentures),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Indentures pursuant to which such Securities are to be issued.</w:t>
      </w:r>
    </w:p>
    <w:p>
      <w:pPr>
        <w:spacing w:after="0" w:line="177" w:lineRule="exact"/>
        <w:rPr>
          <w:rFonts w:ascii="Arial" w:cs="Arial" w:eastAsia="Arial" w:hAnsi="Arial"/>
          <w:sz w:val="17"/>
          <w:szCs w:val="17"/>
          <w:color w:val="auto"/>
        </w:rPr>
      </w:pPr>
    </w:p>
    <w:p>
      <w:pPr>
        <w:ind w:right="120" w:firstLine="645"/>
        <w:spacing w:after="0" w:line="259"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Underlying Securities issuable upon conversion of the Securities have been duly authorized and reserved and, when issued upon conversion of the Securities in accordance with the terms of the Securities and the Indentures, will be validly issued, fully paid and non assessable, the issuance of the Underlying Securities will not be subject to any preemptive or similar rights and will conform in all material respects to</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thereof contained in each of the Time of Sale Memorandum and the Final Memorandum.</w:t>
      </w:r>
    </w:p>
    <w:p>
      <w:pPr>
        <w:spacing w:after="0" w:line="225" w:lineRule="exact"/>
        <w:rPr>
          <w:sz w:val="20"/>
          <w:szCs w:val="20"/>
          <w:color w:val="auto"/>
        </w:rPr>
      </w:pPr>
    </w:p>
    <w:p>
      <w:pPr>
        <w:ind w:right="120" w:firstLine="645"/>
        <w:spacing w:after="0" w:line="279"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Indentures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Indentures will conform in all material respects to the descriptions thereof in the Time of Sale Memorandum and the Final Memorandum.</w:t>
      </w:r>
    </w:p>
    <w:p>
      <w:pPr>
        <w:spacing w:after="0" w:line="171" w:lineRule="exact"/>
        <w:rPr>
          <w:rFonts w:ascii="Arial" w:cs="Arial" w:eastAsia="Arial" w:hAnsi="Arial"/>
          <w:sz w:val="17"/>
          <w:szCs w:val="17"/>
          <w:color w:val="auto"/>
        </w:rPr>
      </w:pPr>
    </w:p>
    <w:p>
      <w:pPr>
        <w:ind w:firstLine="645"/>
        <w:spacing w:after="0" w:line="268" w:lineRule="auto"/>
        <w:tabs>
          <w:tab w:leader="none" w:pos="135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the Indentures and the Securities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Indentures and the Securities, except for those that have been, or will have been prior to the Closing Date, obtained, such as may be required by the securities or Blue Sky laws of the various states in connection with the offer and sale of the Securities, and with respect to the approval of the listing of the Underlying Securities on the NASDAQ Global Select Market, except, where the failure to obtain such consents, individually or in the aggregate, would not have a Material Adverse Effect on the offering of the Securities.</w:t>
      </w:r>
    </w:p>
    <w:p>
      <w:pPr>
        <w:spacing w:after="0" w:line="187" w:lineRule="exact"/>
        <w:rPr>
          <w:rFonts w:ascii="Arial" w:cs="Arial" w:eastAsia="Arial" w:hAnsi="Arial"/>
          <w:sz w:val="17"/>
          <w:szCs w:val="17"/>
          <w:color w:val="auto"/>
        </w:rPr>
      </w:pPr>
    </w:p>
    <w:p>
      <w:pPr>
        <w:jc w:val="both"/>
        <w:ind w:right="20" w:firstLine="645"/>
        <w:spacing w:after="0" w:line="264" w:lineRule="auto"/>
        <w:tabs>
          <w:tab w:leader="none" w:pos="13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80" w:firstLine="645"/>
        <w:spacing w:after="0" w:line="27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w:t>
      </w:r>
    </w:p>
    <w:p>
      <w:pPr>
        <w:sectPr>
          <w:pgSz w:w="11900" w:h="16838" w:orient="portrait"/>
          <w:cols w:equalWidth="0" w:num="1">
            <w:col w:w="10760"/>
          </w:cols>
          <w:pgMar w:left="900" w:top="125" w:right="239" w:bottom="0" w:gutter="0" w:footer="0" w:header="0"/>
        </w:sectPr>
      </w:pPr>
    </w:p>
    <w:bookmarkStart w:id="6" w:name="page7"/>
    <w:bookmarkEnd w:id="6"/>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and (ii) to the Company’s knowledge, no such proceedings are threatened by governmental authorities or by others.</w:t>
      </w:r>
    </w:p>
    <w:p>
      <w:pPr>
        <w:spacing w:after="0" w:line="252" w:lineRule="exact"/>
        <w:rPr>
          <w:sz w:val="20"/>
          <w:szCs w:val="20"/>
          <w:color w:val="auto"/>
        </w:rPr>
      </w:pPr>
    </w:p>
    <w:p>
      <w:pPr>
        <w:ind w:right="160" w:firstLine="645"/>
        <w:spacing w:after="0" w:line="297" w:lineRule="auto"/>
        <w:tabs>
          <w:tab w:leader="none" w:pos="135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160" w:firstLine="645"/>
        <w:spacing w:after="0" w:line="291" w:lineRule="auto"/>
        <w:tabs>
          <w:tab w:leader="none" w:pos="135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 how necessary to conduct the business now or proposed to be conducted by the Company and its subsidiaries as described in the Time of Sale Memorandum, except where the 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67" w:lineRule="exact"/>
        <w:rPr>
          <w:rFonts w:ascii="Arial" w:cs="Arial" w:eastAsia="Arial" w:hAnsi="Arial"/>
          <w:sz w:val="16"/>
          <w:szCs w:val="16"/>
          <w:color w:val="auto"/>
        </w:rPr>
      </w:pPr>
    </w:p>
    <w:p>
      <w:pPr>
        <w:ind w:right="220" w:firstLine="645"/>
        <w:spacing w:after="0" w:line="255"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affiliate (as defined in Rule 501(b) of Regulation D under the Securities Act, an “</w:t>
      </w:r>
      <w:r>
        <w:rPr>
          <w:rFonts w:ascii="Arial" w:cs="Arial" w:eastAsia="Arial" w:hAnsi="Arial"/>
          <w:sz w:val="18"/>
          <w:szCs w:val="18"/>
          <w:b w:val="1"/>
          <w:bCs w:val="1"/>
          <w:color w:val="auto"/>
        </w:rPr>
        <w:t>Affiliate</w:t>
      </w:r>
      <w:r>
        <w:rPr>
          <w:rFonts w:ascii="Arial" w:cs="Arial" w:eastAsia="Arial" w:hAnsi="Arial"/>
          <w:sz w:val="18"/>
          <w:szCs w:val="18"/>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193" w:lineRule="exact"/>
        <w:rPr>
          <w:rFonts w:ascii="Arial" w:cs="Arial" w:eastAsia="Arial" w:hAnsi="Arial"/>
          <w:sz w:val="18"/>
          <w:szCs w:val="18"/>
          <w:color w:val="auto"/>
        </w:rPr>
      </w:pPr>
    </w:p>
    <w:p>
      <w:pPr>
        <w:ind w:left="5000" w:right="320" w:hanging="4355"/>
        <w:spacing w:after="0" w:line="528"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Memorandum and the Final Memorandum under the caption “Description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Notes,” insofar as they purport to constitute a summary of the terms of the Indentures and the Securities and under the caption “Description of Capital Stock,” insofar as they purport to constitute a summary of the terms of the Underlying Securities, fairly summarize such terms in all material respects.</w:t>
      </w:r>
    </w:p>
    <w:p>
      <w:pPr>
        <w:spacing w:after="0" w:line="181" w:lineRule="exact"/>
        <w:rPr>
          <w:sz w:val="20"/>
          <w:szCs w:val="20"/>
          <w:color w:val="auto"/>
        </w:rPr>
      </w:pPr>
    </w:p>
    <w:p>
      <w:pPr>
        <w:ind w:right="20" w:firstLine="645"/>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of the Initial Purchasers herein, it is not necessary in connection with the offer, sale and delivery of the Securities to the Initial Purchasers in the manner contemplated by this Agreement to register the Securities under the Securities Act.</w:t>
      </w:r>
    </w:p>
    <w:p>
      <w:pPr>
        <w:spacing w:after="0" w:line="181" w:lineRule="exact"/>
        <w:rPr>
          <w:rFonts w:ascii="Arial" w:cs="Arial" w:eastAsia="Arial" w:hAnsi="Arial"/>
          <w:sz w:val="18"/>
          <w:szCs w:val="18"/>
          <w:color w:val="auto"/>
        </w:rPr>
      </w:pPr>
    </w:p>
    <w:p>
      <w:pPr>
        <w:ind w:left="1340" w:hanging="69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right="160" w:firstLine="645"/>
        <w:spacing w:after="0" w:line="264"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Act and the rules and regulations of the Commission thereunder.</w:t>
      </w:r>
    </w:p>
    <w:p>
      <w:pPr>
        <w:spacing w:after="0" w:line="181" w:lineRule="exact"/>
        <w:rPr>
          <w:rFonts w:ascii="Arial" w:cs="Arial" w:eastAsia="Arial" w:hAnsi="Arial"/>
          <w:sz w:val="18"/>
          <w:szCs w:val="18"/>
          <w:color w:val="auto"/>
        </w:rPr>
      </w:pPr>
    </w:p>
    <w:p>
      <w:pPr>
        <w:ind w:right="140" w:firstLine="645"/>
        <w:spacing w:after="0" w:line="273" w:lineRule="auto"/>
        <w:tabs>
          <w:tab w:leader="none" w:pos="133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Time of Sale Memorandum, the Company’s internal control over financial reporting was effective as of September 2, 2010, and the Company is not aware of any material weaknesses in its internal control over financial reporting.</w:t>
      </w:r>
    </w:p>
    <w:p>
      <w:pPr>
        <w:spacing w:after="0" w:line="178" w:lineRule="exact"/>
        <w:rPr>
          <w:rFonts w:ascii="Arial" w:cs="Arial" w:eastAsia="Arial" w:hAnsi="Arial"/>
          <w:sz w:val="17"/>
          <w:szCs w:val="17"/>
          <w:color w:val="auto"/>
        </w:rPr>
      </w:pPr>
    </w:p>
    <w:p>
      <w:pPr>
        <w:ind w:firstLine="645"/>
        <w:spacing w:after="0" w:line="286" w:lineRule="auto"/>
        <w:tabs>
          <w:tab w:leader="none" w:pos="1358"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5" w:lineRule="exact"/>
        <w:rPr>
          <w:rFonts w:ascii="Arial" w:cs="Arial" w:eastAsia="Arial" w:hAnsi="Arial"/>
          <w:sz w:val="17"/>
          <w:szCs w:val="17"/>
          <w:color w:val="auto"/>
        </w:rPr>
      </w:pPr>
    </w:p>
    <w:p>
      <w:pPr>
        <w:ind w:right="200" w:firstLine="645"/>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principal executive officer and principal financial officer by others within those entities; and such disclosure controls and procedures were effective as of the quarter ended June 2, 2011.</w:t>
      </w:r>
    </w:p>
    <w:p>
      <w:pPr>
        <w:spacing w:after="0" w:line="170" w:lineRule="exact"/>
        <w:rPr>
          <w:sz w:val="20"/>
          <w:szCs w:val="20"/>
          <w:color w:val="auto"/>
        </w:rPr>
      </w:pPr>
    </w:p>
    <w:p>
      <w:pPr>
        <w:ind w:right="40" w:firstLine="645"/>
        <w:spacing w:after="0" w:line="290"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66" w:lineRule="exact"/>
        <w:rPr>
          <w:rFonts w:ascii="Arial" w:cs="Arial" w:eastAsia="Arial" w:hAnsi="Arial"/>
          <w:sz w:val="16"/>
          <w:szCs w:val="16"/>
          <w:color w:val="auto"/>
        </w:rPr>
      </w:pPr>
    </w:p>
    <w:p>
      <w:pPr>
        <w:ind w:right="160" w:firstLine="645"/>
        <w:spacing w:after="0" w:line="342" w:lineRule="auto"/>
        <w:tabs>
          <w:tab w:leader="none" w:pos="13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w:t>
      </w:r>
    </w:p>
    <w:p>
      <w:pPr>
        <w:sectPr>
          <w:pgSz w:w="11900" w:h="16975" w:orient="portrait"/>
          <w:cols w:equalWidth="0" w:num="1">
            <w:col w:w="10760"/>
          </w:cols>
          <w:pgMar w:left="900" w:top="121" w:right="239" w:bottom="0" w:gutter="0" w:footer="0" w:header="0"/>
        </w:sectPr>
      </w:pPr>
    </w:p>
    <w:bookmarkStart w:id="7" w:name="page8"/>
    <w:bookmarkEnd w:id="7"/>
    <w:p>
      <w:pPr>
        <w:ind w:left="660" w:right="40"/>
        <w:spacing w:after="0" w:line="255" w:lineRule="auto"/>
        <w:rPr>
          <w:sz w:val="20"/>
          <w:szCs w:val="20"/>
          <w:color w:val="auto"/>
        </w:rPr>
      </w:pPr>
      <w:r>
        <w:rPr>
          <w:rFonts w:ascii="Arial" w:cs="Arial" w:eastAsia="Arial" w:hAnsi="Arial"/>
          <w:sz w:val="18"/>
          <w:szCs w:val="18"/>
          <w:color w:val="auto"/>
        </w:rPr>
        <w:t>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3" w:lineRule="exact"/>
        <w:rPr>
          <w:sz w:val="20"/>
          <w:szCs w:val="20"/>
          <w:color w:val="auto"/>
        </w:rPr>
      </w:pPr>
    </w:p>
    <w:p>
      <w:pPr>
        <w:ind w:left="660" w:right="460" w:firstLine="645"/>
        <w:spacing w:after="0" w:line="277" w:lineRule="auto"/>
        <w:tabs>
          <w:tab w:leader="none" w:pos="205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300" w:right="460" w:firstLine="1301"/>
        <w:spacing w:after="0" w:line="282" w:lineRule="auto"/>
        <w:tabs>
          <w:tab w:leader="none" w:pos="3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nor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40" w:firstLine="1301"/>
        <w:spacing w:after="0" w:line="277" w:lineRule="auto"/>
        <w:tabs>
          <w:tab w:leader="none" w:pos="3331" w:val="left"/>
        </w:tabs>
        <w:numPr>
          <w:ilvl w:val="2"/>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170" w:lineRule="exact"/>
        <w:rPr>
          <w:rFonts w:ascii="Arial" w:cs="Arial" w:eastAsia="Arial" w:hAnsi="Arial"/>
          <w:sz w:val="18"/>
          <w:szCs w:val="18"/>
          <w:color w:val="auto"/>
        </w:rPr>
      </w:pPr>
    </w:p>
    <w:p>
      <w:pPr>
        <w:ind w:left="1300" w:right="400" w:firstLine="653"/>
        <w:spacing w:after="0" w:line="277" w:lineRule="auto"/>
        <w:tabs>
          <w:tab w:leader="none" w:pos="2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firstLine="1301"/>
        <w:spacing w:after="0" w:line="277" w:lineRule="auto"/>
        <w:tabs>
          <w:tab w:leader="none" w:pos="3296"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920" w:firstLine="1301"/>
        <w:spacing w:after="0" w:line="277" w:lineRule="auto"/>
        <w:tabs>
          <w:tab w:leader="none" w:pos="3331"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300" w:right="140" w:firstLine="653"/>
        <w:spacing w:after="0" w:line="264" w:lineRule="auto"/>
        <w:tabs>
          <w:tab w:leader="none" w:pos="26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36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hereby agrees to sell to the several Initial Purchasers, and each Initial Purchaser,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the representations and warranties herein contained, but subject to the conditions hereinafter stated, agrees, severally and not jointly, to purchase from the Company the respective principal amounts of Firm Securities set forth in Schedule I hereto opposite its name at a purchase price of 97.5% of the principal amount thereof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July 26, 2011 to the Closing Date.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basis of the representations and warranties contained in this Agreement, and subject to its terms and conditions, the Company agrees to sell to the Initial Purchasers the Additional Securities, and the Initial Purchasers shall have the right to purchase, severally and not jointly, the Additional Securities at the Purchase Price, plus accrued interest, if any, from the Closing Date to the Option Closing Date. You may exercise this right on behalf of the Initial Purchasers in whole or from time to time in part by giving written notice not later than 30 days after the date of this Agreement. Any exercise notice shall specify the principal amount of Additional Securities to be purchased by the Initial Purchasers and the date on which such Additional Securities are to be purchased. Each purchase date must be at least two business days after the written notice is given, unless waived in writing by the Company, and may not be earlier than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closing date for the Firm Securities nor later than ten business days after the date of such notice. Additional Securities may be purchased as provided in Section 4 solely for the purpose of covering sales of securities in excess of the number of the Firm Securities. On each day, if any, that Additional Securities are to be purchased (an “</w:t>
      </w:r>
      <w:r>
        <w:rPr>
          <w:rFonts w:ascii="Arial" w:cs="Arial" w:eastAsia="Arial" w:hAnsi="Arial"/>
          <w:sz w:val="18"/>
          <w:szCs w:val="18"/>
          <w:b w:val="1"/>
          <w:bCs w:val="1"/>
          <w:color w:val="auto"/>
        </w:rPr>
        <w:t>Option Closing Date</w:t>
      </w:r>
      <w:r>
        <w:rPr>
          <w:rFonts w:ascii="Arial" w:cs="Arial" w:eastAsia="Arial" w:hAnsi="Arial"/>
          <w:sz w:val="18"/>
          <w:szCs w:val="18"/>
          <w:color w:val="auto"/>
        </w:rPr>
        <w:t>”), each Initial Purchaser agrees, severally and not jointly, to purchase the principal amount of Additional Securities (subject to such adjustments to eliminate fractional Securities as you may determine) that bears the same proportion to the total principal amount of Additional Securities to be purchased on such Option Closing Date as the principal amount of Firm Securities set forth in Schedule I opposite the name of such Initial Purchaser bears to the total principal amount of Firm Securities.</w:t>
      </w:r>
    </w:p>
    <w:p>
      <w:pPr>
        <w:spacing w:after="0" w:line="193" w:lineRule="exact"/>
        <w:rPr>
          <w:sz w:val="20"/>
          <w:szCs w:val="20"/>
          <w:color w:val="auto"/>
        </w:rPr>
      </w:pPr>
    </w:p>
    <w:p>
      <w:pPr>
        <w:ind w:right="380" w:firstLine="656"/>
        <w:spacing w:after="0" w:line="308" w:lineRule="auto"/>
        <w:tabs>
          <w:tab w:leader="none" w:pos="136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60" w:firstLine="656"/>
        <w:spacing w:after="0" w:line="257"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Firm Securities shall be made to the Company in Federal or other funds immediately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 specified by the Company to you at the office of Wilson Sonsini Goodrich &amp; Rosati, Professional Corporation, 650 Page Mill Road, Palo Alto, California, at approximately 7:00 a.m., California time, on July 26, 2011,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to the account specified by the Company to you, at approximately 7:00 a.m., California time, on the date specified in the corresponding notice described in Section 2 or at such other time on the same or on such other date, in any event not later than the tenth business day thereafter, as may be designated in writing by you.</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Securities shall be in definitive form or global form, as specified by you, and registered in such names and in such denominations as you shall request in writing not later than one full business day prior to the Closing Date or the applicable Option Closing Date, as the case may be. The Securities shall be delivered to you on the Closing Date or an Option Closing Date, as the case may be, for the respective accounts of the several Initial Purchasers, with any transfer taxes payable in connection with the transfer of the Securities to the Initial Purchasers duly paid, against payment of the Purchase Price therefor, plus accrued interest, if any, from the Closing Date to the Option Closing Date.</w:t>
      </w:r>
    </w:p>
    <w:p>
      <w:pPr>
        <w:sectPr>
          <w:pgSz w:w="11900" w:h="16838" w:orient="portrait"/>
          <w:cols w:equalWidth="0" w:num="1">
            <w:col w:w="11400"/>
          </w:cols>
          <w:pgMar w:left="240" w:top="125" w:right="259" w:bottom="0" w:gutter="0" w:footer="0" w:header="0"/>
        </w:sectPr>
      </w:pPr>
    </w:p>
    <w:bookmarkStart w:id="8" w:name="page9"/>
    <w:bookmarkEnd w:id="8"/>
    <w:p>
      <w:pPr>
        <w:ind w:right="500" w:firstLine="656"/>
        <w:spacing w:after="0" w:line="277" w:lineRule="auto"/>
        <w:tabs>
          <w:tab w:leader="none" w:pos="136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Closing Date are subject to the following conditions: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or the applicable Option Closing Date:</w:t>
      </w:r>
    </w:p>
    <w:p>
      <w:pPr>
        <w:spacing w:after="0" w:line="248" w:lineRule="exact"/>
        <w:rPr>
          <w:rFonts w:ascii="Arial" w:cs="Arial" w:eastAsia="Arial" w:hAnsi="Arial"/>
          <w:sz w:val="16"/>
          <w:szCs w:val="16"/>
          <w:color w:val="auto"/>
        </w:rPr>
      </w:pPr>
    </w:p>
    <w:p>
      <w:pPr>
        <w:ind w:left="1300" w:firstLine="653"/>
        <w:spacing w:after="0" w:line="259" w:lineRule="auto"/>
        <w:tabs>
          <w:tab w:leader="none" w:pos="2658"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and</w:t>
      </w:r>
    </w:p>
    <w:p>
      <w:pPr>
        <w:spacing w:after="0" w:line="186" w:lineRule="exact"/>
        <w:rPr>
          <w:rFonts w:ascii="Arial" w:cs="Arial" w:eastAsia="Arial" w:hAnsi="Arial"/>
          <w:sz w:val="18"/>
          <w:szCs w:val="18"/>
          <w:color w:val="auto"/>
        </w:rPr>
      </w:pPr>
    </w:p>
    <w:p>
      <w:pPr>
        <w:ind w:left="1300" w:right="60" w:firstLine="653"/>
        <w:spacing w:after="0" w:line="302" w:lineRule="auto"/>
        <w:tabs>
          <w:tab w:leader="none" w:pos="2663"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54" w:lineRule="exact"/>
        <w:rPr>
          <w:rFonts w:ascii="Arial" w:cs="Arial" w:eastAsia="Arial" w:hAnsi="Arial"/>
          <w:sz w:val="16"/>
          <w:szCs w:val="16"/>
          <w:color w:val="auto"/>
        </w:rPr>
      </w:pPr>
    </w:p>
    <w:p>
      <w:pPr>
        <w:ind w:left="660" w:right="80" w:firstLine="645"/>
        <w:spacing w:after="0" w:line="284" w:lineRule="auto"/>
        <w:tabs>
          <w:tab w:leader="none" w:pos="201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and each Option Closing Date, if any, a certificate, dated the Closing Date or applicable Option Closing Date, as the case may be, and signed by the chief executive officer or the chief financial officer of the Company, to the effect set forth in Section 5(a)(i)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applicable Option Closing Date, as the case may be, (ii) that the Company has complied in all material respects with all of the agreements and satisfied all of the conditions on its part to be performed or satisfied hereunder on or before the Closing Date or applicable Option Closing Date, as applicable, and</w:t>
      </w:r>
    </w:p>
    <w:p>
      <w:pPr>
        <w:spacing w:after="0" w:line="2" w:lineRule="exact"/>
        <w:rPr>
          <w:rFonts w:ascii="Arial" w:cs="Arial" w:eastAsia="Arial" w:hAnsi="Arial"/>
          <w:sz w:val="16"/>
          <w:szCs w:val="16"/>
          <w:color w:val="auto"/>
        </w:rPr>
      </w:pPr>
    </w:p>
    <w:p>
      <w:pPr>
        <w:ind w:left="660" w:right="60" w:hanging="4"/>
        <w:spacing w:after="0" w:line="255"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Time of Sale Memorandum, there has been no material adverse change in the financial condition, earnings, business or properties of the Company and its subsidiaries, taken as a whole, except as set forth or contemplated in the Time of Sale Memorandum.</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ind w:left="660" w:right="200" w:firstLine="645"/>
        <w:spacing w:after="0" w:line="342" w:lineRule="auto"/>
        <w:tabs>
          <w:tab w:leader="none" w:pos="20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and each Option Closing Date, as the case may be, an opinion of Wilson Sonsini Goodrich &amp; Rosati, Professional Corporation, outside counsel for the Company, dated the Closing Date and each Option Closing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Date, as the case may be, to the effect set forth in Exhibit B. Such opinion shall be rendered to the Initial Purchasers at the request of the Company and shall so state therein.</w:t>
      </w:r>
    </w:p>
    <w:p>
      <w:pPr>
        <w:spacing w:after="0" w:line="170" w:lineRule="exact"/>
        <w:rPr>
          <w:sz w:val="20"/>
          <w:szCs w:val="20"/>
          <w:color w:val="auto"/>
        </w:rPr>
      </w:pPr>
    </w:p>
    <w:p>
      <w:pPr>
        <w:ind w:left="660" w:right="40" w:firstLine="645"/>
        <w:spacing w:after="0" w:line="264" w:lineRule="auto"/>
        <w:tabs>
          <w:tab w:leader="none" w:pos="20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and each Option Closing Date, as the case may be, an opinion of Roderic W. Lewis, the Company’s General Counsel, dated the Closing Date and each Option Closing Date, as the case may be, to the effect set forth in Exhibit C.</w:t>
      </w:r>
    </w:p>
    <w:p>
      <w:pPr>
        <w:spacing w:after="0" w:line="181" w:lineRule="exact"/>
        <w:rPr>
          <w:rFonts w:ascii="Arial" w:cs="Arial" w:eastAsia="Arial" w:hAnsi="Arial"/>
          <w:sz w:val="18"/>
          <w:szCs w:val="18"/>
          <w:color w:val="auto"/>
        </w:rPr>
      </w:pPr>
    </w:p>
    <w:p>
      <w:pPr>
        <w:ind w:left="660" w:right="200" w:firstLine="645"/>
        <w:spacing w:after="0" w:line="264" w:lineRule="auto"/>
        <w:tabs>
          <w:tab w:leader="none" w:pos="20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and each Option Closing Date, as the case may be, an opinion of Simpson Thacher &amp; Bartlett LLP, counsel for the Initial Purchasers, dated the Closing Date and each Option Closing Date, as the case may be, in form and substance reasonably satisfactory to the Initial Purchasers.</w:t>
      </w:r>
    </w:p>
    <w:p>
      <w:pPr>
        <w:spacing w:after="0" w:line="181" w:lineRule="exact"/>
        <w:rPr>
          <w:rFonts w:ascii="Arial" w:cs="Arial" w:eastAsia="Arial" w:hAnsi="Arial"/>
          <w:sz w:val="18"/>
          <w:szCs w:val="18"/>
          <w:color w:val="auto"/>
        </w:rPr>
      </w:pPr>
    </w:p>
    <w:p>
      <w:pPr>
        <w:ind w:left="660" w:right="40" w:firstLine="645"/>
        <w:spacing w:after="0" w:line="255" w:lineRule="auto"/>
        <w:tabs>
          <w:tab w:leader="none" w:pos="20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Purchasers shall have received on each of the date hereof, the Closing Date and each Option Closing Date, if any, a letter, dated the date hereof, the Closing Date or applicable Option Closing Date, as the case may be, in form and substance satisfactory to the Initial Purchasers, from PricewaterhouseCoopers LLP, independent public 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July 18, 2011.</w:t>
      </w:r>
    </w:p>
    <w:p>
      <w:pPr>
        <w:spacing w:after="0" w:line="193" w:lineRule="exact"/>
        <w:rPr>
          <w:rFonts w:ascii="Arial" w:cs="Arial" w:eastAsia="Arial" w:hAnsi="Arial"/>
          <w:sz w:val="18"/>
          <w:szCs w:val="18"/>
          <w:color w:val="auto"/>
        </w:rPr>
      </w:pPr>
    </w:p>
    <w:p>
      <w:pPr>
        <w:ind w:left="660" w:right="60" w:firstLine="645"/>
        <w:spacing w:after="0" w:line="264" w:lineRule="auto"/>
        <w:tabs>
          <w:tab w:leader="none" w:pos="20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“lock up” agreements, each substantially in the form of Exhibit A, between you and certain officers and directors of the Company named in Schedule IV relating to sales and certain other dispositions of Securities, Common Stock or certain other securities, delivered to you on or before the date hereof, shall be in full force and effect on the Closing Date.</w:t>
      </w:r>
    </w:p>
    <w:p>
      <w:pPr>
        <w:spacing w:after="0" w:line="181" w:lineRule="exact"/>
        <w:rPr>
          <w:rFonts w:ascii="Arial" w:cs="Arial" w:eastAsia="Arial" w:hAnsi="Arial"/>
          <w:sz w:val="18"/>
          <w:szCs w:val="18"/>
          <w:color w:val="auto"/>
        </w:rPr>
      </w:pPr>
    </w:p>
    <w:p>
      <w:pPr>
        <w:ind w:left="660" w:right="220" w:firstLine="645"/>
        <w:spacing w:after="0" w:line="302" w:lineRule="auto"/>
        <w:tabs>
          <w:tab w:leader="none" w:pos="20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Indentures and the Securities.</w:t>
      </w:r>
    </w:p>
    <w:p>
      <w:pPr>
        <w:spacing w:after="0" w:line="15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several obligations of the Initial Purchasers to purchase Additional Securities hereunder are subject to the delivery to you on the applicable Option Closing Date of such documents as you may reasonably request with respect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good standing of the Company, the due authorization and issuance of the Additional Securities to be sold on such Option Closing Date and other matters related to the issuance of such Additional Securities.</w:t>
      </w:r>
    </w:p>
    <w:p>
      <w:pPr>
        <w:sectPr>
          <w:pgSz w:w="11900" w:h="16838" w:orient="portrait"/>
          <w:cols w:equalWidth="0" w:num="1">
            <w:col w:w="11380"/>
          </w:cols>
          <w:pgMar w:left="240" w:top="125" w:right="279" w:bottom="0" w:gutter="0" w:footer="0" w:header="0"/>
        </w:sectPr>
      </w:pPr>
    </w:p>
    <w:bookmarkStart w:id="9" w:name="page10"/>
    <w:bookmarkEnd w:id="9"/>
    <w:p>
      <w:pPr>
        <w:ind w:left="724" w:hanging="724"/>
        <w:spacing w:after="0"/>
        <w:tabs>
          <w:tab w:leader="none" w:pos="72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Initial Purchaser as follows:</w:t>
      </w:r>
    </w:p>
    <w:p>
      <w:pPr>
        <w:spacing w:after="0" w:line="225" w:lineRule="exact"/>
        <w:rPr>
          <w:rFonts w:ascii="Arial" w:cs="Arial" w:eastAsia="Arial" w:hAnsi="Arial"/>
          <w:sz w:val="18"/>
          <w:szCs w:val="18"/>
          <w:color w:val="auto"/>
        </w:rPr>
      </w:pPr>
    </w:p>
    <w:p>
      <w:pPr>
        <w:ind w:left="4" w:right="220" w:firstLine="645"/>
        <w:spacing w:after="0" w:line="312" w:lineRule="auto"/>
        <w:tabs>
          <w:tab w:leader="none" w:pos="134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6" w:lineRule="exact"/>
        <w:rPr>
          <w:rFonts w:ascii="Arial" w:cs="Arial" w:eastAsia="Arial" w:hAnsi="Arial"/>
          <w:sz w:val="16"/>
          <w:szCs w:val="16"/>
          <w:color w:val="auto"/>
        </w:rPr>
      </w:pPr>
    </w:p>
    <w:p>
      <w:pPr>
        <w:ind w:left="4" w:right="120" w:firstLine="645"/>
        <w:spacing w:after="0" w:line="264" w:lineRule="auto"/>
        <w:tabs>
          <w:tab w:leader="none" w:pos="13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 except as may be required by applicable law.</w:t>
      </w:r>
    </w:p>
    <w:p>
      <w:pPr>
        <w:spacing w:after="0" w:line="181" w:lineRule="exact"/>
        <w:rPr>
          <w:rFonts w:ascii="Arial" w:cs="Arial" w:eastAsia="Arial" w:hAnsi="Arial"/>
          <w:sz w:val="18"/>
          <w:szCs w:val="18"/>
          <w:color w:val="auto"/>
        </w:rPr>
      </w:pPr>
    </w:p>
    <w:p>
      <w:pPr>
        <w:ind w:left="4" w:right="20" w:firstLine="645"/>
        <w:spacing w:after="0" w:line="342" w:lineRule="auto"/>
        <w:tabs>
          <w:tab w:leader="none" w:pos="134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23" w:lineRule="exact"/>
        <w:rPr>
          <w:rFonts w:ascii="Arial" w:cs="Arial" w:eastAsia="Arial" w:hAnsi="Arial"/>
          <w:sz w:val="16"/>
          <w:szCs w:val="16"/>
          <w:color w:val="auto"/>
        </w:rPr>
      </w:pPr>
    </w:p>
    <w:p>
      <w:pPr>
        <w:ind w:left="4" w:right="60" w:firstLine="645"/>
        <w:spacing w:after="0" w:line="271" w:lineRule="auto"/>
        <w:tabs>
          <w:tab w:leader="none" w:pos="1357"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78" w:lineRule="exact"/>
        <w:rPr>
          <w:rFonts w:ascii="Arial" w:cs="Arial" w:eastAsia="Arial" w:hAnsi="Arial"/>
          <w:sz w:val="17"/>
          <w:szCs w:val="17"/>
          <w:color w:val="auto"/>
        </w:rPr>
      </w:pPr>
    </w:p>
    <w:p>
      <w:pPr>
        <w:jc w:val="both"/>
        <w:ind w:left="4" w:right="240" w:firstLine="645"/>
        <w:spacing w:after="0" w:line="264" w:lineRule="auto"/>
        <w:tabs>
          <w:tab w:leader="none" w:pos="13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88" w:lineRule="exact"/>
        <w:rPr>
          <w:sz w:val="20"/>
          <w:szCs w:val="20"/>
          <w:color w:val="auto"/>
        </w:rPr>
      </w:pPr>
    </w:p>
    <w:p>
      <w:pPr>
        <w:ind w:left="4" w:right="240" w:firstLine="645"/>
        <w:spacing w:after="0" w:line="259" w:lineRule="auto"/>
        <w:tabs>
          <w:tab w:leader="none" w:pos="1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and Canada as you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6" w:lineRule="exact"/>
        <w:rPr>
          <w:rFonts w:ascii="Arial" w:cs="Arial" w:eastAsia="Arial" w:hAnsi="Arial"/>
          <w:sz w:val="18"/>
          <w:szCs w:val="18"/>
          <w:color w:val="auto"/>
        </w:rPr>
      </w:pPr>
    </w:p>
    <w:p>
      <w:pPr>
        <w:ind w:left="4" w:firstLine="645"/>
        <w:spacing w:after="0" w:line="268" w:lineRule="auto"/>
        <w:tabs>
          <w:tab w:leader="none" w:pos="1357"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w:t>
      </w:r>
    </w:p>
    <w:p>
      <w:pPr>
        <w:spacing w:after="0" w:line="18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67" w:lineRule="exact"/>
        <w:rPr>
          <w:sz w:val="20"/>
          <w:szCs w:val="20"/>
          <w:color w:val="auto"/>
        </w:rPr>
      </w:pPr>
    </w:p>
    <w:p>
      <w:pPr>
        <w:ind w:left="4" w:right="80" w:firstLine="645"/>
        <w:spacing w:after="0" w:line="264" w:lineRule="auto"/>
        <w:tabs>
          <w:tab w:leader="none" w:pos="13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use commercially reasonable efforts to list the Underlying Securities issuable upon conversion of the Securities on the NASDAQ Global Select Market or another U.S. national securities exchange or established automated over the counter trading market in the United States of America.</w:t>
      </w:r>
    </w:p>
    <w:p>
      <w:pPr>
        <w:sectPr>
          <w:pgSz w:w="11900" w:h="16838" w:orient="portrait"/>
          <w:cols w:equalWidth="0" w:num="1">
            <w:col w:w="10764"/>
          </w:cols>
          <w:pgMar w:left="896" w:top="341" w:right="239" w:bottom="0" w:gutter="0" w:footer="0" w:header="0"/>
        </w:sectPr>
      </w:pPr>
    </w:p>
    <w:bookmarkStart w:id="10" w:name="page11"/>
    <w:bookmarkEnd w:id="10"/>
    <w:p>
      <w:pPr>
        <w:spacing w:after="0" w:line="74" w:lineRule="exact"/>
        <w:rPr>
          <w:sz w:val="20"/>
          <w:szCs w:val="20"/>
          <w:color w:val="auto"/>
        </w:rPr>
      </w:pPr>
    </w:p>
    <w:p>
      <w:pPr>
        <w:ind w:left="660" w:right="320" w:firstLine="645"/>
        <w:spacing w:after="0" w:line="277" w:lineRule="auto"/>
        <w:tabs>
          <w:tab w:leader="none" w:pos="20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left="660" w:right="220" w:firstLine="645"/>
        <w:spacing w:after="0" w:line="308" w:lineRule="auto"/>
        <w:tabs>
          <w:tab w:leader="none" w:pos="20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reserve and keep available at all times, free of preemptive rights, shares of Underlying Securities for the purpose of enabling the Company to satisfy any obligation to issue shares of its Underlying Securities upon conversion of the Securities.</w:t>
      </w:r>
    </w:p>
    <w:p>
      <w:pPr>
        <w:spacing w:after="0" w:line="146" w:lineRule="exact"/>
        <w:rPr>
          <w:rFonts w:ascii="Arial" w:cs="Arial" w:eastAsia="Arial" w:hAnsi="Arial"/>
          <w:sz w:val="17"/>
          <w:szCs w:val="17"/>
          <w:color w:val="auto"/>
        </w:rPr>
      </w:pPr>
    </w:p>
    <w:p>
      <w:pPr>
        <w:ind w:left="660" w:right="40" w:firstLine="645"/>
        <w:spacing w:after="0" w:line="264" w:lineRule="auto"/>
        <w:tabs>
          <w:tab w:leader="none" w:pos="20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Affiliate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ind w:left="660" w:right="300" w:firstLine="645"/>
        <w:spacing w:after="0" w:line="264" w:lineRule="auto"/>
        <w:tabs>
          <w:tab w:leader="none" w:pos="20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or the Underlying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64" w:lineRule="auto"/>
        <w:tabs>
          <w:tab w:leader="none" w:pos="20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any of the Securities or the Underlying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81" w:lineRule="exact"/>
        <w:rPr>
          <w:rFonts w:ascii="Arial" w:cs="Arial" w:eastAsia="Arial" w:hAnsi="Arial"/>
          <w:sz w:val="18"/>
          <w:szCs w:val="18"/>
          <w:color w:val="auto"/>
        </w:rPr>
      </w:pPr>
    </w:p>
    <w:p>
      <w:pPr>
        <w:jc w:val="both"/>
        <w:ind w:left="660" w:right="180" w:firstLine="645"/>
        <w:spacing w:after="0" w:line="286" w:lineRule="auto"/>
        <w:tabs>
          <w:tab w:leader="none" w:pos="2013"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period of one year after the Closing Date or any Option Closing Date, if later, the Company will not, and will use its commercially reasonable efforts to not permit any of its affiliates (as defined in Rule 144 under the Securities Act) to resell any of the Securities or the Underlying Securities that constitute “restricted securities” under Rule 144 that have been reacquired by any of them.</w:t>
      </w:r>
    </w:p>
    <w:p>
      <w:pPr>
        <w:spacing w:after="0" w:line="165" w:lineRule="exact"/>
        <w:rPr>
          <w:rFonts w:ascii="Arial" w:cs="Arial" w:eastAsia="Arial" w:hAnsi="Arial"/>
          <w:sz w:val="17"/>
          <w:szCs w:val="17"/>
          <w:color w:val="auto"/>
        </w:rPr>
      </w:pPr>
    </w:p>
    <w:p>
      <w:pPr>
        <w:ind w:left="660" w:right="260" w:firstLine="645"/>
        <w:spacing w:after="0" w:line="277" w:lineRule="auto"/>
        <w:tabs>
          <w:tab w:leader="none" w:pos="20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also covenants with each Initial Purchaser that, without the prior written consent of Morgan Stanley&amp; Co. LLC, it will not, for the period of sixty (60) days from the date of this Agreement,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Underwriters have been advised in writing, (c) any grants under the Company’s equity or stock plans in accordance with the terms of such plans as described in the Time of Sale Memorandum, (d)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the aggregate number of shares of Common Stock issued in or issuable upon the exercise of rights to receive shares of Common Stock granted in such transactions in the aggregate shall not exceed five percent (5%) of the Company’s outstanding Common Stock as of the Closing Date (it being understood that shares issued or issuable pursuant to clause (e) below shall not count against such five percent (5%) limit), (e) Common Stock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prior to or concurrently with execution of any binding agreement providing for the issuance of any such shares or rights, the entity that is issued or to be issued such Common Stock or rights to receive such Common Stock pursuant to such agreement agrees with the Company that, from the date of such agreement until a date that is at least 60 days after the date of this Agreement, such entity and its controlled affiliates will be subject to restrictions at least as restrictive as those set forth in the form of “lock-up” agreement attached as Exhibit A solely with respect to such Common Stock received or rights to receive such Common Stock (and not with respect to other Common Stock or rights to receive Common Stock then owned or thereafter acquired by such entity or its controlled affiliates), provided that transfers among a party to such agreements and its controlled affiliates and among controlled affiliates will be permitted and that the exceptions provided for in the agreement attached as Exhibit A shall only apply if the party relying on such exception is an individual), or (f) the capped call transactions described in the Time of Sale Memorandum. The Company agrees that, prior to the date that is 60 days after the date of this Agreement, without your prior written consent, it will not waive any of the restrictions set forth in any of the “lock-up” agreements that qualify an issuance for the exception set forth in clause (e) of the preceding sentence.</w:t>
      </w:r>
    </w:p>
    <w:p>
      <w:pPr>
        <w:spacing w:after="0" w:line="169" w:lineRule="exact"/>
        <w:rPr>
          <w:sz w:val="20"/>
          <w:szCs w:val="20"/>
          <w:color w:val="auto"/>
        </w:rPr>
      </w:pPr>
    </w:p>
    <w:p>
      <w:pPr>
        <w:ind w:right="100" w:firstLine="656"/>
        <w:spacing w:after="0" w:line="297" w:lineRule="auto"/>
        <w:tabs>
          <w:tab w:leader="none" w:pos="136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Offering of Securities; Restrictions on Transfer</w:t>
      </w:r>
      <w:r>
        <w:rPr>
          <w:rFonts w:ascii="Arial" w:cs="Arial" w:eastAsia="Arial" w:hAnsi="Arial"/>
          <w:sz w:val="16"/>
          <w:szCs w:val="16"/>
          <w:color w:val="auto"/>
        </w:rPr>
        <w:t>. (a) Each Initial Purchaser, severally and not jointly, represents and warrants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Purchaser is a qualified institutional buyer as defined in Rule 144A under the Securities Act (a “</w:t>
      </w:r>
      <w:r>
        <w:rPr>
          <w:rFonts w:ascii="Arial" w:cs="Arial" w:eastAsia="Arial" w:hAnsi="Arial"/>
          <w:sz w:val="16"/>
          <w:szCs w:val="16"/>
          <w:b w:val="1"/>
          <w:bCs w:val="1"/>
          <w:color w:val="auto"/>
        </w:rPr>
        <w:t>QIB</w:t>
      </w:r>
      <w:r>
        <w:rPr>
          <w:rFonts w:ascii="Arial" w:cs="Arial" w:eastAsia="Arial" w:hAnsi="Arial"/>
          <w:sz w:val="16"/>
          <w:szCs w:val="16"/>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that it reasonably believes to be QIBs.</w:t>
      </w:r>
    </w:p>
    <w:p>
      <w:pPr>
        <w:spacing w:after="0" w:line="158" w:lineRule="exact"/>
        <w:rPr>
          <w:rFonts w:ascii="Arial" w:cs="Arial" w:eastAsia="Arial" w:hAnsi="Arial"/>
          <w:sz w:val="16"/>
          <w:szCs w:val="16"/>
          <w:color w:val="auto"/>
        </w:rPr>
      </w:pPr>
    </w:p>
    <w:p>
      <w:pPr>
        <w:ind w:left="2000" w:hanging="695"/>
        <w:spacing w:after="0"/>
        <w:tabs>
          <w:tab w:leader="none" w:pos="2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Initial Purchaser, severally and not jointly, represents, warrants, and agrees with respect to offers and sales outside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United States that:</w:t>
      </w:r>
    </w:p>
    <w:p>
      <w:pPr>
        <w:spacing w:after="0" w:line="210" w:lineRule="exact"/>
        <w:rPr>
          <w:rFonts w:ascii="Arial" w:cs="Arial" w:eastAsia="Arial" w:hAnsi="Arial"/>
          <w:sz w:val="17"/>
          <w:szCs w:val="17"/>
          <w:color w:val="auto"/>
        </w:rPr>
      </w:pPr>
    </w:p>
    <w:p>
      <w:pPr>
        <w:ind w:left="1300" w:right="20" w:firstLine="653"/>
        <w:spacing w:after="0" w:line="259" w:lineRule="auto"/>
        <w:tabs>
          <w:tab w:leader="none" w:pos="2658"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ectPr>
          <w:pgSz w:w="11900" w:h="16912" w:orient="portrait"/>
          <w:cols w:equalWidth="0" w:num="1">
            <w:col w:w="11420"/>
          </w:cols>
          <w:pgMar w:left="240" w:top="125"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60" w:firstLine="653"/>
        <w:spacing w:after="0" w:line="264" w:lineRule="auto"/>
        <w:tabs>
          <w:tab w:leader="none" w:pos="2643" w:val="left"/>
        </w:tabs>
        <w:numPr>
          <w:ilvl w:val="2"/>
          <w:numId w:val="25"/>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rFonts w:ascii="Arial" w:cs="Arial" w:eastAsia="Arial" w:hAnsi="Arial"/>
          <w:sz w:val="18"/>
          <w:szCs w:val="18"/>
          <w:color w:val="auto"/>
        </w:rPr>
      </w:pPr>
    </w:p>
    <w:p>
      <w:pPr>
        <w:ind w:left="1280" w:right="160" w:firstLine="653"/>
        <w:spacing w:after="0" w:line="264" w:lineRule="auto"/>
        <w:tabs>
          <w:tab w:leader="none" w:pos="2648"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rFonts w:ascii="Arial" w:cs="Arial" w:eastAsia="Arial" w:hAnsi="Arial"/>
          <w:sz w:val="18"/>
          <w:szCs w:val="18"/>
          <w:color w:val="auto"/>
        </w:rPr>
      </w:pPr>
    </w:p>
    <w:p>
      <w:pPr>
        <w:ind w:left="640" w:right="20" w:firstLine="645"/>
        <w:spacing w:after="0" w:line="259" w:lineRule="auto"/>
        <w:tabs>
          <w:tab w:leader="none" w:pos="198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agrees that the Initial Purchasers may provide copies of the Preliminary Memorandum, the Time of Sale Memorandum, the Final Memorandum and any other agreements or documents relating thereto, including without limitation, the Indenture, to Xtract Research LLC (“Xtract”), following completion of the offering, for inclusion in an online research service sponsored by Xtract, access to which shall be restricted by Xtract to QIBs.</w:t>
      </w:r>
    </w:p>
    <w:p>
      <w:pPr>
        <w:spacing w:after="0" w:line="186" w:lineRule="exact"/>
        <w:rPr>
          <w:rFonts w:ascii="Arial" w:cs="Arial" w:eastAsia="Arial" w:hAnsi="Arial"/>
          <w:sz w:val="18"/>
          <w:szCs w:val="18"/>
          <w:color w:val="auto"/>
        </w:rPr>
      </w:pPr>
    </w:p>
    <w:p>
      <w:pPr>
        <w:ind w:left="-20" w:firstLine="656"/>
        <w:spacing w:after="0" w:line="269" w:lineRule="auto"/>
        <w:tabs>
          <w:tab w:leader="none" w:pos="134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Initial Purchaser, the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pacing w:after="0" w:line="182" w:lineRule="exact"/>
        <w:rPr>
          <w:rFonts w:ascii="Arial" w:cs="Arial" w:eastAsia="Arial" w:hAnsi="Arial"/>
          <w:sz w:val="17"/>
          <w:szCs w:val="17"/>
          <w:color w:val="auto"/>
        </w:rPr>
      </w:pPr>
    </w:p>
    <w:p>
      <w:pPr>
        <w:ind w:left="1980" w:hanging="695"/>
        <w:spacing w:after="0"/>
        <w:tabs>
          <w:tab w:leader="none" w:pos="1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Initial Purchaser agrees, severally and not jointly, to indemnify and hold harmless the Company, each of its directors,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officers,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76" w:lineRule="auto"/>
        <w:rPr>
          <w:sz w:val="20"/>
          <w:szCs w:val="20"/>
          <w:color w:val="auto"/>
        </w:rPr>
      </w:pPr>
      <w:r>
        <w:rPr>
          <w:rFonts w:ascii="Arial" w:cs="Arial" w:eastAsia="Arial" w:hAnsi="Arial"/>
          <w:sz w:val="17"/>
          <w:szCs w:val="17"/>
          <w:color w:val="auto"/>
        </w:rPr>
        <w:t>employees and agents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 writing by such Initial Purchaser through you expressly for use in the Preliminary Memorandum, the Time of Sale Memorandum, any Additional Written Offering Communication prepared by or on behalf of, used by or referred to by the Company, road show, or the Final Memorandum or any amendment or supplement thereto.</w:t>
      </w:r>
    </w:p>
    <w:p>
      <w:pPr>
        <w:spacing w:after="0" w:line="173" w:lineRule="exact"/>
        <w:rPr>
          <w:sz w:val="20"/>
          <w:szCs w:val="20"/>
          <w:color w:val="auto"/>
        </w:rPr>
      </w:pPr>
    </w:p>
    <w:p>
      <w:pPr>
        <w:ind w:left="640" w:right="160" w:firstLine="645"/>
        <w:spacing w:after="0" w:line="283" w:lineRule="auto"/>
        <w:tabs>
          <w:tab w:leader="none" w:pos="1983"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w:t>
      </w:r>
    </w:p>
    <w:p>
      <w:pPr>
        <w:spacing w:after="0" w:line="5" w:lineRule="exact"/>
        <w:rPr>
          <w:rFonts w:ascii="Arial" w:cs="Arial" w:eastAsia="Arial" w:hAnsi="Arial"/>
          <w:sz w:val="16"/>
          <w:szCs w:val="16"/>
          <w:color w:val="auto"/>
        </w:rPr>
      </w:pPr>
    </w:p>
    <w:p>
      <w:pPr>
        <w:ind w:left="640" w:right="80" w:hanging="4"/>
        <w:spacing w:after="0" w:line="287" w:lineRule="auto"/>
        <w:tabs>
          <w:tab w:leader="none" w:pos="9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88" w:lineRule="exact"/>
        <w:rPr>
          <w:sz w:val="20"/>
          <w:szCs w:val="20"/>
          <w:color w:val="auto"/>
        </w:rPr>
      </w:pPr>
    </w:p>
    <w:p>
      <w:pPr>
        <w:ind w:left="640" w:right="200" w:firstLine="645"/>
        <w:spacing w:after="0" w:line="312" w:lineRule="auto"/>
        <w:tabs>
          <w:tab w:leader="none" w:pos="19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w:t>
      </w:r>
    </w:p>
    <w:p>
      <w:pPr>
        <w:sectPr>
          <w:pgSz w:w="11900" w:h="16838" w:orient="portrait"/>
          <w:cols w:equalWidth="0" w:num="1">
            <w:col w:w="11400"/>
          </w:cols>
          <w:pgMar w:left="260" w:top="341" w:right="239" w:bottom="0" w:gutter="0" w:footer="0" w:header="0"/>
        </w:sectPr>
      </w:pPr>
    </w:p>
    <w:bookmarkStart w:id="12" w:name="page13"/>
    <w:bookmarkEnd w:id="12"/>
    <w:p>
      <w:pPr>
        <w:ind w:left="660"/>
        <w:spacing w:after="0" w:line="286" w:lineRule="auto"/>
        <w:rPr>
          <w:sz w:val="20"/>
          <w:szCs w:val="20"/>
          <w:color w:val="auto"/>
        </w:rPr>
      </w:pPr>
      <w:r>
        <w:rPr>
          <w:rFonts w:ascii="Arial" w:cs="Arial" w:eastAsia="Arial" w:hAnsi="Arial"/>
          <w:sz w:val="16"/>
          <w:szCs w:val="16"/>
          <w:color w:val="auto"/>
        </w:rPr>
        <w:t>damages or liabilities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75" w:lineRule="exact"/>
        <w:rPr>
          <w:sz w:val="20"/>
          <w:szCs w:val="20"/>
          <w:color w:val="auto"/>
        </w:rPr>
      </w:pPr>
    </w:p>
    <w:p>
      <w:pPr>
        <w:ind w:left="660" w:right="80" w:firstLine="645"/>
        <w:spacing w:after="0" w:line="308" w:lineRule="auto"/>
        <w:tabs>
          <w:tab w:leader="none" w:pos="20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Initial Purchasers agree that it would not be just or equitable if contribution pursuant to this Section 8 were determined by pro rata allocation (even if the Initial Purchasers were treated as one entity for such purpose) or by any other method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67" w:lineRule="exact"/>
        <w:rPr>
          <w:sz w:val="20"/>
          <w:szCs w:val="20"/>
          <w:color w:val="auto"/>
        </w:rPr>
      </w:pPr>
    </w:p>
    <w:p>
      <w:pPr>
        <w:ind w:left="660" w:right="140" w:firstLine="645"/>
        <w:spacing w:after="0" w:line="291" w:lineRule="auto"/>
        <w:tabs>
          <w:tab w:leader="none" w:pos="1974"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660" w:right="40" w:hanging="4"/>
        <w:spacing w:after="0" w:line="255" w:lineRule="auto"/>
        <w:tabs>
          <w:tab w:leader="none" w:pos="9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90" w:lineRule="exact"/>
        <w:rPr>
          <w:sz w:val="20"/>
          <w:szCs w:val="20"/>
          <w:color w:val="auto"/>
        </w:rPr>
      </w:pPr>
    </w:p>
    <w:p>
      <w:pPr>
        <w:ind w:firstLine="656"/>
        <w:spacing w:after="0" w:line="289" w:lineRule="auto"/>
        <w:tabs>
          <w:tab w:leader="none" w:pos="131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clause 9, makes it, in your judgment, impracticable or inadvisable to proceed with the offer, sale or delivery of the Securities on the terms and in the manner contemplated in the Time of Sale Memorandum or the Final Memorandum.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If, on the Closing Date, or an Option Closing Date, as the case may be,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Firm Securities set forth opposite their respective names in Schedule I bears to the aggregate principal amount of Firm Securities set forth opposite the names of all such non defaulting Initial Purchasers, or in such other proportions as you may specify, to purchase the Securities that such defaulting Initial Purchaser or Initial Purchasers agreed but failed or refused to purchase on 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Firm Securities which it or they have agreed to purchase hereunder on such date and the aggregate principal amount of Securities with respect to which such default occurs is more than one tenth of the aggregate principal amount of Firm Securities to be purchased on such date, and arrangements satisfactory to you and the Company for the purchase of such Firm Securities are not made within 36 hours after such default, this Agreement shall terminate without liability on the part of any non defaulting Initial Purchaser or of the Company.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Initial Purchaser or Initial Purchasers shall fail or refuse to purchase Additional Securities and the aggregate principal amount of Additional Securities with respect to which such default occurs is more than one-tenth of the aggregate principal amount of Additional Securities to be purchased on such Option Closing Date, the non-defaulting Initial Purchasers shall have the option to (a) terminate their obligation hereunder to purchase the Additional Securities to be sold on such Option Closing Date or (b) purchase not less than the principal amount of Additional Securities that such non-defaulting Initial Purchasers would have been obligated to purchase in the absence of such default. Any action taken under this paragraph shall not relieve any defaulting Initial Purchaser from liability in respect of any default of such Initial Purchaser under this Agreement.</w:t>
      </w:r>
    </w:p>
    <w:p>
      <w:pPr>
        <w:sectPr>
          <w:pgSz w:w="11900" w:h="16838" w:orient="portrait"/>
          <w:cols w:equalWidth="0" w:num="1">
            <w:col w:w="11400"/>
          </w:cols>
          <w:pgMar w:left="240" w:top="125" w:right="259" w:bottom="0" w:gutter="0" w:footer="0" w:header="0"/>
        </w:sectPr>
      </w:pPr>
    </w:p>
    <w:bookmarkStart w:id="13" w:name="page14"/>
    <w:bookmarkEnd w:id="13"/>
    <w:p>
      <w:pPr>
        <w:spacing w:after="0" w:line="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this Agreement shall be terminated by the Initial Purchasers, or any of them, because of any failure or refusal on the part of the Company to comply with the terms or to fulfill any of the conditions of this Agreement, or if for any reason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shall be unable to perform its obligations under this Agreement, the Company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47" w:lineRule="exact"/>
        <w:rPr>
          <w:sz w:val="20"/>
          <w:szCs w:val="20"/>
          <w:color w:val="auto"/>
        </w:rPr>
      </w:pPr>
    </w:p>
    <w:p>
      <w:pPr>
        <w:jc w:val="both"/>
        <w:ind w:right="280" w:firstLine="656"/>
        <w:spacing w:after="0" w:line="259" w:lineRule="auto"/>
        <w:tabs>
          <w:tab w:leader="none" w:pos="131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6" w:lineRule="exact"/>
        <w:rPr>
          <w:rFonts w:ascii="Arial" w:cs="Arial" w:eastAsia="Arial" w:hAnsi="Arial"/>
          <w:sz w:val="18"/>
          <w:szCs w:val="18"/>
          <w:color w:val="auto"/>
        </w:rPr>
      </w:pPr>
    </w:p>
    <w:p>
      <w:pPr>
        <w:ind w:left="660" w:right="60" w:firstLine="645"/>
        <w:spacing w:after="0" w:line="297" w:lineRule="auto"/>
        <w:tabs>
          <w:tab w:leader="none" w:pos="1964"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right="20" w:firstLine="656"/>
        <w:spacing w:after="0" w:line="277" w:lineRule="auto"/>
        <w:tabs>
          <w:tab w:leader="none" w:pos="131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00" w:firstLine="656"/>
        <w:spacing w:after="0" w:line="277" w:lineRule="auto"/>
        <w:tabs>
          <w:tab w:leader="none" w:pos="131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jc w:val="both"/>
        <w:ind w:right="40" w:firstLine="656"/>
        <w:spacing w:after="0" w:line="288" w:lineRule="auto"/>
        <w:tabs>
          <w:tab w:leader="none" w:pos="131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Initial Purchasers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Morgan Stanley &amp; Co. LLC, 1585 Broadway, New York, New York 10036, Attention: Convertible Debt Syndicate Desk, with a copy to the Legal Department, with a copy to Simpson Thacher &amp; Bartlett LLP, 2550 Hanover Street, Palo Alto, California 94304, Attention: William H.</w:t>
      </w:r>
    </w:p>
    <w:p>
      <w:pPr>
        <w:spacing w:after="0"/>
        <w:rPr>
          <w:rFonts w:ascii="Arial" w:cs="Arial" w:eastAsia="Arial" w:hAnsi="Arial"/>
          <w:sz w:val="16"/>
          <w:szCs w:val="16"/>
          <w:color w:val="auto"/>
        </w:rPr>
      </w:pPr>
      <w:r>
        <w:rPr>
          <w:rFonts w:ascii="Arial" w:cs="Arial" w:eastAsia="Arial" w:hAnsi="Arial"/>
          <w:sz w:val="17"/>
          <w:szCs w:val="17"/>
          <w:color w:val="auto"/>
        </w:rPr>
        <w:t>Hinman, Jr., Fax: (650) 251 5002; and (b) if to the Company shall be delivered, mailed or sent to Micron Technology, Inc., 8000 South Federal Way,</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Boise, Idaho 83716, Attention: General Counsel, Fax: (208) 368 4540, with a copy to Wilson Sonsini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Goodrich &amp; Rosati, Professional Corporation, 650 Page Mill Road, Palo Alto, California 94304, Attention: John A. Fore, Fax: (650) 493 6811.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20"/>
              <w:spacing w:after="0"/>
              <w:rPr>
                <w:sz w:val="20"/>
                <w:szCs w:val="20"/>
                <w:color w:val="auto"/>
              </w:rPr>
            </w:pPr>
            <w:r>
              <w:rPr>
                <w:rFonts w:ascii="Arial" w:cs="Arial" w:eastAsia="Arial" w:hAnsi="Arial"/>
                <w:sz w:val="18"/>
                <w:szCs w:val="18"/>
                <w:color w:val="auto"/>
              </w:rPr>
              <w:t>Vice President of Finance 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0" w:right="5660" w:hanging="647"/>
        <w:spacing w:after="0" w:line="277" w:lineRule="auto"/>
        <w:rPr>
          <w:sz w:val="20"/>
          <w:szCs w:val="20"/>
          <w:color w:val="auto"/>
        </w:rPr>
      </w:pPr>
      <w:r>
        <w:rPr>
          <w:rFonts w:ascii="Arial" w:cs="Arial" w:eastAsia="Arial" w:hAnsi="Arial"/>
          <w:sz w:val="18"/>
          <w:szCs w:val="18"/>
          <w:color w:val="auto"/>
        </w:rPr>
        <w:t>Acting on behalf of itself and the several Initial Purchasers named in Schedule I 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MORGAN STANLEY &amp; CO. LLC</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gridSpan w:val="3"/>
          </w:tcPr>
          <w:p>
            <w:pPr>
              <w:ind w:left="80"/>
              <w:spacing w:after="0"/>
              <w:rPr>
                <w:sz w:val="20"/>
                <w:szCs w:val="20"/>
                <w:color w:val="auto"/>
              </w:rPr>
            </w:pPr>
            <w:r>
              <w:rPr>
                <w:rFonts w:ascii="Arial" w:cs="Arial" w:eastAsia="Arial" w:hAnsi="Arial"/>
                <w:sz w:val="18"/>
                <w:szCs w:val="18"/>
                <w:color w:val="auto"/>
              </w:rPr>
              <w:t>/s/ O. David Oakes</w:t>
            </w:r>
          </w:p>
        </w:tc>
      </w:tr>
      <w:tr>
        <w:trPr>
          <w:trHeight w:val="195"/>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O. David Oakes</w:t>
            </w: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Title:</w:t>
            </w:r>
          </w:p>
        </w:tc>
        <w:tc>
          <w:tcPr>
            <w:tcW w:w="4560" w:type="dxa"/>
            <w:vAlign w:val="bottom"/>
          </w:tcPr>
          <w:p>
            <w:pPr>
              <w:ind w:left="120"/>
              <w:spacing w:after="0"/>
              <w:rPr>
                <w:sz w:val="20"/>
                <w:szCs w:val="20"/>
                <w:color w:val="auto"/>
              </w:rPr>
            </w:pPr>
            <w:r>
              <w:rPr>
                <w:rFonts w:ascii="Arial" w:cs="Arial" w:eastAsia="Arial" w:hAnsi="Arial"/>
                <w:sz w:val="18"/>
                <w:szCs w:val="18"/>
                <w:color w:val="auto"/>
              </w:rPr>
              <w:t>Managing Director</w:t>
            </w:r>
          </w:p>
        </w:tc>
      </w:tr>
    </w:tbl>
    <w:p>
      <w:pPr>
        <w:sectPr>
          <w:pgSz w:w="11900" w:h="16843" w:orient="portrait"/>
          <w:cols w:equalWidth="0" w:num="1">
            <w:col w:w="11420"/>
          </w:cols>
          <w:pgMar w:left="240" w:top="125" w:right="239" w:bottom="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ind w:left="5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92"/>
        </w:trPr>
        <w:tc>
          <w:tcPr>
            <w:tcW w:w="4680" w:type="dxa"/>
            <w:vAlign w:val="bottom"/>
            <w:gridSpan w:val="4"/>
          </w:tcPr>
          <w:p>
            <w:pPr>
              <w:spacing w:after="0"/>
              <w:rPr>
                <w:sz w:val="20"/>
                <w:szCs w:val="20"/>
                <w:color w:val="auto"/>
              </w:rPr>
            </w:pPr>
            <w:r>
              <w:rPr>
                <w:rFonts w:ascii="Arial" w:cs="Arial" w:eastAsia="Arial" w:hAnsi="Arial"/>
                <w:sz w:val="18"/>
                <w:szCs w:val="18"/>
                <w:b w:val="1"/>
                <w:bCs w:val="1"/>
                <w:color w:val="auto"/>
              </w:rPr>
              <w:t>2031A Notes</w:t>
            </w: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Principal Amount</w:t>
            </w:r>
          </w:p>
        </w:tc>
        <w:tc>
          <w:tcPr>
            <w:tcW w:w="200" w:type="dxa"/>
            <w:vAlign w:val="bottom"/>
          </w:tcPr>
          <w:p>
            <w:pPr>
              <w:spacing w:after="0"/>
              <w:rPr>
                <w:sz w:val="24"/>
                <w:szCs w:val="2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of Additional</w:t>
            </w:r>
          </w:p>
        </w:tc>
        <w:tc>
          <w:tcPr>
            <w:tcW w:w="0" w:type="dxa"/>
            <w:vAlign w:val="bottom"/>
          </w:tcPr>
          <w:p>
            <w:pPr>
              <w:spacing w:after="0"/>
              <w:rPr>
                <w:sz w:val="1"/>
                <w:szCs w:val="1"/>
                <w:color w:val="auto"/>
              </w:rPr>
            </w:pPr>
          </w:p>
        </w:tc>
      </w:tr>
      <w:tr>
        <w:trPr>
          <w:trHeight w:val="149"/>
        </w:trPr>
        <w:tc>
          <w:tcPr>
            <w:tcW w:w="4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of Firm Securities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4680" w:type="dxa"/>
            <w:vAlign w:val="bottom"/>
            <w:gridSpan w:val="4"/>
            <w:vMerge w:val="continue"/>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to be Purchased</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196,800,000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Lazard Capital Markets LLC</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49,200,000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7,380,000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Merrill Lynch, Pierce, Fenner &amp; Smith Incorporated</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10,800,000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HSBC Securities (USA) Inc.</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5,400,000</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810,000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2031B Notes</w:t>
            </w: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gridSpan w:val="4"/>
            <w:vMerge w:val="continue"/>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Principal Amount</w:t>
            </w:r>
          </w:p>
        </w:tc>
        <w:tc>
          <w:tcPr>
            <w:tcW w:w="200" w:type="dxa"/>
            <w:vAlign w:val="bottom"/>
          </w:tcPr>
          <w:p>
            <w:pPr>
              <w:spacing w:after="0"/>
              <w:rPr>
                <w:sz w:val="24"/>
                <w:szCs w:val="2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of Additional</w:t>
            </w:r>
          </w:p>
        </w:tc>
        <w:tc>
          <w:tcPr>
            <w:tcW w:w="0" w:type="dxa"/>
            <w:vAlign w:val="bottom"/>
          </w:tcPr>
          <w:p>
            <w:pPr>
              <w:spacing w:after="0"/>
              <w:rPr>
                <w:sz w:val="1"/>
                <w:szCs w:val="1"/>
                <w:color w:val="auto"/>
              </w:rPr>
            </w:pPr>
          </w:p>
        </w:tc>
      </w:tr>
      <w:tr>
        <w:trPr>
          <w:trHeight w:val="149"/>
        </w:trPr>
        <w:tc>
          <w:tcPr>
            <w:tcW w:w="4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of Firm Securities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4680" w:type="dxa"/>
            <w:vAlign w:val="bottom"/>
            <w:gridSpan w:val="4"/>
            <w:vMerge w:val="continue"/>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to be Purchased</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196,800,000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Lazard Capital Markets LLC</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49,200,000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7,380,000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Merrill Lynch, Pierce, Fenner &amp; Smith Incorporated</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10,800,000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HSBC Securities (USA) Inc.</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5,400,000</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810,000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20" w:type="dxa"/>
            <w:vAlign w:val="bottom"/>
            <w:gridSpan w:val="3"/>
          </w:tcPr>
          <w:p>
            <w:pPr>
              <w:jc w:val="right"/>
              <w:ind w:right="1980"/>
              <w:spacing w:after="0"/>
              <w:rPr>
                <w:sz w:val="20"/>
                <w:szCs w:val="20"/>
                <w:color w:val="auto"/>
              </w:rPr>
            </w:pPr>
            <w:r>
              <w:rPr>
                <w:rFonts w:ascii="Arial" w:cs="Arial" w:eastAsia="Arial" w:hAnsi="Arial"/>
                <w:sz w:val="18"/>
                <w:szCs w:val="18"/>
                <w:color w:val="auto"/>
              </w:rPr>
              <w:t>I-1</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Preliminary Memorandum issued July 20, 2011</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Term Sheet issued July 20, 2011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60"/>
          </w:cols>
          <w:pgMar w:left="240" w:top="341" w:right="199" w:bottom="0" w:gutter="0" w:footer="0" w:header="0"/>
        </w:sectPr>
      </w:pPr>
    </w:p>
    <w:bookmarkStart w:id="15" w:name="page16"/>
    <w:bookmarkEnd w:id="15"/>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J. Byrne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Appleton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Durcan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Foster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Adams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 Hawk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Mario Licciardello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Shirley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Shields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Eby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 Otte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center"/>
        <w:ind w:left="5200"/>
        <w:spacing w:after="0"/>
        <w:tabs>
          <w:tab w:leader="none" w:pos="260" w:val="left"/>
        </w:tabs>
        <w:rPr>
          <w:sz w:val="20"/>
          <w:szCs w:val="20"/>
          <w:color w:val="auto"/>
        </w:rPr>
      </w:pPr>
      <w:r>
        <w:rPr>
          <w:rFonts w:ascii="Arial" w:cs="Arial" w:eastAsia="Arial" w:hAnsi="Arial"/>
          <w:sz w:val="18"/>
          <w:szCs w:val="18"/>
          <w:color w:val="auto"/>
        </w:rPr>
        <w:t>July</w:t>
      </w:r>
      <w:r>
        <w:rPr>
          <w:sz w:val="20"/>
          <w:szCs w:val="20"/>
          <w:color w:val="auto"/>
        </w:rPr>
        <w:tab/>
      </w:r>
      <w:r>
        <w:rPr>
          <w:rFonts w:ascii="Arial" w:cs="Arial" w:eastAsia="Arial" w:hAnsi="Arial"/>
          <w:sz w:val="18"/>
          <w:szCs w:val="18"/>
          <w:color w:val="auto"/>
        </w:rPr>
        <w:t>,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Lazard Capital Markets LLC</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color w:val="auto"/>
        </w:rPr>
        <w:t>Morgan Stanley &amp; Co. LLC</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undersigned understands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proposes to enter into a Purchase Agreement (the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with 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offering (the “</w:t>
      </w:r>
      <w:r>
        <w:rPr>
          <w:rFonts w:ascii="Arial" w:cs="Arial" w:eastAsia="Arial" w:hAnsi="Arial"/>
          <w:sz w:val="16"/>
          <w:szCs w:val="16"/>
          <w:b w:val="1"/>
          <w:bCs w:val="1"/>
          <w:color w:val="auto"/>
        </w:rPr>
        <w:t>Offering</w:t>
      </w:r>
      <w:r>
        <w:rPr>
          <w:rFonts w:ascii="Arial" w:cs="Arial" w:eastAsia="Arial" w:hAnsi="Arial"/>
          <w:sz w:val="16"/>
          <w:szCs w:val="16"/>
          <w:color w:val="auto"/>
        </w:rPr>
        <w:t>”) by the several initial</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purchasers, including Morgan Stanley (the “</w:t>
      </w:r>
      <w:r>
        <w:rPr>
          <w:rFonts w:ascii="Arial" w:cs="Arial" w:eastAsia="Arial" w:hAnsi="Arial"/>
          <w:sz w:val="17"/>
          <w:szCs w:val="17"/>
          <w:b w:val="1"/>
          <w:bCs w:val="1"/>
          <w:color w:val="auto"/>
        </w:rPr>
        <w:t>Initial Purchasers</w:t>
      </w:r>
      <w:r>
        <w:rPr>
          <w:rFonts w:ascii="Arial" w:cs="Arial" w:eastAsia="Arial" w:hAnsi="Arial"/>
          <w:sz w:val="17"/>
          <w:szCs w:val="17"/>
          <w:color w:val="auto"/>
        </w:rPr>
        <w:t>”), of $ aggregate principal amount of Convertible Senior Notes due 2031 (the “</w:t>
      </w:r>
      <w:r>
        <w:rPr>
          <w:rFonts w:ascii="Arial" w:cs="Arial" w:eastAsia="Arial" w:hAnsi="Arial"/>
          <w:sz w:val="17"/>
          <w:szCs w:val="17"/>
          <w:b w:val="1"/>
          <w:bCs w:val="1"/>
          <w:color w:val="auto"/>
        </w:rPr>
        <w:t>Securities</w:t>
      </w:r>
      <w:r>
        <w:rPr>
          <w:rFonts w:ascii="Arial" w:cs="Arial" w:eastAsia="Arial" w:hAnsi="Arial"/>
          <w:sz w:val="17"/>
          <w:szCs w:val="17"/>
          <w:color w:val="auto"/>
        </w:rPr>
        <w:t>”). The Securities will be convertible into shares of common stock, par value $0.10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 induce the Initial Purchasers that may participate in the Offering to continue their efforts in connection with the Offering, the undersigned hereby agrees that, without the prior written consent of Morgan Stanley on behalf of the Initial Purchasers, it will not, during the period commencing on the date hereof and ending 60 days after the date of the final offering memorandum relating to the Offering (the “</w:t>
      </w:r>
      <w:r>
        <w:rPr>
          <w:rFonts w:ascii="Arial" w:cs="Arial" w:eastAsia="Arial" w:hAnsi="Arial"/>
          <w:sz w:val="16"/>
          <w:szCs w:val="16"/>
          <w:b w:val="1"/>
          <w:bCs w:val="1"/>
          <w:color w:val="auto"/>
        </w:rPr>
        <w:t>Final Memorandum</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Offering, provided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be required or shall be voluntarily made in connection with subsequent sales of Common Stock or other securities acquired in such open market transactions, (b) transfers of shares of Common Stock or any security convertible into Common Stock as a bona fide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gift, (c) to the extent applicable, distributions of shares of Common Stock or any security convertible into Common Stock to limited partners, stockholders, direct or indirect members or wholly owned subsidiaries of the undersigned, (d) transfers of shares of Common Stock or any security convertible into Common Stock to any trust, partnership or limited liability company for the direct or indirect benefit of the undersigned or the immediate family of the undersigned, (e) transfers of shares of Common Stock or any security convertible into Common Stock to a wholly owned subsidiary of the undersigned or to the direct or indirect members or partners of the undersigned, (f) transfers of shares of Common Stock or any security convertible into Common Stock by will or intestate, (g) transfers of shares of Common Stock or any security convertible into Common Stock to a nominee or custodian of a person or entity to whom a transfer would be permissible under clauses (b) through (f), (h) in connection with the surrender or forfeiture of shares to the Company to satisfy tax withholding obligations upon exercise or vesting of stock options or awards, provided that in the case of any transfer or distribution pursuant to clause (b) through (h) (1) each donee or distributee shall sign and deliver a lock-up letter substantially in the form of this letter and (2) no filing under</w:t>
      </w:r>
    </w:p>
    <w:p>
      <w:pPr>
        <w:spacing w:after="0" w:line="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16(a) of the Exchange Act, reporting a reduction in beneficial ownership of shares of Common Stock, shall be required or shall be voluntarily made during the restricted period referred to in the foregoing sentence, (i) the establishment of a trading plan pursuant to Rule 10b5-1 under the Exchange Act for the transfer of shares of Common Stock, provided that such plan does not provide for the transfer of Common Stock during the restricted period, (j) sales of shares of Common Stock or any security convertible into Common Stock upon the termination of the undersigned’s employment or other relationship with the Company, (k) sales of shares of Common Stock of no more than two million shares in the aggregate by all persons who enter into a “lock-up” agreement with</w:t>
      </w:r>
    </w:p>
    <w:p>
      <w:pPr>
        <w:sectPr>
          <w:pgSz w:w="11900" w:h="16936" w:orient="portrait"/>
          <w:cols w:equalWidth="0" w:num="1">
            <w:col w:w="11420"/>
          </w:cols>
          <w:pgMar w:left="240" w:top="125" w:right="239" w:bottom="0" w:gutter="0" w:footer="0" w:header="0"/>
        </w:sectPr>
      </w:pPr>
    </w:p>
    <w:bookmarkStart w:id="16" w:name="page17"/>
    <w:bookmarkEnd w:id="16"/>
    <w:p>
      <w:pPr>
        <w:ind w:right="40"/>
        <w:spacing w:after="0" w:line="271" w:lineRule="auto"/>
        <w:rPr>
          <w:sz w:val="20"/>
          <w:szCs w:val="20"/>
          <w:color w:val="auto"/>
        </w:rPr>
      </w:pPr>
      <w:r>
        <w:rPr>
          <w:rFonts w:ascii="Arial" w:cs="Arial" w:eastAsia="Arial" w:hAnsi="Arial"/>
          <w:sz w:val="17"/>
          <w:szCs w:val="17"/>
          <w:color w:val="auto"/>
        </w:rPr>
        <w:t>Morgan Stanley in connection with the Offering, provided that the undersigned has received written confirmation from the Company that, after giving effect to such sale, the aggregate number of shares sold pursuant to this exception will not exceed two million shares or (l) sales of shares of Common Stock pursuant to a trading plan established pursuant to Rule 10b5-1 under the Exchange Act in effect on the date hereof. In addition, the undersigned agrees that, without the prior written consent of Morgan Stanley on behalf of the Initial Purchasers, it will not, during the period commencing on the date hereof and ending 60 days after the date of the Final Memorandum,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7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It is understood that the undersigned will be released from its obligations under this “lock-up” agreement if the Company notifies the undersigned that it does not intend to proceed with the Offering, if the Purchase Agreement (other than the provisions thereof that survive termination) shall terminate or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terminated prior to payment for and delivery of the Securities or if the Offering shall not have occurred by July 31, 2011.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Whether or not the Offering actually occur depends on a number of factors, including market conditions. Any Offering will only be made pursuant to the Purchase Agreement, the terms of which are subject to negotiation between the Company and the Initial Purchasers.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ind w:right="80" w:firstLine="656"/>
        <w:spacing w:after="0" w:line="264" w:lineRule="auto"/>
        <w:tabs>
          <w:tab w:leader="none" w:pos="13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the Final Offering Memorandum.</w:t>
      </w:r>
    </w:p>
    <w:p>
      <w:pPr>
        <w:spacing w:after="0" w:line="225" w:lineRule="exact"/>
        <w:rPr>
          <w:rFonts w:ascii="Arial" w:cs="Arial" w:eastAsia="Arial" w:hAnsi="Arial"/>
          <w:sz w:val="18"/>
          <w:szCs w:val="18"/>
          <w:color w:val="auto"/>
        </w:rPr>
      </w:pPr>
    </w:p>
    <w:p>
      <w:pPr>
        <w:ind w:right="60" w:firstLine="656"/>
        <w:spacing w:after="0" w:line="297" w:lineRule="auto"/>
        <w:tabs>
          <w:tab w:leader="none" w:pos="13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shares of Common Stock initially issuable upon conversion of the Securities have been duly authorized and reserved for issuance upon conversion of the Securities by valid corporate action and are free from preemptive rights under the Company’s charter or by-laws, the federal laws of the United States of America and the DGCL. When so issued and delivered upon such conversion in accordance with the terms of the applicable Indenture and the applicable Securities, such shares will be validly issued, fully paid and nonassessable and will conform in all material respects to the description thereof contained in the Disclosure Package and the Final Offering Memorandum under the caption “Description of Capital Stock.”</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right="20" w:firstLine="656"/>
        <w:spacing w:after="0" w:line="302" w:lineRule="auto"/>
        <w:tabs>
          <w:tab w:leader="none" w:pos="13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Securities are in the form contemplated by the applicable Indenture, have been duly authorized by the Company and, when executed by the Company and authenticated by the Trustee in accordance with the terms of the applicable Indenture and delivered against the purchase price therefor specified herein (which fact such counsel has not determined by inspection of the Securities), will constitute valid and legally binding obligations of the Company and enforceable against the Company in accordance with their terms; and the Securities are entitled to the benefits of the applicable Indenture.</w:t>
      </w:r>
    </w:p>
    <w:p>
      <w:pPr>
        <w:spacing w:after="0" w:line="154" w:lineRule="exact"/>
        <w:rPr>
          <w:rFonts w:ascii="Arial" w:cs="Arial" w:eastAsia="Arial" w:hAnsi="Arial"/>
          <w:sz w:val="16"/>
          <w:szCs w:val="16"/>
          <w:color w:val="auto"/>
        </w:rPr>
      </w:pPr>
    </w:p>
    <w:p>
      <w:pPr>
        <w:ind w:right="240" w:firstLine="656"/>
        <w:spacing w:after="0" w:line="277" w:lineRule="auto"/>
        <w:tabs>
          <w:tab w:leader="none" w:pos="13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Indenture has been duly authorized, executed and delivered by the Company and constitutes a valid and legally binding instrument, enforceable against the Company in accordance with its terms.</w:t>
      </w:r>
    </w:p>
    <w:p>
      <w:pPr>
        <w:spacing w:after="0" w:line="170" w:lineRule="exact"/>
        <w:rPr>
          <w:rFonts w:ascii="Arial" w:cs="Arial" w:eastAsia="Arial" w:hAnsi="Arial"/>
          <w:sz w:val="18"/>
          <w:szCs w:val="18"/>
          <w:color w:val="auto"/>
        </w:rPr>
      </w:pPr>
    </w:p>
    <w:p>
      <w:pPr>
        <w:ind w:right="320" w:firstLine="656"/>
        <w:spacing w:after="0" w:line="259" w:lineRule="auto"/>
        <w:tabs>
          <w:tab w:leader="none" w:pos="13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Purchase Agreement, the Indentures, the issuance and sale of the Securities, the issuance of the shares of Common Stock issuable upon conversion of the Securities or the consummation of any other of the transactions contemplated thereby will conflict with, result in a breach or violation of any of the terms or provisions of, or constitute a default under (A) the charter or by-laws of the Company or (B)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37" w:gutter="0" w:footer="0" w:header="0"/>
        </w:sectPr>
      </w:pPr>
    </w:p>
    <w:bookmarkStart w:id="17" w:name="page18"/>
    <w:bookmarkEnd w:id="17"/>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statute, decree, regulation or order known to such counsel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87" w:lineRule="exact"/>
        <w:rPr>
          <w:sz w:val="20"/>
          <w:szCs w:val="20"/>
          <w:color w:val="auto"/>
        </w:rPr>
      </w:pPr>
    </w:p>
    <w:p>
      <w:pPr>
        <w:ind w:right="380" w:firstLine="656"/>
        <w:spacing w:after="0" w:line="302" w:lineRule="auto"/>
        <w:tabs>
          <w:tab w:leader="none" w:pos="13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Purchase Agreement or the Indentures, except as 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54" w:lineRule="exact"/>
        <w:rPr>
          <w:rFonts w:ascii="Arial" w:cs="Arial" w:eastAsia="Arial" w:hAnsi="Arial"/>
          <w:sz w:val="16"/>
          <w:szCs w:val="16"/>
          <w:color w:val="auto"/>
        </w:rPr>
      </w:pPr>
    </w:p>
    <w:p>
      <w:pPr>
        <w:ind w:right="60" w:firstLine="656"/>
        <w:spacing w:after="0" w:line="277"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right="200" w:firstLine="656"/>
        <w:spacing w:after="0" w:line="264"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“Description of Notes” and “Description of Capital Stock,” insofar as they purport to constitute a summary of the terms of the Securities and such Capital Stock, fairly summarize such terms and documents in all material respects.</w:t>
      </w:r>
    </w:p>
    <w:p>
      <w:pPr>
        <w:spacing w:after="0" w:line="181" w:lineRule="exact"/>
        <w:rPr>
          <w:rFonts w:ascii="Arial" w:cs="Arial" w:eastAsia="Arial" w:hAnsi="Arial"/>
          <w:sz w:val="18"/>
          <w:szCs w:val="18"/>
          <w:color w:val="auto"/>
        </w:rPr>
      </w:pPr>
    </w:p>
    <w:p>
      <w:pPr>
        <w:jc w:val="both"/>
        <w:ind w:right="160" w:firstLine="656"/>
        <w:spacing w:after="0" w:line="264" w:lineRule="auto"/>
        <w:tabs>
          <w:tab w:leader="none" w:pos="13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“Material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firstLine="656"/>
        <w:spacing w:after="0" w:line="279" w:lineRule="auto"/>
        <w:tabs>
          <w:tab w:leader="none" w:pos="13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registration of the Securities under the Act is required for the sale of the Securities by the Company to the Initial Purchasers pursuant to the Purchase Agreement or for the initial resale of the Securities by the Initial Purchasers in the manner contemplated by the Purchase Agreement, the Disclosure Package and the Final Offering Memorandum, and it is not necessary to qualify either Indenture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such counsel shall state that it has participated in conferences with certain officers and other representatives of the Company, the Initial Purchasers, counsel for the Initial Purchasers and the independent certified public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accountants of the Company, at which conferences the contents of the Disclosure Package, the Final Offering Memorandum and related matters were reviewed and discussed and, although such counsel does not assume any responsibility for the accuracy, completeness or fairness of the information contained in the Disclosure Package or the Final Offering Memorandum (other than as set forth in paragraphs 10 and 11 above), no facts have come to such counsel’s attention, in the course of such review and discussion, that have caused it to believe that:</w:t>
      </w:r>
    </w:p>
    <w:p>
      <w:pPr>
        <w:spacing w:after="0" w:line="187" w:lineRule="exact"/>
        <w:rPr>
          <w:sz w:val="20"/>
          <w:szCs w:val="20"/>
          <w:color w:val="auto"/>
        </w:rPr>
      </w:pPr>
    </w:p>
    <w:p>
      <w:pPr>
        <w:jc w:val="both"/>
        <w:ind w:right="20" w:firstLine="656"/>
        <w:spacing w:after="0" w:line="259" w:lineRule="auto"/>
        <w:tabs>
          <w:tab w:leader="none" w:pos="1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Disclosure Package, as of 6:30 p.m. Eastern Time on July 20, 2011 (the “Applicable Time”), and on the date hereof, contained an untrue statement of a material fact or 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86" w:lineRule="exact"/>
        <w:rPr>
          <w:rFonts w:ascii="Arial" w:cs="Arial" w:eastAsia="Arial" w:hAnsi="Arial"/>
          <w:sz w:val="18"/>
          <w:szCs w:val="18"/>
          <w:color w:val="auto"/>
        </w:rPr>
      </w:pPr>
    </w:p>
    <w:p>
      <w:pPr>
        <w:jc w:val="both"/>
        <w:ind w:right="140" w:firstLine="656"/>
        <w:spacing w:after="0" w:line="259" w:lineRule="auto"/>
        <w:tabs>
          <w:tab w:leader="none" w:pos="13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RODERIC W. LEWIS, GENERAL COUNSEL OF THE COMPANY</w:t>
      </w:r>
    </w:p>
    <w:p>
      <w:pPr>
        <w:spacing w:after="0" w:line="229" w:lineRule="exact"/>
        <w:rPr>
          <w:sz w:val="20"/>
          <w:szCs w:val="20"/>
          <w:color w:val="auto"/>
        </w:rPr>
      </w:pPr>
    </w:p>
    <w:p>
      <w:pPr>
        <w:jc w:val="both"/>
        <w:ind w:right="100" w:firstLine="656"/>
        <w:spacing w:after="0" w:line="259" w:lineRule="auto"/>
        <w:tabs>
          <w:tab w:leader="none" w:pos="13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best of such counsel’s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is a party or of which any property or assets of the Company is the subject, which such counsel believes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shares of Common Stock issuable upon conversion of the Securities will be free of preemptive rights under any agreement known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w:t>
      </w:r>
    </w:p>
    <w:p>
      <w:pPr>
        <w:spacing w:after="0" w:line="210" w:lineRule="exact"/>
        <w:rPr>
          <w:rFonts w:ascii="Arial" w:cs="Arial" w:eastAsia="Arial" w:hAnsi="Arial"/>
          <w:sz w:val="16"/>
          <w:szCs w:val="16"/>
          <w:color w:val="auto"/>
        </w:rPr>
      </w:pPr>
    </w:p>
    <w:p>
      <w:pPr>
        <w:ind w:firstLine="656"/>
        <w:spacing w:after="0" w:line="272" w:lineRule="auto"/>
        <w:tabs>
          <w:tab w:leader="none" w:pos="13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Purchase Agreement or the Indentures, the issuance and sale of the Securities, the issuance of the shares of Common Stock issuable upon conversion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the Operative Documents or to consummate the transactions contemplated thereby.</w:t>
      </w:r>
    </w:p>
    <w:p>
      <w:pPr>
        <w:spacing w:after="0" w:line="177" w:lineRule="exact"/>
        <w:rPr>
          <w:rFonts w:ascii="Arial" w:cs="Arial" w:eastAsia="Arial" w:hAnsi="Arial"/>
          <w:sz w:val="17"/>
          <w:szCs w:val="17"/>
          <w:color w:val="auto"/>
        </w:rPr>
      </w:pPr>
    </w:p>
    <w:p>
      <w:pPr>
        <w:ind w:firstLine="656"/>
        <w:spacing w:after="0" w:line="342" w:lineRule="auto"/>
        <w:tabs>
          <w:tab w:leader="none" w:pos="13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w:t>
      </w:r>
    </w:p>
    <w:p>
      <w:pPr>
        <w:sectPr>
          <w:pgSz w:w="11900" w:h="16989" w:orient="portrait"/>
          <w:cols w:equalWidth="0" w:num="1">
            <w:col w:w="11420"/>
          </w:cols>
          <w:pgMar w:left="240" w:top="125" w:right="239" w:bottom="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Idaho court or governmental agency or body is required for the execution, delivery and performance of the Purchase Agreement and the Indentures by the Company and the issuance of the Securities and the shares of Common Stock issuable upon conversion of the Securities and the consummation of the transactions contemplated thereby.</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July 26,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1.50%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8860" w:type="dxa"/>
            <w:vAlign w:val="bottom"/>
          </w:tcPr>
          <w:p>
            <w:pPr>
              <w:ind w:left="27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90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900" w:type="dxa"/>
            <w:vAlign w:val="bottom"/>
            <w:gridSpan w:val="2"/>
            <w:vMerge w:val="continue"/>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4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86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860" w:type="dxa"/>
            <w:vAlign w:val="bottom"/>
          </w:tcPr>
          <w:p>
            <w:pPr>
              <w:ind w:left="180"/>
              <w:spacing w:after="0"/>
              <w:rPr>
                <w:sz w:val="20"/>
                <w:szCs w:val="20"/>
                <w:color w:val="auto"/>
              </w:rPr>
            </w:pPr>
            <w:r>
              <w:rPr>
                <w:rFonts w:ascii="Arial" w:cs="Arial" w:eastAsia="Arial" w:hAnsi="Arial"/>
                <w:sz w:val="18"/>
                <w:szCs w:val="18"/>
                <w:color w:val="auto"/>
              </w:rPr>
              <w:t>Other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8860" w:type="dxa"/>
            <w:vAlign w:val="bottom"/>
          </w:tcPr>
          <w:p>
            <w:pPr>
              <w:ind w:left="180"/>
              <w:spacing w:after="0"/>
              <w:rPr>
                <w:sz w:val="20"/>
                <w:szCs w:val="20"/>
                <w:color w:val="auto"/>
              </w:rPr>
            </w:pPr>
            <w:r>
              <w:rPr>
                <w:rFonts w:ascii="Arial" w:cs="Arial" w:eastAsia="Arial" w:hAnsi="Arial"/>
                <w:sz w:val="18"/>
                <w:szCs w:val="18"/>
                <w:color w:val="auto"/>
              </w:rPr>
              <w:t>Rules of 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8860" w:type="dxa"/>
            <w:vAlign w:val="bottom"/>
          </w:tcPr>
          <w:p>
            <w:pPr>
              <w:ind w:left="180"/>
              <w:spacing w:after="0"/>
              <w:rPr>
                <w:sz w:val="20"/>
                <w:szCs w:val="20"/>
                <w:color w:val="auto"/>
              </w:rPr>
            </w:pPr>
            <w:r>
              <w:rPr>
                <w:rFonts w:ascii="Arial" w:cs="Arial" w:eastAsia="Arial" w:hAnsi="Arial"/>
                <w:sz w:val="18"/>
                <w:szCs w:val="18"/>
                <w:color w:val="auto"/>
              </w:rPr>
              <w:t>Acts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2 The Notes</w:t>
            </w:r>
          </w:p>
        </w:tc>
        <w:tc>
          <w:tcPr>
            <w:tcW w:w="88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860" w:type="dxa"/>
            <w:vAlign w:val="bottom"/>
          </w:tcPr>
          <w:p>
            <w:pPr>
              <w:ind w:left="180"/>
              <w:spacing w:after="0"/>
              <w:rPr>
                <w:sz w:val="20"/>
                <w:szCs w:val="20"/>
                <w:color w:val="auto"/>
              </w:rPr>
            </w:pPr>
            <w:r>
              <w:rPr>
                <w:rFonts w:ascii="Arial" w:cs="Arial" w:eastAsia="Arial" w:hAnsi="Arial"/>
                <w:sz w:val="18"/>
                <w:szCs w:val="18"/>
                <w:color w:val="auto"/>
              </w:rPr>
              <w:t>Form, Dating and Denominations; Legends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860" w:type="dxa"/>
            <w:vAlign w:val="bottom"/>
          </w:tcPr>
          <w:p>
            <w:pPr>
              <w:ind w:left="180"/>
              <w:spacing w:after="0"/>
              <w:rPr>
                <w:sz w:val="20"/>
                <w:szCs w:val="20"/>
                <w:color w:val="auto"/>
              </w:rPr>
            </w:pPr>
            <w:r>
              <w:rPr>
                <w:rFonts w:ascii="Arial" w:cs="Arial" w:eastAsia="Arial" w:hAnsi="Arial"/>
                <w:sz w:val="18"/>
                <w:szCs w:val="18"/>
                <w:color w:val="auto"/>
              </w:rPr>
              <w:t>Execution and Authentication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860" w:type="dxa"/>
            <w:vAlign w:val="bottom"/>
          </w:tcPr>
          <w:p>
            <w:pPr>
              <w:ind w:left="180"/>
              <w:spacing w:after="0"/>
              <w:rPr>
                <w:sz w:val="20"/>
                <w:szCs w:val="20"/>
                <w:color w:val="auto"/>
              </w:rPr>
            </w:pPr>
            <w:r>
              <w:rPr>
                <w:rFonts w:ascii="Arial" w:cs="Arial" w:eastAsia="Arial" w:hAnsi="Arial"/>
                <w:sz w:val="18"/>
                <w:szCs w:val="18"/>
                <w:color w:val="auto"/>
              </w:rPr>
              <w:t>Registrar, Paying Agent and Conversion Agent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860" w:type="dxa"/>
            <w:vAlign w:val="bottom"/>
          </w:tcPr>
          <w:p>
            <w:pPr>
              <w:ind w:left="180"/>
              <w:spacing w:after="0"/>
              <w:rPr>
                <w:sz w:val="20"/>
                <w:szCs w:val="20"/>
                <w:color w:val="auto"/>
              </w:rPr>
            </w:pPr>
            <w:r>
              <w:rPr>
                <w:rFonts w:ascii="Arial" w:cs="Arial" w:eastAsia="Arial" w:hAnsi="Arial"/>
                <w:sz w:val="18"/>
                <w:szCs w:val="18"/>
                <w:color w:val="auto"/>
              </w:rPr>
              <w:t>Paying Agent to Hold Money in Trust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8860" w:type="dxa"/>
            <w:vAlign w:val="bottom"/>
          </w:tcPr>
          <w:p>
            <w:pPr>
              <w:ind w:left="180"/>
              <w:spacing w:after="0"/>
              <w:rPr>
                <w:sz w:val="20"/>
                <w:szCs w:val="20"/>
                <w:color w:val="auto"/>
              </w:rPr>
            </w:pPr>
            <w:r>
              <w:rPr>
                <w:rFonts w:ascii="Arial" w:cs="Arial" w:eastAsia="Arial" w:hAnsi="Arial"/>
                <w:sz w:val="18"/>
                <w:szCs w:val="18"/>
                <w:color w:val="auto"/>
              </w:rPr>
              <w:t>Holder Lists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2.06.</w:t>
            </w:r>
          </w:p>
        </w:tc>
        <w:tc>
          <w:tcPr>
            <w:tcW w:w="8860" w:type="dxa"/>
            <w:vAlign w:val="bottom"/>
          </w:tcPr>
          <w:p>
            <w:pPr>
              <w:ind w:left="180"/>
              <w:spacing w:after="0"/>
              <w:rPr>
                <w:sz w:val="20"/>
                <w:szCs w:val="20"/>
                <w:color w:val="auto"/>
              </w:rPr>
            </w:pPr>
            <w:r>
              <w:rPr>
                <w:rFonts w:ascii="Arial" w:cs="Arial" w:eastAsia="Arial" w:hAnsi="Arial"/>
                <w:sz w:val="18"/>
                <w:szCs w:val="18"/>
                <w:color w:val="auto"/>
              </w:rPr>
              <w:t>Transfer and Exchange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2.07.</w:t>
            </w:r>
          </w:p>
        </w:tc>
        <w:tc>
          <w:tcPr>
            <w:tcW w:w="8860" w:type="dxa"/>
            <w:vAlign w:val="bottom"/>
          </w:tcPr>
          <w:p>
            <w:pPr>
              <w:ind w:left="180"/>
              <w:spacing w:after="0"/>
              <w:rPr>
                <w:sz w:val="20"/>
                <w:szCs w:val="20"/>
                <w:color w:val="auto"/>
              </w:rPr>
            </w:pPr>
            <w:r>
              <w:rPr>
                <w:rFonts w:ascii="Arial" w:cs="Arial" w:eastAsia="Arial" w:hAnsi="Arial"/>
                <w:sz w:val="18"/>
                <w:szCs w:val="18"/>
                <w:color w:val="auto"/>
              </w:rPr>
              <w:t>Replacement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2.08.</w:t>
            </w:r>
          </w:p>
        </w:tc>
        <w:tc>
          <w:tcPr>
            <w:tcW w:w="8860" w:type="dxa"/>
            <w:vAlign w:val="bottom"/>
          </w:tcPr>
          <w:p>
            <w:pPr>
              <w:ind w:left="180"/>
              <w:spacing w:after="0"/>
              <w:rPr>
                <w:sz w:val="20"/>
                <w:szCs w:val="20"/>
                <w:color w:val="auto"/>
              </w:rPr>
            </w:pPr>
            <w:r>
              <w:rPr>
                <w:rFonts w:ascii="Arial" w:cs="Arial" w:eastAsia="Arial" w:hAnsi="Arial"/>
                <w:sz w:val="18"/>
                <w:szCs w:val="18"/>
                <w:color w:val="auto"/>
              </w:rPr>
              <w:t>Outstanding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2.09.</w:t>
            </w:r>
          </w:p>
        </w:tc>
        <w:tc>
          <w:tcPr>
            <w:tcW w:w="8860" w:type="dxa"/>
            <w:vAlign w:val="bottom"/>
          </w:tcPr>
          <w:p>
            <w:pPr>
              <w:ind w:left="180"/>
              <w:spacing w:after="0"/>
              <w:rPr>
                <w:sz w:val="20"/>
                <w:szCs w:val="20"/>
                <w:color w:val="auto"/>
              </w:rPr>
            </w:pPr>
            <w:r>
              <w:rPr>
                <w:rFonts w:ascii="Arial" w:cs="Arial" w:eastAsia="Arial" w:hAnsi="Arial"/>
                <w:sz w:val="18"/>
                <w:szCs w:val="18"/>
                <w:color w:val="auto"/>
              </w:rPr>
              <w:t>Treasury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8860" w:type="dxa"/>
            <w:vAlign w:val="bottom"/>
          </w:tcPr>
          <w:p>
            <w:pPr>
              <w:ind w:left="180"/>
              <w:spacing w:after="0"/>
              <w:rPr>
                <w:sz w:val="20"/>
                <w:szCs w:val="20"/>
                <w:color w:val="auto"/>
              </w:rPr>
            </w:pPr>
            <w:r>
              <w:rPr>
                <w:rFonts w:ascii="Arial" w:cs="Arial" w:eastAsia="Arial" w:hAnsi="Arial"/>
                <w:sz w:val="18"/>
                <w:szCs w:val="18"/>
                <w:color w:val="auto"/>
              </w:rPr>
              <w:t>Temporary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8860" w:type="dxa"/>
            <w:vAlign w:val="bottom"/>
          </w:tcPr>
          <w:p>
            <w:pPr>
              <w:ind w:left="180"/>
              <w:spacing w:after="0"/>
              <w:rPr>
                <w:sz w:val="20"/>
                <w:szCs w:val="20"/>
                <w:color w:val="auto"/>
              </w:rPr>
            </w:pPr>
            <w:r>
              <w:rPr>
                <w:rFonts w:ascii="Arial" w:cs="Arial" w:eastAsia="Arial" w:hAnsi="Arial"/>
                <w:sz w:val="18"/>
                <w:szCs w:val="18"/>
                <w:color w:val="auto"/>
              </w:rPr>
              <w:t>Cancellation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2.12.</w:t>
            </w:r>
          </w:p>
        </w:tc>
        <w:tc>
          <w:tcPr>
            <w:tcW w:w="8860" w:type="dxa"/>
            <w:vAlign w:val="bottom"/>
          </w:tcPr>
          <w:p>
            <w:pPr>
              <w:ind w:left="180"/>
              <w:spacing w:after="0"/>
              <w:rPr>
                <w:sz w:val="20"/>
                <w:szCs w:val="20"/>
                <w:color w:val="auto"/>
              </w:rPr>
            </w:pPr>
            <w:r>
              <w:rPr>
                <w:rFonts w:ascii="Arial" w:cs="Arial" w:eastAsia="Arial" w:hAnsi="Arial"/>
                <w:sz w:val="18"/>
                <w:szCs w:val="18"/>
                <w:color w:val="auto"/>
              </w:rPr>
              <w:t>CUSIP Numbers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2.13.</w:t>
            </w:r>
          </w:p>
        </w:tc>
        <w:tc>
          <w:tcPr>
            <w:tcW w:w="8860" w:type="dxa"/>
            <w:vAlign w:val="bottom"/>
          </w:tcPr>
          <w:p>
            <w:pPr>
              <w:ind w:left="180"/>
              <w:spacing w:after="0"/>
              <w:rPr>
                <w:sz w:val="20"/>
                <w:szCs w:val="20"/>
                <w:color w:val="auto"/>
              </w:rPr>
            </w:pPr>
            <w:r>
              <w:rPr>
                <w:rFonts w:ascii="Arial" w:cs="Arial" w:eastAsia="Arial" w:hAnsi="Arial"/>
                <w:sz w:val="18"/>
                <w:szCs w:val="18"/>
                <w:color w:val="auto"/>
              </w:rPr>
              <w:t>Additional Transfer and Exchange Requirements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w w:val="99"/>
              </w:rPr>
              <w:t>ARTICLE 3 Repurchases</w:t>
            </w:r>
          </w:p>
        </w:tc>
        <w:tc>
          <w:tcPr>
            <w:tcW w:w="88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860" w:type="dxa"/>
            <w:vAlign w:val="bottom"/>
          </w:tcPr>
          <w:p>
            <w:pPr>
              <w:ind w:left="18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860" w:type="dxa"/>
            <w:vAlign w:val="bottom"/>
          </w:tcPr>
          <w:p>
            <w:pPr>
              <w:ind w:left="180"/>
              <w:spacing w:after="0"/>
              <w:rPr>
                <w:sz w:val="20"/>
                <w:szCs w:val="20"/>
                <w:color w:val="auto"/>
              </w:rPr>
            </w:pPr>
            <w:r>
              <w:rPr>
                <w:rFonts w:ascii="Arial" w:cs="Arial" w:eastAsia="Arial" w:hAnsi="Arial"/>
                <w:sz w:val="18"/>
                <w:szCs w:val="18"/>
                <w:color w:val="auto"/>
              </w:rPr>
              <w:t>Repurchase of Securities by the Company at the Option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8860" w:type="dxa"/>
            <w:vAlign w:val="bottom"/>
          </w:tcPr>
          <w:p>
            <w:pPr>
              <w:ind w:left="180"/>
              <w:spacing w:after="0"/>
              <w:rPr>
                <w:sz w:val="20"/>
                <w:szCs w:val="20"/>
                <w:color w:val="auto"/>
              </w:rPr>
            </w:pPr>
            <w:r>
              <w:rPr>
                <w:rFonts w:ascii="Arial" w:cs="Arial" w:eastAsia="Arial" w:hAnsi="Arial"/>
                <w:sz w:val="18"/>
                <w:szCs w:val="18"/>
                <w:color w:val="auto"/>
              </w:rPr>
              <w:t>Effect of Repurchase Notice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3.04.</w:t>
            </w:r>
          </w:p>
        </w:tc>
        <w:tc>
          <w:tcPr>
            <w:tcW w:w="8860" w:type="dxa"/>
            <w:vAlign w:val="bottom"/>
          </w:tcPr>
          <w:p>
            <w:pPr>
              <w:ind w:left="180"/>
              <w:spacing w:after="0"/>
              <w:rPr>
                <w:sz w:val="20"/>
                <w:szCs w:val="20"/>
                <w:color w:val="auto"/>
              </w:rPr>
            </w:pPr>
            <w:r>
              <w:rPr>
                <w:rFonts w:ascii="Arial" w:cs="Arial" w:eastAsia="Arial" w:hAnsi="Arial"/>
                <w:sz w:val="18"/>
                <w:szCs w:val="18"/>
                <w:color w:val="auto"/>
              </w:rPr>
              <w:t>Deposit of Repurchase Price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8860" w:type="dxa"/>
            <w:vAlign w:val="bottom"/>
          </w:tcPr>
          <w:p>
            <w:pPr>
              <w:ind w:left="180"/>
              <w:spacing w:after="0"/>
              <w:rPr>
                <w:sz w:val="20"/>
                <w:szCs w:val="20"/>
                <w:color w:val="auto"/>
              </w:rPr>
            </w:pPr>
            <w:r>
              <w:rPr>
                <w:rFonts w:ascii="Arial" w:cs="Arial" w:eastAsia="Arial" w:hAnsi="Arial"/>
                <w:sz w:val="18"/>
                <w:szCs w:val="18"/>
                <w:color w:val="auto"/>
              </w:rPr>
              <w:t>Notes Repurchased in Part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3.06.</w:t>
            </w:r>
          </w:p>
        </w:tc>
        <w:tc>
          <w:tcPr>
            <w:tcW w:w="8860" w:type="dxa"/>
            <w:vAlign w:val="bottom"/>
          </w:tcPr>
          <w:p>
            <w:pPr>
              <w:ind w:left="18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4 Covenants</w:t>
            </w:r>
          </w:p>
        </w:tc>
        <w:tc>
          <w:tcPr>
            <w:tcW w:w="88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860" w:type="dxa"/>
            <w:vAlign w:val="bottom"/>
          </w:tcPr>
          <w:p>
            <w:pPr>
              <w:ind w:left="180"/>
              <w:spacing w:after="0"/>
              <w:rPr>
                <w:sz w:val="20"/>
                <w:szCs w:val="20"/>
                <w:color w:val="auto"/>
              </w:rPr>
            </w:pPr>
            <w:r>
              <w:rPr>
                <w:rFonts w:ascii="Arial" w:cs="Arial" w:eastAsia="Arial" w:hAnsi="Arial"/>
                <w:sz w:val="18"/>
                <w:szCs w:val="18"/>
                <w:color w:val="auto"/>
              </w:rPr>
              <w:t>Payment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4.02.</w:t>
            </w:r>
          </w:p>
        </w:tc>
        <w:tc>
          <w:tcPr>
            <w:tcW w:w="886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8860" w:type="dxa"/>
            <w:vAlign w:val="bottom"/>
          </w:tcPr>
          <w:p>
            <w:pPr>
              <w:ind w:left="180"/>
              <w:spacing w:after="0"/>
              <w:rPr>
                <w:sz w:val="20"/>
                <w:szCs w:val="20"/>
                <w:color w:val="auto"/>
              </w:rPr>
            </w:pPr>
            <w:r>
              <w:rPr>
                <w:rFonts w:ascii="Arial" w:cs="Arial" w:eastAsia="Arial" w:hAnsi="Arial"/>
                <w:sz w:val="18"/>
                <w:szCs w:val="18"/>
                <w:color w:val="auto"/>
              </w:rPr>
              <w:t>Existence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4.04.</w:t>
            </w:r>
          </w:p>
        </w:tc>
        <w:tc>
          <w:tcPr>
            <w:tcW w:w="8860" w:type="dxa"/>
            <w:vAlign w:val="bottom"/>
          </w:tcPr>
          <w:p>
            <w:pPr>
              <w:ind w:left="180"/>
              <w:spacing w:after="0"/>
              <w:rPr>
                <w:sz w:val="20"/>
                <w:szCs w:val="20"/>
                <w:color w:val="auto"/>
              </w:rPr>
            </w:pPr>
            <w:r>
              <w:rPr>
                <w:rFonts w:ascii="Arial" w:cs="Arial" w:eastAsia="Arial" w:hAnsi="Arial"/>
                <w:sz w:val="18"/>
                <w:szCs w:val="18"/>
                <w:color w:val="auto"/>
              </w:rPr>
              <w:t>Reports; 144A Information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4.05.</w:t>
            </w:r>
          </w:p>
        </w:tc>
        <w:tc>
          <w:tcPr>
            <w:tcW w:w="8860" w:type="dxa"/>
            <w:vAlign w:val="bottom"/>
          </w:tcPr>
          <w:p>
            <w:pPr>
              <w:ind w:left="180"/>
              <w:spacing w:after="0"/>
              <w:rPr>
                <w:sz w:val="20"/>
                <w:szCs w:val="20"/>
                <w:color w:val="auto"/>
              </w:rPr>
            </w:pPr>
            <w:r>
              <w:rPr>
                <w:rFonts w:ascii="Arial" w:cs="Arial" w:eastAsia="Arial" w:hAnsi="Arial"/>
                <w:sz w:val="18"/>
                <w:szCs w:val="18"/>
                <w:color w:val="auto"/>
              </w:rPr>
              <w:t>Reports to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4.06.</w:t>
            </w:r>
          </w:p>
        </w:tc>
        <w:tc>
          <w:tcPr>
            <w:tcW w:w="8860" w:type="dxa"/>
            <w:vAlign w:val="bottom"/>
          </w:tcPr>
          <w:p>
            <w:pPr>
              <w:ind w:left="180"/>
              <w:spacing w:after="0"/>
              <w:rPr>
                <w:sz w:val="20"/>
                <w:szCs w:val="20"/>
                <w:color w:val="auto"/>
              </w:rPr>
            </w:pPr>
            <w:r>
              <w:rPr>
                <w:rFonts w:ascii="Arial" w:cs="Arial" w:eastAsia="Arial" w:hAnsi="Arial"/>
                <w:sz w:val="18"/>
                <w:szCs w:val="18"/>
                <w:color w:val="auto"/>
              </w:rPr>
              <w:t>Stay, Extension and Usury Laws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860" w:type="dxa"/>
            <w:vAlign w:val="bottom"/>
          </w:tcPr>
          <w:p>
            <w:pPr>
              <w:ind w:left="180"/>
              <w:spacing w:after="0"/>
              <w:rPr>
                <w:sz w:val="20"/>
                <w:szCs w:val="20"/>
                <w:color w:val="auto"/>
              </w:rPr>
            </w:pPr>
            <w:r>
              <w:rPr>
                <w:rFonts w:ascii="Arial" w:cs="Arial" w:eastAsia="Arial" w:hAnsi="Arial"/>
                <w:sz w:val="18"/>
                <w:szCs w:val="18"/>
                <w:color w:val="auto"/>
              </w:rPr>
              <w:t>Consolidation, Merger, Sale or Lease of Assets by the Company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8860" w:type="dxa"/>
            <w:vAlign w:val="bottom"/>
          </w:tcPr>
          <w:p>
            <w:pPr>
              <w:ind w:left="364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40" w:type="dxa"/>
            <w:vAlign w:val="bottom"/>
            <w:tcBorders>
              <w:bottom w:val="single" w:sz="8" w:color="010101"/>
            </w:tcBorders>
          </w:tcPr>
          <w:p>
            <w:pPr>
              <w:spacing w:after="0"/>
              <w:rPr>
                <w:sz w:val="11"/>
                <w:szCs w:val="11"/>
                <w:color w:val="auto"/>
              </w:rPr>
            </w:pPr>
          </w:p>
        </w:tc>
        <w:tc>
          <w:tcPr>
            <w:tcW w:w="88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032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180"/>
              <w:spacing w:after="0"/>
              <w:rPr>
                <w:sz w:val="20"/>
                <w:szCs w:val="20"/>
                <w:color w:val="auto"/>
              </w:rPr>
            </w:pPr>
            <w:r>
              <w:rPr>
                <w:rFonts w:ascii="Arial" w:cs="Arial" w:eastAsia="Arial" w:hAnsi="Arial"/>
                <w:sz w:val="18"/>
                <w:szCs w:val="18"/>
                <w:color w:val="auto"/>
              </w:rPr>
              <w:t>Acceleration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8280" w:type="dxa"/>
            <w:vAlign w:val="bottom"/>
          </w:tcPr>
          <w:p>
            <w:pPr>
              <w:ind w:left="180"/>
              <w:spacing w:after="0"/>
              <w:rPr>
                <w:sz w:val="20"/>
                <w:szCs w:val="20"/>
                <w:color w:val="auto"/>
              </w:rPr>
            </w:pPr>
            <w:r>
              <w:rPr>
                <w:rFonts w:ascii="Arial" w:cs="Arial" w:eastAsia="Arial" w:hAnsi="Arial"/>
                <w:sz w:val="18"/>
                <w:szCs w:val="18"/>
                <w:color w:val="auto"/>
              </w:rPr>
              <w:t>Other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6.05.</w:t>
            </w:r>
          </w:p>
        </w:tc>
        <w:tc>
          <w:tcPr>
            <w:tcW w:w="8280" w:type="dxa"/>
            <w:vAlign w:val="bottom"/>
          </w:tcPr>
          <w:p>
            <w:pPr>
              <w:ind w:left="180"/>
              <w:spacing w:after="0"/>
              <w:rPr>
                <w:sz w:val="20"/>
                <w:szCs w:val="20"/>
                <w:color w:val="auto"/>
              </w:rPr>
            </w:pPr>
            <w:r>
              <w:rPr>
                <w:rFonts w:ascii="Arial" w:cs="Arial" w:eastAsia="Arial" w:hAnsi="Arial"/>
                <w:sz w:val="18"/>
                <w:szCs w:val="18"/>
                <w:color w:val="auto"/>
              </w:rPr>
              <w:t>Control by Majority</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6.07.</w:t>
            </w:r>
          </w:p>
        </w:tc>
        <w:tc>
          <w:tcPr>
            <w:tcW w:w="8280" w:type="dxa"/>
            <w:vAlign w:val="bottom"/>
          </w:tcPr>
          <w:p>
            <w:pPr>
              <w:ind w:left="180"/>
              <w:spacing w:after="0"/>
              <w:rPr>
                <w:sz w:val="20"/>
                <w:szCs w:val="20"/>
                <w:color w:val="auto"/>
              </w:rPr>
            </w:pPr>
            <w:r>
              <w:rPr>
                <w:rFonts w:ascii="Arial" w:cs="Arial" w:eastAsia="Arial" w:hAnsi="Arial"/>
                <w:sz w:val="18"/>
                <w:szCs w:val="18"/>
                <w:color w:val="auto"/>
              </w:rPr>
              <w:t>Rights of Holders to Receive Payment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6.08.</w:t>
            </w:r>
          </w:p>
        </w:tc>
        <w:tc>
          <w:tcPr>
            <w:tcW w:w="8280" w:type="dxa"/>
            <w:vAlign w:val="bottom"/>
          </w:tcPr>
          <w:p>
            <w:pPr>
              <w:ind w:left="180"/>
              <w:spacing w:after="0"/>
              <w:rPr>
                <w:sz w:val="20"/>
                <w:szCs w:val="20"/>
                <w:color w:val="auto"/>
              </w:rPr>
            </w:pPr>
            <w:r>
              <w:rPr>
                <w:rFonts w:ascii="Arial" w:cs="Arial" w:eastAsia="Arial" w:hAnsi="Arial"/>
                <w:sz w:val="18"/>
                <w:szCs w:val="18"/>
                <w:color w:val="auto"/>
              </w:rPr>
              <w:t>Collection Suit by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6.09.</w:t>
            </w:r>
          </w:p>
        </w:tc>
        <w:tc>
          <w:tcPr>
            <w:tcW w:w="828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6.10.</w:t>
            </w:r>
          </w:p>
        </w:tc>
        <w:tc>
          <w:tcPr>
            <w:tcW w:w="8280" w:type="dxa"/>
            <w:vAlign w:val="bottom"/>
          </w:tcPr>
          <w:p>
            <w:pPr>
              <w:ind w:left="180"/>
              <w:spacing w:after="0"/>
              <w:rPr>
                <w:sz w:val="20"/>
                <w:szCs w:val="20"/>
                <w:color w:val="auto"/>
              </w:rPr>
            </w:pPr>
            <w:r>
              <w:rPr>
                <w:rFonts w:ascii="Arial" w:cs="Arial" w:eastAsia="Arial" w:hAnsi="Arial"/>
                <w:sz w:val="18"/>
                <w:szCs w:val="18"/>
                <w:color w:val="auto"/>
              </w:rPr>
              <w:t>Priorities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6.11.</w:t>
            </w:r>
          </w:p>
        </w:tc>
        <w:tc>
          <w:tcPr>
            <w:tcW w:w="828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6.12.</w:t>
            </w:r>
          </w:p>
        </w:tc>
        <w:tc>
          <w:tcPr>
            <w:tcW w:w="82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6.13.</w:t>
            </w:r>
          </w:p>
        </w:tc>
        <w:tc>
          <w:tcPr>
            <w:tcW w:w="828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6.14.</w:t>
            </w:r>
          </w:p>
        </w:tc>
        <w:tc>
          <w:tcPr>
            <w:tcW w:w="828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6.15.</w:t>
            </w:r>
          </w:p>
        </w:tc>
        <w:tc>
          <w:tcPr>
            <w:tcW w:w="8280" w:type="dxa"/>
            <w:vAlign w:val="bottom"/>
          </w:tcPr>
          <w:p>
            <w:pPr>
              <w:ind w:left="180"/>
              <w:spacing w:after="0"/>
              <w:rPr>
                <w:sz w:val="20"/>
                <w:szCs w:val="20"/>
                <w:color w:val="auto"/>
              </w:rPr>
            </w:pPr>
            <w:r>
              <w:rPr>
                <w:rFonts w:ascii="Arial" w:cs="Arial" w:eastAsia="Arial" w:hAnsi="Arial"/>
                <w:sz w:val="18"/>
                <w:szCs w:val="18"/>
                <w:color w:val="auto"/>
              </w:rPr>
              <w:t>Failure to File</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7 The Trustee</w:t>
            </w:r>
          </w:p>
        </w:tc>
        <w:tc>
          <w:tcPr>
            <w:tcW w:w="8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7.01.</w:t>
            </w:r>
          </w:p>
        </w:tc>
        <w:tc>
          <w:tcPr>
            <w:tcW w:w="8280" w:type="dxa"/>
            <w:vAlign w:val="bottom"/>
          </w:tcPr>
          <w:p>
            <w:pPr>
              <w:ind w:left="180"/>
              <w:spacing w:after="0"/>
              <w:rPr>
                <w:sz w:val="20"/>
                <w:szCs w:val="20"/>
                <w:color w:val="auto"/>
              </w:rPr>
            </w:pPr>
            <w:r>
              <w:rPr>
                <w:rFonts w:ascii="Arial" w:cs="Arial" w:eastAsia="Arial" w:hAnsi="Arial"/>
                <w:sz w:val="18"/>
                <w:szCs w:val="18"/>
                <w:color w:val="auto"/>
              </w:rPr>
              <w:t>General</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7.03.</w:t>
            </w:r>
          </w:p>
        </w:tc>
        <w:tc>
          <w:tcPr>
            <w:tcW w:w="8280" w:type="dxa"/>
            <w:vAlign w:val="bottom"/>
          </w:tcPr>
          <w:p>
            <w:pPr>
              <w:ind w:left="180"/>
              <w:spacing w:after="0"/>
              <w:rPr>
                <w:sz w:val="20"/>
                <w:szCs w:val="20"/>
                <w:color w:val="auto"/>
              </w:rPr>
            </w:pPr>
            <w:r>
              <w:rPr>
                <w:rFonts w:ascii="Arial" w:cs="Arial" w:eastAsia="Arial" w:hAnsi="Arial"/>
                <w:sz w:val="18"/>
                <w:szCs w:val="18"/>
                <w:color w:val="auto"/>
              </w:rPr>
              <w:t>Individual Rights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180"/>
              <w:spacing w:after="0"/>
              <w:rPr>
                <w:sz w:val="20"/>
                <w:szCs w:val="20"/>
                <w:color w:val="auto"/>
              </w:rPr>
            </w:pPr>
            <w:r>
              <w:rPr>
                <w:rFonts w:ascii="Arial" w:cs="Arial" w:eastAsia="Arial" w:hAnsi="Arial"/>
                <w:sz w:val="18"/>
                <w:szCs w:val="18"/>
                <w:color w:val="auto"/>
              </w:rPr>
              <w:t>Trustee’s Disclaimer</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180"/>
              <w:spacing w:after="0"/>
              <w:rPr>
                <w:sz w:val="20"/>
                <w:szCs w:val="20"/>
                <w:color w:val="auto"/>
              </w:rPr>
            </w:pPr>
            <w:r>
              <w:rPr>
                <w:rFonts w:ascii="Arial" w:cs="Arial" w:eastAsia="Arial" w:hAnsi="Arial"/>
                <w:sz w:val="18"/>
                <w:szCs w:val="18"/>
                <w:color w:val="auto"/>
              </w:rPr>
              <w:t>Notice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7.06.</w:t>
            </w:r>
          </w:p>
        </w:tc>
        <w:tc>
          <w:tcPr>
            <w:tcW w:w="8280" w:type="dxa"/>
            <w:vAlign w:val="bottom"/>
          </w:tcPr>
          <w:p>
            <w:pPr>
              <w:ind w:left="180"/>
              <w:spacing w:after="0"/>
              <w:rPr>
                <w:sz w:val="20"/>
                <w:szCs w:val="20"/>
                <w:color w:val="auto"/>
              </w:rPr>
            </w:pPr>
            <w:r>
              <w:rPr>
                <w:rFonts w:ascii="Arial" w:cs="Arial" w:eastAsia="Arial" w:hAnsi="Arial"/>
                <w:sz w:val="18"/>
                <w:szCs w:val="18"/>
                <w:color w:val="auto"/>
              </w:rPr>
              <w:t>Reports by Trustee to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7.07.</w:t>
            </w:r>
          </w:p>
        </w:tc>
        <w:tc>
          <w:tcPr>
            <w:tcW w:w="8280" w:type="dxa"/>
            <w:vAlign w:val="bottom"/>
          </w:tcPr>
          <w:p>
            <w:pPr>
              <w:ind w:left="180"/>
              <w:spacing w:after="0"/>
              <w:rPr>
                <w:sz w:val="20"/>
                <w:szCs w:val="20"/>
                <w:color w:val="auto"/>
              </w:rPr>
            </w:pPr>
            <w:r>
              <w:rPr>
                <w:rFonts w:ascii="Arial" w:cs="Arial" w:eastAsia="Arial" w:hAnsi="Arial"/>
                <w:sz w:val="18"/>
                <w:szCs w:val="18"/>
                <w:color w:val="auto"/>
              </w:rPr>
              <w:t>Compensation and Indemnity</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7.08.</w:t>
            </w:r>
          </w:p>
        </w:tc>
        <w:tc>
          <w:tcPr>
            <w:tcW w:w="8280" w:type="dxa"/>
            <w:vAlign w:val="bottom"/>
          </w:tcPr>
          <w:p>
            <w:pPr>
              <w:ind w:left="180"/>
              <w:spacing w:after="0"/>
              <w:rPr>
                <w:sz w:val="20"/>
                <w:szCs w:val="20"/>
                <w:color w:val="auto"/>
              </w:rPr>
            </w:pPr>
            <w:r>
              <w:rPr>
                <w:rFonts w:ascii="Arial" w:cs="Arial" w:eastAsia="Arial" w:hAnsi="Arial"/>
                <w:sz w:val="18"/>
                <w:szCs w:val="18"/>
                <w:color w:val="auto"/>
              </w:rPr>
              <w:t>Replacement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7.09.</w:t>
            </w:r>
          </w:p>
        </w:tc>
        <w:tc>
          <w:tcPr>
            <w:tcW w:w="8280" w:type="dxa"/>
            <w:vAlign w:val="bottom"/>
          </w:tcPr>
          <w:p>
            <w:pPr>
              <w:ind w:left="180"/>
              <w:spacing w:after="0"/>
              <w:rPr>
                <w:sz w:val="20"/>
                <w:szCs w:val="20"/>
                <w:color w:val="auto"/>
              </w:rPr>
            </w:pPr>
            <w:r>
              <w:rPr>
                <w:rFonts w:ascii="Arial" w:cs="Arial" w:eastAsia="Arial" w:hAnsi="Arial"/>
                <w:sz w:val="18"/>
                <w:szCs w:val="18"/>
                <w:color w:val="auto"/>
              </w:rPr>
              <w:t>Successor Trustee by Merger</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8280" w:type="dxa"/>
            <w:vAlign w:val="bottom"/>
          </w:tcPr>
          <w:p>
            <w:pPr>
              <w:ind w:left="180"/>
              <w:spacing w:after="0"/>
              <w:rPr>
                <w:sz w:val="20"/>
                <w:szCs w:val="20"/>
                <w:color w:val="auto"/>
              </w:rPr>
            </w:pPr>
            <w:r>
              <w:rPr>
                <w:rFonts w:ascii="Arial" w:cs="Arial" w:eastAsia="Arial" w:hAnsi="Arial"/>
                <w:sz w:val="18"/>
                <w:szCs w:val="18"/>
                <w:color w:val="auto"/>
              </w:rPr>
              <w:t>Eligibility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7.11.</w:t>
            </w:r>
          </w:p>
        </w:tc>
        <w:tc>
          <w:tcPr>
            <w:tcW w:w="828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8 Discharge</w:t>
            </w:r>
          </w:p>
        </w:tc>
        <w:tc>
          <w:tcPr>
            <w:tcW w:w="8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180"/>
              <w:spacing w:after="0"/>
              <w:rPr>
                <w:sz w:val="20"/>
                <w:szCs w:val="20"/>
                <w:color w:val="auto"/>
              </w:rPr>
            </w:pPr>
            <w:r>
              <w:rPr>
                <w:rFonts w:ascii="Arial" w:cs="Arial" w:eastAsia="Arial" w:hAnsi="Arial"/>
                <w:sz w:val="18"/>
                <w:szCs w:val="18"/>
                <w:color w:val="auto"/>
              </w:rPr>
              <w:t>Satisfaction and Discharge of this Indenture</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180"/>
              <w:spacing w:after="0"/>
              <w:rPr>
                <w:sz w:val="20"/>
                <w:szCs w:val="20"/>
                <w:color w:val="auto"/>
              </w:rPr>
            </w:pPr>
            <w:r>
              <w:rPr>
                <w:rFonts w:ascii="Arial" w:cs="Arial" w:eastAsia="Arial" w:hAnsi="Arial"/>
                <w:sz w:val="18"/>
                <w:szCs w:val="18"/>
                <w:color w:val="auto"/>
              </w:rPr>
              <w:t>Amendments Without Consent of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180"/>
              <w:spacing w:after="0"/>
              <w:rPr>
                <w:sz w:val="20"/>
                <w:szCs w:val="20"/>
                <w:color w:val="auto"/>
              </w:rPr>
            </w:pPr>
            <w:r>
              <w:rPr>
                <w:rFonts w:ascii="Arial" w:cs="Arial" w:eastAsia="Arial" w:hAnsi="Arial"/>
                <w:sz w:val="18"/>
                <w:szCs w:val="18"/>
                <w:color w:val="auto"/>
              </w:rPr>
              <w:t>Amendments With Consent of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180"/>
              <w:spacing w:after="0"/>
              <w:rPr>
                <w:sz w:val="20"/>
                <w:szCs w:val="20"/>
                <w:color w:val="auto"/>
              </w:rPr>
            </w:pPr>
            <w:r>
              <w:rPr>
                <w:rFonts w:ascii="Arial" w:cs="Arial" w:eastAsia="Arial" w:hAnsi="Arial"/>
                <w:sz w:val="18"/>
                <w:szCs w:val="18"/>
                <w:color w:val="auto"/>
              </w:rPr>
              <w:t>Effect of Consent</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9.04.</w:t>
            </w:r>
          </w:p>
        </w:tc>
        <w:tc>
          <w:tcPr>
            <w:tcW w:w="8280" w:type="dxa"/>
            <w:vAlign w:val="bottom"/>
          </w:tcPr>
          <w:p>
            <w:pPr>
              <w:ind w:left="180"/>
              <w:spacing w:after="0"/>
              <w:rPr>
                <w:sz w:val="20"/>
                <w:szCs w:val="20"/>
                <w:color w:val="auto"/>
              </w:rPr>
            </w:pPr>
            <w:r>
              <w:rPr>
                <w:rFonts w:ascii="Arial" w:cs="Arial" w:eastAsia="Arial" w:hAnsi="Arial"/>
                <w:sz w:val="18"/>
                <w:szCs w:val="18"/>
                <w:color w:val="auto"/>
              </w:rPr>
              <w:t>Trustee’s Rights and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180"/>
              <w:spacing w:after="0"/>
              <w:rPr>
                <w:sz w:val="20"/>
                <w:szCs w:val="20"/>
                <w:color w:val="auto"/>
              </w:rPr>
            </w:pPr>
            <w:r>
              <w:rPr>
                <w:rFonts w:ascii="Arial" w:cs="Arial" w:eastAsia="Arial" w:hAnsi="Arial"/>
                <w:sz w:val="18"/>
                <w:szCs w:val="18"/>
                <w:color w:val="auto"/>
              </w:rPr>
              <w:t>Payments for Consents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10 Conversion</w:t>
            </w:r>
          </w:p>
        </w:tc>
        <w:tc>
          <w:tcPr>
            <w:tcW w:w="8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2040" w:type="dxa"/>
            <w:vAlign w:val="bottom"/>
          </w:tcPr>
          <w:p>
            <w:pPr>
              <w:ind w:left="540"/>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180"/>
              <w:spacing w:after="0"/>
              <w:rPr>
                <w:sz w:val="20"/>
                <w:szCs w:val="20"/>
                <w:color w:val="auto"/>
              </w:rPr>
            </w:pPr>
            <w:r>
              <w:rPr>
                <w:rFonts w:ascii="Arial" w:cs="Arial" w:eastAsia="Arial" w:hAnsi="Arial"/>
                <w:sz w:val="18"/>
                <w:szCs w:val="18"/>
                <w:color w:val="auto"/>
              </w:rPr>
              <w:t>Conversion Privilege</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180"/>
              <w:spacing w:after="0"/>
              <w:rPr>
                <w:sz w:val="20"/>
                <w:szCs w:val="20"/>
                <w:color w:val="auto"/>
              </w:rPr>
            </w:pPr>
            <w:r>
              <w:rPr>
                <w:rFonts w:ascii="Arial" w:cs="Arial" w:eastAsia="Arial" w:hAnsi="Arial"/>
                <w:sz w:val="18"/>
                <w:szCs w:val="18"/>
                <w:color w:val="auto"/>
              </w:rPr>
              <w:t>Conversion Procedures; Conversion Settlement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180"/>
              <w:spacing w:after="0"/>
              <w:rPr>
                <w:sz w:val="20"/>
                <w:szCs w:val="20"/>
                <w:color w:val="auto"/>
              </w:rPr>
            </w:pPr>
            <w:r>
              <w:rPr>
                <w:rFonts w:ascii="Arial" w:cs="Arial" w:eastAsia="Arial" w:hAnsi="Arial"/>
                <w:sz w:val="18"/>
                <w:szCs w:val="18"/>
                <w:color w:val="auto"/>
              </w:rPr>
              <w:t>Settlement Upon Conversion</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2040" w:type="dxa"/>
            <w:vAlign w:val="bottom"/>
          </w:tcPr>
          <w:p>
            <w:pPr>
              <w:spacing w:after="0"/>
              <w:rPr>
                <w:sz w:val="24"/>
                <w:szCs w:val="24"/>
                <w:color w:val="auto"/>
              </w:rPr>
            </w:pPr>
          </w:p>
        </w:tc>
        <w:tc>
          <w:tcPr>
            <w:tcW w:w="8280" w:type="dxa"/>
            <w:vAlign w:val="bottom"/>
          </w:tcPr>
          <w:p>
            <w:pPr>
              <w:ind w:left="362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r>
      <w:tr>
        <w:trPr>
          <w:trHeight w:val="132"/>
        </w:trPr>
        <w:tc>
          <w:tcPr>
            <w:tcW w:w="204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r>
      <w:tr>
        <w:trPr>
          <w:trHeight w:val="76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180"/>
              <w:spacing w:after="0"/>
              <w:rPr>
                <w:sz w:val="20"/>
                <w:szCs w:val="20"/>
                <w:color w:val="auto"/>
              </w:rPr>
            </w:pPr>
            <w:r>
              <w:rPr>
                <w:rFonts w:ascii="Arial" w:cs="Arial" w:eastAsia="Arial" w:hAnsi="Arial"/>
                <w:sz w:val="18"/>
                <w:szCs w:val="18"/>
                <w:color w:val="auto"/>
              </w:rPr>
              <w:t>Fractional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180"/>
              <w:spacing w:after="0"/>
              <w:rPr>
                <w:sz w:val="20"/>
                <w:szCs w:val="20"/>
                <w:color w:val="auto"/>
              </w:rPr>
            </w:pPr>
            <w:r>
              <w:rPr>
                <w:rFonts w:ascii="Arial" w:cs="Arial" w:eastAsia="Arial" w:hAnsi="Arial"/>
                <w:sz w:val="18"/>
                <w:szCs w:val="18"/>
                <w:color w:val="auto"/>
              </w:rPr>
              <w:t>Taxes on Conversion</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10.06.</w:t>
            </w:r>
          </w:p>
        </w:tc>
        <w:tc>
          <w:tcPr>
            <w:tcW w:w="8280" w:type="dxa"/>
            <w:vAlign w:val="bottom"/>
          </w:tcPr>
          <w:p>
            <w:pPr>
              <w:ind w:left="180"/>
              <w:spacing w:after="0"/>
              <w:rPr>
                <w:sz w:val="20"/>
                <w:szCs w:val="20"/>
                <w:color w:val="auto"/>
              </w:rPr>
            </w:pPr>
            <w:r>
              <w:rPr>
                <w:rFonts w:ascii="Arial" w:cs="Arial" w:eastAsia="Arial" w:hAnsi="Arial"/>
                <w:sz w:val="18"/>
                <w:szCs w:val="18"/>
                <w:color w:val="auto"/>
              </w:rPr>
              <w:t>Company to Provide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10.07.</w:t>
            </w:r>
          </w:p>
        </w:tc>
        <w:tc>
          <w:tcPr>
            <w:tcW w:w="8280" w:type="dxa"/>
            <w:vAlign w:val="bottom"/>
          </w:tcPr>
          <w:p>
            <w:pPr>
              <w:ind w:left="180"/>
              <w:spacing w:after="0"/>
              <w:rPr>
                <w:sz w:val="20"/>
                <w:szCs w:val="20"/>
                <w:color w:val="auto"/>
              </w:rPr>
            </w:pPr>
            <w:r>
              <w:rPr>
                <w:rFonts w:ascii="Arial" w:cs="Arial" w:eastAsia="Arial" w:hAnsi="Arial"/>
                <w:sz w:val="18"/>
                <w:szCs w:val="18"/>
                <w:color w:val="auto"/>
              </w:rPr>
              <w:t>Adjustment to Conversion Rate</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10.08.</w:t>
            </w:r>
          </w:p>
        </w:tc>
        <w:tc>
          <w:tcPr>
            <w:tcW w:w="8280" w:type="dxa"/>
            <w:vAlign w:val="bottom"/>
          </w:tcPr>
          <w:p>
            <w:pPr>
              <w:ind w:left="180"/>
              <w:spacing w:after="0"/>
              <w:rPr>
                <w:sz w:val="20"/>
                <w:szCs w:val="20"/>
                <w:color w:val="auto"/>
              </w:rPr>
            </w:pPr>
            <w:r>
              <w:rPr>
                <w:rFonts w:ascii="Arial" w:cs="Arial" w:eastAsia="Arial" w:hAnsi="Arial"/>
                <w:sz w:val="18"/>
                <w:szCs w:val="18"/>
                <w:color w:val="auto"/>
              </w:rPr>
              <w:t>Provisions Governing Adjustment to Conversion Rate</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10.09.</w:t>
            </w:r>
          </w:p>
        </w:tc>
        <w:tc>
          <w:tcPr>
            <w:tcW w:w="8280" w:type="dxa"/>
            <w:vAlign w:val="bottom"/>
          </w:tcPr>
          <w:p>
            <w:pPr>
              <w:ind w:left="180"/>
              <w:spacing w:after="0"/>
              <w:rPr>
                <w:sz w:val="20"/>
                <w:szCs w:val="20"/>
                <w:color w:val="auto"/>
              </w:rPr>
            </w:pPr>
            <w:r>
              <w:rPr>
                <w:rFonts w:ascii="Arial" w:cs="Arial" w:eastAsia="Arial" w:hAnsi="Arial"/>
                <w:sz w:val="18"/>
                <w:szCs w:val="18"/>
                <w:color w:val="auto"/>
              </w:rPr>
              <w:t>Disposition Events</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10.10.</w:t>
            </w:r>
          </w:p>
        </w:tc>
        <w:tc>
          <w:tcPr>
            <w:tcW w:w="8280" w:type="dxa"/>
            <w:vAlign w:val="bottom"/>
          </w:tcPr>
          <w:p>
            <w:pPr>
              <w:ind w:left="180"/>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10.11.</w:t>
            </w:r>
          </w:p>
        </w:tc>
        <w:tc>
          <w:tcPr>
            <w:tcW w:w="8280" w:type="dxa"/>
            <w:vAlign w:val="bottom"/>
          </w:tcPr>
          <w:p>
            <w:pPr>
              <w:ind w:left="180"/>
              <w:spacing w:after="0"/>
              <w:rPr>
                <w:sz w:val="20"/>
                <w:szCs w:val="20"/>
                <w:color w:val="auto"/>
              </w:rPr>
            </w:pPr>
            <w:r>
              <w:rPr>
                <w:rFonts w:ascii="Arial" w:cs="Arial" w:eastAsia="Arial" w:hAnsi="Arial"/>
                <w:sz w:val="18"/>
                <w:szCs w:val="18"/>
                <w:color w:val="auto"/>
              </w:rPr>
              <w:t>When Adjustment May Be Deferred</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10.12.</w:t>
            </w:r>
          </w:p>
        </w:tc>
        <w:tc>
          <w:tcPr>
            <w:tcW w:w="8280" w:type="dxa"/>
            <w:vAlign w:val="bottom"/>
          </w:tcPr>
          <w:p>
            <w:pPr>
              <w:ind w:left="180"/>
              <w:spacing w:after="0"/>
              <w:rPr>
                <w:sz w:val="20"/>
                <w:szCs w:val="20"/>
                <w:color w:val="auto"/>
              </w:rPr>
            </w:pPr>
            <w:r>
              <w:rPr>
                <w:rFonts w:ascii="Arial" w:cs="Arial" w:eastAsia="Arial" w:hAnsi="Arial"/>
                <w:sz w:val="18"/>
                <w:szCs w:val="18"/>
                <w:color w:val="auto"/>
              </w:rPr>
              <w:t>When No Adjustment Required</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10.13.</w:t>
            </w:r>
          </w:p>
        </w:tc>
        <w:tc>
          <w:tcPr>
            <w:tcW w:w="8280" w:type="dxa"/>
            <w:vAlign w:val="bottom"/>
          </w:tcPr>
          <w:p>
            <w:pPr>
              <w:ind w:left="180"/>
              <w:spacing w:after="0"/>
              <w:rPr>
                <w:sz w:val="20"/>
                <w:szCs w:val="20"/>
                <w:color w:val="auto"/>
              </w:rPr>
            </w:pPr>
            <w:r>
              <w:rPr>
                <w:rFonts w:ascii="Arial" w:cs="Arial" w:eastAsia="Arial" w:hAnsi="Arial"/>
                <w:sz w:val="18"/>
                <w:szCs w:val="18"/>
                <w:color w:val="auto"/>
              </w:rPr>
              <w:t>Notice of Adjustment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10.14.</w:t>
            </w:r>
          </w:p>
        </w:tc>
        <w:tc>
          <w:tcPr>
            <w:tcW w:w="8280" w:type="dxa"/>
            <w:vAlign w:val="bottom"/>
          </w:tcPr>
          <w:p>
            <w:pPr>
              <w:ind w:left="180"/>
              <w:spacing w:after="0"/>
              <w:rPr>
                <w:sz w:val="20"/>
                <w:szCs w:val="20"/>
                <w:color w:val="auto"/>
              </w:rPr>
            </w:pPr>
            <w:r>
              <w:rPr>
                <w:rFonts w:ascii="Arial" w:cs="Arial" w:eastAsia="Arial" w:hAnsi="Arial"/>
                <w:sz w:val="18"/>
                <w:szCs w:val="18"/>
                <w:color w:val="auto"/>
              </w:rPr>
              <w:t>Notice of Certain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10.15.</w:t>
            </w:r>
          </w:p>
        </w:tc>
        <w:tc>
          <w:tcPr>
            <w:tcW w:w="8280" w:type="dxa"/>
            <w:vAlign w:val="bottom"/>
          </w:tcPr>
          <w:p>
            <w:pPr>
              <w:ind w:left="180"/>
              <w:spacing w:after="0"/>
              <w:rPr>
                <w:sz w:val="20"/>
                <w:szCs w:val="20"/>
                <w:color w:val="auto"/>
              </w:rPr>
            </w:pPr>
            <w:r>
              <w:rPr>
                <w:rFonts w:ascii="Arial" w:cs="Arial" w:eastAsia="Arial" w:hAnsi="Arial"/>
                <w:sz w:val="18"/>
                <w:szCs w:val="18"/>
                <w:color w:val="auto"/>
              </w:rPr>
              <w:t>Right of Holders to Convert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10.16.</w:t>
            </w:r>
          </w:p>
        </w:tc>
        <w:tc>
          <w:tcPr>
            <w:tcW w:w="8280" w:type="dxa"/>
            <w:vAlign w:val="bottom"/>
          </w:tcPr>
          <w:p>
            <w:pPr>
              <w:ind w:left="180"/>
              <w:spacing w:after="0"/>
              <w:rPr>
                <w:sz w:val="20"/>
                <w:szCs w:val="20"/>
                <w:color w:val="auto"/>
              </w:rPr>
            </w:pPr>
            <w:r>
              <w:rPr>
                <w:rFonts w:ascii="Arial" w:cs="Arial" w:eastAsia="Arial" w:hAnsi="Arial"/>
                <w:sz w:val="18"/>
                <w:szCs w:val="18"/>
                <w:color w:val="auto"/>
              </w:rPr>
              <w:t>Company Determination Final</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10.17.</w:t>
            </w:r>
          </w:p>
        </w:tc>
        <w:tc>
          <w:tcPr>
            <w:tcW w:w="8280" w:type="dxa"/>
            <w:vAlign w:val="bottom"/>
          </w:tcPr>
          <w:p>
            <w:pPr>
              <w:ind w:left="180"/>
              <w:spacing w:after="0"/>
              <w:rPr>
                <w:sz w:val="20"/>
                <w:szCs w:val="20"/>
                <w:color w:val="auto"/>
              </w:rPr>
            </w:pPr>
            <w:r>
              <w:rPr>
                <w:rFonts w:ascii="Arial" w:cs="Arial" w:eastAsia="Arial" w:hAnsi="Arial"/>
                <w:sz w:val="18"/>
                <w:szCs w:val="18"/>
                <w:color w:val="auto"/>
              </w:rPr>
              <w:t>Trustee’s Adjustment Disclaimer</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10.18.</w:t>
            </w:r>
          </w:p>
        </w:tc>
        <w:tc>
          <w:tcPr>
            <w:tcW w:w="8280" w:type="dxa"/>
            <w:vAlign w:val="bottom"/>
          </w:tcPr>
          <w:p>
            <w:pPr>
              <w:ind w:left="180"/>
              <w:spacing w:after="0"/>
              <w:rPr>
                <w:sz w:val="20"/>
                <w:szCs w:val="20"/>
                <w:color w:val="auto"/>
              </w:rPr>
            </w:pPr>
            <w:r>
              <w:rPr>
                <w:rFonts w:ascii="Arial" w:cs="Arial" w:eastAsia="Arial" w:hAnsi="Arial"/>
                <w:sz w:val="18"/>
                <w:szCs w:val="18"/>
                <w:color w:val="auto"/>
              </w:rPr>
              <w:t>Simultaneous Adjustments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10.19.</w:t>
            </w:r>
          </w:p>
        </w:tc>
        <w:tc>
          <w:tcPr>
            <w:tcW w:w="8280" w:type="dxa"/>
            <w:vAlign w:val="bottom"/>
          </w:tcPr>
          <w:p>
            <w:pPr>
              <w:ind w:left="180"/>
              <w:spacing w:after="0"/>
              <w:rPr>
                <w:sz w:val="20"/>
                <w:szCs w:val="20"/>
                <w:color w:val="auto"/>
              </w:rPr>
            </w:pPr>
            <w:r>
              <w:rPr>
                <w:rFonts w:ascii="Arial" w:cs="Arial" w:eastAsia="Arial" w:hAnsi="Arial"/>
                <w:sz w:val="18"/>
                <w:szCs w:val="18"/>
                <w:color w:val="auto"/>
              </w:rPr>
              <w:t>Successive Adjustments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40" w:type="dxa"/>
            <w:vAlign w:val="bottom"/>
          </w:tcPr>
          <w:p>
            <w:pPr>
              <w:ind w:left="540"/>
              <w:spacing w:after="0"/>
              <w:rPr>
                <w:sz w:val="20"/>
                <w:szCs w:val="20"/>
                <w:color w:val="auto"/>
              </w:rPr>
            </w:pPr>
            <w:r>
              <w:rPr>
                <w:rFonts w:ascii="Arial" w:cs="Arial" w:eastAsia="Arial" w:hAnsi="Arial"/>
                <w:sz w:val="18"/>
                <w:szCs w:val="18"/>
                <w:color w:val="auto"/>
              </w:rPr>
              <w:t>Section 10.20.</w:t>
            </w:r>
          </w:p>
        </w:tc>
        <w:tc>
          <w:tcPr>
            <w:tcW w:w="8280" w:type="dxa"/>
            <w:vAlign w:val="bottom"/>
          </w:tcPr>
          <w:p>
            <w:pPr>
              <w:ind w:left="180"/>
              <w:spacing w:after="0"/>
              <w:rPr>
                <w:sz w:val="20"/>
                <w:szCs w:val="20"/>
                <w:color w:val="auto"/>
              </w:rPr>
            </w:pPr>
            <w:r>
              <w:rPr>
                <w:rFonts w:ascii="Arial" w:cs="Arial" w:eastAsia="Arial" w:hAnsi="Arial"/>
                <w:sz w:val="18"/>
                <w:szCs w:val="18"/>
                <w:color w:val="auto"/>
              </w:rPr>
              <w:t>Rights Issued in Respect of Common Stock Issued Upon Conversion</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2040" w:type="dxa"/>
            <w:vAlign w:val="bottom"/>
          </w:tcPr>
          <w:p>
            <w:pPr>
              <w:ind w:left="540"/>
              <w:spacing w:after="0"/>
              <w:rPr>
                <w:sz w:val="20"/>
                <w:szCs w:val="20"/>
                <w:color w:val="auto"/>
              </w:rPr>
            </w:pPr>
            <w:r>
              <w:rPr>
                <w:rFonts w:ascii="Arial" w:cs="Arial" w:eastAsia="Arial" w:hAnsi="Arial"/>
                <w:sz w:val="18"/>
                <w:szCs w:val="18"/>
                <w:color w:val="auto"/>
              </w:rPr>
              <w:t>Section 10.21.</w:t>
            </w:r>
          </w:p>
        </w:tc>
        <w:tc>
          <w:tcPr>
            <w:tcW w:w="8280" w:type="dxa"/>
            <w:vAlign w:val="bottom"/>
          </w:tcPr>
          <w:p>
            <w:pPr>
              <w:ind w:left="180"/>
              <w:spacing w:after="0"/>
              <w:rPr>
                <w:sz w:val="20"/>
                <w:szCs w:val="20"/>
                <w:color w:val="auto"/>
              </w:rPr>
            </w:pPr>
            <w:r>
              <w:rPr>
                <w:rFonts w:ascii="Arial" w:cs="Arial" w:eastAsia="Arial" w:hAnsi="Arial"/>
                <w:sz w:val="18"/>
                <w:szCs w:val="18"/>
                <w:color w:val="auto"/>
              </w:rPr>
              <w:t>Withholding Taxes for Adjustments in Conversion Rate</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ARTICLE 11 Redemption</w:t>
            </w:r>
          </w:p>
        </w:tc>
        <w:tc>
          <w:tcPr>
            <w:tcW w:w="78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11.01.</w:t>
            </w:r>
          </w:p>
        </w:tc>
        <w:tc>
          <w:tcPr>
            <w:tcW w:w="7840" w:type="dxa"/>
            <w:vAlign w:val="bottom"/>
          </w:tcPr>
          <w:p>
            <w:pPr>
              <w:ind w:left="80"/>
              <w:spacing w:after="0"/>
              <w:rPr>
                <w:sz w:val="20"/>
                <w:szCs w:val="20"/>
                <w:color w:val="auto"/>
              </w:rPr>
            </w:pPr>
            <w:r>
              <w:rPr>
                <w:rFonts w:ascii="Arial" w:cs="Arial" w:eastAsia="Arial" w:hAnsi="Arial"/>
                <w:sz w:val="18"/>
                <w:szCs w:val="18"/>
                <w:color w:val="auto"/>
              </w:rPr>
              <w:t>Right to Redeem; Notices to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11.02.</w:t>
            </w:r>
          </w:p>
        </w:tc>
        <w:tc>
          <w:tcPr>
            <w:tcW w:w="7840" w:type="dxa"/>
            <w:vAlign w:val="bottom"/>
          </w:tcPr>
          <w:p>
            <w:pPr>
              <w:ind w:left="80"/>
              <w:spacing w:after="0"/>
              <w:rPr>
                <w:sz w:val="20"/>
                <w:szCs w:val="20"/>
                <w:color w:val="auto"/>
              </w:rPr>
            </w:pPr>
            <w:r>
              <w:rPr>
                <w:rFonts w:ascii="Arial" w:cs="Arial" w:eastAsia="Arial" w:hAnsi="Arial"/>
                <w:sz w:val="18"/>
                <w:szCs w:val="18"/>
                <w:color w:val="auto"/>
              </w:rPr>
              <w:t>Selection of Notes to be Redeemed</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11.03.</w:t>
            </w:r>
          </w:p>
        </w:tc>
        <w:tc>
          <w:tcPr>
            <w:tcW w:w="7840" w:type="dxa"/>
            <w:vAlign w:val="bottom"/>
          </w:tcPr>
          <w:p>
            <w:pPr>
              <w:ind w:left="80"/>
              <w:spacing w:after="0"/>
              <w:rPr>
                <w:sz w:val="20"/>
                <w:szCs w:val="20"/>
                <w:color w:val="auto"/>
              </w:rPr>
            </w:pPr>
            <w:r>
              <w:rPr>
                <w:rFonts w:ascii="Arial" w:cs="Arial" w:eastAsia="Arial" w:hAnsi="Arial"/>
                <w:sz w:val="18"/>
                <w:szCs w:val="18"/>
                <w:color w:val="auto"/>
              </w:rPr>
              <w:t>Notice of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11.04.</w:t>
            </w:r>
          </w:p>
        </w:tc>
        <w:tc>
          <w:tcPr>
            <w:tcW w:w="7840" w:type="dxa"/>
            <w:vAlign w:val="bottom"/>
          </w:tcPr>
          <w:p>
            <w:pPr>
              <w:ind w:left="80"/>
              <w:spacing w:after="0"/>
              <w:rPr>
                <w:sz w:val="20"/>
                <w:szCs w:val="20"/>
                <w:color w:val="auto"/>
              </w:rPr>
            </w:pPr>
            <w:r>
              <w:rPr>
                <w:rFonts w:ascii="Arial" w:cs="Arial" w:eastAsia="Arial" w:hAnsi="Arial"/>
                <w:sz w:val="18"/>
                <w:szCs w:val="18"/>
                <w:color w:val="auto"/>
              </w:rPr>
              <w:t>Effect of Notice of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11.05.</w:t>
            </w:r>
          </w:p>
        </w:tc>
        <w:tc>
          <w:tcPr>
            <w:tcW w:w="7840" w:type="dxa"/>
            <w:vAlign w:val="bottom"/>
          </w:tcPr>
          <w:p>
            <w:pPr>
              <w:ind w:left="80"/>
              <w:spacing w:after="0"/>
              <w:rPr>
                <w:sz w:val="20"/>
                <w:szCs w:val="20"/>
                <w:color w:val="auto"/>
              </w:rPr>
            </w:pPr>
            <w:r>
              <w:rPr>
                <w:rFonts w:ascii="Arial" w:cs="Arial" w:eastAsia="Arial" w:hAnsi="Arial"/>
                <w:sz w:val="18"/>
                <w:szCs w:val="18"/>
                <w:color w:val="auto"/>
              </w:rPr>
              <w:t>Deposit of Redemption Price</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11.06.</w:t>
            </w:r>
          </w:p>
        </w:tc>
        <w:tc>
          <w:tcPr>
            <w:tcW w:w="7840" w:type="dxa"/>
            <w:vAlign w:val="bottom"/>
          </w:tcPr>
          <w:p>
            <w:pPr>
              <w:ind w:left="80"/>
              <w:spacing w:after="0"/>
              <w:rPr>
                <w:sz w:val="20"/>
                <w:szCs w:val="20"/>
                <w:color w:val="auto"/>
              </w:rPr>
            </w:pPr>
            <w:r>
              <w:rPr>
                <w:rFonts w:ascii="Arial" w:cs="Arial" w:eastAsia="Arial" w:hAnsi="Arial"/>
                <w:sz w:val="18"/>
                <w:szCs w:val="18"/>
                <w:color w:val="auto"/>
              </w:rPr>
              <w:t>Notes Redeemed in Part</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998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12.01.</w:t>
            </w:r>
          </w:p>
        </w:tc>
        <w:tc>
          <w:tcPr>
            <w:tcW w:w="7840" w:type="dxa"/>
            <w:vAlign w:val="bottom"/>
          </w:tcPr>
          <w:p>
            <w:pPr>
              <w:ind w:left="80"/>
              <w:spacing w:after="0"/>
              <w:rPr>
                <w:sz w:val="20"/>
                <w:szCs w:val="20"/>
                <w:color w:val="auto"/>
              </w:rPr>
            </w:pPr>
            <w:r>
              <w:rPr>
                <w:rFonts w:ascii="Arial" w:cs="Arial" w:eastAsia="Arial" w:hAnsi="Arial"/>
                <w:sz w:val="18"/>
                <w:szCs w:val="18"/>
                <w:color w:val="auto"/>
              </w:rPr>
              <w:t>Interest 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12.02.</w:t>
            </w:r>
          </w:p>
        </w:tc>
        <w:tc>
          <w:tcPr>
            <w:tcW w:w="7840" w:type="dxa"/>
            <w:vAlign w:val="bottom"/>
          </w:tcPr>
          <w:p>
            <w:pPr>
              <w:ind w:left="80"/>
              <w:spacing w:after="0"/>
              <w:rPr>
                <w:sz w:val="20"/>
                <w:szCs w:val="20"/>
                <w:color w:val="auto"/>
              </w:rPr>
            </w:pPr>
            <w:r>
              <w:rPr>
                <w:rFonts w:ascii="Arial" w:cs="Arial" w:eastAsia="Arial" w:hAnsi="Arial"/>
                <w:sz w:val="18"/>
                <w:szCs w:val="18"/>
                <w:color w:val="auto"/>
              </w:rPr>
              <w:t>Defaulted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12.03.</w:t>
            </w:r>
          </w:p>
        </w:tc>
        <w:tc>
          <w:tcPr>
            <w:tcW w:w="7840" w:type="dxa"/>
            <w:vAlign w:val="bottom"/>
          </w:tcPr>
          <w:p>
            <w:pPr>
              <w:ind w:left="80"/>
              <w:spacing w:after="0"/>
              <w:rPr>
                <w:sz w:val="20"/>
                <w:szCs w:val="20"/>
                <w:color w:val="auto"/>
              </w:rPr>
            </w:pPr>
            <w:r>
              <w:rPr>
                <w:rFonts w:ascii="Arial" w:cs="Arial" w:eastAsia="Arial" w:hAnsi="Arial"/>
                <w:sz w:val="18"/>
                <w:szCs w:val="18"/>
                <w:color w:val="auto"/>
              </w:rPr>
              <w:t>Interest Rights Preserved</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w w:val="96"/>
              </w:rPr>
              <w:t>ARTICLE 13 Miscellaneous</w:t>
            </w:r>
          </w:p>
        </w:tc>
        <w:tc>
          <w:tcPr>
            <w:tcW w:w="78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13.01.</w:t>
            </w:r>
          </w:p>
        </w:tc>
        <w:tc>
          <w:tcPr>
            <w:tcW w:w="7840" w:type="dxa"/>
            <w:vAlign w:val="bottom"/>
          </w:tcPr>
          <w:p>
            <w:pPr>
              <w:ind w:left="80"/>
              <w:spacing w:after="0"/>
              <w:rPr>
                <w:sz w:val="20"/>
                <w:szCs w:val="20"/>
                <w:color w:val="auto"/>
              </w:rPr>
            </w:pPr>
            <w:r>
              <w:rPr>
                <w:rFonts w:ascii="Arial" w:cs="Arial" w:eastAsia="Arial" w:hAnsi="Arial"/>
                <w:sz w:val="18"/>
                <w:szCs w:val="18"/>
                <w:color w:val="auto"/>
              </w:rPr>
              <w:t>Holder Communications; Holder Actions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13.02.</w:t>
            </w:r>
          </w:p>
        </w:tc>
        <w:tc>
          <w:tcPr>
            <w:tcW w:w="7840" w:type="dxa"/>
            <w:vAlign w:val="bottom"/>
          </w:tcPr>
          <w:p>
            <w:pPr>
              <w:ind w:left="80"/>
              <w:spacing w:after="0"/>
              <w:rPr>
                <w:sz w:val="20"/>
                <w:szCs w:val="20"/>
                <w:color w:val="auto"/>
              </w:rPr>
            </w:pPr>
            <w:r>
              <w:rPr>
                <w:rFonts w:ascii="Arial" w:cs="Arial" w:eastAsia="Arial" w:hAnsi="Arial"/>
                <w:sz w:val="18"/>
                <w:szCs w:val="18"/>
                <w:color w:val="auto"/>
              </w:rPr>
              <w:t>Notices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13.03.</w:t>
            </w:r>
          </w:p>
        </w:tc>
        <w:tc>
          <w:tcPr>
            <w:tcW w:w="7840" w:type="dxa"/>
            <w:vAlign w:val="bottom"/>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13.04.</w:t>
            </w:r>
          </w:p>
        </w:tc>
        <w:tc>
          <w:tcPr>
            <w:tcW w:w="784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13.05.</w:t>
            </w:r>
          </w:p>
        </w:tc>
        <w:tc>
          <w:tcPr>
            <w:tcW w:w="7840" w:type="dxa"/>
            <w:vAlign w:val="bottom"/>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13.06.</w:t>
            </w:r>
          </w:p>
        </w:tc>
        <w:tc>
          <w:tcPr>
            <w:tcW w:w="7840" w:type="dxa"/>
            <w:vAlign w:val="bottom"/>
          </w:tcPr>
          <w:p>
            <w:pPr>
              <w:ind w:left="80"/>
              <w:spacing w:after="0"/>
              <w:rPr>
                <w:sz w:val="20"/>
                <w:szCs w:val="20"/>
                <w:color w:val="auto"/>
              </w:rPr>
            </w:pPr>
            <w:r>
              <w:rPr>
                <w:rFonts w:ascii="Arial" w:cs="Arial" w:eastAsia="Arial" w:hAnsi="Arial"/>
                <w:sz w:val="18"/>
                <w:szCs w:val="18"/>
                <w:color w:val="auto"/>
              </w:rPr>
              <w:t>Legal Holiday</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13.07.</w:t>
            </w:r>
          </w:p>
        </w:tc>
        <w:tc>
          <w:tcPr>
            <w:tcW w:w="7840" w:type="dxa"/>
            <w:vAlign w:val="bottom"/>
          </w:tcPr>
          <w:p>
            <w:pPr>
              <w:ind w:left="80"/>
              <w:spacing w:after="0"/>
              <w:rPr>
                <w:sz w:val="20"/>
                <w:szCs w:val="20"/>
                <w:color w:val="auto"/>
              </w:rPr>
            </w:pPr>
            <w:r>
              <w:rPr>
                <w:rFonts w:ascii="Arial" w:cs="Arial" w:eastAsia="Arial" w:hAnsi="Arial"/>
                <w:sz w:val="18"/>
                <w:szCs w:val="18"/>
                <w:color w:val="auto"/>
              </w:rPr>
              <w:t>Rules by Trustee, Paying Agent, Conversion Agent and Registrar</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13.08.</w:t>
            </w:r>
          </w:p>
        </w:tc>
        <w:tc>
          <w:tcPr>
            <w:tcW w:w="78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13.09.</w:t>
            </w:r>
          </w:p>
        </w:tc>
        <w:tc>
          <w:tcPr>
            <w:tcW w:w="7840" w:type="dxa"/>
            <w:vAlign w:val="bottom"/>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13.10.</w:t>
            </w:r>
          </w:p>
        </w:tc>
        <w:tc>
          <w:tcPr>
            <w:tcW w:w="784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13.11.</w:t>
            </w:r>
          </w:p>
        </w:tc>
        <w:tc>
          <w:tcPr>
            <w:tcW w:w="78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13.12.</w:t>
            </w:r>
          </w:p>
        </w:tc>
        <w:tc>
          <w:tcPr>
            <w:tcW w:w="78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40" w:type="dxa"/>
            <w:vAlign w:val="bottom"/>
          </w:tcPr>
          <w:p>
            <w:pPr>
              <w:ind w:left="3500"/>
              <w:spacing w:after="0"/>
              <w:rPr>
                <w:sz w:val="20"/>
                <w:szCs w:val="20"/>
                <w:color w:val="auto"/>
              </w:rPr>
            </w:pPr>
            <w:r>
              <w:rPr>
                <w:rFonts w:ascii="Arial" w:cs="Arial" w:eastAsia="Arial" w:hAnsi="Arial"/>
                <w:sz w:val="18"/>
                <w:szCs w:val="18"/>
                <w:color w:val="auto"/>
              </w:rPr>
              <w:t>iii</w:t>
            </w:r>
          </w:p>
        </w:tc>
        <w:tc>
          <w:tcPr>
            <w:tcW w:w="148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78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r>
      <w:tr>
        <w:trPr>
          <w:trHeight w:val="76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13.13.</w:t>
            </w:r>
          </w:p>
        </w:tc>
        <w:tc>
          <w:tcPr>
            <w:tcW w:w="7840" w:type="dxa"/>
            <w:vAlign w:val="bottom"/>
          </w:tcPr>
          <w:p>
            <w:pPr>
              <w:ind w:left="80"/>
              <w:spacing w:after="0"/>
              <w:rPr>
                <w:sz w:val="20"/>
                <w:szCs w:val="20"/>
                <w:color w:val="auto"/>
              </w:rPr>
            </w:pPr>
            <w:r>
              <w:rPr>
                <w:rFonts w:ascii="Arial" w:cs="Arial" w:eastAsia="Arial" w:hAnsi="Arial"/>
                <w:sz w:val="18"/>
                <w:szCs w:val="18"/>
                <w:color w:val="auto"/>
              </w:rPr>
              <w:t>Table of Contents and Headings</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Section 13.14.</w:t>
            </w:r>
          </w:p>
        </w:tc>
        <w:tc>
          <w:tcPr>
            <w:tcW w:w="7840" w:type="dxa"/>
            <w:vAlign w:val="bottom"/>
          </w:tcPr>
          <w:p>
            <w:pPr>
              <w:ind w:left="8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12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8"/>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7840" w:type="dxa"/>
            <w:vAlign w:val="bottom"/>
          </w:tcPr>
          <w:p>
            <w:pPr>
              <w:ind w:left="80"/>
              <w:spacing w:after="0"/>
              <w:rPr>
                <w:sz w:val="20"/>
                <w:szCs w:val="20"/>
                <w:color w:val="auto"/>
              </w:rPr>
            </w:pPr>
            <w:r>
              <w:rPr>
                <w:rFonts w:ascii="Arial" w:cs="Arial" w:eastAsia="Arial" w:hAnsi="Arial"/>
                <w:sz w:val="18"/>
                <w:szCs w:val="18"/>
                <w:i w:val="1"/>
                <w:iCs w:val="1"/>
                <w:color w:val="auto"/>
              </w:rPr>
              <w:t>Form of Note</w:t>
            </w:r>
          </w:p>
        </w:tc>
        <w:tc>
          <w:tcPr>
            <w:tcW w:w="1480" w:type="dxa"/>
            <w:vAlign w:val="bottom"/>
          </w:tcPr>
          <w:p>
            <w:pPr>
              <w:spacing w:after="0"/>
              <w:rPr>
                <w:sz w:val="24"/>
                <w:szCs w:val="24"/>
                <w:color w:val="auto"/>
              </w:rPr>
            </w:pP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7840" w:type="dxa"/>
            <w:vAlign w:val="bottom"/>
          </w:tcPr>
          <w:p>
            <w:pPr>
              <w:ind w:left="80"/>
              <w:spacing w:after="0"/>
              <w:rPr>
                <w:sz w:val="20"/>
                <w:szCs w:val="20"/>
                <w:color w:val="auto"/>
              </w:rPr>
            </w:pPr>
            <w:r>
              <w:rPr>
                <w:rFonts w:ascii="Arial" w:cs="Arial" w:eastAsia="Arial" w:hAnsi="Arial"/>
                <w:sz w:val="18"/>
                <w:szCs w:val="18"/>
                <w:i w:val="1"/>
                <w:iCs w:val="1"/>
                <w:color w:val="auto"/>
              </w:rPr>
              <w:t>DTC Legend</w:t>
            </w:r>
          </w:p>
        </w:tc>
        <w:tc>
          <w:tcPr>
            <w:tcW w:w="1480" w:type="dxa"/>
            <w:vAlign w:val="bottom"/>
          </w:tcPr>
          <w:p>
            <w:pPr>
              <w:spacing w:after="0"/>
              <w:rPr>
                <w:sz w:val="18"/>
                <w:szCs w:val="18"/>
                <w:color w:val="auto"/>
              </w:rPr>
            </w:pPr>
          </w:p>
        </w:tc>
      </w:tr>
      <w:tr>
        <w:trPr>
          <w:trHeight w:val="216"/>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7840" w:type="dxa"/>
            <w:vAlign w:val="bottom"/>
          </w:tcPr>
          <w:p>
            <w:pPr>
              <w:ind w:left="80"/>
              <w:spacing w:after="0"/>
              <w:rPr>
                <w:sz w:val="20"/>
                <w:szCs w:val="20"/>
                <w:color w:val="auto"/>
              </w:rPr>
            </w:pPr>
            <w:r>
              <w:rPr>
                <w:rFonts w:ascii="Arial" w:cs="Arial" w:eastAsia="Arial" w:hAnsi="Arial"/>
                <w:sz w:val="18"/>
                <w:szCs w:val="18"/>
                <w:i w:val="1"/>
                <w:iCs w:val="1"/>
                <w:color w:val="auto"/>
              </w:rPr>
              <w:t>Transfer Restricted Note Legend</w:t>
            </w:r>
          </w:p>
        </w:tc>
        <w:tc>
          <w:tcPr>
            <w:tcW w:w="1480" w:type="dxa"/>
            <w:vAlign w:val="bottom"/>
          </w:tcPr>
          <w:p>
            <w:pPr>
              <w:spacing w:after="0"/>
              <w:rPr>
                <w:sz w:val="18"/>
                <w:szCs w:val="18"/>
                <w:color w:val="auto"/>
              </w:rPr>
            </w:pPr>
          </w:p>
        </w:tc>
      </w:tr>
      <w:tr>
        <w:trPr>
          <w:trHeight w:val="230"/>
        </w:trPr>
        <w:tc>
          <w:tcPr>
            <w:tcW w:w="2140" w:type="dxa"/>
            <w:vAlign w:val="bottom"/>
            <w:gridSpan w:val="2"/>
          </w:tcPr>
          <w:p>
            <w:pPr>
              <w:ind w:left="540"/>
              <w:spacing w:after="0"/>
              <w:rPr>
                <w:sz w:val="20"/>
                <w:szCs w:val="20"/>
                <w:color w:val="auto"/>
              </w:rPr>
            </w:pPr>
            <w:r>
              <w:rPr>
                <w:rFonts w:ascii="Arial" w:cs="Arial" w:eastAsia="Arial" w:hAnsi="Arial"/>
                <w:sz w:val="18"/>
                <w:szCs w:val="18"/>
                <w:color w:val="auto"/>
              </w:rPr>
              <w:t>EXHIBIT D</w:t>
            </w:r>
          </w:p>
        </w:tc>
        <w:tc>
          <w:tcPr>
            <w:tcW w:w="7840" w:type="dxa"/>
            <w:vAlign w:val="bottom"/>
          </w:tcPr>
          <w:p>
            <w:pPr>
              <w:ind w:left="80"/>
              <w:spacing w:after="0"/>
              <w:rPr>
                <w:sz w:val="20"/>
                <w:szCs w:val="20"/>
                <w:color w:val="auto"/>
              </w:rPr>
            </w:pPr>
            <w:r>
              <w:rPr>
                <w:rFonts w:ascii="Arial" w:cs="Arial" w:eastAsia="Arial" w:hAnsi="Arial"/>
                <w:sz w:val="18"/>
                <w:szCs w:val="18"/>
                <w:i w:val="1"/>
                <w:iCs w:val="1"/>
                <w:color w:val="auto"/>
              </w:rPr>
              <w:t>Certificate for Exchange or Transfer of Transfer Restricted Notes</w:t>
            </w: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INDENTURE dated as of July 26, 2011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$345,000,000 aggregate principal amount of the Company’s 1.50% Convertible Senior Notes due 2031 (the “</w:t>
      </w:r>
      <w:r>
        <w:rPr>
          <w:rFonts w:ascii="Arial" w:cs="Arial" w:eastAsia="Arial" w:hAnsi="Arial"/>
          <w:sz w:val="18"/>
          <w:szCs w:val="18"/>
          <w:b w:val="1"/>
          <w:bCs w:val="1"/>
          <w:color w:val="auto"/>
        </w:rPr>
        <w:t>Notes</w:t>
      </w:r>
      <w:r>
        <w:rPr>
          <w:rFonts w:ascii="Arial" w:cs="Arial" w:eastAsia="Arial" w:hAnsi="Arial"/>
          <w:sz w:val="18"/>
          <w:szCs w:val="18"/>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1"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1460"/>
          </w:cols>
          <w:pgMar w:left="240" w:top="341" w:right="199" w:bottom="0" w:gutter="0" w:footer="0" w:header="0"/>
        </w:sectPr>
      </w:pPr>
    </w:p>
    <w:bookmarkStart w:id="22" w:name="page23"/>
    <w:bookmarkEnd w:id="22"/>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 Section 3.01(a)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of Common Stock or any other security on any date means the closing sale price per share (or, if no closing sale price is reported, the average of the last bid and last ask prices or, if more than one in either case, the average of the average last bid and the average last ask prices) on that date as reported in composite transactions for the principal U.S. national or regional securities exchange on which Common Stock or such other security is listed.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a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reclassifications bears to the total number of shares of all such classes resulting from all such reclassifications.</w:t>
      </w:r>
    </w:p>
    <w:p>
      <w:pPr>
        <w:spacing w:after="0" w:line="221"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633 West Fifth Street, 24th Floor, Los Angeles, California 90071.</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20 consecutive Trading Days during the Observation Period, 5.00% of the product of (a) the Conversion Rate in effect on such Trading Day and (ii) the Daily VWAP on such Trading Day.</w:t>
      </w:r>
    </w:p>
    <w:p>
      <w:pPr>
        <w:spacing w:after="0" w:line="162"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Net Settlement Amount</w:t>
      </w:r>
      <w:r>
        <w:rPr>
          <w:rFonts w:ascii="Arial" w:cs="Arial" w:eastAsia="Arial" w:hAnsi="Arial"/>
          <w:sz w:val="16"/>
          <w:szCs w:val="16"/>
          <w:color w:val="auto"/>
        </w:rPr>
        <w:t xml:space="preserve">” means for each of the 20 consecutive Trading Days during the applicable Observation Period (a) if the Company does not elect a Cash Percentage pursuant to Section 10.03(d), a number of shares of Common Stock equal to (i) the difference between the Daily Conversion Value on such Trading Day and $50.00,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(ii) the Daily VWAP for such Trading Day; (b) if the Company elects a Cash Percentage of 100% pursuant to Section 10.03(d), Cash in an amount equal to the difference between the Daily Conversion Value on such Trading Day and $50.00; or (c) if the Company elects a Cash Percentage of less than 100% pursuant to Section 10.03(d), (i) Cash in an amount equal to the product of (x) the difference between the Daily</w:t>
      </w:r>
    </w:p>
    <w:p>
      <w:pPr>
        <w:sectPr>
          <w:pgSz w:w="11900" w:h="16941" w:orient="portrait"/>
          <w:cols w:equalWidth="0" w:num="1">
            <w:col w:w="11400"/>
          </w:cols>
          <w:pgMar w:left="240" w:top="121" w:right="259" w:bottom="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Conversion Value on such Trading Day and $50.00 and (y) the Cash Percentage, plus (ii) a number of shares of Common Stock equal to the product of</w:t>
      </w:r>
    </w:p>
    <w:p>
      <w:pPr>
        <w:spacing w:after="0" w:line="3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 the difference between the Daily Conversion Value on such Trading Day and $50.00,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(B) the Daily VWAP for such Trading Day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Cash Percentage.</w:t>
      </w:r>
    </w:p>
    <w:p>
      <w:pPr>
        <w:spacing w:after="0" w:line="20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each of the 20 consecutive Trading Days during the applicable Observation Period, the per share volume weighted average price of Common Stock as displayed on Bloomberg (or any successor service) page MU UQ&lt;equity&gt;AQR in respect of the period from 9:30 a.m. to 4:00 p.m., New York City time, on such Trading Day; or, if such price is not available, the Daily VWAP means the market value per share of Common Stock on such day as determined by a nationally recognized independent investment banking firm retained for this purpose by the Company. The “Daily VWAP” shall be determined without regard to after hours trading or any other trading outside of the regular trading session’s trading hours.</w:t>
      </w:r>
    </w:p>
    <w:p>
      <w:pPr>
        <w:spacing w:after="0" w:line="168" w:lineRule="exact"/>
        <w:rPr>
          <w:sz w:val="20"/>
          <w:szCs w:val="20"/>
          <w:color w:val="auto"/>
        </w:rPr>
      </w:pPr>
    </w:p>
    <w:p>
      <w:pPr>
        <w:ind w:right="2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all obligations (other than non-recourse obligations) of such Person for borrowed money or evidenced by bonds, debentures, notes or other similar instruments.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issuance, dividend or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Freely Tradable</w:t>
      </w:r>
      <w:r>
        <w:rPr>
          <w:rFonts w:ascii="Arial" w:cs="Arial" w:eastAsia="Arial" w:hAnsi="Arial"/>
          <w:sz w:val="17"/>
          <w:szCs w:val="17"/>
          <w:color w:val="auto"/>
        </w:rPr>
        <w:t>” means, with respect to the Notes and the shares of Common Stock issuable upon the conversion of the Notes, that such Notes and shares of Common Stock, if any, (a) are eligible to be sold by a Person who has not been an Affiliate of the Company during the preceding three months without any volume or manner of sale restrictions under the Securities Act, (ii) do not bear a Transfer Restricted Note Legend and (iii) with respect to Global Notes only, are identified by an unrestricted CUSIP number in the facilities of the applicable Depositary.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62" w:lineRule="exact"/>
        <w:rPr>
          <w:sz w:val="20"/>
          <w:szCs w:val="20"/>
          <w:color w:val="auto"/>
        </w:rPr>
      </w:pPr>
    </w:p>
    <w:p>
      <w:pPr>
        <w:jc w:val="both"/>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Morgan Stanley &amp; Co. LLC, Lazard Capital Markets LLC and the several other initial purchasers listed in Schedule I to the Purchase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February 1 and August 1 of each year, commencing February 1, 2012.</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each $1,000 in principal amount of Notes to be redeemed, a payment in Cash equal to the present values of the remaining scheduled payments of interest on the Notes to be redeemed from the Redemption Date to August 5, 2015 (excluding interest accrued to, but excluding, such Redemption Date, which is otherwise paid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pursuant to clause (ii) of the definition of Redemption Price), computed using a discount rate equal to 1.50%.</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 exchange or otherwise) in the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1, 2031.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(a) if the relevant Conversion Date occurs before the 24th Scheduled Trading Day immediately preceding the Maturity Date, the 20 consecutive Trading Day period beginning on, and including, the third Trading Day after such Conversion Date; and (b) if the relevant Conversion Date occurs on or after the 24th Scheduled Trading Day immediately preceding the Maturity Date, the 20 consecutive Trading Days beginning on, and including, the 22nd Scheduled Trading Day immediately preceding the Maturity Date.</w:t>
      </w:r>
    </w:p>
    <w:p>
      <w:pPr>
        <w:sectPr>
          <w:pgSz w:w="11900" w:h="16838" w:orient="portrait"/>
          <w:cols w:equalWidth="0" w:num="1">
            <w:col w:w="11420"/>
          </w:cols>
          <w:pgMar w:left="240" w:top="125" w:right="239" w:bottom="0" w:gutter="0" w:footer="0" w:header="0"/>
        </w:sectPr>
      </w:pPr>
    </w:p>
    <w:bookmarkStart w:id="24" w:name="page25"/>
    <w:bookmarkEnd w:id="24"/>
    <w:p>
      <w:pPr>
        <w:spacing w:after="0" w:line="8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July 20, 2011, relating to the offering and sale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has an account with the Depositary.</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July 20, 2011, among the Company and the Initial Purchasers relating to the purchase of the Notes by the Initial Purchasers.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January 15 or July 15 next preceding such Interest Payment Date.</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w:t>
      </w:r>
    </w:p>
    <w:p>
      <w:pPr>
        <w:spacing w:after="0" w:line="176"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58"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Common Stock, or other Capital Stock into which the Notes are then convertible, is not listed for trading on a United States national securities exchange or approved for quotation on a U.S. system of automated dissemination of quotations of securities prices similar to The NASDAQ Global Select Market prior to its designation as a national securities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with respect to Common Stock or any other security, a day during which (a) trading in Common Stock or such other security generally occurs on The NASDAQ Global Select Market or, if the Common Stock is not is not then listed on The NASDAQ Global Select Market, on the principal other U.S. national or regional securities exchange, if any, on which the Common Stock is then listed or, if the Common Stock is not then listed on a U.S. national or regional securities exchange, on the principal other market, if any, on which the Common Stock is then admitted for trading, (b) there is no Market Disruption Event and (c) a Closing Price for Common Stock or such other security (other than a Closing Price referred to in the next to last sentence of such definition)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Common Stock or such other security is not admitted for trading or quotation on or by any exchange, market, bureau or other organization, “Trading Day” will mean any Business Day.</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Price</w:t>
      </w:r>
      <w:r>
        <w:rPr>
          <w:rFonts w:ascii="Arial" w:cs="Arial" w:eastAsia="Arial" w:hAnsi="Arial"/>
          <w:sz w:val="17"/>
          <w:szCs w:val="17"/>
          <w:color w:val="auto"/>
        </w:rPr>
        <w:t xml:space="preserve">” means, on any date of determination, the average of the secondary market bid quotations obtained by the Trustee for $5.0 million principal amount of Notes at approximately 3:30 p.m., New York City time, on such determination date from three independent U.S. nationally recognized securities dealers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Any such determination will be conclusive absent manifest error. If the Trustee cannot reasonably obtain at least one bid for $5.0 million principal amount of Notes from a U.S. nationally recognized securities dealer, then the Trading Price per $1,000 principal amount of relevant Notes will be deemed to be less than 98% of the product of the Closing Price of the Common Stock and the then Applicable Conversion Rate for the Notes.</w:t>
      </w:r>
    </w:p>
    <w:p>
      <w:pPr>
        <w:sectPr>
          <w:pgSz w:w="11900" w:h="16923" w:orient="portrait"/>
          <w:cols w:equalWidth="0" w:num="1">
            <w:col w:w="11400"/>
          </w:cols>
          <w:pgMar w:left="240" w:top="121" w:right="259" w:bottom="0" w:gutter="0" w:footer="0" w:header="0"/>
        </w:sectPr>
      </w:pPr>
    </w:p>
    <w:bookmarkStart w:id="25" w:name="page26"/>
    <w:bookmarkEnd w:id="25"/>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Global Note</w:t>
      </w:r>
      <w:r>
        <w:rPr>
          <w:rFonts w:ascii="Arial" w:cs="Arial" w:eastAsia="Arial" w:hAnsi="Arial"/>
          <w:sz w:val="18"/>
          <w:szCs w:val="18"/>
          <w:color w:val="auto"/>
        </w:rPr>
        <w:t>” means a Global Note that is a Transfer Restricted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w:t>
      </w:r>
      <w:r>
        <w:rPr>
          <w:rFonts w:ascii="Arial" w:cs="Arial" w:eastAsia="Arial" w:hAnsi="Arial"/>
          <w:sz w:val="18"/>
          <w:szCs w:val="18"/>
          <w:color w:val="auto"/>
        </w:rPr>
        <w:t>” means a Note that is subject to resale restrictions pursuant to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 Legend</w:t>
      </w:r>
      <w:r>
        <w:rPr>
          <w:rFonts w:ascii="Arial" w:cs="Arial" w:eastAsia="Arial" w:hAnsi="Arial"/>
          <w:sz w:val="18"/>
          <w:szCs w:val="18"/>
          <w:color w:val="auto"/>
        </w:rPr>
        <w:t>” means the legend set forth in Exhibit 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 Global Note that is not a Transfer Restricted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w:t>
      </w:r>
      <w:r>
        <w:rPr>
          <w:rFonts w:ascii="Arial" w:cs="Arial" w:eastAsia="Arial" w:hAnsi="Arial"/>
          <w:sz w:val="18"/>
          <w:szCs w:val="18"/>
          <w:color w:val="auto"/>
        </w:rPr>
        <w:t>” means a Note that is not a Transfer Restricted Note.</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60" w:type="dxa"/>
            <w:vAlign w:val="bottom"/>
          </w:tcPr>
          <w:p>
            <w:pPr>
              <w:jc w:val="right"/>
              <w:ind w:right="15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80"/>
        </w:trPr>
        <w:tc>
          <w:tcPr>
            <w:tcW w:w="1900" w:type="dxa"/>
            <w:vAlign w:val="bottom"/>
            <w:gridSpan w:val="2"/>
          </w:tcPr>
          <w:p>
            <w:pPr>
              <w:ind w:left="660"/>
              <w:spacing w:after="0"/>
              <w:rPr>
                <w:sz w:val="20"/>
                <w:szCs w:val="20"/>
                <w:color w:val="auto"/>
              </w:rPr>
            </w:pPr>
            <w:r>
              <w:rPr>
                <w:rFonts w:ascii="Arial" w:cs="Arial" w:eastAsia="Arial" w:hAnsi="Arial"/>
                <w:sz w:val="18"/>
                <w:szCs w:val="18"/>
                <w:i w:val="1"/>
                <w:iCs w:val="1"/>
                <w:color w:val="auto"/>
              </w:rPr>
              <w:t>Section 1.02.</w:t>
            </w:r>
          </w:p>
        </w:tc>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190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2"/>
          </w:tcPr>
          <w:p>
            <w:pPr>
              <w:ind w:left="124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60" w:type="dxa"/>
            <w:vAlign w:val="bottom"/>
          </w:tcPr>
          <w:p>
            <w:pPr>
              <w:spacing w:after="0"/>
              <w:rPr>
                <w:sz w:val="18"/>
                <w:szCs w:val="18"/>
                <w:color w:val="auto"/>
              </w:rPr>
            </w:pPr>
          </w:p>
        </w:tc>
        <w:tc>
          <w:tcPr>
            <w:tcW w:w="4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“2018 Repurchase Date”</w:t>
            </w:r>
          </w:p>
        </w:tc>
        <w:tc>
          <w:tcPr>
            <w:tcW w:w="2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53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“2018 Repurchase Price”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Repurchase Notice”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3.02(c)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“Act”</w:t>
            </w:r>
          </w:p>
        </w:tc>
        <w:tc>
          <w:tcPr>
            <w:tcW w:w="2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11"/>
              <w:spacing w:after="0"/>
              <w:rPr>
                <w:sz w:val="20"/>
                <w:szCs w:val="20"/>
                <w:color w:val="auto"/>
              </w:rPr>
            </w:pPr>
            <w:r>
              <w:rPr>
                <w:rFonts w:ascii="Arial" w:cs="Arial" w:eastAsia="Arial" w:hAnsi="Arial"/>
                <w:sz w:val="18"/>
                <w:szCs w:val="18"/>
                <w:color w:val="auto"/>
              </w:rPr>
              <w:t>13.01(b)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6.15(a)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“Bankruptcy Default”</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11"/>
              <w:spacing w:after="0"/>
              <w:rPr>
                <w:sz w:val="20"/>
                <w:szCs w:val="20"/>
                <w:color w:val="auto"/>
              </w:rPr>
            </w:pPr>
            <w:r>
              <w:rPr>
                <w:rFonts w:ascii="Arial" w:cs="Arial" w:eastAsia="Arial" w:hAnsi="Arial"/>
                <w:sz w:val="18"/>
                <w:szCs w:val="18"/>
                <w:color w:val="auto"/>
              </w:rPr>
              <w:t>6.01(h)</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owner”</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“Cash Percentage”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11"/>
              <w:spacing w:after="0"/>
              <w:rPr>
                <w:sz w:val="20"/>
                <w:szCs w:val="20"/>
                <w:color w:val="auto"/>
              </w:rPr>
            </w:pPr>
            <w:r>
              <w:rPr>
                <w:rFonts w:ascii="Arial" w:cs="Arial" w:eastAsia="Arial" w:hAnsi="Arial"/>
                <w:sz w:val="18"/>
                <w:szCs w:val="18"/>
                <w:color w:val="auto"/>
              </w:rPr>
              <w:t>10.03(d)</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Order”</w:t>
            </w: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Date”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Obligation”</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Rate”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Trigger Price”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10.01(c)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“Daily Settlement Amount”</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10.03(b)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“Distributed Assets”</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“Effective Date”</w:t>
            </w:r>
          </w:p>
        </w:tc>
        <w:tc>
          <w:tcPr>
            <w:tcW w:w="2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10.10(b)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10.07(e)</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“Free Trade Date”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1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Date”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“Fundamental Change Repurchase Price”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Notice”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“group”</w:t>
            </w:r>
          </w:p>
        </w:tc>
        <w:tc>
          <w:tcPr>
            <w:tcW w:w="2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Original Issuance Date”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“Legal Holiday”</w:t>
            </w:r>
          </w:p>
        </w:tc>
        <w:tc>
          <w:tcPr>
            <w:tcW w:w="2820" w:type="dxa"/>
            <w:vAlign w:val="bottom"/>
          </w:tcPr>
          <w:p>
            <w:pPr>
              <w:spacing w:after="0"/>
              <w:rPr>
                <w:sz w:val="18"/>
                <w:szCs w:val="18"/>
                <w:color w:val="auto"/>
              </w:rPr>
            </w:pP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“Make-Whole Change in Control”</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“Merger Event”</w:t>
            </w:r>
          </w:p>
        </w:tc>
        <w:tc>
          <w:tcPr>
            <w:tcW w:w="282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“Paying Agent”</w:t>
            </w:r>
          </w:p>
        </w:tc>
        <w:tc>
          <w:tcPr>
            <w:tcW w:w="2820" w:type="dxa"/>
            <w:vAlign w:val="bottom"/>
          </w:tcPr>
          <w:p>
            <w:pPr>
              <w:spacing w:after="0"/>
              <w:rPr>
                <w:sz w:val="18"/>
                <w:szCs w:val="18"/>
                <w:color w:val="auto"/>
              </w:rPr>
            </w:pP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2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“Primary Registrar”</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Price”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“Reference Period”</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Property”</w:t>
            </w: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“Register”</w:t>
            </w:r>
          </w:p>
        </w:tc>
        <w:tc>
          <w:tcPr>
            <w:tcW w:w="2820" w:type="dxa"/>
            <w:vAlign w:val="bottom"/>
          </w:tcPr>
          <w:p>
            <w:pPr>
              <w:spacing w:after="0"/>
              <w:rPr>
                <w:sz w:val="18"/>
                <w:szCs w:val="18"/>
                <w:color w:val="auto"/>
              </w:rPr>
            </w:pP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282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“Repurchase Date”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Notice”</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“Repurchase Price”</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jc w:val="right"/>
              <w:ind w:right="153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82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60" w:type="dxa"/>
            <w:vAlign w:val="bottom"/>
          </w:tcPr>
          <w:p>
            <w:pPr>
              <w:jc w:val="right"/>
              <w:ind w:right="153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1900" w:type="dxa"/>
            <w:vAlign w:val="bottom"/>
            <w:tcBorders>
              <w:bottom w:val="single" w:sz="8" w:color="010101"/>
            </w:tcBorders>
            <w:gridSpan w:val="2"/>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gridSpan w:val="2"/>
          </w:tcPr>
          <w:p>
            <w:pPr>
              <w:spacing w:after="0"/>
              <w:rPr>
                <w:sz w:val="11"/>
                <w:szCs w:val="11"/>
                <w:color w:val="auto"/>
              </w:rPr>
            </w:pPr>
          </w:p>
        </w:tc>
      </w:tr>
      <w:tr>
        <w:trPr>
          <w:trHeight w:val="713"/>
        </w:trPr>
        <w:tc>
          <w:tcPr>
            <w:tcW w:w="190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2"/>
          </w:tcPr>
          <w:p>
            <w:pPr>
              <w:ind w:left="124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60" w:type="dxa"/>
            <w:vAlign w:val="bottom"/>
          </w:tcPr>
          <w:p>
            <w:pPr>
              <w:spacing w:after="0"/>
              <w:rPr>
                <w:sz w:val="18"/>
                <w:szCs w:val="18"/>
                <w:color w:val="auto"/>
              </w:rPr>
            </w:pPr>
          </w:p>
        </w:tc>
        <w:tc>
          <w:tcPr>
            <w:tcW w:w="4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“Settlement Amount”</w:t>
            </w:r>
          </w:p>
        </w:tc>
        <w:tc>
          <w:tcPr>
            <w:tcW w:w="2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53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“Shareholders Rights Plan”</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111"/>
        </w:trPr>
        <w:tc>
          <w:tcPr>
            <w:tcW w:w="660" w:type="dxa"/>
            <w:vAlign w:val="bottom"/>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820" w:type="dxa"/>
            <w:vAlign w:val="bottom"/>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-7841615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-7841615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-835025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-835025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6" w:name="page27"/>
    <w:bookmarkEnd w:id="26"/>
    <w:tbl>
      <w:tblPr>
        <w:tblLayout w:type="fixed"/>
        <w:tblInd w:w="66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“Special Record Date”</w:t>
            </w:r>
          </w:p>
        </w:tc>
        <w:tc>
          <w:tcPr>
            <w:tcW w:w="538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12.02(a)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“Spin-Off”</w:t>
            </w:r>
          </w:p>
        </w:tc>
        <w:tc>
          <w:tcPr>
            <w:tcW w:w="5380" w:type="dxa"/>
            <w:vAlign w:val="bottom"/>
          </w:tcPr>
          <w:p>
            <w:pPr>
              <w:ind w:left="3160"/>
              <w:spacing w:after="0"/>
              <w:rPr>
                <w:sz w:val="20"/>
                <w:szCs w:val="20"/>
                <w:color w:val="auto"/>
              </w:rPr>
            </w:pPr>
            <w:r>
              <w:rPr>
                <w:rFonts w:ascii="Arial" w:cs="Arial" w:eastAsia="Arial" w:hAnsi="Arial"/>
                <w:sz w:val="18"/>
                <w:szCs w:val="18"/>
                <w:color w:val="auto"/>
              </w:rPr>
              <w:t>10.07(c)</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538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10.10(b)</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“Trading Price Condition”</w:t>
            </w:r>
          </w:p>
        </w:tc>
        <w:tc>
          <w:tcPr>
            <w:tcW w:w="5380" w:type="dxa"/>
            <w:vAlign w:val="bottom"/>
          </w:tcPr>
          <w:p>
            <w:pPr>
              <w:ind w:left="3160"/>
              <w:spacing w:after="0"/>
              <w:rPr>
                <w:sz w:val="20"/>
                <w:szCs w:val="20"/>
                <w:color w:val="auto"/>
              </w:rPr>
            </w:pPr>
            <w:r>
              <w:rPr>
                <w:rFonts w:ascii="Arial" w:cs="Arial" w:eastAsia="Arial" w:hAnsi="Arial"/>
                <w:sz w:val="18"/>
                <w:szCs w:val="18"/>
                <w:color w:val="auto"/>
              </w:rPr>
              <w:t>10.01(b)</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“Trigger Event”</w:t>
            </w:r>
          </w:p>
        </w:tc>
        <w:tc>
          <w:tcPr>
            <w:tcW w:w="538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10.08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“Unit of Reference Property”</w:t>
            </w:r>
          </w:p>
        </w:tc>
        <w:tc>
          <w:tcPr>
            <w:tcW w:w="5380" w:type="dxa"/>
            <w:vAlign w:val="bottom"/>
          </w:tcPr>
          <w:p>
            <w:pPr>
              <w:ind w:left="3160"/>
              <w:spacing w:after="0"/>
              <w:rPr>
                <w:sz w:val="20"/>
                <w:szCs w:val="20"/>
                <w:color w:val="auto"/>
              </w:rPr>
            </w:pPr>
            <w:r>
              <w:rPr>
                <w:rFonts w:ascii="Arial" w:cs="Arial" w:eastAsia="Arial" w:hAnsi="Arial"/>
                <w:sz w:val="18"/>
                <w:szCs w:val="18"/>
                <w:color w:val="auto"/>
              </w:rPr>
              <w:t>10.09</w:t>
            </w:r>
          </w:p>
        </w:tc>
      </w:tr>
    </w:tbl>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1.03.</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references to Sections or Articles or Exhibits refer to Sections or Articles or Exhibits of or to this Indenture unless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680" w:firstLine="1305"/>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560" w:firstLine="1305"/>
        <w:spacing w:after="0" w:line="277" w:lineRule="auto"/>
        <w:tabs>
          <w:tab w:leader="none" w:pos="19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Section 1.04. Payments due on non-Business Days</w:t>
      </w:r>
      <w:r>
        <w:rPr>
          <w:rFonts w:ascii="Arial" w:cs="Arial" w:eastAsia="Arial" w:hAnsi="Arial"/>
          <w:sz w:val="18"/>
          <w:szCs w:val="18"/>
          <w:color w:val="auto"/>
        </w:rPr>
        <w:t>. Notwithstanding anything herein to the contrary, any payment required to be made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that is not a Business Day will be made on the next succeeding Business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2.01.</w:t>
      </w:r>
      <w:r>
        <w:rPr>
          <w:sz w:val="20"/>
          <w:szCs w:val="20"/>
          <w:color w:val="auto"/>
        </w:rPr>
        <w:tab/>
      </w:r>
      <w:r>
        <w:rPr>
          <w:rFonts w:ascii="Arial" w:cs="Arial" w:eastAsia="Arial" w:hAnsi="Arial"/>
          <w:sz w:val="16"/>
          <w:szCs w:val="16"/>
          <w:i w:val="1"/>
          <w:iCs w:val="1"/>
          <w:color w:val="auto"/>
        </w:rPr>
        <w:t>Form, Dating and Denominations; Legends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7"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rFonts w:ascii="Arial" w:cs="Arial" w:eastAsia="Arial" w:hAnsi="Arial"/>
          <w:sz w:val="18"/>
          <w:szCs w:val="18"/>
          <w:color w:val="auto"/>
        </w:rPr>
      </w:pPr>
    </w:p>
    <w:p>
      <w:pPr>
        <w:ind w:firstLine="1305"/>
        <w:spacing w:after="0" w:line="255"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3" w:lineRule="exact"/>
        <w:rPr>
          <w:sz w:val="20"/>
          <w:szCs w:val="20"/>
          <w:color w:val="auto"/>
        </w:rPr>
      </w:pPr>
    </w:p>
    <w:p>
      <w:pPr>
        <w:jc w:val="both"/>
        <w:ind w:right="14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20" w:firstLine="8"/>
        <w:spacing w:after="0" w:line="255" w:lineRule="auto"/>
        <w:tabs>
          <w:tab w:leader="none" w:pos="2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pacing w:after="0" w:line="190" w:lineRule="exact"/>
        <w:rPr>
          <w:rFonts w:ascii="Arial" w:cs="Arial" w:eastAsia="Arial" w:hAnsi="Arial"/>
          <w:sz w:val="18"/>
          <w:szCs w:val="18"/>
          <w:color w:val="auto"/>
        </w:rPr>
      </w:pPr>
    </w:p>
    <w:p>
      <w:pPr>
        <w:ind w:right="40" w:firstLine="1305"/>
        <w:spacing w:after="0" w:line="286" w:lineRule="auto"/>
        <w:tabs>
          <w:tab w:leader="none" w:pos="1955"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Transfer Restricted Note Legend</w:t>
      </w:r>
      <w:r>
        <w:rPr>
          <w:rFonts w:ascii="Arial" w:cs="Arial" w:eastAsia="Arial" w:hAnsi="Arial"/>
          <w:sz w:val="18"/>
          <w:szCs w:val="18"/>
          <w:color w:val="auto"/>
        </w:rPr>
        <w:t>. All Transfer Restricted Notes shall bear the Transfer Restricted Note Legend.</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2.02. Execution and Authentication</w:t>
      </w:r>
      <w:r>
        <w:rPr>
          <w:rFonts w:ascii="Arial" w:cs="Arial" w:eastAsia="Arial" w:hAnsi="Arial"/>
          <w:sz w:val="18"/>
          <w:szCs w:val="18"/>
          <w:color w:val="auto"/>
        </w:rPr>
        <w:t>. An Officer shall sign the Notes for the Company by manual or facsimile signature. Typographic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errors or defects in any such facsimile signature shall not affect the validity or enforceability of any Note which has been authenticated and delivered by the Trustee.</w:t>
      </w:r>
    </w:p>
    <w:p>
      <w:pPr>
        <w:sectPr>
          <w:pgSz w:w="11900" w:h="16838" w:orient="portrait"/>
          <w:cols w:equalWidth="0" w:num="1">
            <w:col w:w="11400"/>
          </w:cols>
          <w:pgMar w:left="240" w:top="140"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type w:val="continuous"/>
        </w:sectPr>
      </w:pPr>
    </w:p>
    <w:bookmarkStart w:id="27" w:name="page28"/>
    <w:bookmarkEnd w:id="27"/>
    <w:p>
      <w:pPr>
        <w:ind w:right="800" w:firstLine="648"/>
        <w:spacing w:after="0" w:line="277" w:lineRule="auto"/>
        <w:rPr>
          <w:sz w:val="20"/>
          <w:szCs w:val="20"/>
          <w:color w:val="auto"/>
        </w:rPr>
      </w:pPr>
      <w:r>
        <w:rPr>
          <w:rFonts w:ascii="Arial" w:cs="Arial" w:eastAsia="Arial" w:hAnsi="Arial"/>
          <w:sz w:val="18"/>
          <w:szCs w:val="18"/>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shall authenticate and make available for delivery Notes for original issue in the aggregate principal amount of $345,000,000 upon receipt of a written order or orders of the Company signed by an Officer of the Company (a “</w:t>
      </w:r>
      <w:r>
        <w:rPr>
          <w:rFonts w:ascii="Arial" w:cs="Arial" w:eastAsia="Arial" w:hAnsi="Arial"/>
          <w:sz w:val="18"/>
          <w:szCs w:val="18"/>
          <w:b w:val="1"/>
          <w:bCs w:val="1"/>
          <w:color w:val="auto"/>
        </w:rPr>
        <w:t>Company Order</w:t>
      </w:r>
      <w:r>
        <w:rPr>
          <w:rFonts w:ascii="Arial" w:cs="Arial" w:eastAsia="Arial" w:hAnsi="Arial"/>
          <w:sz w:val="18"/>
          <w:szCs w:val="18"/>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$345,000,000 except as provided in Section 2.07.</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Section 2.03. Registrar, Paying Agent and Conversion Agent</w:t>
      </w:r>
      <w:r>
        <w:rPr>
          <w:rFonts w:ascii="Arial" w:cs="Arial" w:eastAsia="Arial" w:hAnsi="Arial"/>
          <w:sz w:val="18"/>
          <w:szCs w:val="18"/>
          <w:color w:val="auto"/>
        </w:rPr>
        <w:t>. The Company shall maintain one or more offices or agencies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hereby initially designates the Trustee as Paying Agent, Registrar, and Conversion Agent, and each of the Corporate Trust Office of the Trustee and the office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agency of the Trustee in the United States (located at c/o U.S. Bank Association, Corporate Trust Services, 633 West Fifth Street, 24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Los Angeles, CA 90071, Tel. (213) 615-6043, Attention: Paula Oswald (Micron 2011 Indenture)), one such office or agency of the Company for each of the aforesaid purposes.</w:t>
      </w:r>
    </w:p>
    <w:p>
      <w:pPr>
        <w:spacing w:after="0" w:line="1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Section 2.04. Paying Agent to Hold Money in Trust</w:t>
      </w:r>
      <w:r>
        <w:rPr>
          <w:rFonts w:ascii="Arial" w:cs="Arial" w:eastAsia="Arial" w:hAnsi="Arial"/>
          <w:sz w:val="17"/>
          <w:szCs w:val="17"/>
          <w:color w:val="auto"/>
        </w:rPr>
        <w:t>. Prior to 12:00 p.m., New York City time, on each date on which the principal amount of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Section 2.05. Holder Lists</w:t>
      </w:r>
      <w:r>
        <w:rPr>
          <w:rFonts w:ascii="Arial" w:cs="Arial" w:eastAsia="Arial" w:hAnsi="Arial"/>
          <w:sz w:val="18"/>
          <w:szCs w:val="18"/>
          <w:color w:val="auto"/>
        </w:rPr>
        <w:t>. The Trustee shall preserve in as current a form as is reasonably practicable the most recent list available to 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addresses of 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Holders.</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Section 2.06. Transfer and Exchange</w:t>
      </w:r>
      <w:r>
        <w:rPr>
          <w:rFonts w:ascii="Arial" w:cs="Arial" w:eastAsia="Arial" w:hAnsi="Arial"/>
          <w:sz w:val="17"/>
          <w:szCs w:val="17"/>
          <w:color w:val="auto"/>
        </w:rPr>
        <w:t>. Subject to compliance with any applicable additional requirements contained in Section 2.13, when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every Note presented or surrendered for registration of transfer or exchange shall be duly endorsed or accompanied by an assignment form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any exchange pursuant to Section 2.10, Section 3.05, Section 9.03(b) or Section 11.06 not involving any transfer.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3" w:gutter="0" w:footer="0" w:header="0"/>
        </w:sectPr>
      </w:pPr>
    </w:p>
    <w:bookmarkStart w:id="28" w:name="page29"/>
    <w:bookmarkEnd w:id="28"/>
    <w:p>
      <w:pPr>
        <w:ind w:right="400" w:firstLine="648"/>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Section 2.07. Replacement Notes</w:t>
      </w:r>
      <w:r>
        <w:rPr>
          <w:rFonts w:ascii="Arial" w:cs="Arial" w:eastAsia="Arial" w:hAnsi="Arial"/>
          <w:sz w:val="17"/>
          <w:szCs w:val="17"/>
          <w:color w:val="auto"/>
        </w:rPr>
        <w:t>. If any mutilated Note is surrendered to the Company, a Registrar or the Trustee, or the Company, a Registrar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2.08. Outstanding Notes</w:t>
      </w:r>
      <w:r>
        <w:rPr>
          <w:rFonts w:ascii="Arial" w:cs="Arial" w:eastAsia="Arial" w:hAnsi="Arial"/>
          <w:sz w:val="18"/>
          <w:szCs w:val="18"/>
          <w:color w:val="auto"/>
        </w:rPr>
        <w:t>. Notes outstanding at any time are all Notes authenticated by the Trustee, except for those canceled by it, those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 (as defined in Section 8-303 of the New York Uniform Commercial Code).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Section 2.09. Treasury Notes</w:t>
      </w:r>
      <w:r>
        <w:rPr>
          <w:rFonts w:ascii="Arial" w:cs="Arial" w:eastAsia="Arial" w:hAnsi="Arial"/>
          <w:sz w:val="17"/>
          <w:szCs w:val="17"/>
          <w:color w:val="auto"/>
        </w:rPr>
        <w:t>. In determining whether the Holders of the required principal amount of Notes have concurred in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2.10. Temporary Notes</w:t>
      </w:r>
      <w:r>
        <w:rPr>
          <w:rFonts w:ascii="Arial" w:cs="Arial" w:eastAsia="Arial" w:hAnsi="Arial"/>
          <w:sz w:val="17"/>
          <w:szCs w:val="17"/>
          <w:color w:val="auto"/>
        </w:rPr>
        <w:t>. Until definitive Notes are ready for delivery, the Company may prepare and execute, and, upon receipt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2.11. Cancellation</w:t>
      </w:r>
      <w:r>
        <w:rPr>
          <w:rFonts w:ascii="Arial" w:cs="Arial" w:eastAsia="Arial" w:hAnsi="Arial"/>
          <w:sz w:val="17"/>
          <w:szCs w:val="17"/>
          <w:color w:val="auto"/>
        </w:rPr>
        <w:t>. The Company at any time may deliver Notes to the Trustee for cancellation. The Registrar, the Paying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Section 2.12. CUSIP Numbers</w:t>
      </w:r>
      <w:r>
        <w:rPr>
          <w:rFonts w:ascii="Arial" w:cs="Arial" w:eastAsia="Arial" w:hAnsi="Arial"/>
          <w:sz w:val="17"/>
          <w:szCs w:val="17"/>
          <w:color w:val="auto"/>
        </w:rPr>
        <w:t>. The Company in issuing the Notes may use one or more “CUSIP” numbers (if then generally in use), and, if 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Trustee shall use “CUSIP” numbers in notices of purchase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29" w:name="page30"/>
    <w:bookmarkEnd w:id="29"/>
    <w:p>
      <w:pPr>
        <w:ind w:right="40"/>
        <w:spacing w:after="0" w:line="264" w:lineRule="auto"/>
        <w:rPr>
          <w:sz w:val="20"/>
          <w:szCs w:val="20"/>
          <w:color w:val="auto"/>
        </w:rPr>
      </w:pPr>
      <w:r>
        <w:rPr>
          <w:rFonts w:ascii="Arial" w:cs="Arial" w:eastAsia="Arial" w:hAnsi="Arial"/>
          <w:sz w:val="18"/>
          <w:szCs w:val="18"/>
          <w:color w:val="auto"/>
        </w:rPr>
        <w:t>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Section 2.13</w:t>
      </w:r>
      <w:r>
        <w:rPr>
          <w:rFonts w:ascii="Arial" w:cs="Arial" w:eastAsia="Arial" w:hAnsi="Arial"/>
          <w:sz w:val="17"/>
          <w:szCs w:val="17"/>
          <w:color w:val="auto"/>
        </w:rPr>
        <w:t>. Additional Transfer and Exchange Requirements(a) . If Notes are issued upon the transfer, exchange or replacement of Notes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restrictions on transfer and bearing the Transfer Restricted Note Legend, or if a request is made to remove the Transfer Restricted Note Legend on a Note, the Notes so issued shall bear the Transfer Restricted Note Legend, or the Transfer Restricted Note Legend shall not be removed, as the case may be, unless there is delivered to the Company and the Registrar such satisfactory evidence, which shall include an Opinion of Counsel if requested by the Company or such Registrar, as may be reasonably required by the Company and the Registrar, that neither the Transfer Restricted Note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 (i) 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Transfer Restricted Note Legend. If the Transfer Restricted Note Legend is removed from the face of a Note and the Note is subsequently held by an Affiliate of the Company, the Transfer Restricted Note Legend shall be reinstated.</w:t>
      </w:r>
    </w:p>
    <w:p>
      <w:pPr>
        <w:spacing w:after="0" w:line="180" w:lineRule="exact"/>
        <w:rPr>
          <w:sz w:val="20"/>
          <w:szCs w:val="20"/>
          <w:color w:val="auto"/>
        </w:rPr>
      </w:pPr>
    </w:p>
    <w:p>
      <w:pPr>
        <w:ind w:right="580" w:firstLine="1305"/>
        <w:spacing w:after="0" w:line="277"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transfer of a Note to any Person shall be effective under this Indenture or the Notes unless and until such Note has been registered in the name of such Person.</w:t>
      </w:r>
    </w:p>
    <w:p>
      <w:pPr>
        <w:spacing w:after="0" w:line="170" w:lineRule="exact"/>
        <w:rPr>
          <w:rFonts w:ascii="Arial" w:cs="Arial" w:eastAsia="Arial" w:hAnsi="Arial"/>
          <w:sz w:val="18"/>
          <w:szCs w:val="18"/>
          <w:color w:val="auto"/>
        </w:rPr>
      </w:pPr>
    </w:p>
    <w:p>
      <w:pPr>
        <w:ind w:right="120" w:firstLine="1305"/>
        <w:spacing w:after="0" w:line="277"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transfer and exchange of beneficial interests in the Global Notes shall be effected through the Depositary, in accordance with the provisions of this Indenture and the Applicable Procedures.</w:t>
      </w:r>
    </w:p>
    <w:p>
      <w:pPr>
        <w:spacing w:after="0" w:line="170" w:lineRule="exact"/>
        <w:rPr>
          <w:rFonts w:ascii="Arial" w:cs="Arial" w:eastAsia="Arial" w:hAnsi="Arial"/>
          <w:sz w:val="18"/>
          <w:szCs w:val="18"/>
          <w:color w:val="auto"/>
        </w:rPr>
      </w:pPr>
    </w:p>
    <w:p>
      <w:pPr>
        <w:ind w:right="20" w:firstLine="2277"/>
        <w:spacing w:after="0" w:line="257" w:lineRule="auto"/>
        <w:tabs>
          <w:tab w:leader="none" w:pos="2614" w:val="left"/>
        </w:tabs>
        <w:numPr>
          <w:ilvl w:val="1"/>
          <w:numId w:val="48"/>
        </w:numPr>
        <w:rPr>
          <w:rFonts w:ascii="Arial" w:cs="Arial" w:eastAsia="Arial" w:hAnsi="Arial"/>
          <w:sz w:val="18"/>
          <w:szCs w:val="18"/>
          <w:color w:val="auto"/>
        </w:rPr>
      </w:pPr>
      <w:r>
        <w:rPr>
          <w:rFonts w:ascii="Arial" w:cs="Arial" w:eastAsia="Arial" w:hAnsi="Arial"/>
          <w:sz w:val="18"/>
          <w:szCs w:val="18"/>
          <w:color w:val="auto"/>
        </w:rPr>
        <w:t>Beneficial interests in any Transfer Restricted Global Note may be transferred to Persons who take delivery thereof in the form of a beneficial interest in the same Transfer Restricted Global Note in accordance with the transfer restrictions set forth in the Transfer Restricted Note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88" w:lineRule="exact"/>
        <w:rPr>
          <w:rFonts w:ascii="Arial" w:cs="Arial" w:eastAsia="Arial" w:hAnsi="Arial"/>
          <w:sz w:val="18"/>
          <w:szCs w:val="18"/>
          <w:color w:val="auto"/>
        </w:rPr>
      </w:pPr>
    </w:p>
    <w:p>
      <w:pPr>
        <w:ind w:right="20" w:firstLine="2277"/>
        <w:spacing w:after="0" w:line="259" w:lineRule="auto"/>
        <w:tabs>
          <w:tab w:leader="none" w:pos="26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connection with all transfers and exchanges of beneficial interests that are not subject to Section 2.13(c)(i), the transferor of such beneficial interest must deliver to the Registrar an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Applicable Procedures containing information regarding the Participant account to be credited with such increase.</w:t>
      </w:r>
    </w:p>
    <w:p>
      <w:pPr>
        <w:spacing w:after="0" w:line="225" w:lineRule="exact"/>
        <w:rPr>
          <w:sz w:val="20"/>
          <w:szCs w:val="20"/>
          <w:color w:val="auto"/>
        </w:rPr>
      </w:pPr>
    </w:p>
    <w:p>
      <w:pPr>
        <w:ind w:right="80" w:firstLine="2277"/>
        <w:spacing w:after="0" w:line="264" w:lineRule="auto"/>
        <w:tabs>
          <w:tab w:leader="none" w:pos="263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D hereto.</w:t>
      </w:r>
    </w:p>
    <w:p>
      <w:pPr>
        <w:spacing w:after="0" w:line="181" w:lineRule="exact"/>
        <w:rPr>
          <w:rFonts w:ascii="Arial" w:cs="Arial" w:eastAsia="Arial" w:hAnsi="Arial"/>
          <w:sz w:val="18"/>
          <w:szCs w:val="18"/>
          <w:color w:val="auto"/>
        </w:rPr>
      </w:pPr>
    </w:p>
    <w:p>
      <w:pPr>
        <w:ind w:firstLine="2277"/>
        <w:spacing w:after="0" w:line="255" w:lineRule="auto"/>
        <w:tabs>
          <w:tab w:leader="none" w:pos="26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Restricted Note Legend are no longer required in order to maintain compliance with the Securities Act.</w:t>
      </w:r>
    </w:p>
    <w:p>
      <w:pPr>
        <w:spacing w:after="0" w:line="193" w:lineRule="exact"/>
        <w:rPr>
          <w:rFonts w:ascii="Arial" w:cs="Arial" w:eastAsia="Arial" w:hAnsi="Arial"/>
          <w:sz w:val="18"/>
          <w:szCs w:val="18"/>
          <w:color w:val="auto"/>
        </w:rPr>
      </w:pPr>
    </w:p>
    <w:p>
      <w:pPr>
        <w:ind w:right="40" w:firstLine="1305"/>
        <w:spacing w:after="0" w:line="270" w:lineRule="auto"/>
        <w:tabs>
          <w:tab w:leader="none" w:pos="19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restrictions imposed by the Transfer Restricted Note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 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Transfer Restricted Note Legend.</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used in Section 2.13(c) and (d), the term “transfer” encompasses any sale, pledge, transfer, hypothecation or other disposition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Note.</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Section 2.13(f) shall apply only to Global Notes:</w:t>
      </w:r>
    </w:p>
    <w:p>
      <w:pPr>
        <w:spacing w:after="0" w:line="225" w:lineRule="exact"/>
        <w:rPr>
          <w:rFonts w:ascii="Arial" w:cs="Arial" w:eastAsia="Arial" w:hAnsi="Arial"/>
          <w:sz w:val="18"/>
          <w:szCs w:val="18"/>
          <w:color w:val="auto"/>
        </w:rPr>
      </w:pPr>
    </w:p>
    <w:p>
      <w:pPr>
        <w:ind w:right="60" w:firstLine="2277"/>
        <w:spacing w:after="0" w:line="297" w:lineRule="auto"/>
        <w:tabs>
          <w:tab w:leader="none" w:pos="2614"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 unable to continue as Depositary for such Global Note or such Depositary has ceased to be a “clearing agency” registered under the Exchange Act, and a successor Depositary is not appointed by the Company within 90 days, (B) the Company has provided the Depositary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30" w:name="page31"/>
    <w:bookmarkEnd w:id="30"/>
    <w:p>
      <w:pPr>
        <w:spacing w:after="0" w:line="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written notice that it has decided to discontinue use of the system of book-entry transfer through the Depositary or any successor Depositary or (C) an Event of Default has occurred and is continuing. Any Global Note exchanged pursuant to clauses (A) or (B) above shall be so exchanged in whole and not in part, and any Global Note exchanged pursuant to clause (C)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73" w:lineRule="exact"/>
        <w:rPr>
          <w:sz w:val="20"/>
          <w:szCs w:val="20"/>
          <w:color w:val="auto"/>
        </w:rPr>
      </w:pPr>
    </w:p>
    <w:p>
      <w:pPr>
        <w:ind w:firstLine="2277"/>
        <w:spacing w:after="0" w:line="271" w:lineRule="auto"/>
        <w:tabs>
          <w:tab w:leader="none" w:pos="26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Notes issued in exchange for a Global Note or any portion thereof shall be issued in definitive, fully-registered book entry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78" w:lineRule="exact"/>
        <w:rPr>
          <w:rFonts w:ascii="Arial" w:cs="Arial" w:eastAsia="Arial" w:hAnsi="Arial"/>
          <w:sz w:val="17"/>
          <w:szCs w:val="17"/>
          <w:color w:val="auto"/>
        </w:rPr>
      </w:pPr>
    </w:p>
    <w:p>
      <w:pPr>
        <w:ind w:right="300" w:firstLine="2277"/>
        <w:spacing w:after="0" w:line="264" w:lineRule="auto"/>
        <w:tabs>
          <w:tab w:leader="none" w:pos="26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right="620" w:firstLine="2277"/>
        <w:spacing w:after="0" w:line="308" w:lineRule="auto"/>
        <w:tabs>
          <w:tab w:leader="none" w:pos="261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46" w:lineRule="exact"/>
        <w:rPr>
          <w:rFonts w:ascii="Arial" w:cs="Arial" w:eastAsia="Arial" w:hAnsi="Arial"/>
          <w:sz w:val="17"/>
          <w:szCs w:val="17"/>
          <w:color w:val="auto"/>
        </w:rPr>
      </w:pPr>
    </w:p>
    <w:p>
      <w:pPr>
        <w:ind w:right="100" w:firstLine="2277"/>
        <w:spacing w:after="0" w:line="271" w:lineRule="auto"/>
        <w:tabs>
          <w:tab w:leader="none" w:pos="2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 the Trustee nor any Agent Member shall have any responsibility or liability for any actions taken or not taken by the Depositary.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3.01. Repurchase at the Option of the Holders Upon Change in Control or Termination of Trading</w:t>
      </w:r>
      <w:r>
        <w:rPr>
          <w:rFonts w:ascii="Arial" w:cs="Arial" w:eastAsia="Arial" w:hAnsi="Arial"/>
          <w:sz w:val="16"/>
          <w:szCs w:val="16"/>
          <w:color w:val="auto"/>
        </w:rPr>
        <w:t>. (a) Upon the occurrence of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or a Termination of Trading,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Change Repurchase Date is after a Regular Record Date and on or prior to the Interest Payment Date to which it relates, the interest accrued to the Interest Payment Date will be paid to Holders of the Notes as of the preceding Regular Record Date, and the Fundamental Change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1953"/>
        <w:spacing w:after="0" w:line="255" w:lineRule="auto"/>
        <w:tabs>
          <w:tab w:leader="none" w:pos="26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rFonts w:ascii="Arial" w:cs="Arial" w:eastAsia="Arial" w:hAnsi="Arial"/>
          <w:sz w:val="18"/>
          <w:szCs w:val="18"/>
          <w:color w:val="auto"/>
        </w:rPr>
      </w:pPr>
    </w:p>
    <w:p>
      <w:pPr>
        <w:ind w:right="60" w:firstLine="1953"/>
        <w:spacing w:after="0" w:line="255" w:lineRule="auto"/>
        <w:tabs>
          <w:tab w:leader="none" w:pos="2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none of these circumstances will be a Change in Control if persons that beneficially own the Voting Securities of the Company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transaction own, directly or indirectly, a majority of the Voting Securities of the surviving or transferee person, or the direct or indirect parent thereof, immediately after the transaction in substantially the same proportion as their ownership of the Company’s Voting Securities immediately prior to the transaction;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860" w:hanging="7"/>
        <w:spacing w:after="0" w:line="528" w:lineRule="auto"/>
        <w:tabs>
          <w:tab w:leader="none" w:pos="26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 For purposes of defining a Change in Control:</w:t>
      </w:r>
    </w:p>
    <w:p>
      <w:pPr>
        <w:sectPr>
          <w:pgSz w:w="11900" w:h="16929" w:orient="portrait"/>
          <w:cols w:equalWidth="0" w:num="1">
            <w:col w:w="11420"/>
          </w:cols>
          <w:pgMar w:left="240" w:top="341" w:right="239" w:bottom="0" w:gutter="0" w:footer="0" w:header="0"/>
        </w:sectPr>
      </w:pPr>
    </w:p>
    <w:bookmarkStart w:id="31" w:name="page32"/>
    <w:bookmarkEnd w:id="31"/>
    <w:p>
      <w:pPr>
        <w:ind w:left="3260" w:hanging="659"/>
        <w:spacing w:after="0"/>
        <w:tabs>
          <w:tab w:leader="none" w:pos="3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 or any successor provisions;</w:t>
      </w:r>
    </w:p>
    <w:p>
      <w:pPr>
        <w:spacing w:after="0" w:line="207" w:lineRule="exact"/>
        <w:rPr>
          <w:sz w:val="20"/>
          <w:szCs w:val="20"/>
          <w:color w:val="auto"/>
        </w:rPr>
      </w:pPr>
    </w:p>
    <w:p>
      <w:pPr>
        <w:ind w:right="420" w:firstLine="2601"/>
        <w:spacing w:after="0" w:line="282" w:lineRule="auto"/>
        <w:tabs>
          <w:tab w:leader="none" w:pos="3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ind w:right="100" w:firstLine="2601"/>
        <w:spacing w:after="0" w:line="266" w:lineRule="auto"/>
        <w:tabs>
          <w:tab w:leader="none" w:pos="3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80" w:firstLine="1305"/>
        <w:spacing w:after="0" w:line="259" w:lineRule="auto"/>
        <w:tabs>
          <w:tab w:leader="none" w:pos="19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as applicable, by first-class mail to the Trustee and to each Holder at their addresses shown in the register of the Registrar (and to beneficial owners as required by applicable law). The notice shall include a form of Fundamental Change Repurchase Notice to be completed by the Holder and shall state:</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whether a Change in Control constitutes a Make-Whole Change in Control;</w:t>
      </w:r>
    </w:p>
    <w:p>
      <w:pPr>
        <w:spacing w:after="0" w:line="225" w:lineRule="exact"/>
        <w:rPr>
          <w:rFonts w:ascii="Arial" w:cs="Arial" w:eastAsia="Arial" w:hAnsi="Arial"/>
          <w:sz w:val="18"/>
          <w:szCs w:val="18"/>
          <w:color w:val="auto"/>
        </w:rPr>
      </w:pPr>
    </w:p>
    <w:p>
      <w:pPr>
        <w:jc w:val="both"/>
        <w:ind w:right="340" w:firstLine="1953"/>
        <w:spacing w:after="0" w:line="342" w:lineRule="auto"/>
        <w:tabs>
          <w:tab w:leader="none" w:pos="263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that Notes with respect to which a Fundamental Change Repurchase Notice is given by the Holder may be converted pursuant to Article 10 hereof only if the Fundamental Change Repurchase Notice has been withdrawn in accordance with the terms of this Indenture; and</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40" w:firstLine="1305"/>
        <w:spacing w:after="0" w:line="266"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Holder may exercise its rights specified in Section 3.01 by delivery of a written notice (a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Paying Agent at any time prior to the Close of Business on the Business Day immediately preceding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Fundamental Change Repurchase Notice shall state:</w:t>
      </w:r>
    </w:p>
    <w:p>
      <w:pPr>
        <w:spacing w:after="0" w:line="180" w:lineRule="exact"/>
        <w:rPr>
          <w:rFonts w:ascii="Arial" w:cs="Arial" w:eastAsia="Arial" w:hAnsi="Arial"/>
          <w:sz w:val="18"/>
          <w:szCs w:val="18"/>
          <w:color w:val="auto"/>
        </w:rPr>
      </w:pPr>
    </w:p>
    <w:p>
      <w:pPr>
        <w:ind w:right="320" w:firstLine="1953"/>
        <w:spacing w:after="0" w:line="277" w:lineRule="auto"/>
        <w:tabs>
          <w:tab w:leader="none" w:pos="261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The delivery of such Note to the Paying Agent prior to, on or after the Fundamental Change Repurchase Date (together with all necessary endorsements and compliance by the Holder with the Applicable Procedures) at the offices of the Paying Agent shall be a condition to the receipt by the Holder of the Fundamental Change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Repurchase Price shall be so paid pursuant to this Section 3.01 only if the Note so delivered to the Paying Agent shall conform in all respects to the description thereof set forth in the related Fundamental Change Repurchase Notice.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 including the Fundamental Change Repurchase Date) on or prior to the later of the Fundamental Change Repurchase Date and the time of delivery of the Note to the Paying Agent in accordance with this Section 3.01.</w:t>
      </w:r>
    </w:p>
    <w:p>
      <w:pPr>
        <w:sectPr>
          <w:pgSz w:w="11900" w:h="16838" w:orient="portrait"/>
          <w:cols w:equalWidth="0" w:num="1">
            <w:col w:w="11400"/>
          </w:cols>
          <w:pgMar w:left="240" w:top="121" w:right="259" w:bottom="12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23" w:gutter="0" w:footer="0" w:header="0"/>
          <w:type w:val="continuous"/>
        </w:sectPr>
      </w:pPr>
    </w:p>
    <w:bookmarkStart w:id="32" w:name="page33"/>
    <w:bookmarkEnd w:id="32"/>
    <w:p>
      <w:pPr>
        <w:ind w:right="20" w:firstLine="648"/>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3.01(c) shall have the right to withdraw such Fundamental Change Repurchase Notice at any time prior to the Close of Business on the Business Day immediately preceding the Fundamental Change Repurchase Date by delivery of a written notice of withdrawal to the Paying Agent in accordance with Section 3.03(b).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withdrawal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No Notes may be repurchased by the Company at the option of Holders upon a Change in Control or a Termination of Trading if the principal amount of the Notes has been accelerated (other than as a result of a default in the payment of the Fundamental Change Repurchase Price with respect to the Notes), and such acceleration has not been rescinded, on or prior to the date on which such repurchase is to be consummated. The Paying Agent will promptly return to the respective Holders thereof any Notes (x) with respect to which a Fundamental Change Repurchase Notice has been withdrawn in compliance with this Indenture, or (y) held by it during the continuance of acceleration described in the immediately preceding sentence in which case, upon such return, the Fundamental Change Repurchase Notice with respect thereto shall be deemed to have been withdrawn.</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3.02.</w:t>
      </w:r>
      <w:r>
        <w:rPr>
          <w:sz w:val="20"/>
          <w:szCs w:val="20"/>
          <w:color w:val="auto"/>
        </w:rPr>
        <w:tab/>
      </w:r>
      <w:r>
        <w:rPr>
          <w:rFonts w:ascii="Arial" w:cs="Arial" w:eastAsia="Arial" w:hAnsi="Arial"/>
          <w:sz w:val="16"/>
          <w:szCs w:val="16"/>
          <w:i w:val="1"/>
          <w:iCs w:val="1"/>
          <w:color w:val="auto"/>
        </w:rPr>
        <w:t>Repurchase of Securities by the Company at the Option of Holders</w:t>
      </w:r>
    </w:p>
    <w:p>
      <w:pPr>
        <w:spacing w:after="0" w:line="221" w:lineRule="exact"/>
        <w:rPr>
          <w:sz w:val="20"/>
          <w:szCs w:val="20"/>
          <w:color w:val="auto"/>
        </w:rPr>
      </w:pPr>
    </w:p>
    <w:p>
      <w:pPr>
        <w:ind w:right="40" w:firstLine="656"/>
        <w:spacing w:after="0" w:line="295" w:lineRule="auto"/>
        <w:tabs>
          <w:tab w:leader="none" w:pos="13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August 1, 2018 (the “</w:t>
      </w:r>
      <w:r>
        <w:rPr>
          <w:rFonts w:ascii="Arial" w:cs="Arial" w:eastAsia="Arial" w:hAnsi="Arial"/>
          <w:sz w:val="16"/>
          <w:szCs w:val="16"/>
          <w:b w:val="1"/>
          <w:bCs w:val="1"/>
          <w:color w:val="auto"/>
        </w:rPr>
        <w:t>2018 Repurchase Date</w:t>
      </w:r>
      <w:r>
        <w:rPr>
          <w:rFonts w:ascii="Arial" w:cs="Arial" w:eastAsia="Arial" w:hAnsi="Arial"/>
          <w:sz w:val="16"/>
          <w:szCs w:val="16"/>
          <w:color w:val="auto"/>
        </w:rPr>
        <w:t>”),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2018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2018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2018 Repurchase Date is after a Regular Record Date and on or prior to the Interest Payment Date to which it relates, the interest accrued to the Interest Payment Date will be paid to Holders of the Notes as of the preceding Regular Record Date, and the 2018 Repurchase Price shall be equal to the principal amount of Notes subject to repurchase.</w:t>
      </w:r>
    </w:p>
    <w:p>
      <w:pPr>
        <w:spacing w:after="0" w:line="159" w:lineRule="exact"/>
        <w:rPr>
          <w:rFonts w:ascii="Arial" w:cs="Arial" w:eastAsia="Arial" w:hAnsi="Arial"/>
          <w:sz w:val="16"/>
          <w:szCs w:val="16"/>
          <w:color w:val="auto"/>
        </w:rPr>
      </w:pPr>
    </w:p>
    <w:p>
      <w:pPr>
        <w:ind w:right="340" w:firstLine="656"/>
        <w:spacing w:after="0" w:line="279" w:lineRule="auto"/>
        <w:tabs>
          <w:tab w:leader="none" w:pos="13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or before the 20th Business Day prior to the 2018 Repurchase Date, the Company shall mail or cause to be mailed to all Holders of record on such date at their addresses shown in the Register of the Registrar (and to beneficial owners as required by applicable law) a 2018 Repurchase Notice as set forth in Section 3.02(c). No failure of the Company to give the foregoing notices and no defect therein shall limit the repurchase rights of Holders or affect the validity of the proceedings for the repurchase of the Notes pursuant to this Section 3.02.</w:t>
      </w:r>
    </w:p>
    <w:p>
      <w:pPr>
        <w:spacing w:after="0" w:line="171" w:lineRule="exact"/>
        <w:rPr>
          <w:rFonts w:ascii="Arial" w:cs="Arial" w:eastAsia="Arial" w:hAnsi="Arial"/>
          <w:sz w:val="17"/>
          <w:szCs w:val="17"/>
          <w:color w:val="auto"/>
        </w:rPr>
      </w:pPr>
    </w:p>
    <w:p>
      <w:pPr>
        <w:ind w:right="40" w:firstLine="656"/>
        <w:spacing w:after="0" w:line="279"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Notes to be so repurchased at the option of the Holder, the Holder must deliver to the Paying Agent, at any time during the period beginning at 9:00 a.m., New York City time, on the date that is 20 Business Days prior to the applicable Repurchase Date and ending at the Close of Business on the Business Day immediately preceding the 2018 Repurchase Date, (i) a notice (the “</w:t>
      </w:r>
      <w:r>
        <w:rPr>
          <w:rFonts w:ascii="Arial" w:cs="Arial" w:eastAsia="Arial" w:hAnsi="Arial"/>
          <w:sz w:val="17"/>
          <w:szCs w:val="17"/>
          <w:b w:val="1"/>
          <w:bCs w:val="1"/>
          <w:color w:val="auto"/>
        </w:rPr>
        <w:t>2018 Repurchase Notice</w:t>
      </w:r>
      <w:r>
        <w:rPr>
          <w:rFonts w:ascii="Arial" w:cs="Arial" w:eastAsia="Arial" w:hAnsi="Arial"/>
          <w:sz w:val="17"/>
          <w:szCs w:val="17"/>
          <w:color w:val="auto"/>
        </w:rPr>
        <w:t>”) in the form set forth on the reverse of the Notes duly completed (if the Notes are certificated) or comply with applicable Depositary procedures (if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Notes are represented by a Global Note) together with (ii) such Notes duly endorsed for transfer (if the Notes are certificated) or book-entry transfer of such Notes (if such Notes are represented by a Global Note). The delivery of such Notes to the Paying Agent with, or at any time after delivery of, the 2018 Repurchase Notice (together with all necessary endorsements) at the office of the Paying Agent shall be a condition to the payment by the Company to the Holder of the 2018 Repurchase Price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Repurchase Price shall be so paid pursuant to this Section 3.02 only if the Notes so delivered to the Paying Agent shall conform in all respects to the description thereof in the 2018 Repurchase Notice. All questions as to the validity, eligibility (including time of receipt) and acceptance of any Notes for repurchase shall be determined in good faith by the Company, whose determination shall be final and binding absent manifest error. The 2018 Repurchase Notice shall state:</w:t>
      </w:r>
    </w:p>
    <w:p>
      <w:pPr>
        <w:spacing w:after="0" w:line="178" w:lineRule="exact"/>
        <w:rPr>
          <w:sz w:val="20"/>
          <w:szCs w:val="20"/>
          <w:color w:val="auto"/>
        </w:rPr>
      </w:pPr>
    </w:p>
    <w:p>
      <w:pPr>
        <w:ind w:left="2020" w:hanging="715"/>
        <w:spacing w:after="0"/>
        <w:tabs>
          <w:tab w:leader="none" w:pos="2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certificate numbers of the Notes to be repurchased, if they are Certificated Notes;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portion of the principal amount of a Holder’s Notes to be repurchased, which must be in integral multiples of $1,000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 and</w:t>
      </w:r>
    </w:p>
    <w:p>
      <w:pPr>
        <w:spacing w:after="0" w:line="211" w:lineRule="exact"/>
        <w:rPr>
          <w:sz w:val="20"/>
          <w:szCs w:val="20"/>
          <w:color w:val="auto"/>
        </w:rPr>
      </w:pPr>
    </w:p>
    <w:p>
      <w:pPr>
        <w:ind w:left="2020" w:hanging="715"/>
        <w:spacing w:after="0"/>
        <w:tabs>
          <w:tab w:leader="none" w:pos="20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236" w:lineRule="exact"/>
        <w:rPr>
          <w:rFonts w:ascii="Arial" w:cs="Arial" w:eastAsia="Arial" w:hAnsi="Arial"/>
          <w:sz w:val="17"/>
          <w:szCs w:val="17"/>
          <w:color w:val="auto"/>
        </w:rPr>
      </w:pPr>
    </w:p>
    <w:p>
      <w:pPr>
        <w:ind w:right="140" w:firstLine="656"/>
        <w:spacing w:after="0" w:line="277"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repurchase from the Holder thereof, pursuant to this Section 3.02, a portion of a Note, if the principal amount of such portion is in integral multiples of $1,000 principal amount.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Paying Agent shall promptly notify the Company of the receipt by it of any 2018 Repurchase Notice or written notice of withdrawal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jc w:val="both"/>
        <w:ind w:firstLine="656"/>
        <w:spacing w:after="0" w:line="264" w:lineRule="auto"/>
        <w:tabs>
          <w:tab w:leader="none" w:pos="13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repurchase by the Company contemplated pursuant to the provisions of this Section 3.02 shall be consummated by the delivery of the consideration to be received by the Holder promptly following the later of the 2018 Repurchase Date and the time of the book-entry transfer or delivery of the Notes, as the case may be.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3.03. Effect of Repurchase Notice</w:t>
      </w:r>
      <w:r>
        <w:rPr>
          <w:rFonts w:ascii="Arial" w:cs="Arial" w:eastAsia="Arial" w:hAnsi="Arial"/>
          <w:sz w:val="17"/>
          <w:szCs w:val="17"/>
          <w:color w:val="auto"/>
        </w:rPr>
        <w:t>. (a) Upon receipt by the Paying Agent of the Fundamental Change Repurchase Notice specified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3.01(c) or the 2018 Repurchase Notice specified in Section 3.02(c) (each of the foregoing, a “</w:t>
      </w:r>
      <w:r>
        <w:rPr>
          <w:rFonts w:ascii="Arial" w:cs="Arial" w:eastAsia="Arial" w:hAnsi="Arial"/>
          <w:sz w:val="17"/>
          <w:szCs w:val="17"/>
          <w:b w:val="1"/>
          <w:bCs w:val="1"/>
          <w:color w:val="auto"/>
        </w:rPr>
        <w:t>Repurchase Notice</w:t>
      </w:r>
      <w:r>
        <w:rPr>
          <w:rFonts w:ascii="Arial" w:cs="Arial" w:eastAsia="Arial" w:hAnsi="Arial"/>
          <w:sz w:val="17"/>
          <w:szCs w:val="17"/>
          <w:color w:val="auto"/>
        </w:rPr>
        <w:t>”), the Holder of the Note in respect of which such Repurchase Notice was given shall (unless such Repurchase Notice is withdrawn as specified in this Section 3.03) thereafter be entitled to receive solely the Fundamental Change Repurchase Price or 2018 Repurchase Price (each of the foregoing, a “</w:t>
      </w:r>
      <w:r>
        <w:rPr>
          <w:rFonts w:ascii="Arial" w:cs="Arial" w:eastAsia="Arial" w:hAnsi="Arial"/>
          <w:sz w:val="17"/>
          <w:szCs w:val="17"/>
          <w:b w:val="1"/>
          <w:bCs w:val="1"/>
          <w:color w:val="auto"/>
        </w:rPr>
        <w:t>Repurchase Price</w:t>
      </w:r>
      <w:r>
        <w:rPr>
          <w:rFonts w:ascii="Arial" w:cs="Arial" w:eastAsia="Arial" w:hAnsi="Arial"/>
          <w:sz w:val="17"/>
          <w:szCs w:val="17"/>
          <w:color w:val="auto"/>
        </w:rPr>
        <w:t>”), as applicable, and any accrued and unpaid interest (including any Additional Interest) to but not including the Fundamental Change Repurchase Date or 2018 Repurchase Date (each of the foregoing, a “</w:t>
      </w:r>
      <w:r>
        <w:rPr>
          <w:rFonts w:ascii="Arial" w:cs="Arial" w:eastAsia="Arial" w:hAnsi="Arial"/>
          <w:sz w:val="17"/>
          <w:szCs w:val="17"/>
          <w:b w:val="1"/>
          <w:bCs w:val="1"/>
          <w:color w:val="auto"/>
        </w:rPr>
        <w:t>Repurchase Date</w:t>
      </w:r>
      <w:r>
        <w:rPr>
          <w:rFonts w:ascii="Arial" w:cs="Arial" w:eastAsia="Arial" w:hAnsi="Arial"/>
          <w:sz w:val="17"/>
          <w:szCs w:val="17"/>
          <w:color w:val="auto"/>
        </w:rPr>
        <w:t>”), as applicable, with respect to such Note. Such Repurchase Price shall be paid to such Holder, subject to receipt of funds by the Paying Agent, on or prior to the later of (x) the Repurchase Date with respect to such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conditions in Section 3.01(c) or Section 3.02(c), as applicable, have been satisfied) and (y) the time of delivery of such Note to the Paying Agent by the Holder thereof in the manner required by Section 3.01(c) or Section 3.02(c), as applicable. Notes in respect of which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33" w:name="page34"/>
    <w:bookmarkEnd w:id="33"/>
    <w:p>
      <w:pPr>
        <w:ind w:right="540"/>
        <w:spacing w:after="0" w:line="277" w:lineRule="auto"/>
        <w:rPr>
          <w:sz w:val="20"/>
          <w:szCs w:val="20"/>
          <w:color w:val="auto"/>
        </w:rPr>
      </w:pPr>
      <w:r>
        <w:rPr>
          <w:rFonts w:ascii="Arial" w:cs="Arial" w:eastAsia="Arial" w:hAnsi="Arial"/>
          <w:sz w:val="18"/>
          <w:szCs w:val="18"/>
          <w:color w:val="auto"/>
        </w:rPr>
        <w:t>Repurchase Notice has been given by the Holder thereof may not be converted pursuant to Article 10 hereof on or after the date of the delivery of such Repurchase Notice unless such Repurchase Notice has first been validly withdrawn as specified in this Section 3.03.</w:t>
      </w:r>
    </w:p>
    <w:p>
      <w:pPr>
        <w:spacing w:after="0" w:line="170" w:lineRule="exact"/>
        <w:rPr>
          <w:sz w:val="20"/>
          <w:szCs w:val="20"/>
          <w:color w:val="auto"/>
        </w:rPr>
      </w:pPr>
    </w:p>
    <w:p>
      <w:pPr>
        <w:jc w:val="both"/>
        <w:ind w:firstLine="1305"/>
        <w:spacing w:after="0" w:line="286" w:lineRule="auto"/>
        <w:tabs>
          <w:tab w:leader="none" w:pos="200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If a Repurchase Notice is withdrawn, the Company will not be obligated to repurchase such Notes listed in the Repurchase Notice. Such notice of withdrawal shall state:</w:t>
      </w:r>
    </w:p>
    <w:p>
      <w:pPr>
        <w:spacing w:after="0" w:line="165" w:lineRule="exact"/>
        <w:rPr>
          <w:rFonts w:ascii="Arial" w:cs="Arial" w:eastAsia="Arial" w:hAnsi="Arial"/>
          <w:sz w:val="17"/>
          <w:szCs w:val="17"/>
          <w:color w:val="auto"/>
        </w:rPr>
      </w:pPr>
    </w:p>
    <w:p>
      <w:pPr>
        <w:ind w:left="2660" w:hanging="707"/>
        <w:spacing w:after="0"/>
        <w:tabs>
          <w:tab w:leader="none" w:pos="2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100" w:firstLine="1953"/>
        <w:spacing w:after="0" w:line="277" w:lineRule="auto"/>
        <w:tabs>
          <w:tab w:leader="none" w:pos="2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principal amount, if any, of the Notes that remain subject to a Repurchase Notice, which must be $1,000 or whole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multiples thereof.</w:t>
      </w:r>
    </w:p>
    <w:p>
      <w:pPr>
        <w:spacing w:after="0" w:line="21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Section 3.04. Deposit of Repurchase Price</w:t>
      </w:r>
      <w:r>
        <w:rPr>
          <w:rFonts w:ascii="Arial" w:cs="Arial" w:eastAsia="Arial" w:hAnsi="Arial"/>
          <w:sz w:val="16"/>
          <w:szCs w:val="16"/>
          <w:color w:val="auto"/>
        </w:rPr>
        <w:t>. Prior to 12:00 p.m., New York City time, on or prior to the Repurchase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Paying Agent holds money sufficient to pay the Repurchase Price with respect to the Notes to be repurchased on the Repurchase Date in accordance with the terms of this Indenture, then, immediately on and after the Repurchase Date, those Notes shall cease to be outstanding,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Section 3.05. Notes Repurchased in Part</w:t>
      </w:r>
      <w:r>
        <w:rPr>
          <w:rFonts w:ascii="Arial" w:cs="Arial" w:eastAsia="Arial" w:hAnsi="Arial"/>
          <w:sz w:val="16"/>
          <w:szCs w:val="16"/>
          <w:color w:val="auto"/>
        </w:rPr>
        <w:t>. Any Note which is to be repurchased only in part shall be surrendered at the office of the Paying</w:t>
      </w:r>
      <w:r>
        <w:rPr>
          <w:rFonts w:ascii="Arial" w:cs="Arial" w:eastAsia="Arial" w:hAnsi="Arial"/>
          <w:sz w:val="16"/>
          <w:szCs w:val="16"/>
          <w:i w:val="1"/>
          <w:iCs w:val="1"/>
          <w:color w:val="auto"/>
        </w:rPr>
        <w:t xml:space="preserve"> </w:t>
      </w:r>
      <w:r>
        <w:rPr>
          <w:rFonts w:ascii="Arial" w:cs="Arial" w:eastAsia="Arial" w:hAnsi="Arial"/>
          <w:sz w:val="16"/>
          <w:szCs w:val="16"/>
          <w:color w:val="auto"/>
        </w:rPr>
        <w:t>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3.06.</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or in connection with the 2018 Repurchase Date, to the extent required by applicable law, the Company shall: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2000" w:hanging="695"/>
        <w:spacing w:after="0"/>
        <w:tabs>
          <w:tab w:leader="none" w:pos="2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file a Schedule TO or any other schedule required in connection with any offer by the Company to repurchase the Notes; and</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4.01. Payment of Notes</w:t>
      </w:r>
      <w:r>
        <w:rPr>
          <w:rFonts w:ascii="Arial" w:cs="Arial" w:eastAsia="Arial" w:hAnsi="Arial"/>
          <w:sz w:val="18"/>
          <w:szCs w:val="18"/>
          <w:color w:val="auto"/>
        </w:rPr>
        <w:t>. (a) The Company agrees to pay the principal of and interest (including any Additional Interest) on the Notes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89" w:lineRule="exact"/>
        <w:rPr>
          <w:sz w:val="20"/>
          <w:szCs w:val="20"/>
          <w:color w:val="auto"/>
        </w:rPr>
      </w:pPr>
    </w:p>
    <w:p>
      <w:pPr>
        <w:ind w:right="20" w:firstLine="1305"/>
        <w:spacing w:after="0" w:line="259" w:lineRule="auto"/>
        <w:tabs>
          <w:tab w:leader="none" w:pos="20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60" w:firstLine="1305"/>
        <w:spacing w:after="0" w:line="277" w:lineRule="auto"/>
        <w:tabs>
          <w:tab w:leader="none" w:pos="19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ind w:right="180" w:firstLine="1305"/>
        <w:spacing w:after="0" w:line="255" w:lineRule="auto"/>
        <w:tabs>
          <w:tab w:leader="none" w:pos="20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ectPr>
          <w:pgSz w:w="11900" w:h="16838" w:orient="portrait"/>
          <w:cols w:equalWidth="0" w:num="1">
            <w:col w:w="11400"/>
          </w:cols>
          <w:pgMar w:left="240" w:top="584" w:right="259" w:bottom="41" w:gutter="0" w:footer="0" w:header="0"/>
        </w:sectPr>
      </w:pPr>
    </w:p>
    <w:bookmarkStart w:id="34" w:name="page35"/>
    <w:bookmarkEnd w:id="34"/>
    <w:p>
      <w:pPr>
        <w:ind w:right="480" w:firstLine="648"/>
        <w:spacing w:after="0" w:line="308" w:lineRule="auto"/>
        <w:rPr>
          <w:sz w:val="20"/>
          <w:szCs w:val="20"/>
          <w:color w:val="auto"/>
        </w:rPr>
      </w:pPr>
      <w:r>
        <w:rPr>
          <w:rFonts w:ascii="Arial" w:cs="Arial" w:eastAsia="Arial" w:hAnsi="Arial"/>
          <w:sz w:val="17"/>
          <w:szCs w:val="17"/>
          <w:i w:val="1"/>
          <w:iCs w:val="1"/>
          <w:color w:val="auto"/>
        </w:rPr>
        <w:t>Section 4.02. Maintenance of Office or Agency</w:t>
      </w:r>
      <w:r>
        <w:rPr>
          <w:rFonts w:ascii="Arial" w:cs="Arial" w:eastAsia="Arial" w:hAnsi="Arial"/>
          <w:sz w:val="17"/>
          <w:szCs w:val="17"/>
          <w:color w:val="auto"/>
        </w:rPr>
        <w:t>. The Company will maintain in the United States, an office or agency where Notes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surrendered for registration of transfer or exchange or for presentation for payment and where notices and demands to or upon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4.03. Existence</w:t>
      </w:r>
      <w:r>
        <w:rPr>
          <w:rFonts w:ascii="Arial" w:cs="Arial" w:eastAsia="Arial" w:hAnsi="Arial"/>
          <w:sz w:val="18"/>
          <w:szCs w:val="18"/>
          <w:color w:val="auto"/>
        </w:rPr>
        <w:t>. The Company will do or cause to be done all things necessary to preserve and keep in full force and effect its existence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Section does not prohibit any transaction otherwise permitted by Section 5.01.</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Section 4.04. Reports; 144A Information</w:t>
      </w:r>
      <w:r>
        <w:rPr>
          <w:rFonts w:ascii="Arial" w:cs="Arial" w:eastAsia="Arial" w:hAnsi="Arial"/>
          <w:sz w:val="17"/>
          <w:szCs w:val="17"/>
          <w:color w:val="auto"/>
        </w:rPr>
        <w:t>. (a) The Company shall deliver to the Trustee, within 15 days after the Company is required to file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filed with the Commission pursuant to its Electronic Data Gathering, Analysis and Retrieval (or EDGAR) system shall be deemed to be filed with the Trustee.</w:t>
      </w:r>
    </w:p>
    <w:p>
      <w:pPr>
        <w:spacing w:after="0" w:line="173" w:lineRule="exact"/>
        <w:rPr>
          <w:sz w:val="20"/>
          <w:szCs w:val="20"/>
          <w:color w:val="auto"/>
        </w:rPr>
      </w:pPr>
    </w:p>
    <w:p>
      <w:pPr>
        <w:jc w:val="both"/>
        <w:ind w:right="300" w:firstLine="656"/>
        <w:spacing w:after="0" w:line="286" w:lineRule="auto"/>
        <w:tabs>
          <w:tab w:leader="none" w:pos="13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rFonts w:ascii="Arial" w:cs="Arial" w:eastAsia="Arial" w:hAnsi="Arial"/>
          <w:sz w:val="17"/>
          <w:szCs w:val="17"/>
          <w:color w:val="auto"/>
        </w:rPr>
      </w:pPr>
    </w:p>
    <w:p>
      <w:pPr>
        <w:jc w:val="both"/>
        <w:ind w:right="40" w:firstLine="656"/>
        <w:spacing w:after="0" w:line="302" w:lineRule="auto"/>
        <w:tabs>
          <w:tab w:leader="none" w:pos="1343"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at any time that any of the Notes are “restricted securities” within the meaning of Rule 144 under the Securities Act, the Company is not subject to the reporting requirements of the Exchange Act, the Company shall, upon the request of a Holder, beneficial owner or prospective purchaser of the Notes or any shares of Common Stock issuable upon conversion of the Notes, promptly furnish such Holder, beneficial owner or prospective purchaser the information required to be delivered pursuant to Rule 144A(d)(4) under the Securities Act to facilitate the resale of the Notes pursuant to Rule 144A.</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360" w:firstLine="656"/>
        <w:spacing w:after="0" w:line="277" w:lineRule="auto"/>
        <w:tabs>
          <w:tab w:leader="none" w:pos="13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commencing September 1, 2011 a certificate from the principal executive, financial or accounting officer of the Company stating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70" w:lineRule="exact"/>
        <w:rPr>
          <w:sz w:val="20"/>
          <w:szCs w:val="20"/>
          <w:color w:val="auto"/>
        </w:rPr>
      </w:pPr>
    </w:p>
    <w:p>
      <w:pPr>
        <w:ind w:right="300" w:firstLine="656"/>
        <w:spacing w:after="0" w:line="342" w:lineRule="auto"/>
        <w:tabs>
          <w:tab w:leader="none" w:pos="13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Section 4.06. Stay, Extension and Usury Laws</w:t>
      </w:r>
      <w:r>
        <w:rPr>
          <w:rFonts w:ascii="Arial" w:cs="Arial" w:eastAsia="Arial" w:hAnsi="Arial"/>
          <w:sz w:val="17"/>
          <w:szCs w:val="17"/>
          <w:color w:val="auto"/>
        </w:rPr>
        <w:t>. The Company covenants (to the extent that it may lawfully do so) that it will not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Section 5.01. Consolidation, Merger, Sale or Lease of Assets by the Company</w:t>
      </w:r>
      <w:r>
        <w:rPr>
          <w:rFonts w:ascii="Arial" w:cs="Arial" w:eastAsia="Arial" w:hAnsi="Arial"/>
          <w:sz w:val="16"/>
          <w:szCs w:val="16"/>
          <w:color w:val="auto"/>
        </w:rPr>
        <w:t>. (a) The Company may consolidate with or merge into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convey, transfer or lease its properties and assets substantially as an entirety to another Person (other than a Subsidiary of the Company) only if:</w:t>
      </w:r>
    </w:p>
    <w:p>
      <w:pPr>
        <w:spacing w:after="0" w:line="124" w:lineRule="exact"/>
        <w:rPr>
          <w:sz w:val="20"/>
          <w:szCs w:val="20"/>
          <w:color w:val="auto"/>
        </w:rPr>
      </w:pPr>
    </w:p>
    <w:p>
      <w:pPr>
        <w:ind w:right="260" w:firstLine="1953"/>
        <w:spacing w:after="0" w:line="277" w:lineRule="auto"/>
        <w:tabs>
          <w:tab w:leader="none" w:pos="2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2680" w:hanging="727"/>
        <w:spacing w:after="0"/>
        <w:tabs>
          <w:tab w:leader="none" w:pos="2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 and</w:t>
      </w:r>
    </w:p>
    <w:p>
      <w:pPr>
        <w:spacing w:after="0" w:line="248" w:lineRule="exact"/>
        <w:rPr>
          <w:rFonts w:ascii="Arial" w:cs="Arial" w:eastAsia="Arial" w:hAnsi="Arial"/>
          <w:sz w:val="16"/>
          <w:szCs w:val="16"/>
          <w:color w:val="auto"/>
        </w:rPr>
      </w:pPr>
    </w:p>
    <w:p>
      <w:pPr>
        <w:ind w:right="820" w:firstLine="1953"/>
        <w:spacing w:after="0" w:line="308" w:lineRule="auto"/>
        <w:tabs>
          <w:tab w:leader="none" w:pos="2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ectPr>
          <w:pgSz w:w="11900" w:h="16838" w:orient="portrait"/>
          <w:cols w:equalWidth="0" w:num="1">
            <w:col w:w="11420"/>
          </w:cols>
          <w:pgMar w:left="240" w:top="125" w:right="239" w:bottom="0" w:gutter="0" w:footer="0" w:header="0"/>
        </w:sectPr>
      </w:pPr>
    </w:p>
    <w:bookmarkStart w:id="35" w:name="page36"/>
    <w:bookmarkEnd w:id="35"/>
    <w:p>
      <w:pPr>
        <w:spacing w:after="0" w:line="106" w:lineRule="exact"/>
        <w:rPr>
          <w:sz w:val="20"/>
          <w:szCs w:val="20"/>
          <w:color w:val="auto"/>
        </w:rPr>
      </w:pPr>
    </w:p>
    <w:p>
      <w:pPr>
        <w:ind w:firstLine="1305"/>
        <w:spacing w:after="0" w:line="259"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Company’s Subsidiaries, the Company will be released from its obligations under the Notes and this Indenture.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220" w:firstLine="1305"/>
        <w:spacing w:after="0" w:line="277" w:lineRule="auto"/>
        <w:tabs>
          <w:tab w:leader="none" w:pos="19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 upon required purchase, upon declaration or otherwise;</w:t>
      </w:r>
    </w:p>
    <w:p>
      <w:pPr>
        <w:spacing w:after="0" w:line="170" w:lineRule="exact"/>
        <w:rPr>
          <w:rFonts w:ascii="Arial" w:cs="Arial" w:eastAsia="Arial" w:hAnsi="Arial"/>
          <w:sz w:val="18"/>
          <w:szCs w:val="18"/>
          <w:color w:val="auto"/>
        </w:rPr>
      </w:pPr>
    </w:p>
    <w:p>
      <w:pPr>
        <w:ind w:right="40" w:firstLine="1305"/>
        <w:spacing w:after="0" w:line="277" w:lineRule="auto"/>
        <w:tabs>
          <w:tab w:leader="none" w:pos="200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40" w:firstLine="1305"/>
        <w:spacing w:after="0" w:line="264" w:lineRule="auto"/>
        <w:tabs>
          <w:tab w:leader="none" w:pos="19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or a Change in Control as required under Section 3.01(b) of this Indenture or a Make-Whole Change in Control that does not constitute a Change in Control as required under Section 10.10(a) of this Indenture, and such default continues for a period of three Business Days;</w:t>
      </w:r>
    </w:p>
    <w:p>
      <w:pPr>
        <w:spacing w:after="0" w:line="181" w:lineRule="exact"/>
        <w:rPr>
          <w:rFonts w:ascii="Arial" w:cs="Arial" w:eastAsia="Arial" w:hAnsi="Arial"/>
          <w:sz w:val="18"/>
          <w:szCs w:val="18"/>
          <w:color w:val="auto"/>
        </w:rPr>
      </w:pPr>
    </w:p>
    <w:p>
      <w:pPr>
        <w:ind w:right="120" w:firstLine="1305"/>
        <w:spacing w:after="0" w:line="264" w:lineRule="auto"/>
        <w:tabs>
          <w:tab w:leader="none" w:pos="200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Cash up to the aggregate principal amount of Notes to be converted and shares of Common Stock, Cash or a combination thereof in respect of the remainder, if any, as described in Section 10.03, upon exercise of a Holder’s right to convert its Notes pursuant to Article 10;</w:t>
      </w:r>
    </w:p>
    <w:p>
      <w:pPr>
        <w:spacing w:after="0" w:line="181" w:lineRule="exact"/>
        <w:rPr>
          <w:rFonts w:ascii="Arial" w:cs="Arial" w:eastAsia="Arial" w:hAnsi="Arial"/>
          <w:sz w:val="18"/>
          <w:szCs w:val="18"/>
          <w:color w:val="auto"/>
        </w:rPr>
      </w:pPr>
    </w:p>
    <w:p>
      <w:pPr>
        <w:jc w:val="both"/>
        <w:ind w:right="400" w:firstLine="1305"/>
        <w:spacing w:after="0" w:line="264" w:lineRule="auto"/>
        <w:tabs>
          <w:tab w:leader="none" w:pos="19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3" w:lineRule="auto"/>
        <w:tabs>
          <w:tab w:leader="none" w:pos="20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 (2) above shall cease or be cured, waived, rescinded or annulled, then the resulting Event of Default shall be deemed not to have occurred;</w:t>
      </w:r>
    </w:p>
    <w:p>
      <w:pPr>
        <w:spacing w:after="0" w:line="164" w:lineRule="exact"/>
        <w:rPr>
          <w:rFonts w:ascii="Arial" w:cs="Arial" w:eastAsia="Arial" w:hAnsi="Arial"/>
          <w:sz w:val="16"/>
          <w:szCs w:val="16"/>
          <w:color w:val="auto"/>
        </w:rPr>
      </w:pPr>
    </w:p>
    <w:p>
      <w:pPr>
        <w:ind w:left="2000" w:hanging="695"/>
        <w:spacing w:after="0"/>
        <w:tabs>
          <w:tab w:leader="none" w:pos="2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w:t>
      </w:r>
    </w:p>
    <w:p>
      <w:pPr>
        <w:spacing w:after="0" w:line="46" w:lineRule="exact"/>
        <w:rPr>
          <w:rFonts w:ascii="Arial" w:cs="Arial" w:eastAsia="Arial" w:hAnsi="Arial"/>
          <w:sz w:val="16"/>
          <w:szCs w:val="16"/>
          <w:color w:val="auto"/>
        </w:rPr>
      </w:pPr>
    </w:p>
    <w:p>
      <w:pPr>
        <w:ind w:right="10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 or the commencement of any case against it; (iii) consents to the appointment of any receiver, trustee, assignee, liquidator,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81" w:lineRule="exact"/>
        <w:rPr>
          <w:sz w:val="20"/>
          <w:szCs w:val="20"/>
          <w:color w:val="auto"/>
        </w:rPr>
      </w:pPr>
    </w:p>
    <w:p>
      <w:pPr>
        <w:ind w:right="40" w:firstLine="1305"/>
        <w:spacing w:after="0" w:line="302" w:lineRule="auto"/>
        <w:tabs>
          <w:tab w:leader="none" w:pos="20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6"/>
          <w:szCs w:val="16"/>
          <w:b w:val="1"/>
          <w:bCs w:val="1"/>
          <w:color w:val="auto"/>
        </w:rPr>
        <w:t>Bankruptcy Default</w:t>
      </w:r>
      <w:r>
        <w:rPr>
          <w:rFonts w:ascii="Arial" w:cs="Arial" w:eastAsia="Arial" w:hAnsi="Arial"/>
          <w:sz w:val="16"/>
          <w:szCs w:val="16"/>
          <w:color w:val="auto"/>
        </w:rPr>
        <w:t>”).</w:t>
      </w:r>
    </w:p>
    <w:p>
      <w:pPr>
        <w:spacing w:after="0" w:line="15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Section 6.02. Acceleration</w:t>
      </w:r>
      <w:r>
        <w:rPr>
          <w:rFonts w:ascii="Arial" w:cs="Arial" w:eastAsia="Arial" w:hAnsi="Arial"/>
          <w:sz w:val="17"/>
          <w:szCs w:val="17"/>
          <w:color w:val="auto"/>
        </w:rPr>
        <w:t>. If an Event of Default, other than a Bankruptcy Default and subject to Section 6.15 of this Indenture, occurs and is</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and unpaid interest (including any Additional Interest) on the Notes then outstanding will become immediately due and payable automatically without any declaration or other act on the part of the Trustee or any Holder.</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6.03. Other Remedies</w:t>
      </w:r>
      <w:r>
        <w:rPr>
          <w:rFonts w:ascii="Arial" w:cs="Arial" w:eastAsia="Arial" w:hAnsi="Arial"/>
          <w:sz w:val="18"/>
          <w:szCs w:val="18"/>
          <w:color w:val="auto"/>
        </w:rPr>
        <w:t>. If an Event of Default occurs and is continuing, the Trustee may pursue, in its own name or as trustee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i w:val="1"/>
          <w:iCs w:val="1"/>
          <w:color w:val="auto"/>
        </w:rPr>
        <w:t>Section 6.04. Waiver of Past Defaults</w:t>
      </w:r>
      <w:r>
        <w:rPr>
          <w:rFonts w:ascii="Arial" w:cs="Arial" w:eastAsia="Arial" w:hAnsi="Arial"/>
          <w:sz w:val="16"/>
          <w:szCs w:val="16"/>
          <w:color w:val="auto"/>
        </w:rPr>
        <w:t>. Except as otherwise provided in Section 6.07 and Section 9.02(b), Holders of a majority in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outstanding Notes by written notice to the Company and to the Trustee may waive any existing or past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w:t>
      </w:r>
    </w:p>
    <w:p>
      <w:pPr>
        <w:sectPr>
          <w:pgSz w:w="11900" w:h="16945" w:orient="portrait"/>
          <w:cols w:equalWidth="0" w:num="1">
            <w:col w:w="11420"/>
          </w:cols>
          <w:pgMar w:left="240" w:top="125" w:right="239" w:bottom="0" w:gutter="0" w:footer="0" w:header="0"/>
        </w:sectPr>
      </w:pPr>
    </w:p>
    <w:bookmarkStart w:id="36" w:name="page37"/>
    <w:bookmarkEnd w:id="36"/>
    <w:p>
      <w:pPr>
        <w:spacing w:after="0" w:line="1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respect to any Note or the Repurchase Price or Redemption Price with respect to any Note, (b) in the payment or delivery of Cash and shares of Common Stock, if any, due upon conversion or the redemption of the Notes or (c) in respect of any provision that under this Indenture cannot be modified or amended without the consent of the Holder of each outstanding Note affected)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1953"/>
        <w:spacing w:after="0" w:line="277" w:lineRule="auto"/>
        <w:tabs>
          <w:tab w:leader="none" w:pos="2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6.05. Control by Majority</w:t>
      </w:r>
      <w:r>
        <w:rPr>
          <w:rFonts w:ascii="Arial" w:cs="Arial" w:eastAsia="Arial" w:hAnsi="Arial"/>
          <w:sz w:val="18"/>
          <w:szCs w:val="18"/>
          <w:color w:val="auto"/>
        </w:rPr>
        <w:t>. The Holders of a majority in aggregate principal amount of the outstanding Notes may direct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Section 6.06. Limitation on Suits</w:t>
      </w:r>
      <w:r>
        <w:rPr>
          <w:rFonts w:ascii="Arial" w:cs="Arial" w:eastAsia="Arial" w:hAnsi="Arial"/>
          <w:sz w:val="18"/>
          <w:szCs w:val="18"/>
          <w:color w:val="auto"/>
        </w:rPr>
        <w:t>. A Holder may not institute any proceeding, judicial or otherwise, with respect to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appointment of a receiver or trustee, or for any other remedy under this Indenture or the Notes, unless:</w:t>
      </w:r>
    </w:p>
    <w:p>
      <w:pPr>
        <w:spacing w:after="0" w:line="170" w:lineRule="exact"/>
        <w:rPr>
          <w:sz w:val="20"/>
          <w:szCs w:val="20"/>
          <w:color w:val="auto"/>
        </w:rPr>
      </w:pPr>
    </w:p>
    <w:p>
      <w:pPr>
        <w:ind w:left="2660" w:hanging="707"/>
        <w:spacing w:after="0"/>
        <w:tabs>
          <w:tab w:leader="none" w:pos="2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140" w:firstLine="1953"/>
        <w:spacing w:after="0" w:line="277" w:lineRule="auto"/>
        <w:tabs>
          <w:tab w:leader="none" w:pos="2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00" w:firstLine="1953"/>
        <w:spacing w:after="0" w:line="277" w:lineRule="auto"/>
        <w:tabs>
          <w:tab w:leader="none" w:pos="26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280" w:firstLine="1953"/>
        <w:spacing w:after="0" w:line="277" w:lineRule="auto"/>
        <w:tabs>
          <w:tab w:leader="none" w:pos="2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right="40" w:firstLine="8"/>
        <w:spacing w:after="0" w:line="254" w:lineRule="auto"/>
        <w:tabs>
          <w:tab w:leader="none" w:pos="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 of principal of or interest (including any Additional Interest) on its Note on the Maturity Date or the relevant Interest Payment Date, as the case may be, (x) payment of the Repurchase Price on the Repurchase Date, (y) payment of the Redemption Price on the Redemption Date and (z) delivery of Cash and shares of Common Stock, if any, upon conversion of such Note on the date specified in Section 10.02(b), or to bring suit for the enforcement of any such payment or delivery, as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case may be, on or after such respective dates, may not be impaired or affected without the consent of that Holder.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6.08. Collection Suit by Trustee</w:t>
      </w:r>
      <w:r>
        <w:rPr>
          <w:rFonts w:ascii="Arial" w:cs="Arial" w:eastAsia="Arial" w:hAnsi="Arial"/>
          <w:sz w:val="18"/>
          <w:szCs w:val="18"/>
          <w:color w:val="auto"/>
        </w:rPr>
        <w:t>. If an Event of Default in payment of principal or interest (including any Additional Interest)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6.09. Trustee May File Proofs of Claim</w:t>
      </w:r>
      <w:r>
        <w:rPr>
          <w:rFonts w:ascii="Arial" w:cs="Arial" w:eastAsia="Arial" w:hAnsi="Arial"/>
          <w:sz w:val="16"/>
          <w:szCs w:val="16"/>
          <w:color w:val="auto"/>
        </w:rPr>
        <w:t>. The Trustee may file proofs of claim and other papers or documents as may be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Section 6.10. Priorities</w:t>
      </w:r>
      <w:r>
        <w:rPr>
          <w:rFonts w:ascii="Arial" w:cs="Arial" w:eastAsia="Arial" w:hAnsi="Arial"/>
          <w:sz w:val="18"/>
          <w:szCs w:val="18"/>
          <w:color w:val="auto"/>
        </w:rPr>
        <w:t>. If the Trustee collects any money or property pursuant to this Article, it shall pay out the money or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ectPr>
          <w:pgSz w:w="11900" w:h="16975" w:orient="portrait"/>
          <w:cols w:equalWidth="0" w:num="1">
            <w:col w:w="11400"/>
          </w:cols>
          <w:pgMar w:left="240" w:top="125" w:right="259" w:bottom="0" w:gutter="0" w:footer="0" w:header="0"/>
        </w:sectPr>
      </w:pPr>
    </w:p>
    <w:bookmarkStart w:id="37" w:name="page38"/>
    <w:bookmarkEnd w:id="37"/>
    <w:p>
      <w:pPr>
        <w:ind w:right="8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Holder and the Company a notice that states the record date, the payment date and the amount to be paid.</w:t>
      </w:r>
    </w:p>
    <w:p>
      <w:pPr>
        <w:spacing w:after="0" w:line="181"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i w:val="1"/>
          <w:iCs w:val="1"/>
          <w:color w:val="auto"/>
        </w:rPr>
        <w:t>Section 6.11. Restoration of Rights and Remedies</w:t>
      </w:r>
      <w:r>
        <w:rPr>
          <w:rFonts w:ascii="Arial" w:cs="Arial" w:eastAsia="Arial" w:hAnsi="Arial"/>
          <w:sz w:val="16"/>
          <w:szCs w:val="16"/>
          <w:color w:val="auto"/>
        </w:rPr>
        <w:t>. If the Trustee or any Holder has instituted a proceeding to enforce any right or remedy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Section 6.12. Undertaking for Costs</w:t>
      </w:r>
      <w:r>
        <w:rPr>
          <w:rFonts w:ascii="Arial" w:cs="Arial" w:eastAsia="Arial" w:hAnsi="Arial"/>
          <w:sz w:val="17"/>
          <w:szCs w:val="17"/>
          <w:color w:val="auto"/>
        </w:rPr>
        <w:t>. In any suit for the enforcement of any right or remedy under this Indenture or in any 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Cash and shares of Common Stock, if any, due upon conversion of a Note or (e) a suit by Holders of more than 10% in principal amount of the outstanding Notes.</w:t>
      </w:r>
    </w:p>
    <w:p>
      <w:pPr>
        <w:spacing w:after="0" w:line="17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i w:val="1"/>
          <w:iCs w:val="1"/>
          <w:color w:val="auto"/>
        </w:rPr>
        <w:t>Section 6.13. Rights and Remedies Cumulative</w:t>
      </w:r>
      <w:r>
        <w:rPr>
          <w:rFonts w:ascii="Arial" w:cs="Arial" w:eastAsia="Arial" w:hAnsi="Arial"/>
          <w:sz w:val="17"/>
          <w:szCs w:val="17"/>
          <w:color w:val="auto"/>
        </w:rPr>
        <w:t>. No right or remedy conferred or reserved to the Trustee or to the Holders under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6.14. Delay or Omission Not Waiver</w:t>
      </w:r>
      <w:r>
        <w:rPr>
          <w:rFonts w:ascii="Arial" w:cs="Arial" w:eastAsia="Arial" w:hAnsi="Arial"/>
          <w:sz w:val="18"/>
          <w:szCs w:val="18"/>
          <w:color w:val="auto"/>
        </w:rPr>
        <w:t>. No delay or omission of the Trustee or of any Holder to exercise any right or remedy accruing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Section 6.15. Failure to File</w:t>
      </w:r>
      <w:r>
        <w:rPr>
          <w:rFonts w:ascii="Arial" w:cs="Arial" w:eastAsia="Arial" w:hAnsi="Arial"/>
          <w:sz w:val="18"/>
          <w:szCs w:val="18"/>
          <w:color w:val="auto"/>
        </w:rPr>
        <w:t>. (a) Notwithstanding anything in this Article 6, the Company may, at its option, elect that the sole remedy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relating to its failure to comply with its obligations described under Section 4.04 or its failure to comply with the requirements of Section 314(a)(1) of the Trust Indenture Act will for the first 180 days after the occurrence of such an Event of Default (which will be the 60th day after written notice is provided to the Company in accordance with Section 6.01(e)), consist exclusively of the right to receive additional interest on the Notes at a rate equal to 0.25% per annum of the principal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amount of the Notes (the “</w:t>
      </w:r>
      <w:r>
        <w:rPr>
          <w:rFonts w:ascii="Arial" w:cs="Arial" w:eastAsia="Arial" w:hAnsi="Arial"/>
          <w:sz w:val="16"/>
          <w:szCs w:val="16"/>
          <w:b w:val="1"/>
          <w:bCs w:val="1"/>
          <w:color w:val="auto"/>
        </w:rPr>
        <w:t>Additional Interest</w:t>
      </w:r>
      <w:r>
        <w:rPr>
          <w:rFonts w:ascii="Arial" w:cs="Arial" w:eastAsia="Arial" w:hAnsi="Arial"/>
          <w:sz w:val="16"/>
          <w:szCs w:val="16"/>
          <w:color w:val="auto"/>
        </w:rPr>
        <w:t>”). If the Company elects to pay Additional Interest, such Additional Interest will be payable on all outstanding Notes from and including the date on which such Event of Default first occurs to but excluding the 181st day thereafter (or such earlier date on which the Event of Default relating to a failure to comply with such requirements has been cured or waived). On the 181st day after such Event of Default (if such violation is not cured or waived prior to such 181st day), the Notes will be subject to acceleration as provided in Section 6.02. In the event the Company does not elect to pay the Additional Interest upon any such Event of Default in accordance with this Section 6.15, the Notes will be subject to acceleration as provided in Section 6.02. This Section 6.15 shall not affect the rights of Holders if any other Event of Default occurs under this Indenture.</w:t>
      </w:r>
    </w:p>
    <w:p>
      <w:pPr>
        <w:spacing w:after="0" w:line="1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order elect to pay the Additional Interest as the sole remedy during the first 180 days after the occurrence of any Event of Default relating to the failure to comply with the reporting obligations in accordance with the preceding paragraph, the Company shall notify all Holders and the Trustee and Paying Agent of such election in writing prior to the Close of Business on the date on which such Event of Default occurs. If the Company fails to timely give such notice, the Notes will be immediately subject to acceleration as provided in Section 6.02.</w:t>
      </w:r>
    </w:p>
    <w:p>
      <w:pPr>
        <w:spacing w:after="0" w:line="187" w:lineRule="exact"/>
        <w:rPr>
          <w:sz w:val="20"/>
          <w:szCs w:val="20"/>
          <w:color w:val="auto"/>
        </w:rPr>
      </w:pPr>
    </w:p>
    <w:p>
      <w:pPr>
        <w:ind w:firstLine="656"/>
        <w:spacing w:after="0" w:line="291" w:lineRule="auto"/>
        <w:tabs>
          <w:tab w:leader="none" w:pos="13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at any time during the period beginning six months from the last date of original issuance of the Notes (including the last date of issuance of additional Notes pursuant to the exercise of the Initial Purchasers’ option to purchase additional Notes) (such date, the “</w:t>
      </w:r>
      <w:r>
        <w:rPr>
          <w:rFonts w:ascii="Arial" w:cs="Arial" w:eastAsia="Arial" w:hAnsi="Arial"/>
          <w:sz w:val="16"/>
          <w:szCs w:val="16"/>
          <w:b w:val="1"/>
          <w:bCs w:val="1"/>
          <w:color w:val="auto"/>
        </w:rPr>
        <w:t>Last Original Issuance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ending on the one-year anniversary of the Last Original Issuance Date (the “</w:t>
      </w:r>
      <w:r>
        <w:rPr>
          <w:rFonts w:ascii="Arial" w:cs="Arial" w:eastAsia="Arial" w:hAnsi="Arial"/>
          <w:sz w:val="16"/>
          <w:szCs w:val="16"/>
          <w:b w:val="1"/>
          <w:bCs w:val="1"/>
          <w:color w:val="auto"/>
        </w:rPr>
        <w:t>Free Trade Date</w:t>
      </w:r>
      <w:r>
        <w:rPr>
          <w:rFonts w:ascii="Arial" w:cs="Arial" w:eastAsia="Arial" w:hAnsi="Arial"/>
          <w:sz w:val="16"/>
          <w:szCs w:val="16"/>
          <w:color w:val="auto"/>
        </w:rPr>
        <w:t>”), the Company fails to make available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public information in accordance with Rule 144(c) of the Securities Act, the Company shall pay Additional Interest on the Notes, accruing from and including the first day on which the Company fails to make available adequate current public information in accordance with Rule 144(c) and continuing until the earlier of (i) the Free Trade Date and (ii) the date on which the Company corrects such failure. During the first 90 days on which such Additional Interest is payable, such Additional Interest shall accrue at a rate of 0.25% per annum; thereafter, such Additional Interest shall accrue at a rate of 0.50% per annum.</w:t>
      </w:r>
    </w:p>
    <w:p>
      <w:pPr>
        <w:spacing w:after="0" w:line="167" w:lineRule="exact"/>
        <w:rPr>
          <w:rFonts w:ascii="Arial" w:cs="Arial" w:eastAsia="Arial" w:hAnsi="Arial"/>
          <w:sz w:val="16"/>
          <w:szCs w:val="16"/>
          <w:color w:val="auto"/>
        </w:rPr>
      </w:pPr>
    </w:p>
    <w:p>
      <w:pPr>
        <w:ind w:right="60" w:firstLine="656"/>
        <w:spacing w:after="0" w:line="297" w:lineRule="auto"/>
        <w:tabs>
          <w:tab w:leader="none" w:pos="13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if the Company fails to cause the Notes or any shares of Common Stock issuable upon conversion of the Notes to become Freely Tradable on and at all times after the Free Trade Date (or the next succeeding Business Day if the Free Trade Date is not a Business Day), the Company shall pay Additional Interest on the Notes accruing from and including the Free Trade Date and until the date on which the Notes and any shares of Common Stock issuable upon the conversion of the Notes become Freely Tradable. During the first 90 days on which such Additional Interest is payable, such Additional Interest will accrue at a rate of 0.25% per annum; thereafter, such Additional Interest will accrue at a rate of 0.50% per annum.</w:t>
      </w:r>
    </w:p>
    <w:p>
      <w:pPr>
        <w:spacing w:after="0" w:line="158" w:lineRule="exact"/>
        <w:rPr>
          <w:rFonts w:ascii="Arial" w:cs="Arial" w:eastAsia="Arial" w:hAnsi="Arial"/>
          <w:sz w:val="16"/>
          <w:szCs w:val="16"/>
          <w:color w:val="auto"/>
        </w:rPr>
      </w:pPr>
    </w:p>
    <w:p>
      <w:pPr>
        <w:ind w:right="180" w:firstLine="656"/>
        <w:spacing w:after="0" w:line="277" w:lineRule="auto"/>
        <w:tabs>
          <w:tab w:leader="none" w:pos="13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will the combined rate of any Additional Interest payable under this Section 6.15 exceed 0.50% per annum.</w:t>
      </w:r>
    </w:p>
    <w:p>
      <w:pPr>
        <w:sectPr>
          <w:pgSz w:w="11900" w:h="16838" w:orient="portrait"/>
          <w:cols w:equalWidth="0" w:num="1">
            <w:col w:w="11400"/>
          </w:cols>
          <w:pgMar w:left="240" w:top="341" w:right="259" w:bottom="0" w:gutter="0" w:footer="0" w:header="0"/>
        </w:sectPr>
      </w:pPr>
    </w:p>
    <w:bookmarkStart w:id="38" w:name="page39"/>
    <w:bookmarkEnd w:id="38"/>
    <w:p>
      <w:pPr>
        <w:ind w:left="1360" w:hanging="704"/>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Additional Interest shall be payable at the same time, in the same manner and to the same Persons as ordinary interest.</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firstLine="656"/>
        <w:spacing w:after="0" w:line="272" w:lineRule="auto"/>
        <w:tabs>
          <w:tab w:leader="none" w:pos="1368"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-1362710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i w:val="1"/>
          <w:iCs w:val="1"/>
          <w:color w:val="auto"/>
        </w:rPr>
        <w:t>Section 7.01. General</w:t>
      </w:r>
      <w:r>
        <w:rPr>
          <w:rFonts w:ascii="Arial" w:cs="Arial" w:eastAsia="Arial" w:hAnsi="Arial"/>
          <w:sz w:val="18"/>
          <w:szCs w:val="18"/>
          <w:color w:val="auto"/>
        </w:rPr>
        <w:t>. (a) The duties and responsibilities of the Trustee are as provided by the Trust Indenture Act and as set forth herein.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100" w:firstLine="1305"/>
        <w:spacing w:after="0" w:line="279" w:lineRule="auto"/>
        <w:tabs>
          <w:tab w:leader="none" w:pos="2001"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680" w:firstLine="1305"/>
        <w:spacing w:after="0" w:line="277" w:lineRule="auto"/>
        <w:tabs>
          <w:tab w:leader="none" w:pos="19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60" w:firstLine="1305"/>
        <w:spacing w:after="0" w:line="255" w:lineRule="auto"/>
        <w:tabs>
          <w:tab w:leader="none" w:pos="19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308" w:lineRule="auto"/>
        <w:tabs>
          <w:tab w:leader="none" w:pos="20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and/or an Opinion of Counsel conforming to Section 13.05 and the Trustee will not be liable for any action it takes or omits to take in good faith in reliance on the certificate or opinion.</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appointed with due care.</w:t>
      </w:r>
    </w:p>
    <w:p>
      <w:pPr>
        <w:spacing w:after="0" w:line="210" w:lineRule="exact"/>
        <w:rPr>
          <w:rFonts w:ascii="Arial" w:cs="Arial" w:eastAsia="Arial" w:hAnsi="Arial"/>
          <w:sz w:val="16"/>
          <w:szCs w:val="16"/>
          <w:color w:val="auto"/>
        </w:rPr>
      </w:pPr>
    </w:p>
    <w:p>
      <w:pPr>
        <w:ind w:right="280" w:firstLine="1305"/>
        <w:spacing w:after="0" w:line="264" w:lineRule="auto"/>
        <w:tabs>
          <w:tab w:leader="none" w:pos="20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ind w:right="20" w:firstLine="1305"/>
        <w:spacing w:after="0" w:line="259" w:lineRule="auto"/>
        <w:tabs>
          <w:tab w:leader="none" w:pos="19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680" w:firstLine="1305"/>
        <w:spacing w:after="0" w:line="342" w:lineRule="auto"/>
        <w:tabs>
          <w:tab w:leader="none" w:pos="201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right="80" w:firstLine="1305"/>
        <w:spacing w:after="0" w:line="264" w:lineRule="auto"/>
        <w:tabs>
          <w:tab w:leader="none" w:pos="20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60" w:firstLine="1305"/>
        <w:spacing w:after="0" w:line="302" w:lineRule="auto"/>
        <w:tabs>
          <w:tab w:leader="none" w:pos="20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54" w:lineRule="exact"/>
        <w:rPr>
          <w:rFonts w:ascii="Arial" w:cs="Arial" w:eastAsia="Arial" w:hAnsi="Arial"/>
          <w:sz w:val="16"/>
          <w:szCs w:val="16"/>
          <w:color w:val="auto"/>
        </w:rPr>
      </w:pPr>
    </w:p>
    <w:p>
      <w:pPr>
        <w:jc w:val="both"/>
        <w:ind w:right="480" w:firstLine="1305"/>
        <w:spacing w:after="0" w:line="264" w:lineRule="auto"/>
        <w:tabs>
          <w:tab w:leader="none" w:pos="20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ectPr>
          <w:pgSz w:w="11900" w:h="16838" w:orient="portrait"/>
          <w:cols w:equalWidth="0" w:num="1">
            <w:col w:w="11400"/>
          </w:cols>
          <w:pgMar w:left="240" w:top="125" w:right="259" w:bottom="0" w:gutter="0" w:footer="0" w:header="0"/>
        </w:sectPr>
      </w:pPr>
    </w:p>
    <w:bookmarkStart w:id="39" w:name="page40"/>
    <w:bookmarkEnd w:id="39"/>
    <w:p>
      <w:pPr>
        <w:ind w:left="2020" w:hanging="715"/>
        <w:spacing w:after="0"/>
        <w:tabs>
          <w:tab w:leader="none" w:pos="20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permissive rights of the Trustee to take certain actions under this Indenture shall not be construed as a duty unless so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specified herein.</w:t>
      </w:r>
    </w:p>
    <w:p>
      <w:pPr>
        <w:spacing w:after="0" w:line="211" w:lineRule="exact"/>
        <w:rPr>
          <w:sz w:val="20"/>
          <w:szCs w:val="20"/>
          <w:color w:val="auto"/>
        </w:rPr>
      </w:pPr>
    </w:p>
    <w:p>
      <w:pPr>
        <w:jc w:val="both"/>
        <w:ind w:right="180" w:firstLine="648"/>
        <w:spacing w:after="0" w:line="308" w:lineRule="auto"/>
        <w:rPr>
          <w:sz w:val="20"/>
          <w:szCs w:val="20"/>
          <w:color w:val="auto"/>
        </w:rPr>
      </w:pPr>
      <w:r>
        <w:rPr>
          <w:rFonts w:ascii="Arial" w:cs="Arial" w:eastAsia="Arial" w:hAnsi="Arial"/>
          <w:sz w:val="17"/>
          <w:szCs w:val="17"/>
          <w:i w:val="1"/>
          <w:iCs w:val="1"/>
          <w:color w:val="auto"/>
        </w:rPr>
        <w:t>Section 7.03. Individual Rights of Trustee</w:t>
      </w:r>
      <w:r>
        <w:rPr>
          <w:rFonts w:ascii="Arial" w:cs="Arial" w:eastAsia="Arial" w:hAnsi="Arial"/>
          <w:sz w:val="17"/>
          <w:szCs w:val="17"/>
          <w:color w:val="auto"/>
        </w:rPr>
        <w:t>. The Trustee, in its individual or any other capacity, may become the owner or pledgee of Notes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may otherwise deal with the Company or its Affiliates with the same rights it would have if it were not the Trustee. Any Agent may do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same with like rights. However, the Trustee is subject to Trust Indenture Act Sections 310(b) and 311.</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7.04. Trustee’s Disclaimer</w:t>
      </w:r>
      <w:r>
        <w:rPr>
          <w:rFonts w:ascii="Arial" w:cs="Arial" w:eastAsia="Arial" w:hAnsi="Arial"/>
          <w:sz w:val="18"/>
          <w:szCs w:val="18"/>
          <w:color w:val="auto"/>
        </w:rPr>
        <w:t>. The Trustee (a) makes no representation as to the validity or adequacy of this Indenture or the Notes, (b)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Section 7.05. Notice of Default</w:t>
      </w:r>
      <w:r>
        <w:rPr>
          <w:rFonts w:ascii="Arial" w:cs="Arial" w:eastAsia="Arial" w:hAnsi="Arial"/>
          <w:sz w:val="17"/>
          <w:szCs w:val="17"/>
          <w:color w:val="auto"/>
        </w:rPr>
        <w:t>. If any Default or Event of Default occurs and is continuing and is known to the Trustee, the Trustee will send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notice of the Default or Event of Default to each Holder within 90 days after it occurs, unless the Default or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Section 7.06. Reports by Trustee to Holders</w:t>
      </w:r>
      <w:r>
        <w:rPr>
          <w:rFonts w:ascii="Arial" w:cs="Arial" w:eastAsia="Arial" w:hAnsi="Arial"/>
          <w:sz w:val="16"/>
          <w:szCs w:val="16"/>
          <w:color w:val="auto"/>
        </w:rPr>
        <w:t>. Within 60 days after each June 1, beginning with June 1, 2012, the Trustee will mail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as provided in Trust Indenture Act Section 313(c), a brief report dated as of such June 1, if required by Trust Indenture Act Section 313(a), and file such reports with each stock exchange upon which its Notes are listed and with the Commission as required by Trust Indenture Act Section 313(d).</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Section 7.07. Compensation and Indemnity</w:t>
      </w:r>
      <w:r>
        <w:rPr>
          <w:rFonts w:ascii="Arial" w:cs="Arial" w:eastAsia="Arial" w:hAnsi="Arial"/>
          <w:sz w:val="18"/>
          <w:szCs w:val="18"/>
          <w:color w:val="auto"/>
        </w:rPr>
        <w:t>. (a) The Company will pay the Trustee compensation as agreed upon in writing for its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79" w:lineRule="auto"/>
        <w:tabs>
          <w:tab w:leader="none" w:pos="200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ind w:right="400" w:firstLine="1305"/>
        <w:spacing w:after="0" w:line="264" w:lineRule="auto"/>
        <w:tabs>
          <w:tab w:leader="none" w:pos="199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60" w:hanging="707"/>
        <w:spacing w:after="0"/>
        <w:tabs>
          <w:tab w:leader="none" w:pos="2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1953"/>
        <w:spacing w:after="0" w:line="264" w:lineRule="auto"/>
        <w:tabs>
          <w:tab w:leader="none" w:pos="26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1953"/>
        <w:spacing w:after="0" w:line="264" w:lineRule="auto"/>
        <w:tabs>
          <w:tab w:leader="none" w:pos="2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ind w:right="120" w:firstLine="1305"/>
        <w:spacing w:after="0" w:line="257" w:lineRule="auto"/>
        <w:tabs>
          <w:tab w:leader="none" w:pos="2001"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w:t>
      </w:r>
    </w:p>
    <w:p>
      <w:pPr>
        <w:spacing w:after="0" w:line="46" w:lineRule="exact"/>
        <w:rPr>
          <w:rFonts w:ascii="Arial" w:cs="Arial" w:eastAsia="Arial" w:hAnsi="Arial"/>
          <w:sz w:val="16"/>
          <w:szCs w:val="16"/>
          <w:color w:val="auto"/>
        </w:rPr>
      </w:pPr>
    </w:p>
    <w:p>
      <w:pPr>
        <w:ind w:right="180" w:firstLine="8"/>
        <w:spacing w:after="0" w:line="252" w:lineRule="auto"/>
        <w:tabs>
          <w:tab w:leader="none" w:pos="2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ectPr>
          <w:pgSz w:w="11900" w:h="16838" w:orient="portrait"/>
          <w:cols w:equalWidth="0" w:num="1">
            <w:col w:w="11420"/>
          </w:cols>
          <w:pgMar w:left="240" w:top="125" w:right="239" w:bottom="0" w:gutter="0" w:footer="0" w:header="0"/>
        </w:sectPr>
      </w:pPr>
    </w:p>
    <w:bookmarkStart w:id="40" w:name="page41"/>
    <w:bookmarkEnd w:id="40"/>
    <w:p>
      <w:pPr>
        <w:spacing w:after="0" w:line="94" w:lineRule="exact"/>
        <w:rPr>
          <w:sz w:val="20"/>
          <w:szCs w:val="20"/>
          <w:color w:val="auto"/>
        </w:rPr>
      </w:pPr>
    </w:p>
    <w:p>
      <w:pPr>
        <w:ind w:right="100" w:firstLine="1305"/>
        <w:spacing w:after="0" w:line="277" w:lineRule="auto"/>
        <w:tabs>
          <w:tab w:leader="none" w:pos="20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7.09. Successor Trustee by Merger</w:t>
      </w:r>
      <w:r>
        <w:rPr>
          <w:rFonts w:ascii="Arial" w:cs="Arial" w:eastAsia="Arial" w:hAnsi="Arial"/>
          <w:sz w:val="18"/>
          <w:szCs w:val="18"/>
          <w:color w:val="auto"/>
        </w:rPr>
        <w:t>. If the Trustee consolidates with, merges or converts into, or transfers all or substantially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trust business to, another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7.10. Eligibility</w:t>
      </w:r>
      <w:r>
        <w:rPr>
          <w:rFonts w:ascii="Arial" w:cs="Arial" w:eastAsia="Arial" w:hAnsi="Arial"/>
          <w:sz w:val="18"/>
          <w:szCs w:val="18"/>
          <w:color w:val="auto"/>
        </w:rPr>
        <w:t>. This Indenture must always have a Trustee that satisfies the requirements of Trust Indenture Act Section 310(a)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a combined capital and surplus of at least $25,000,000 as set forth in its most recent published annual report of condition.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Section 7.11. Money Held in Trust</w:t>
      </w:r>
      <w:r>
        <w:rPr>
          <w:rFonts w:ascii="Arial" w:cs="Arial" w:eastAsia="Arial" w:hAnsi="Arial"/>
          <w:sz w:val="18"/>
          <w:szCs w:val="18"/>
          <w:color w:val="auto"/>
        </w:rPr>
        <w:t>. The Trustee will not be liable for interest on any money received by it except as it may agree in writing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8.01. Satisfaction and Discharge of this Indenture</w:t>
      </w:r>
      <w:r>
        <w:rPr>
          <w:rFonts w:ascii="Arial" w:cs="Arial" w:eastAsia="Arial" w:hAnsi="Arial"/>
          <w:sz w:val="17"/>
          <w:szCs w:val="17"/>
          <w:color w:val="auto"/>
        </w:rPr>
        <w:t>. (a) This Indenture shall cease to be of further effect if either: (i) all outstanding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Termination of Trading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Common Stock or a combination thereof in respect of any such conversion on the Maturity Date, the Repurchase Date, the Redemption Date or the date such conversion is to be settled,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the Company shall pay to the Trustee all other sums payable hereunder by the Company.</w:t>
      </w:r>
    </w:p>
    <w:p>
      <w:pPr>
        <w:spacing w:after="0" w:line="182" w:lineRule="exact"/>
        <w:rPr>
          <w:sz w:val="20"/>
          <w:szCs w:val="20"/>
          <w:color w:val="auto"/>
        </w:rPr>
      </w:pPr>
    </w:p>
    <w:p>
      <w:pPr>
        <w:ind w:left="2000" w:hanging="695"/>
        <w:spacing w:after="0"/>
        <w:tabs>
          <w:tab w:leader="none" w:pos="2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firstLine="1953"/>
        <w:spacing w:after="0" w:line="277" w:lineRule="auto"/>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60" w:firstLine="1953"/>
        <w:spacing w:after="0" w:line="264" w:lineRule="auto"/>
        <w:tabs>
          <w:tab w:leader="none" w:pos="266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Section 8.02. Application of Trust Money</w:t>
      </w:r>
      <w:r>
        <w:rPr>
          <w:rFonts w:ascii="Arial" w:cs="Arial" w:eastAsia="Arial" w:hAnsi="Arial"/>
          <w:sz w:val="18"/>
          <w:szCs w:val="18"/>
          <w:color w:val="auto"/>
        </w:rPr>
        <w:t>. Subject to the provisions of Section 8.03, the Trustee or a Paying Agent shall hold in trust,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Cash and shares of Common Stock, if any, issuable upon conversion of the Notes.</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Section 8.03. Repayment to Company</w:t>
      </w:r>
      <w:r>
        <w:rPr>
          <w:rFonts w:ascii="Arial" w:cs="Arial" w:eastAsia="Arial" w:hAnsi="Arial"/>
          <w:sz w:val="18"/>
          <w:szCs w:val="18"/>
          <w:color w:val="auto"/>
        </w:rPr>
        <w:t>. The Trustee and each Paying Agent shall promptly pay or deliver, as the case may be,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request any excess money, Common Stock or other consideration (x) paid or delivered to them pursuant to Section 8.01 and (y) held by them at any time.</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w:t>
      </w:r>
    </w:p>
    <w:p>
      <w:pPr>
        <w:sectPr>
          <w:pgSz w:w="11900" w:h="16932" w:orient="portrait"/>
          <w:cols w:equalWidth="0" w:num="1">
            <w:col w:w="11420"/>
          </w:cols>
          <w:pgMar w:left="240" w:top="125" w:right="239" w:bottom="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Section 8.04. Reinstatement</w:t>
      </w:r>
      <w:r>
        <w:rPr>
          <w:rFonts w:ascii="Arial" w:cs="Arial" w:eastAsia="Arial" w:hAnsi="Arial"/>
          <w:sz w:val="18"/>
          <w:szCs w:val="18"/>
          <w:color w:val="auto"/>
        </w:rPr>
        <w:t>. If the Trustee or any Paying Agent is unable to apply any money, Common Stock or other consideration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delivery, as the case may be, had occurred pursuant to Section 8.01 until such time as the Trustee or such Paying Agent is permitted to apply all such money in accordance with Section 8.02;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9.01. Amendments Without Consent of Holders</w:t>
      </w:r>
      <w:r>
        <w:rPr>
          <w:rFonts w:ascii="Arial" w:cs="Arial" w:eastAsia="Arial" w:hAnsi="Arial"/>
          <w:sz w:val="18"/>
          <w:szCs w:val="18"/>
          <w:color w:val="auto"/>
        </w:rPr>
        <w:t>. The Company and the Trustee may amend or supplement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notice to or the consent of any Holder:</w:t>
      </w:r>
    </w:p>
    <w:p>
      <w:pPr>
        <w:spacing w:after="0" w:line="170" w:lineRule="exact"/>
        <w:rPr>
          <w:sz w:val="20"/>
          <w:szCs w:val="20"/>
          <w:color w:val="auto"/>
        </w:rPr>
      </w:pPr>
    </w:p>
    <w:p>
      <w:pPr>
        <w:ind w:right="40" w:firstLine="1305"/>
        <w:spacing w:after="0" w:line="277" w:lineRule="auto"/>
        <w:tabs>
          <w:tab w:leader="none" w:pos="199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Offering Memorandum;</w:t>
      </w:r>
    </w:p>
    <w:p>
      <w:pPr>
        <w:spacing w:after="0" w:line="170" w:lineRule="exact"/>
        <w:rPr>
          <w:rFonts w:ascii="Arial" w:cs="Arial" w:eastAsia="Arial" w:hAnsi="Arial"/>
          <w:sz w:val="18"/>
          <w:szCs w:val="18"/>
          <w:color w:val="auto"/>
        </w:rPr>
      </w:pPr>
    </w:p>
    <w:p>
      <w:pPr>
        <w:ind w:right="560" w:firstLine="1305"/>
        <w:spacing w:after="0" w:line="342" w:lineRule="auto"/>
        <w:tabs>
          <w:tab w:leader="none" w:pos="200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evidence a successor to the Company and the assumption by that successor of the obligations of the Company under this Indenture in accordance with Article 5 or Section 10.09, including to provide for the adjustments to the Conversion Rate as set forth in Section 10.09;</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Company;</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9.02. Amendments With Consent of Holders</w:t>
      </w:r>
      <w:r>
        <w:rPr>
          <w:rFonts w:ascii="Arial" w:cs="Arial" w:eastAsia="Arial" w:hAnsi="Arial"/>
          <w:sz w:val="18"/>
          <w:szCs w:val="18"/>
          <w:color w:val="auto"/>
        </w:rPr>
        <w:t>. (a) Except as otherwise provided in Section 6.07 or paragraph (b),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payment or delivery of the cash and shares of Common Stock, if any, due upon conversion or redemption of the Notes or (v) in respect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provision that under this Indenture cannot be modified or amended without the consent of the Holder of each outstanding Note affected.</w:t>
      </w:r>
    </w:p>
    <w:p>
      <w:pPr>
        <w:spacing w:after="0" w:line="225" w:lineRule="exact"/>
        <w:rPr>
          <w:sz w:val="20"/>
          <w:szCs w:val="20"/>
          <w:color w:val="auto"/>
        </w:rPr>
      </w:pPr>
    </w:p>
    <w:p>
      <w:pPr>
        <w:ind w:left="2000" w:hanging="695"/>
        <w:spacing w:after="0"/>
        <w:tabs>
          <w:tab w:leader="none" w:pos="2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left="2660" w:hanging="707"/>
        <w:spacing w:after="0"/>
        <w:tabs>
          <w:tab w:leader="none" w:pos="26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reduce the principal amount of, or premium or interest payment on, any Note, or reduce the Repurchase Price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on any Note;</w:t>
      </w:r>
    </w:p>
    <w:p>
      <w:pPr>
        <w:spacing w:after="0" w:line="210" w:lineRule="exact"/>
        <w:rPr>
          <w:rFonts w:ascii="Arial" w:cs="Arial" w:eastAsia="Arial" w:hAnsi="Arial"/>
          <w:sz w:val="17"/>
          <w:szCs w:val="17"/>
          <w:color w:val="auto"/>
        </w:rPr>
      </w:pPr>
    </w:p>
    <w:p>
      <w:pPr>
        <w:ind w:left="2660" w:hanging="707"/>
        <w:spacing w:after="0"/>
        <w:tabs>
          <w:tab w:leader="none" w:pos="2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right="480" w:firstLine="1953"/>
        <w:spacing w:after="0" w:line="277" w:lineRule="auto"/>
        <w:tabs>
          <w:tab w:leader="none" w:pos="26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the Company to repurchase a Note upon the occurrence of a Change in Control or Termination of Trading or on the 2018 Repurchase Date;</w:t>
      </w:r>
    </w:p>
    <w:p>
      <w:pPr>
        <w:spacing w:after="0" w:line="170" w:lineRule="exact"/>
        <w:rPr>
          <w:rFonts w:ascii="Arial" w:cs="Arial" w:eastAsia="Arial" w:hAnsi="Arial"/>
          <w:sz w:val="18"/>
          <w:szCs w:val="18"/>
          <w:color w:val="auto"/>
        </w:rPr>
      </w:pPr>
    </w:p>
    <w:p>
      <w:pPr>
        <w:ind w:right="180" w:firstLine="1953"/>
        <w:spacing w:after="0" w:line="277" w:lineRule="auto"/>
        <w:tabs>
          <w:tab w:leader="none" w:pos="2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ectPr>
          <w:pgSz w:w="11900" w:h="16838" w:orient="portrait"/>
          <w:cols w:equalWidth="0" w:num="1">
            <w:col w:w="11420"/>
          </w:cols>
          <w:pgMar w:left="240" w:top="125" w:right="239" w:bottom="32" w:gutter="0" w:footer="0" w:header="0"/>
        </w:sectPr>
      </w:pPr>
    </w:p>
    <w:bookmarkStart w:id="42" w:name="page43"/>
    <w:bookmarkEnd w:id="42"/>
    <w:p>
      <w:pPr>
        <w:ind w:right="100" w:firstLine="1305"/>
        <w:spacing w:after="0" w:line="277" w:lineRule="auto"/>
        <w:tabs>
          <w:tab w:leader="none" w:pos="19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is not necessary for 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20" w:firstLine="1305"/>
        <w:spacing w:after="0" w:line="255"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(including consents delivered in accordance with the Applicable Procedures with respect to Global Notes) from the Holders of the requisite percentage in principal 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9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Section 9.03. Effect of Consent</w:t>
      </w:r>
      <w:r>
        <w:rPr>
          <w:rFonts w:ascii="Arial" w:cs="Arial" w:eastAsia="Arial" w:hAnsi="Arial"/>
          <w:sz w:val="18"/>
          <w:szCs w:val="18"/>
          <w:color w:val="auto"/>
        </w:rPr>
        <w:t>. (a) After an amendment, supplement or waiver becomes effective, it will bind every Holder unless it 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requiring the consent of each Holder affected. If the amendment, supplement or waiver is of the type requiring the consent of each Holder affected, the amendment, supplement or waiver shall bind each Holder that has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it and every subsequent Holder of a Note that evidences the same debt as the Note of the consenting Holder.</w:t>
      </w:r>
    </w:p>
    <w:p>
      <w:pPr>
        <w:spacing w:after="0" w:line="225" w:lineRule="exact"/>
        <w:rPr>
          <w:sz w:val="20"/>
          <w:szCs w:val="20"/>
          <w:color w:val="auto"/>
        </w:rPr>
      </w:pPr>
    </w:p>
    <w:p>
      <w:pPr>
        <w:ind w:right="40" w:firstLine="1305"/>
        <w:spacing w:after="0" w:line="279" w:lineRule="auto"/>
        <w:tabs>
          <w:tab w:leader="none" w:pos="1927"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Section 9.04. Trustee’s Rights and Obligations</w:t>
      </w:r>
      <w:r>
        <w:rPr>
          <w:rFonts w:ascii="Arial" w:cs="Arial" w:eastAsia="Arial" w:hAnsi="Arial"/>
          <w:sz w:val="17"/>
          <w:szCs w:val="17"/>
          <w:color w:val="auto"/>
        </w:rPr>
        <w:t>. The Trustee is entitled to receive, and will be fully protected in relying upon, an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Section 9.05. Payments for Consents</w:t>
      </w:r>
      <w:r>
        <w:rPr>
          <w:rFonts w:ascii="Arial" w:cs="Arial" w:eastAsia="Arial" w:hAnsi="Arial"/>
          <w:sz w:val="18"/>
          <w:szCs w:val="18"/>
          <w:color w:val="auto"/>
        </w:rPr>
        <w:t>. The Company shall not, and shall not permit or suffer any of its Subsidiaries or Affiliates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Conversion Privilege</w:t>
      </w:r>
    </w:p>
    <w:p>
      <w:pPr>
        <w:spacing w:after="0" w:line="225" w:lineRule="exact"/>
        <w:rPr>
          <w:sz w:val="20"/>
          <w:szCs w:val="20"/>
          <w:color w:val="auto"/>
        </w:rPr>
      </w:pPr>
    </w:p>
    <w:p>
      <w:pPr>
        <w:ind w:firstLine="1305"/>
        <w:spacing w:after="0" w:line="288" w:lineRule="auto"/>
        <w:tabs>
          <w:tab w:leader="none" w:pos="1917" w:val="left"/>
        </w:tabs>
        <w:numPr>
          <w:ilvl w:val="1"/>
          <w:numId w:val="95"/>
        </w:numPr>
        <w:rPr>
          <w:rFonts w:ascii="Arial" w:cs="Arial" w:eastAsia="Arial" w:hAnsi="Arial"/>
          <w:sz w:val="16"/>
          <w:szCs w:val="16"/>
          <w:color w:val="auto"/>
        </w:rPr>
      </w:pPr>
      <w:r>
        <w:rPr>
          <w:rFonts w:ascii="Arial" w:cs="Arial" w:eastAsia="Arial" w:hAnsi="Arial"/>
          <w:sz w:val="16"/>
          <w:szCs w:val="16"/>
          <w:color w:val="auto"/>
        </w:rPr>
        <w:t>Subject to and upon compliance with the provisions of this Article 10, a Holder shall have the right, at such Holder’s option, to convert all or any portion (if the portion to be converted is $1,000 principal amount or an integral multiple thereof) of such Holder’s Notes at any time prior to the Close of Business on the Business Day immediately preceding the Maturity Date, upon the occurrence of any of the events set forth in clauses (i) through</w:t>
      </w:r>
    </w:p>
    <w:p>
      <w:pPr>
        <w:jc w:val="both"/>
        <w:ind w:right="80" w:firstLine="8"/>
        <w:spacing w:after="0" w:line="253" w:lineRule="auto"/>
        <w:tabs>
          <w:tab w:leader="none" w:pos="3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Section 10.01(b), at a Conversion Rate (the “</w:t>
      </w:r>
      <w:r>
        <w:rPr>
          <w:rFonts w:ascii="Arial" w:cs="Arial" w:eastAsia="Arial" w:hAnsi="Arial"/>
          <w:sz w:val="18"/>
          <w:szCs w:val="18"/>
          <w:b w:val="1"/>
          <w:bCs w:val="1"/>
          <w:color w:val="auto"/>
        </w:rPr>
        <w:t>Conversion Rate</w:t>
      </w:r>
      <w:r>
        <w:rPr>
          <w:rFonts w:ascii="Arial" w:cs="Arial" w:eastAsia="Arial" w:hAnsi="Arial"/>
          <w:sz w:val="18"/>
          <w:szCs w:val="18"/>
          <w:color w:val="auto"/>
        </w:rPr>
        <w:t>”) of 105.2632 shares of Common Stock per $1,000 principal amount of Notes. Upon conversion of any Notes, the Company shall deliver to the converting Holder Cash up to the aggregate principal amount of Notes to be converted and shares of Common Stock, Cash or a combination thereof in respect of the remainder, if any, of its conversion obligation in excess of the aggregate principal amount of the Notes being converted, as described in Section 10.03 and subject to adjustment as set forth in this Article 10 (the Company’s obligation to deliver such consideration being herein called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92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Holder may convert its Notes prior to the Close of Business on the Business Day immediately preceding the Maturity Date, upon the occurrence of any of the events set forth below:</w:t>
      </w:r>
    </w:p>
    <w:p>
      <w:pPr>
        <w:spacing w:after="0" w:line="170" w:lineRule="exact"/>
        <w:rPr>
          <w:rFonts w:ascii="Arial" w:cs="Arial" w:eastAsia="Arial" w:hAnsi="Arial"/>
          <w:sz w:val="18"/>
          <w:szCs w:val="18"/>
          <w:color w:val="auto"/>
        </w:rPr>
      </w:pPr>
    </w:p>
    <w:p>
      <w:pPr>
        <w:ind w:right="80" w:firstLine="1953"/>
        <w:spacing w:after="0" w:line="312" w:lineRule="auto"/>
        <w:tabs>
          <w:tab w:leader="none" w:pos="2574" w:val="left"/>
        </w:tabs>
        <w:numPr>
          <w:ilvl w:val="1"/>
          <w:numId w:val="97"/>
        </w:numPr>
        <w:rPr>
          <w:rFonts w:ascii="Arial" w:cs="Arial" w:eastAsia="Arial" w:hAnsi="Arial"/>
          <w:sz w:val="16"/>
          <w:szCs w:val="16"/>
          <w:color w:val="auto"/>
        </w:rPr>
      </w:pPr>
      <w:r>
        <w:rPr>
          <w:rFonts w:ascii="Arial" w:cs="Arial" w:eastAsia="Arial" w:hAnsi="Arial"/>
          <w:sz w:val="16"/>
          <w:szCs w:val="16"/>
          <w:color w:val="auto"/>
        </w:rPr>
        <w:t>during any calendar quarter commencing at any time after September 30, 2011, and only during such calendar quarter, if the Closing Price of Common Stock for at least 20 Trading Days in the period of 30 consecutive Trading Days ending on the last Trading Day of the preceding calendar quarter exceeds the Conversion Trigger Price (as defined in Section 10.01(c)) on the last Trading Day of such preceding calendar quarter;</w:t>
      </w:r>
    </w:p>
    <w:p>
      <w:pPr>
        <w:spacing w:after="0" w:line="146" w:lineRule="exact"/>
        <w:rPr>
          <w:rFonts w:ascii="Arial" w:cs="Arial" w:eastAsia="Arial" w:hAnsi="Arial"/>
          <w:sz w:val="16"/>
          <w:szCs w:val="16"/>
          <w:color w:val="auto"/>
        </w:rPr>
      </w:pPr>
    </w:p>
    <w:p>
      <w:pPr>
        <w:ind w:right="360" w:firstLine="1953"/>
        <w:spacing w:after="0" w:line="302" w:lineRule="auto"/>
        <w:tabs>
          <w:tab w:leader="none" w:pos="2585" w:val="left"/>
        </w:tabs>
        <w:numPr>
          <w:ilvl w:val="1"/>
          <w:numId w:val="97"/>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in which the Trading Price per $1,000 principal amount of Notes for each Trading Day during that five-day period was less than 98% of the product of the Closing Price of Common Stock and the then Applicable Conversion Rate for the Notes on such Trading Day, subject to compliance with the procedures and conditions described in Section 10.01(d) concerning the Trustee’s obligation to make a Trading Price determination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1953"/>
        <w:spacing w:after="0" w:line="273" w:lineRule="auto"/>
        <w:tabs>
          <w:tab w:leader="none" w:pos="2597" w:val="left"/>
        </w:tabs>
        <w:numPr>
          <w:ilvl w:val="1"/>
          <w:numId w:val="97"/>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ectPr>
          <w:pgSz w:w="11900" w:h="16838" w:orient="portrait"/>
          <w:cols w:equalWidth="0" w:num="1">
            <w:col w:w="11400"/>
          </w:cols>
          <w:pgMar w:left="240" w:top="125" w:right="259" w:bottom="0" w:gutter="0" w:footer="0" w:header="0"/>
        </w:sectPr>
      </w:pPr>
    </w:p>
    <w:bookmarkStart w:id="43" w:name="page44"/>
    <w:bookmarkEnd w:id="43"/>
    <w:p>
      <w:pPr>
        <w:spacing w:after="0" w:line="114" w:lineRule="exact"/>
        <w:rPr>
          <w:sz w:val="20"/>
          <w:szCs w:val="20"/>
          <w:color w:val="auto"/>
        </w:rPr>
      </w:pPr>
    </w:p>
    <w:p>
      <w:pPr>
        <w:ind w:right="20" w:firstLine="1953"/>
        <w:spacing w:after="0" w:line="255" w:lineRule="auto"/>
        <w:tabs>
          <w:tab w:leader="none" w:pos="25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indebtedness) or other assets (excluding dividends or distributions described in Section 10.07(a)), which distribution, together with all other such distributions within the preceding twelve months, has a per share value, as determined by the Board of Directors,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89" w:lineRule="exact"/>
        <w:rPr>
          <w:rFonts w:ascii="Arial" w:cs="Arial" w:eastAsia="Arial" w:hAnsi="Arial"/>
          <w:sz w:val="18"/>
          <w:szCs w:val="18"/>
          <w:color w:val="auto"/>
        </w:rPr>
      </w:pPr>
    </w:p>
    <w:p>
      <w:pPr>
        <w:ind w:right="80" w:firstLine="1953"/>
        <w:spacing w:after="0" w:line="264" w:lineRule="auto"/>
        <w:tabs>
          <w:tab w:leader="none" w:pos="25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Termination of Trading occurs, during the period from, and including, the earlier of (i) the date the applicable securities exchange announces that a Termination of Trading will occur and (ii) the effective date of the Termination of Trading, to, and including, the related Repurchase Date;</w:t>
      </w:r>
    </w:p>
    <w:p>
      <w:pPr>
        <w:spacing w:after="0" w:line="181" w:lineRule="exact"/>
        <w:rPr>
          <w:rFonts w:ascii="Arial" w:cs="Arial" w:eastAsia="Arial" w:hAnsi="Arial"/>
          <w:sz w:val="18"/>
          <w:szCs w:val="18"/>
          <w:color w:val="auto"/>
        </w:rPr>
      </w:pPr>
    </w:p>
    <w:p>
      <w:pPr>
        <w:ind w:right="120" w:firstLine="1953"/>
        <w:spacing w:after="0" w:line="277" w:lineRule="auto"/>
        <w:tabs>
          <w:tab w:leader="none" w:pos="25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Make-Whole Change in Control that does not constitute a Change in Control occurs or if the Company is a party to a consolidation, merger, binding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exchange, or transfer or lease of all or substantially all of the Company’s assets, pursuant to which Common Stock would be converted into Cash, securities or other assets, during the period from, and including, the date that is 25 Business Days prior to the anticipated effective date of the transaction, to, and including, the date that is 35 Trading Days after the actual effective date of such transaction;</w:t>
      </w:r>
    </w:p>
    <w:p>
      <w:pPr>
        <w:spacing w:after="0" w:line="181" w:lineRule="exact"/>
        <w:rPr>
          <w:sz w:val="20"/>
          <w:szCs w:val="20"/>
          <w:color w:val="auto"/>
        </w:rPr>
      </w:pPr>
    </w:p>
    <w:p>
      <w:pPr>
        <w:ind w:right="580" w:firstLine="1953"/>
        <w:spacing w:after="0" w:line="277" w:lineRule="auto"/>
        <w:tabs>
          <w:tab w:leader="none" w:pos="25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 Change of Control occurs, during the period from, and including, the date that is 25 Business Days prior to the anticipated effective date of the transaction, to, and including, the related Repurchase Date;</w:t>
      </w:r>
    </w:p>
    <w:p>
      <w:pPr>
        <w:spacing w:after="0" w:line="170" w:lineRule="exact"/>
        <w:rPr>
          <w:rFonts w:ascii="Arial" w:cs="Arial" w:eastAsia="Arial" w:hAnsi="Arial"/>
          <w:sz w:val="18"/>
          <w:szCs w:val="18"/>
          <w:color w:val="auto"/>
        </w:rPr>
      </w:pPr>
    </w:p>
    <w:p>
      <w:pPr>
        <w:ind w:right="860" w:firstLine="1953"/>
        <w:spacing w:after="0" w:line="277" w:lineRule="auto"/>
        <w:tabs>
          <w:tab w:leader="none" w:pos="26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 any time on or after May 1, 2031 until the Close of Business on the Business Day immediately preceding the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07" w:lineRule="exact"/>
        <w:rPr>
          <w:sz w:val="20"/>
          <w:szCs w:val="20"/>
          <w:color w:val="auto"/>
        </w:rPr>
      </w:pPr>
    </w:p>
    <w:p>
      <w:pPr>
        <w:ind w:right="120" w:firstLine="1305"/>
        <w:spacing w:after="0" w:line="258" w:lineRule="auto"/>
        <w:tabs>
          <w:tab w:leader="none" w:pos="19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equal 130% of the Conversion Price. The Conversion Trigger Price will initially equal $12.35 and shall be automatically adjusted whenever the Conversion Price is adjusted as a result of an adjustment in the Conversion Rate pursuant to this Article 10. The Company will determine at the beginning of each calendar quarter commencing at any time after September 30, 2011, whether the Notes are convertible as a result of the price of Common Stock exceeding the Conversion Trigger Price in accordance with Section 10.01(b)(i) and will notify the Conversion Agent and the Trustee.</w:t>
      </w:r>
    </w:p>
    <w:p>
      <w:pPr>
        <w:spacing w:after="0" w:line="187" w:lineRule="exact"/>
        <w:rPr>
          <w:rFonts w:ascii="Arial" w:cs="Arial" w:eastAsia="Arial" w:hAnsi="Arial"/>
          <w:sz w:val="18"/>
          <w:szCs w:val="18"/>
          <w:color w:val="auto"/>
        </w:rPr>
      </w:pPr>
    </w:p>
    <w:p>
      <w:pPr>
        <w:ind w:right="40" w:firstLine="1305"/>
        <w:spacing w:after="0" w:line="268" w:lineRule="auto"/>
        <w:tabs>
          <w:tab w:leader="none" w:pos="19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Holder provides the Company with reasonable evidence that the Trading Price per $1,000 principal amount of the Notes at such time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 Common Stock and the then Applicable Conversion Rate on each day the Company or the Trustee fails to do so. If the Trading Price Condition has been met, the Company shall so notify the Holders and the Trustee. If, at any point after the Trading Price Condition has been met, the Trading Price per $1,000 principal amount of Notes is greater than 98% of the product of the Closing Price of Common Stock and the then Applicable Conversion Rate, the Company shall so notify the Holders and the Trustee.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firstLine="1305"/>
        <w:spacing w:after="0" w:line="302" w:lineRule="auto"/>
        <w:tabs>
          <w:tab w:leader="none" w:pos="19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Holders at least 35 Business Days prior to the Ex-Date for such distribution by (i) issuing a press release and using its reasonable efforts to post such information on its website or otherwise publicly disclose this information or (ii) providing written notice to Holders by mailing such notice to Holders at their address in the Register (in the case of a Certificated Note), or through the facilities of the Depositary (in the case of a Global Note).</w:t>
      </w:r>
    </w:p>
    <w:p>
      <w:pPr>
        <w:spacing w:after="0" w:line="154" w:lineRule="exact"/>
        <w:rPr>
          <w:rFonts w:ascii="Arial" w:cs="Arial" w:eastAsia="Arial" w:hAnsi="Arial"/>
          <w:sz w:val="16"/>
          <w:szCs w:val="16"/>
          <w:color w:val="auto"/>
        </w:rPr>
      </w:pPr>
    </w:p>
    <w:p>
      <w:pPr>
        <w:ind w:firstLine="1305"/>
        <w:spacing w:after="0" w:line="291" w:lineRule="auto"/>
        <w:tabs>
          <w:tab w:leader="none" w:pos="19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connection with the transactions described in Section 10.01(b)(v), (vi) or (vii), the Company shall notify the Holders and the Trustee (i) in the case of a Change in Control or a Make-Whole Change in Control, as promptly as practicable following the date the Company publicly announces such transaction, which shall be at least 25 Business Days prior to the anticipated effective date in the case of transactions to which the Company is a party, and (ii) in the case of a Termination of Trading, the earlier of (x) the day immediately following the date the applicable securities exchange announces that a termination of trading will occur and (y) the effective date of a Termination of Trading by (A) issuing a press release and using its reasonable efforts to post such information on its website or otherwise publicly disclose this information or (B) providing written notice to Holders by mailing such notice to Holders at their address in the Register (in the case of a Certificated Note), or through the facilities of the Depositary (in the case of a Global Note).</w:t>
      </w:r>
    </w:p>
    <w:p>
      <w:pPr>
        <w:spacing w:after="0" w:line="167" w:lineRule="exact"/>
        <w:rPr>
          <w:rFonts w:ascii="Arial" w:cs="Arial" w:eastAsia="Arial" w:hAnsi="Arial"/>
          <w:sz w:val="16"/>
          <w:szCs w:val="16"/>
          <w:color w:val="auto"/>
        </w:rPr>
      </w:pPr>
    </w:p>
    <w:p>
      <w:pPr>
        <w:ind w:right="120" w:firstLine="1305"/>
        <w:spacing w:after="0" w:line="259" w:lineRule="auto"/>
        <w:tabs>
          <w:tab w:leader="none" w:pos="19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determining that 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Holders by mailing such notice to Holders at their address in the Register (in the case of a Certificated Note), or through the facilities of the Depositary (in the case of a Global Note).</w:t>
      </w:r>
    </w:p>
    <w:p>
      <w:pPr>
        <w:spacing w:after="0" w:line="186" w:lineRule="exact"/>
        <w:rPr>
          <w:rFonts w:ascii="Arial" w:cs="Arial" w:eastAsia="Arial" w:hAnsi="Arial"/>
          <w:sz w:val="18"/>
          <w:szCs w:val="18"/>
          <w:color w:val="auto"/>
        </w:rPr>
      </w:pPr>
    </w:p>
    <w:p>
      <w:pPr>
        <w:ind w:firstLine="1305"/>
        <w:spacing w:after="0" w:line="308" w:lineRule="auto"/>
        <w:tabs>
          <w:tab w:leader="none" w:pos="192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Holders shall not have the right to convert their Notes pursuant to Section 10.01(b)(iii) or Section 10.01(b)(iv) if in connection with the distribution described in Section 10.01(b)(iii) or Section 10.01(b)(iv) that gives rise to a right to convert their Notes, such Holders are entitled to</w:t>
      </w:r>
    </w:p>
    <w:p>
      <w:pPr>
        <w:sectPr>
          <w:pgSz w:w="11900" w:h="16953" w:orient="portrait"/>
          <w:cols w:equalWidth="0" w:num="1">
            <w:col w:w="11420"/>
          </w:cols>
          <w:pgMar w:left="240" w:top="125" w:right="239" w:bottom="0" w:gutter="0" w:footer="0" w:header="0"/>
        </w:sectPr>
      </w:pPr>
    </w:p>
    <w:bookmarkStart w:id="44" w:name="page45"/>
    <w:bookmarkEnd w:id="44"/>
    <w:p>
      <w:pPr>
        <w:spacing w:after="0" w:line="10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participate (as a result of holding the Notes, and at the same time as holders of Common Stock participate) in the distribution described in such Section as if such Holders held a number of shares of Common Stock equal to the Applicable Conversion Rate on the Ex-Date for such distribution,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principal amount (expressed in thousands) of Notes held by such Holder, without having to convert their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6"/>
          <w:szCs w:val="16"/>
          <w:i w:val="1"/>
          <w:iCs w:val="1"/>
          <w:color w:val="auto"/>
        </w:rPr>
        <w:t>Conversion Procedures; Conversion Settlement</w:t>
      </w:r>
    </w:p>
    <w:p>
      <w:pPr>
        <w:spacing w:after="0" w:line="225" w:lineRule="exact"/>
        <w:rPr>
          <w:sz w:val="20"/>
          <w:szCs w:val="20"/>
          <w:color w:val="auto"/>
        </w:rPr>
      </w:pPr>
    </w:p>
    <w:p>
      <w:pPr>
        <w:ind w:right="40" w:firstLine="656"/>
        <w:spacing w:after="0" w:line="276" w:lineRule="auto"/>
        <w:tabs>
          <w:tab w:leader="none" w:pos="89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convert a Note that is represented by a Certificated Note, a Holder must (1) 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amount of interest due on the next Interest Payment Date for such Note. If a Holder holds a beneficial interest in a Global Note, to convert such beneficial interest, such Holder must comply with requirements (4) and (5) as set forth in the immediately preceding sentence and comply with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 beneficial interest therein) have been satisfied is referred to in this Indenture as the “</w:t>
      </w:r>
      <w:r>
        <w:rPr>
          <w:rFonts w:ascii="Arial" w:cs="Arial" w:eastAsia="Arial" w:hAnsi="Arial"/>
          <w:sz w:val="16"/>
          <w:szCs w:val="16"/>
          <w:b w:val="1"/>
          <w:bCs w:val="1"/>
          <w:color w:val="auto"/>
        </w:rPr>
        <w:t>Conversion Date</w:t>
      </w:r>
      <w:r>
        <w:rPr>
          <w:rFonts w:ascii="Arial" w:cs="Arial" w:eastAsia="Arial" w:hAnsi="Arial"/>
          <w:sz w:val="16"/>
          <w:szCs w:val="16"/>
          <w:color w:val="auto"/>
        </w:rPr>
        <w:t>.” The Conversion Agent shall, within one (1) Business Day of any Conversion Date, provide notice to the Company, as set forth in Section 13.02, of the occurrence of such Conversion Date.</w:t>
      </w:r>
    </w:p>
    <w:p>
      <w:pPr>
        <w:spacing w:after="0" w:line="154" w:lineRule="exact"/>
        <w:rPr>
          <w:sz w:val="20"/>
          <w:szCs w:val="20"/>
          <w:color w:val="auto"/>
        </w:rPr>
      </w:pPr>
    </w:p>
    <w:p>
      <w:pPr>
        <w:ind w:right="120" w:firstLine="1305"/>
        <w:spacing w:after="0" w:line="308" w:lineRule="auto"/>
        <w:tabs>
          <w:tab w:leader="none" w:pos="192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Delivery of shares of Common Stock upon conversion of Notes shall occur as soon as practicable after the last Trading Day of the relevant Observation Period, but in any event within five Business Days after the last Trading Day of the relevant Observation Period.</w:t>
      </w:r>
    </w:p>
    <w:p>
      <w:pPr>
        <w:spacing w:after="0" w:line="146" w:lineRule="exact"/>
        <w:rPr>
          <w:rFonts w:ascii="Arial" w:cs="Arial" w:eastAsia="Arial" w:hAnsi="Arial"/>
          <w:sz w:val="17"/>
          <w:szCs w:val="17"/>
          <w:color w:val="auto"/>
        </w:rPr>
      </w:pPr>
    </w:p>
    <w:p>
      <w:pPr>
        <w:jc w:val="both"/>
        <w:ind w:right="280" w:firstLine="1305"/>
        <w:spacing w:after="0" w:line="264" w:lineRule="auto"/>
        <w:tabs>
          <w:tab w:leader="none" w:pos="19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Holder receiving Common Stock upon conversion shall not be entitled to any rights as a holder of Common Stock, including, among other things, the right to vote and receive dividends and notices of stockholder meetings, until the Close of Business on the last Trading Day of the Observation Period.</w:t>
      </w:r>
    </w:p>
    <w:p>
      <w:pPr>
        <w:spacing w:after="0" w:line="181" w:lineRule="exact"/>
        <w:rPr>
          <w:rFonts w:ascii="Arial" w:cs="Arial" w:eastAsia="Arial" w:hAnsi="Arial"/>
          <w:sz w:val="18"/>
          <w:szCs w:val="18"/>
          <w:color w:val="auto"/>
        </w:rPr>
      </w:pPr>
    </w:p>
    <w:p>
      <w:pPr>
        <w:ind w:right="60" w:firstLine="1305"/>
        <w:spacing w:after="0" w:line="271" w:lineRule="auto"/>
        <w:tabs>
          <w:tab w:leader="none" w:pos="192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payment or adjustment will be made for dividends on, or other distributions with respect to, any Common Stock except as provided in this Article 10. Upon conversion of a Note, a Holder will not receive, except as described below, any Cash payment representing accrued interest (including any Additional Interest), other than the Make-Whole Premium pursuant to Section 11.01. Instead, accrued interest (including any Additional Interest) will be deemed paid by the Cash and shares of Common Stock, if any, received by the Holder upon conversion. Delivery to the Holder of such Cash and shares of Common Stock, if any, shall thus be deemed to satisfy (1) the Company’s obligation to pay the principal amount of a Note, and (2) the Company’s obligation to pay any accrued and unpaid interest (including any Additional Interest) on the Note from the last Interest Payment Date to the Conversion Date. As a result, upon conversion of a Note, accrued and unpaid interest (including any Additional Interest) on such Note to, but not including, the Conversion Date is deemed paid in full rather than cancelled, extinguished or forfeited.</w:t>
      </w:r>
    </w:p>
    <w:p>
      <w:pPr>
        <w:spacing w:after="0" w:line="178" w:lineRule="exact"/>
        <w:rPr>
          <w:rFonts w:ascii="Arial" w:cs="Arial" w:eastAsia="Arial" w:hAnsi="Arial"/>
          <w:sz w:val="17"/>
          <w:szCs w:val="17"/>
          <w:color w:val="auto"/>
        </w:rPr>
      </w:pPr>
    </w:p>
    <w:p>
      <w:pPr>
        <w:ind w:firstLine="1305"/>
        <w:spacing w:after="0" w:line="271" w:lineRule="auto"/>
        <w:tabs>
          <w:tab w:leader="none" w:pos="191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Notwithstanding Section 10.02(d), if Notes are converted after a Regular Record Date but prior to the next succeeding Interest Payment Date, Holders of such Notes at the Close of Business on such Regular Record Date will receive the interest payable (including Additional Interest) on such Notes on the corresponding Interest Payment Date notwithstanding the conversion. Such Notes, upon surrender for conversion, must be accompanied by Cash equal to the amount of interest (including any Additional Interest) payable on such Interest Payment Date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(1) if the Company has specified a Redemption Date that is after a Regular Record Date but on or prior to the next succeeding Interest Payment Date, (2) if the Company has specified a Repurchase Date that is after a Regular Record Date but on or prior to the next succeeding Interest Payment Date, (3) with respect to any Notes converted after the Regular Record Date immediately preceding August 1, 2018 or (4) to the extent of any Defaulted Interest that exists at the time of conversion with respect to such Note.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1305"/>
        <w:spacing w:after="0" w:line="342" w:lineRule="auto"/>
        <w:tabs>
          <w:tab w:leader="none" w:pos="19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 Holder converts more than one Note at the same time, the number of shares of Common Stock and the amount of Cash delivered in lieu of fractional shares, if any, due upon conversion shall be determined based on the total principal amount of the Notes converted.</w:t>
      </w:r>
    </w:p>
    <w:p>
      <w:pPr>
        <w:spacing w:after="0" w:line="123" w:lineRule="exact"/>
        <w:rPr>
          <w:rFonts w:ascii="Arial" w:cs="Arial" w:eastAsia="Arial" w:hAnsi="Arial"/>
          <w:sz w:val="16"/>
          <w:szCs w:val="16"/>
          <w:color w:val="auto"/>
        </w:rPr>
      </w:pPr>
    </w:p>
    <w:p>
      <w:pPr>
        <w:ind w:right="80" w:firstLine="1305"/>
        <w:spacing w:after="0" w:line="277" w:lineRule="auto"/>
        <w:tabs>
          <w:tab w:leader="none" w:pos="192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10.03.</w:t>
      </w:r>
      <w:r>
        <w:rPr>
          <w:sz w:val="20"/>
          <w:szCs w:val="20"/>
          <w:color w:val="auto"/>
        </w:rPr>
        <w:tab/>
      </w:r>
      <w:r>
        <w:rPr>
          <w:rFonts w:ascii="Arial" w:cs="Arial" w:eastAsia="Arial" w:hAnsi="Arial"/>
          <w:sz w:val="16"/>
          <w:szCs w:val="16"/>
          <w:i w:val="1"/>
          <w:iCs w:val="1"/>
          <w:color w:val="auto"/>
        </w:rPr>
        <w:t>Settlement Upon Conversion</w:t>
      </w:r>
    </w:p>
    <w:p>
      <w:pPr>
        <w:spacing w:after="0" w:line="225" w:lineRule="exact"/>
        <w:rPr>
          <w:sz w:val="20"/>
          <w:szCs w:val="20"/>
          <w:color w:val="auto"/>
        </w:rPr>
      </w:pPr>
    </w:p>
    <w:p>
      <w:pPr>
        <w:ind w:right="120" w:firstLine="1305"/>
        <w:spacing w:after="0" w:line="259" w:lineRule="auto"/>
        <w:tabs>
          <w:tab w:leader="none" w:pos="19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Section 10.09, upon conversion of any Note, the Company shall pay or deliver, as the case may be, to the converting Holder, in respect of each $1,000 principal amount of Notes being converted, a “</w:t>
      </w:r>
      <w:r>
        <w:rPr>
          <w:rFonts w:ascii="Arial" w:cs="Arial" w:eastAsia="Arial" w:hAnsi="Arial"/>
          <w:sz w:val="18"/>
          <w:szCs w:val="18"/>
          <w:b w:val="1"/>
          <w:bCs w:val="1"/>
          <w:color w:val="auto"/>
        </w:rPr>
        <w:t>Settlement Amount</w:t>
      </w:r>
      <w:r>
        <w:rPr>
          <w:rFonts w:ascii="Arial" w:cs="Arial" w:eastAsia="Arial" w:hAnsi="Arial"/>
          <w:sz w:val="18"/>
          <w:szCs w:val="18"/>
          <w:color w:val="auto"/>
        </w:rPr>
        <w:t>” equal to the sum of the Daily Settlement Amounts for each of the 20 Trading Days during the relevant Observation Period for such Note, together with Cash, if applicable, in lieu of any fractional share of Common Stock in accordance with Section 10.04.</w:t>
      </w:r>
    </w:p>
    <w:p>
      <w:pPr>
        <w:spacing w:after="0" w:line="182" w:lineRule="exact"/>
        <w:rPr>
          <w:rFonts w:ascii="Arial" w:cs="Arial" w:eastAsia="Arial" w:hAnsi="Arial"/>
          <w:sz w:val="18"/>
          <w:szCs w:val="18"/>
          <w:color w:val="auto"/>
        </w:rPr>
      </w:pPr>
    </w:p>
    <w:p>
      <w:pPr>
        <w:jc w:val="both"/>
        <w:ind w:right="120" w:firstLine="1305"/>
        <w:spacing w:after="0" w:line="266" w:lineRule="auto"/>
        <w:tabs>
          <w:tab w:leader="none" w:pos="19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20 consecutive Trading Days during the applicable Observation Period, shall consist of (i) Cash in an amount equal to the lesser of (x) $50.00 and (y) the Daily Conversion Value on such Trading Day; and (ii) if the Daily Conversion Value on such Trading Day exceeds $50.00, the Daily Net Settlement Amount.</w:t>
      </w:r>
    </w:p>
    <w:p>
      <w:pPr>
        <w:spacing w:after="0" w:line="180" w:lineRule="exact"/>
        <w:rPr>
          <w:rFonts w:ascii="Arial" w:cs="Arial" w:eastAsia="Arial" w:hAnsi="Arial"/>
          <w:sz w:val="18"/>
          <w:szCs w:val="18"/>
          <w:color w:val="auto"/>
        </w:rPr>
      </w:pPr>
    </w:p>
    <w:p>
      <w:pPr>
        <w:ind w:right="120" w:firstLine="1305"/>
        <w:spacing w:after="0" w:line="302" w:lineRule="auto"/>
        <w:tabs>
          <w:tab w:leader="none" w:pos="191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All conversions occurring on or after the 24th Scheduled Trading Day immediately preceding the Maturity Date shall be settled using the same forms and amounts of consideration. Before the 24th Scheduled Trading Day immediately preceding the Maturity Date, the Company shall use the same forms and amounts of consideration for all conversions occurring on the same Conversion Date, but the Company shall not have any obligation to use the same forms and amounts of consideration with respect to conversions with Conversion Dates that occur on different Trading Days.</w:t>
      </w:r>
    </w:p>
    <w:p>
      <w:pPr>
        <w:spacing w:after="0" w:line="154" w:lineRule="exact"/>
        <w:rPr>
          <w:rFonts w:ascii="Arial" w:cs="Arial" w:eastAsia="Arial" w:hAnsi="Arial"/>
          <w:sz w:val="16"/>
          <w:szCs w:val="16"/>
          <w:color w:val="auto"/>
        </w:rPr>
      </w:pPr>
    </w:p>
    <w:p>
      <w:pPr>
        <w:ind w:right="40" w:firstLine="1305"/>
        <w:spacing w:after="0" w:line="302" w:lineRule="auto"/>
        <w:tabs>
          <w:tab w:leader="none" w:pos="192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 respect to any conversion of Notes, subject to subsection (c) of this Section 10.03, the Company may irrevocably elect to settle all or a portion of the remainder, if any, of its Conversion Obligation in excess of the aggregate principal portion of the Notes being converted in Cash by informing the Trustee, converting Holders, through the Trustee, and the Depositary of such election no later than the Close of Business on the Trading Day immediately following the relevant Conversion Date (or, in the case of any conversions occurring on or after the 24th Scheduled Trading Day immediately</w:t>
      </w:r>
    </w:p>
    <w:p>
      <w:pPr>
        <w:sectPr>
          <w:pgSz w:w="11900" w:h="16945" w:orient="portrait"/>
          <w:cols w:equalWidth="0" w:num="1">
            <w:col w:w="11420"/>
          </w:cols>
          <w:pgMar w:left="240" w:top="125" w:right="239" w:bottom="0" w:gutter="0" w:footer="0" w:header="0"/>
        </w:sectPr>
      </w:pPr>
    </w:p>
    <w:bookmarkStart w:id="45" w:name="page46"/>
    <w:bookmarkEnd w:id="45"/>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preceding the Maturity Date, no later than the 24th Scheduled Trading Day immediately preceding the Maturity Date), and the Company shall indicate in such notice the percentage of the remainder, if any, of the Company’s Conversion Obligation in excess of the aggregate principal portion of the Notes being converted that will be paid in Cash (the “</w:t>
      </w:r>
      <w:r>
        <w:rPr>
          <w:rFonts w:ascii="Arial" w:cs="Arial" w:eastAsia="Arial" w:hAnsi="Arial"/>
          <w:sz w:val="18"/>
          <w:szCs w:val="18"/>
          <w:b w:val="1"/>
          <w:bCs w:val="1"/>
          <w:color w:val="auto"/>
        </w:rPr>
        <w:t>Cash Percentage</w:t>
      </w:r>
      <w:r>
        <w:rPr>
          <w:rFonts w:ascii="Arial" w:cs="Arial" w:eastAsia="Arial" w:hAnsi="Arial"/>
          <w:sz w:val="18"/>
          <w:szCs w:val="18"/>
          <w:color w:val="auto"/>
        </w:rPr>
        <w:t>”).</w:t>
      </w:r>
    </w:p>
    <w:p>
      <w:pPr>
        <w:spacing w:after="0" w:line="181" w:lineRule="exact"/>
        <w:rPr>
          <w:sz w:val="20"/>
          <w:szCs w:val="20"/>
          <w:color w:val="auto"/>
        </w:rPr>
      </w:pPr>
    </w:p>
    <w:p>
      <w:pPr>
        <w:ind w:right="140" w:firstLine="1305"/>
        <w:spacing w:after="0" w:line="264" w:lineRule="auto"/>
        <w:tabs>
          <w:tab w:leader="none" w:pos="19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Daily Settlement Amounts (if applicable), the Daily Net Settlement Amounts (if applicable) and the Daily Conversion Values (if applicable) shall be determined by the Company promptly following the last day of the Observation Period. Promptly after such determination of the Daily Settlement Amounts, the Daily Net Settlement Amounts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applicable) or the Daily Conversion Values, as the case may be, and the amount of Cash, if any, deliverable in lieu of any fractional share of Common Stock, the Company shall notify the Trustee and the Conversion Agent (if other than the Trustee) of the Daily Settlement Amounts, the Daily Net Settlement Amounts (if applicable) or the Daily Conversion Values, as the case may be, and the amount of Cash, if any, deliverable in lieu of fractional shares of Common Stock. In calculating the Daily Settlement Amounts (if applicable) and the Daily Net Settlement Amounts (if applicable) the Conversion Rate on any day shall be appropriately adjusted to take into account the occurrence on or before such Trading Day of any event that would require an adjustment to the Conversion Rate as set forth in Section 10.07. The Trustee and the Conversion Agent (if other than the Trustee) shall have no responsibility for any such determination.</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Section 10.04. Fractional Shares</w:t>
      </w:r>
      <w:r>
        <w:rPr>
          <w:rFonts w:ascii="Arial" w:cs="Arial" w:eastAsia="Arial" w:hAnsi="Arial"/>
          <w:sz w:val="16"/>
          <w:szCs w:val="16"/>
          <w:color w:val="auto"/>
        </w:rPr>
        <w:t>. The Company will not issue a fractional share of Common Stock upon conversion of a Note. Instead,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pay Cash in lieu of fractional shares based on the Closing Price of Common Stock on the last Trading Day of the relevant Observation Period.</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Section 10.05. Taxes on Conversion</w:t>
      </w:r>
      <w:r>
        <w:rPr>
          <w:rFonts w:ascii="Arial" w:cs="Arial" w:eastAsia="Arial" w:hAnsi="Arial"/>
          <w:sz w:val="18"/>
          <w:szCs w:val="18"/>
          <w:color w:val="auto"/>
        </w:rPr>
        <w:t>. If a Holder converts a Note, the Company shall pay any documentary, stamp or similar issue or transfer tax</w:t>
      </w:r>
      <w:r>
        <w:rPr>
          <w:rFonts w:ascii="Arial" w:cs="Arial" w:eastAsia="Arial" w:hAnsi="Arial"/>
          <w:sz w:val="18"/>
          <w:szCs w:val="18"/>
          <w:i w:val="1"/>
          <w:iCs w:val="1"/>
          <w:color w:val="auto"/>
        </w:rPr>
        <w:t xml:space="preserve"> </w:t>
      </w:r>
      <w:r>
        <w:rPr>
          <w:rFonts w:ascii="Arial" w:cs="Arial" w:eastAsia="Arial" w:hAnsi="Arial"/>
          <w:sz w:val="18"/>
          <w:szCs w:val="18"/>
          <w:color w:val="auto"/>
        </w:rPr>
        <w:t>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Section 10.06. Company to Provide Common Stock</w:t>
      </w:r>
      <w:r>
        <w:rPr>
          <w:rFonts w:ascii="Arial" w:cs="Arial" w:eastAsia="Arial" w:hAnsi="Arial"/>
          <w:sz w:val="18"/>
          <w:szCs w:val="18"/>
          <w:color w:val="auto"/>
        </w:rPr>
        <w:t>. The Company shall, from time to time as may be necessary, reserve out of its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shares of Common Stock a sufficient number of shares of Common Stock to permit the delivery in respect of all outstanding Notes of the number of shares of Common Stock due upon conversion.</w:t>
      </w:r>
    </w:p>
    <w:p>
      <w:pPr>
        <w:spacing w:after="0" w:line="181"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10.07.</w:t>
      </w:r>
      <w:r>
        <w:rPr>
          <w:sz w:val="20"/>
          <w:szCs w:val="20"/>
          <w:color w:val="auto"/>
        </w:rPr>
        <w:tab/>
      </w:r>
      <w:r>
        <w:rPr>
          <w:rFonts w:ascii="Arial" w:cs="Arial" w:eastAsia="Arial" w:hAnsi="Arial"/>
          <w:sz w:val="16"/>
          <w:szCs w:val="16"/>
          <w:i w:val="1"/>
          <w:iCs w:val="1"/>
          <w:color w:val="auto"/>
        </w:rPr>
        <w:t>Adjustment to Conversion Rate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Conversion Rate shall be adjusted, at any time and from time to time while any of the Notes are outstanding, by the Company if any of the following events occur.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hanging="4"/>
        <w:spacing w:after="0" w:line="342" w:lineRule="auto"/>
        <w:tabs>
          <w:tab w:leader="none" w:pos="12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the Company issues dividends or makes distributions on Common Stock payable in shares of Common Stock, or if the Company subdivides, combines or reclassifies shares of Common Stock, the Conversion Rate shall be adjusted based on the following formula:</w:t>
      </w:r>
    </w:p>
    <w:p>
      <w:pPr>
        <w:spacing w:after="0" w:line="124"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2"/>
              </w:rPr>
              <w:t>= CR</w:t>
            </w:r>
            <w:r>
              <w:rPr>
                <w:rFonts w:ascii="Arial" w:cs="Arial" w:eastAsia="Arial" w:hAnsi="Arial"/>
                <w:sz w:val="11"/>
                <w:szCs w:val="11"/>
                <w:color w:val="auto"/>
                <w:w w:val="92"/>
              </w:rPr>
              <w:t>0</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20" w:type="dxa"/>
            <w:vAlign w:val="bottom"/>
            <w:vMerge w:val="restart"/>
          </w:tcPr>
          <w:p>
            <w:pPr>
              <w:ind w:left="22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820" w:right="480" w:hanging="966"/>
        <w:spacing w:after="0" w:line="264" w:lineRule="auto"/>
        <w:tabs>
          <w:tab w:leader="none" w:pos="18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Ex-Date for such dividend or distribution, or immediately prior to the opening of business on the effective date for such subdivision, combination or reclassification, as applicable;</w:t>
      </w:r>
    </w:p>
    <w:p>
      <w:pPr>
        <w:spacing w:after="0" w:line="181"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 or effective date, as applicable;</w:t>
      </w:r>
    </w:p>
    <w:p>
      <w:pPr>
        <w:spacing w:after="0" w:line="225" w:lineRule="exact"/>
        <w:rPr>
          <w:sz w:val="20"/>
          <w:szCs w:val="20"/>
          <w:color w:val="auto"/>
        </w:rPr>
      </w:pPr>
    </w:p>
    <w:p>
      <w:pPr>
        <w:ind w:left="1820" w:right="240" w:hanging="966"/>
        <w:spacing w:after="0" w:line="277" w:lineRule="auto"/>
        <w:tabs>
          <w:tab w:leader="none" w:pos="18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such dividend, distribution, subdivision, combination or reclassification; and</w:t>
      </w:r>
    </w:p>
    <w:p>
      <w:pPr>
        <w:spacing w:after="0" w:line="170" w:lineRule="exact"/>
        <w:rPr>
          <w:sz w:val="20"/>
          <w:szCs w:val="20"/>
          <w:color w:val="auto"/>
        </w:rPr>
      </w:pPr>
    </w:p>
    <w:p>
      <w:pPr>
        <w:ind w:left="1820" w:right="460" w:hanging="966"/>
        <w:spacing w:after="0" w:line="277" w:lineRule="auto"/>
        <w:tabs>
          <w:tab w:leader="none" w:pos="18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subdivision, combination or reclassification.</w:t>
      </w:r>
    </w:p>
    <w:p>
      <w:pPr>
        <w:spacing w:after="0" w:line="170"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color w:val="auto"/>
        </w:rPr>
        <w:t>Any adjustment made under this Section 10.07(a) shall become effective immediately after the opening of business on the Ex-Date for such dividend or distribution, or immediately after the opening of business on the effective date for such subdivision, combination or reclassification, as applicable. If any dividend or distribution of the type described in this Section 10.07(a) is declared but not so paid or made, or the outstanding shares</w:t>
      </w:r>
    </w:p>
    <w:p>
      <w:pPr>
        <w:sectPr>
          <w:pgSz w:w="11900" w:h="16966" w:orient="portrait"/>
          <w:cols w:equalWidth="0" w:num="1">
            <w:col w:w="11420"/>
          </w:cols>
          <w:pgMar w:left="240" w:top="125" w:right="239" w:bottom="0" w:gutter="0" w:footer="0" w:header="0"/>
        </w:sectPr>
      </w:pPr>
    </w:p>
    <w:bookmarkStart w:id="46" w:name="page47"/>
    <w:bookmarkEnd w:id="46"/>
    <w:p>
      <w:pPr>
        <w:jc w:val="both"/>
        <w:ind w:left="4" w:right="140"/>
        <w:spacing w:after="0" w:line="259" w:lineRule="auto"/>
        <w:rPr>
          <w:sz w:val="20"/>
          <w:szCs w:val="20"/>
          <w:color w:val="auto"/>
        </w:rPr>
      </w:pPr>
      <w:r>
        <w:rPr>
          <w:rFonts w:ascii="Arial" w:cs="Arial" w:eastAsia="Arial" w:hAnsi="Arial"/>
          <w:sz w:val="18"/>
          <w:szCs w:val="18"/>
          <w:color w:val="auto"/>
        </w:rPr>
        <w:t>of Common Stock are not subdivided, combined or reclassified, as the case may be, effective as of the date the Board of Directors or a committee thereof determines not to pay such dividend or distribution or to effect such subdivision, combination or reclassification, the Conversion Rate shall again be adjusted to the Conversion Rate that would then be in effect if such dividend or distribution or subdivision, combination or reclassification had not been declared.</w:t>
      </w:r>
    </w:p>
    <w:p>
      <w:pPr>
        <w:spacing w:after="0" w:line="187" w:lineRule="exact"/>
        <w:rPr>
          <w:sz w:val="20"/>
          <w:szCs w:val="20"/>
          <w:color w:val="auto"/>
        </w:rPr>
      </w:pPr>
    </w:p>
    <w:p>
      <w:pPr>
        <w:jc w:val="both"/>
        <w:ind w:left="4" w:right="80" w:hanging="4"/>
        <w:spacing w:after="0" w:line="276" w:lineRule="auto"/>
        <w:tabs>
          <w:tab w:leader="none" w:pos="63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If the Company distributes to all holders of shares of Common Stock rights, options or warrants (other than pursuant to a stockholder rights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rights plan provides for the issuance of such rights with respect to the Common Stock issued upon conversion of the Notes) to purchase shares of Common Stock for a period expiring within 60 days after the record date for such distribution at less than the average of the Closing Prices of Common Stock for the five consecutive Trading Days immediately preceding the public announcement of such distribution, the Conversion Rate shall be increased based on the following formula:</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80" w:type="dxa"/>
            <w:vAlign w:val="bottom"/>
            <w:vMerge w:val="restart"/>
          </w:tcPr>
          <w:p>
            <w:pPr>
              <w:ind w:left="4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X</w:t>
            </w:r>
          </w:p>
        </w:tc>
        <w:tc>
          <w:tcPr>
            <w:tcW w:w="8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020" w:type="dxa"/>
            <w:vAlign w:val="bottom"/>
            <w:gridSpan w:val="2"/>
            <w:vMerge w:val="restart"/>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where,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ind w:left="20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rPr>
              <w:t>the Conversion Rate in effect immediately prior to the opening of business on the Ex-Date for such distribution;</w:t>
            </w:r>
          </w:p>
        </w:tc>
        <w:tc>
          <w:tcPr>
            <w:tcW w:w="0" w:type="dxa"/>
            <w:vAlign w:val="bottom"/>
          </w:tcPr>
          <w:p>
            <w:pPr>
              <w:spacing w:after="0"/>
              <w:rPr>
                <w:sz w:val="1"/>
                <w:szCs w:val="1"/>
                <w:color w:val="auto"/>
              </w:rPr>
            </w:pPr>
          </w:p>
        </w:tc>
      </w:tr>
      <w:tr>
        <w:trPr>
          <w:trHeight w:val="432"/>
        </w:trPr>
        <w:tc>
          <w:tcPr>
            <w:tcW w:w="780" w:type="dxa"/>
            <w:vAlign w:val="bottom"/>
          </w:tcPr>
          <w:p>
            <w:pPr>
              <w:ind w:left="20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18"/>
        </w:trPr>
        <w:tc>
          <w:tcPr>
            <w:tcW w:w="780" w:type="dxa"/>
            <w:vAlign w:val="bottom"/>
          </w:tcPr>
          <w:p>
            <w:pPr>
              <w:ind w:left="2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w w:val="91"/>
              </w:rPr>
              <w:t>the number of shares of Common Stock outstanding at the Close of Business on the Business Day immediately preceding the Ex-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rPr>
              <w:t>Date for such distribution;</w:t>
            </w:r>
          </w:p>
        </w:tc>
        <w:tc>
          <w:tcPr>
            <w:tcW w:w="0" w:type="dxa"/>
            <w:vAlign w:val="bottom"/>
          </w:tcPr>
          <w:p>
            <w:pPr>
              <w:spacing w:after="0"/>
              <w:rPr>
                <w:sz w:val="1"/>
                <w:szCs w:val="1"/>
                <w:color w:val="auto"/>
              </w:rPr>
            </w:pPr>
          </w:p>
        </w:tc>
      </w:tr>
      <w:tr>
        <w:trPr>
          <w:trHeight w:val="432"/>
        </w:trPr>
        <w:tc>
          <w:tcPr>
            <w:tcW w:w="780" w:type="dxa"/>
            <w:vAlign w:val="bottom"/>
          </w:tcPr>
          <w:p>
            <w:pPr>
              <w:ind w:left="200"/>
              <w:spacing w:after="0"/>
              <w:rPr>
                <w:sz w:val="20"/>
                <w:szCs w:val="20"/>
                <w:color w:val="auto"/>
              </w:rPr>
            </w:pPr>
            <w:r>
              <w:rPr>
                <w:rFonts w:ascii="Arial" w:cs="Arial" w:eastAsia="Arial" w:hAnsi="Arial"/>
                <w:sz w:val="18"/>
                <w:szCs w:val="18"/>
                <w:color w:val="auto"/>
              </w:rPr>
              <w:t>X =</w:t>
            </w: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w w:val="92"/>
              </w:rPr>
              <w:t>the total number of additional shares of Common Stock so offered for purchase pursuant to such rights, options or warrants; and</w:t>
            </w:r>
          </w:p>
        </w:tc>
        <w:tc>
          <w:tcPr>
            <w:tcW w:w="0" w:type="dxa"/>
            <w:vAlign w:val="bottom"/>
          </w:tcPr>
          <w:p>
            <w:pPr>
              <w:spacing w:after="0"/>
              <w:rPr>
                <w:sz w:val="1"/>
                <w:szCs w:val="1"/>
                <w:color w:val="auto"/>
              </w:rPr>
            </w:pPr>
          </w:p>
        </w:tc>
      </w:tr>
      <w:tr>
        <w:trPr>
          <w:trHeight w:val="418"/>
        </w:trPr>
        <w:tc>
          <w:tcPr>
            <w:tcW w:w="780" w:type="dxa"/>
            <w:vAlign w:val="bottom"/>
          </w:tcPr>
          <w:p>
            <w:pPr>
              <w:ind w:left="200"/>
              <w:spacing w:after="0"/>
              <w:rPr>
                <w:sz w:val="20"/>
                <w:szCs w:val="20"/>
                <w:color w:val="auto"/>
              </w:rPr>
            </w:pPr>
            <w:r>
              <w:rPr>
                <w:rFonts w:ascii="Arial" w:cs="Arial" w:eastAsia="Arial" w:hAnsi="Arial"/>
                <w:sz w:val="18"/>
                <w:szCs w:val="18"/>
                <w:color w:val="auto"/>
              </w:rPr>
              <w:t>Y =</w:t>
            </w: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w w:val="90"/>
              </w:rPr>
              <w:t>the number of shares of Common Stock that the aggregate offering price of the total number of shares of Common Stock so offered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w w:val="98"/>
              </w:rPr>
              <w:t>would purchase at the Current Market Price of Common Stock on the first public announcement date for such distribution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w w:val="91"/>
              </w:rPr>
              <w:t>(determined by multiplying such total number of shares of Common Stock so offered by the exercise price of such rights, options or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80" w:type="dxa"/>
            <w:vAlign w:val="bottom"/>
            <w:gridSpan w:val="3"/>
          </w:tcPr>
          <w:p>
            <w:pPr>
              <w:ind w:left="380"/>
              <w:spacing w:after="0"/>
              <w:rPr>
                <w:sz w:val="20"/>
                <w:szCs w:val="20"/>
                <w:color w:val="auto"/>
              </w:rPr>
            </w:pPr>
            <w:r>
              <w:rPr>
                <w:rFonts w:ascii="Arial" w:cs="Arial" w:eastAsia="Arial" w:hAnsi="Arial"/>
                <w:sz w:val="18"/>
                <w:szCs w:val="18"/>
                <w:color w:val="auto"/>
              </w:rPr>
              <w:t>warrants and dividing the product so obtained by such Current Market Price).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firstLine="648"/>
        <w:spacing w:after="0" w:line="269" w:lineRule="auto"/>
        <w:rPr>
          <w:sz w:val="20"/>
          <w:szCs w:val="20"/>
          <w:color w:val="auto"/>
        </w:rPr>
      </w:pPr>
      <w:r>
        <w:rPr>
          <w:rFonts w:ascii="Arial" w:cs="Arial" w:eastAsia="Arial" w:hAnsi="Arial"/>
          <w:sz w:val="17"/>
          <w:szCs w:val="17"/>
          <w:color w:val="auto"/>
        </w:rPr>
        <w:t>Any increase made under this Section 10.07(b) shall be made successively whenever any such rights, options or warrants are issued and shall become effective immediately after the opening of business on the Ex-Date for such distribution. However, 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that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Except in connection with any readjustment expressly provided for in this clause, in no event shall the Conversion Rate be decreased pursuant to this Section 10.07(b).</w:t>
      </w:r>
    </w:p>
    <w:p>
      <w:pPr>
        <w:spacing w:after="0" w:line="180" w:lineRule="exact"/>
        <w:rPr>
          <w:sz w:val="20"/>
          <w:szCs w:val="20"/>
          <w:color w:val="auto"/>
        </w:rPr>
      </w:pPr>
    </w:p>
    <w:p>
      <w:pPr>
        <w:ind w:left="4" w:right="20" w:hanging="4"/>
        <w:spacing w:after="0" w:line="264" w:lineRule="auto"/>
        <w:tabs>
          <w:tab w:leader="none" w:pos="6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Company distributes to all holders of shares of Common Stock, any of its Capital Stock, assets (including shares of any Subsidiary of the Company or business unit of the Company) or debt securities or certain rights to purchase securities of the Company (excluding (i) any dividends or distributions described in Section 10.07(a), (ii) any rights,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options or warrants described in Section 10.07(b), (iii) any dividends or other distributions described in Section 10.07(d) and (iv) the initial distribution of rights issued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(such Capital Stock, assets, debt securities or rights to purchase securities of the Company hereinafter in this Section 10.07(c) called the “</w:t>
      </w:r>
      <w:r>
        <w:rPr>
          <w:rFonts w:ascii="Arial" w:cs="Arial" w:eastAsia="Arial" w:hAnsi="Arial"/>
          <w:sz w:val="18"/>
          <w:szCs w:val="18"/>
          <w:b w:val="1"/>
          <w:bCs w:val="1"/>
          <w:color w:val="auto"/>
        </w:rPr>
        <w:t>Distributed Assets</w:t>
      </w:r>
      <w:r>
        <w:rPr>
          <w:rFonts w:ascii="Arial" w:cs="Arial" w:eastAsia="Arial" w:hAnsi="Arial"/>
          <w:sz w:val="18"/>
          <w:szCs w:val="18"/>
          <w:color w:val="auto"/>
        </w:rPr>
        <w:t>”), the Conversion Rate shall be increased based on the following formula:</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7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20" w:type="dxa"/>
            <w:vAlign w:val="bottom"/>
            <w:gridSpan w:val="2"/>
            <w:vMerge w:val="restart"/>
          </w:tcPr>
          <w:p>
            <w:pPr>
              <w:jc w:val="center"/>
              <w:ind w:right="7260"/>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r>
              <w:rPr>
                <w:rFonts w:ascii="Arial" w:cs="Arial" w:eastAsia="Arial" w:hAnsi="Arial"/>
                <w:sz w:val="18"/>
                <w:szCs w:val="18"/>
                <w:color w:val="auto"/>
                <w:w w:val="95"/>
              </w:rPr>
              <w:t xml:space="preserve"> - FMV</w:t>
            </w: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w w:val="92"/>
              </w:rPr>
              <w:t>where,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4"/>
              </w:rPr>
              <w:t>=</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the Conversion Rate in effect immediately prior to the opening of business on the Ex-Date for such distribution;</w:t>
            </w: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4"/>
              </w:rPr>
              <w:t>=</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32"/>
        </w:trPr>
        <w:tc>
          <w:tcPr>
            <w:tcW w:w="900" w:type="dxa"/>
            <w:vAlign w:val="bottom"/>
            <w:gridSpan w:val="2"/>
          </w:tcPr>
          <w:p>
            <w:pPr>
              <w:ind w:left="20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w w:val="91"/>
              </w:rPr>
              <w:t>the Current Market Price of Common Stock on the business day immediately preceding the Ex-Date for such distribution; and</w:t>
            </w:r>
          </w:p>
        </w:tc>
        <w:tc>
          <w:tcPr>
            <w:tcW w:w="0" w:type="dxa"/>
            <w:vAlign w:val="bottom"/>
          </w:tcPr>
          <w:p>
            <w:pPr>
              <w:spacing w:after="0"/>
              <w:rPr>
                <w:sz w:val="1"/>
                <w:szCs w:val="1"/>
                <w:color w:val="auto"/>
              </w:rPr>
            </w:pPr>
          </w:p>
        </w:tc>
      </w:tr>
      <w:tr>
        <w:trPr>
          <w:trHeight w:val="418"/>
        </w:trPr>
        <w:tc>
          <w:tcPr>
            <w:tcW w:w="900" w:type="dxa"/>
            <w:vAlign w:val="bottom"/>
            <w:gridSpan w:val="2"/>
          </w:tcPr>
          <w:p>
            <w:pPr>
              <w:ind w:left="200"/>
              <w:spacing w:after="0"/>
              <w:rPr>
                <w:sz w:val="20"/>
                <w:szCs w:val="20"/>
                <w:color w:val="auto"/>
              </w:rPr>
            </w:pPr>
            <w:r>
              <w:rPr>
                <w:rFonts w:ascii="Arial" w:cs="Arial" w:eastAsia="Arial" w:hAnsi="Arial"/>
                <w:sz w:val="18"/>
                <w:szCs w:val="18"/>
                <w:color w:val="auto"/>
              </w:rPr>
              <w:t>FMV =</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w w:val="91"/>
              </w:rPr>
              <w:t>the fair market value, as determined by the Board of Directors, of the portion of Distributed Assets applicable to one share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bl>
    <w:p>
      <w:pPr>
        <w:sectPr>
          <w:pgSz w:w="11900" w:h="16838" w:orient="portrait"/>
          <w:cols w:equalWidth="0" w:num="1">
            <w:col w:w="10764"/>
          </w:cols>
          <w:pgMar w:left="896" w:top="125" w:right="239" w:bottom="0" w:gutter="0" w:footer="0" w:header="0"/>
        </w:sectPr>
      </w:pPr>
    </w:p>
    <w:bookmarkStart w:id="47" w:name="page48"/>
    <w:bookmarkEnd w:id="47"/>
    <w:p>
      <w:pPr>
        <w:ind w:left="4" w:firstLine="648"/>
        <w:spacing w:after="0" w:line="255" w:lineRule="auto"/>
        <w:rPr>
          <w:sz w:val="20"/>
          <w:szCs w:val="20"/>
          <w:color w:val="auto"/>
        </w:rPr>
      </w:pPr>
      <w:r>
        <w:rPr>
          <w:rFonts w:ascii="Arial" w:cs="Arial" w:eastAsia="Arial" w:hAnsi="Arial"/>
          <w:sz w:val="18"/>
          <w:szCs w:val="18"/>
          <w:color w:val="auto"/>
        </w:rPr>
        <w:t xml:space="preserve">Such increase shall become effective immediately after the opening of business on the Ex-Date for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“FMV” (as defined in this Section 10.07(c)) is equal to or greater than “CMP</w:t>
      </w:r>
      <w:r>
        <w:rPr>
          <w:rFonts w:ascii="Arial" w:cs="Arial" w:eastAsia="Arial" w:hAnsi="Arial"/>
          <w:sz w:val="11"/>
          <w:szCs w:val="11"/>
          <w:color w:val="auto"/>
        </w:rPr>
        <w:t>0</w:t>
      </w:r>
      <w:r>
        <w:rPr>
          <w:rFonts w:ascii="Arial" w:cs="Arial" w:eastAsia="Arial" w:hAnsi="Arial"/>
          <w:sz w:val="18"/>
          <w:szCs w:val="18"/>
          <w:color w:val="auto"/>
        </w:rPr>
        <w:t>” (as defined in this Section 10.07(c)), in lieu of the foregoing increase, adequate provision shall be made so that each Holder shall receive on the date on which the Distributed Assets are distributed to holders of Common Stock, for each $1,000 principal amount of Notes, the amount of Distributed Assets such Holder would have received had such holder owned a number of shares of Common Stock equal to the Conversion Rate on the record date for such distribution. In the event that such distribution is not so made, the Conversion Rate shall again be adjusted to be the Conversion Rate that would then be in effect if such distribution had not been declared.</w:t>
      </w:r>
    </w:p>
    <w:p>
      <w:pPr>
        <w:spacing w:after="0" w:line="189" w:lineRule="exact"/>
        <w:rPr>
          <w:sz w:val="20"/>
          <w:szCs w:val="20"/>
          <w:color w:val="auto"/>
        </w:rPr>
      </w:pPr>
    </w:p>
    <w:p>
      <w:pPr>
        <w:ind w:left="4" w:right="20" w:firstLine="648"/>
        <w:spacing w:after="0" w:line="257"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10.07(c)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 the definition of “CMP</w:t>
      </w:r>
      <w:r>
        <w:rPr>
          <w:rFonts w:ascii="Arial" w:cs="Arial" w:eastAsia="Arial" w:hAnsi="Arial"/>
          <w:sz w:val="11"/>
          <w:szCs w:val="11"/>
          <w:color w:val="auto"/>
        </w:rPr>
        <w:t>0</w:t>
      </w:r>
      <w:r>
        <w:rPr>
          <w:rFonts w:ascii="Arial" w:cs="Arial" w:eastAsia="Arial" w:hAnsi="Arial"/>
          <w:sz w:val="18"/>
          <w:szCs w:val="18"/>
          <w:color w:val="auto"/>
        </w:rPr>
        <w:t>” in this Section 10.07(c), unless the Board of Directors determines in good faith that determining the fair market value during the Reference Period would not be in the best interest of the Holders.</w:t>
      </w:r>
    </w:p>
    <w:p>
      <w:pPr>
        <w:spacing w:after="0" w:line="188"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Notwithstanding anything to the contrary in this Section 10.07(c), if the Company distributes Capital Stock of, or similar equity interests in, any Subsidiary of the Company</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280" w:type="dxa"/>
            <w:vAlign w:val="bottom"/>
            <w:vMerge w:val="restart"/>
          </w:tcPr>
          <w:p>
            <w:pPr>
              <w:ind w:left="460"/>
              <w:spacing w:after="0"/>
              <w:rPr>
                <w:sz w:val="20"/>
                <w:szCs w:val="20"/>
                <w:color w:val="auto"/>
              </w:rPr>
            </w:pPr>
            <w:r>
              <w:rPr>
                <w:rFonts w:ascii="Arial" w:cs="Arial" w:eastAsia="Arial" w:hAnsi="Arial"/>
                <w:sz w:val="18"/>
                <w:szCs w:val="18"/>
                <w:color w:val="auto"/>
                <w:w w:val="94"/>
              </w:rPr>
              <w:t>CR</w:t>
            </w:r>
            <w:r>
              <w:rPr>
                <w:rFonts w:ascii="Arial" w:cs="Arial" w:eastAsia="Arial" w:hAnsi="Arial"/>
                <w:sz w:val="11"/>
                <w:szCs w:val="11"/>
                <w:color w:val="auto"/>
                <w:w w:val="94"/>
              </w:rPr>
              <w:t>1</w:t>
            </w:r>
            <w:r>
              <w:rPr>
                <w:rFonts w:ascii="Arial" w:cs="Arial" w:eastAsia="Arial" w:hAnsi="Arial"/>
                <w:sz w:val="18"/>
                <w:szCs w:val="18"/>
                <w:color w:val="auto"/>
                <w:w w:val="94"/>
              </w:rPr>
              <w:t xml:space="preserve"> = CR</w:t>
            </w:r>
            <w:r>
              <w:rPr>
                <w:rFonts w:ascii="Arial" w:cs="Arial" w:eastAsia="Arial" w:hAnsi="Arial"/>
                <w:sz w:val="11"/>
                <w:szCs w:val="11"/>
                <w:color w:val="auto"/>
                <w:w w:val="94"/>
              </w:rPr>
              <w:t>0</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FMV</w:t>
            </w:r>
            <w:r>
              <w:rPr>
                <w:rFonts w:ascii="Arial" w:cs="Arial" w:eastAsia="Arial" w:hAnsi="Arial"/>
                <w:sz w:val="11"/>
                <w:szCs w:val="11"/>
                <w:color w:val="auto"/>
                <w:w w:val="96"/>
              </w:rPr>
              <w:t>0</w:t>
            </w:r>
            <w:r>
              <w:rPr>
                <w:rFonts w:ascii="Arial" w:cs="Arial" w:eastAsia="Arial" w:hAnsi="Arial"/>
                <w:sz w:val="18"/>
                <w:szCs w:val="18"/>
                <w:color w:val="auto"/>
                <w:w w:val="96"/>
              </w:rPr>
              <w:t xml:space="preserve"> + MP</w:t>
            </w:r>
            <w:r>
              <w:rPr>
                <w:rFonts w:ascii="Arial" w:cs="Arial" w:eastAsia="Arial" w:hAnsi="Arial"/>
                <w:sz w:val="11"/>
                <w:szCs w:val="11"/>
                <w:color w:val="auto"/>
                <w:w w:val="96"/>
              </w:rPr>
              <w:t>0</w:t>
            </w:r>
          </w:p>
        </w:tc>
        <w:tc>
          <w:tcPr>
            <w:tcW w:w="7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2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8920" w:type="dxa"/>
            <w:vAlign w:val="bottom"/>
            <w:gridSpan w:val="2"/>
            <w:vMerge w:val="restart"/>
          </w:tcPr>
          <w:p>
            <w:pPr>
              <w:jc w:val="center"/>
              <w:ind w:right="7560"/>
              <w:spacing w:after="0"/>
              <w:rPr>
                <w:sz w:val="20"/>
                <w:szCs w:val="20"/>
                <w:color w:val="auto"/>
              </w:rPr>
            </w:pPr>
            <w:r>
              <w:rPr>
                <w:rFonts w:ascii="Arial" w:cs="Arial" w:eastAsia="Arial" w:hAnsi="Arial"/>
                <w:sz w:val="18"/>
                <w:szCs w:val="18"/>
                <w:color w:val="auto"/>
                <w:w w:val="96"/>
              </w:rPr>
              <w:t>MP</w:t>
            </w:r>
            <w:r>
              <w:rPr>
                <w:rFonts w:ascii="Arial" w:cs="Arial" w:eastAsia="Arial" w:hAnsi="Arial"/>
                <w:sz w:val="11"/>
                <w:szCs w:val="11"/>
                <w:color w:val="auto"/>
                <w:w w:val="96"/>
              </w:rPr>
              <w:t>0</w:t>
            </w: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where,</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ind w:left="20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4"/>
              </w:rPr>
              <w:t>the Conversion Rate in effect immediately prior to the opening of business on the 15th Trading Day immediately following the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rPr>
              <w:t>Ex-Date for such Spin-Off;</w:t>
            </w:r>
          </w:p>
        </w:tc>
        <w:tc>
          <w:tcPr>
            <w:tcW w:w="0" w:type="dxa"/>
            <w:vAlign w:val="bottom"/>
          </w:tcPr>
          <w:p>
            <w:pPr>
              <w:spacing w:after="0"/>
              <w:rPr>
                <w:sz w:val="1"/>
                <w:szCs w:val="1"/>
                <w:color w:val="auto"/>
              </w:rPr>
            </w:pPr>
          </w:p>
        </w:tc>
      </w:tr>
      <w:tr>
        <w:trPr>
          <w:trHeight w:val="432"/>
        </w:trPr>
        <w:tc>
          <w:tcPr>
            <w:tcW w:w="1280" w:type="dxa"/>
            <w:vAlign w:val="bottom"/>
          </w:tcPr>
          <w:p>
            <w:pPr>
              <w:ind w:left="20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rPr>
              <w:t>the Conversion Rate in effect immediately after the opening of business on the Ex-Date for such Spin-Off;</w:t>
            </w:r>
          </w:p>
        </w:tc>
        <w:tc>
          <w:tcPr>
            <w:tcW w:w="0" w:type="dxa"/>
            <w:vAlign w:val="bottom"/>
          </w:tcPr>
          <w:p>
            <w:pPr>
              <w:spacing w:after="0"/>
              <w:rPr>
                <w:sz w:val="1"/>
                <w:szCs w:val="1"/>
                <w:color w:val="auto"/>
              </w:rPr>
            </w:pPr>
          </w:p>
        </w:tc>
      </w:tr>
      <w:tr>
        <w:trPr>
          <w:trHeight w:val="418"/>
        </w:trPr>
        <w:tc>
          <w:tcPr>
            <w:tcW w:w="1280" w:type="dxa"/>
            <w:vAlign w:val="bottom"/>
          </w:tcPr>
          <w:p>
            <w:pPr>
              <w:ind w:left="200"/>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1"/>
              </w:rPr>
              <w:t>the average of the Closing Prices of the Capital Stock or similar equity interest distributed to holders of Common Stock applicable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6"/>
              </w:rPr>
              <w:t>to one share of Common Stock over the ten consecutive Trading Day period immediately following, and including, the fifth</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rPr>
              <w:t>Trading Day after the Ex-Date for such Spin-Off; and</w:t>
            </w:r>
          </w:p>
        </w:tc>
        <w:tc>
          <w:tcPr>
            <w:tcW w:w="0" w:type="dxa"/>
            <w:vAlign w:val="bottom"/>
          </w:tcPr>
          <w:p>
            <w:pPr>
              <w:spacing w:after="0"/>
              <w:rPr>
                <w:sz w:val="1"/>
                <w:szCs w:val="1"/>
                <w:color w:val="auto"/>
              </w:rPr>
            </w:pPr>
          </w:p>
        </w:tc>
      </w:tr>
      <w:tr>
        <w:trPr>
          <w:trHeight w:val="418"/>
        </w:trPr>
        <w:tc>
          <w:tcPr>
            <w:tcW w:w="1280" w:type="dxa"/>
            <w:vAlign w:val="bottom"/>
          </w:tcPr>
          <w:p>
            <w:pPr>
              <w:ind w:left="200"/>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4"/>
              </w:rPr>
              <w:t>the average of the Closing Prices of Common Stock over the ten consecutive Trading Day period immediately following, and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rPr>
              <w:t>including, the fifth Trading Day after the Ex-Date for such Spin-Off.</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60" w:firstLine="648"/>
        <w:spacing w:after="0" w:line="264" w:lineRule="auto"/>
        <w:rPr>
          <w:sz w:val="20"/>
          <w:szCs w:val="20"/>
          <w:color w:val="auto"/>
        </w:rPr>
      </w:pPr>
      <w:r>
        <w:rPr>
          <w:rFonts w:ascii="Arial" w:cs="Arial" w:eastAsia="Arial" w:hAnsi="Arial"/>
          <w:sz w:val="18"/>
          <w:szCs w:val="18"/>
          <w:color w:val="auto"/>
        </w:rPr>
        <w:t>Any adjustment pursuant to the preceding paragraph shall be determined on the last Trading Day of such ten consecutive Trading Day period but shall be given effect immediately after the opening of business on the Ex-Date for the Spin-Off. In no event shall the Conversion Rate be decreased pursuant to this Section 10.07(c).</w:t>
      </w:r>
    </w:p>
    <w:p>
      <w:pPr>
        <w:spacing w:after="0" w:line="181" w:lineRule="exact"/>
        <w:rPr>
          <w:sz w:val="20"/>
          <w:szCs w:val="20"/>
          <w:color w:val="auto"/>
        </w:rPr>
      </w:pPr>
    </w:p>
    <w:p>
      <w:pPr>
        <w:ind w:left="4" w:hanging="4"/>
        <w:spacing w:after="0" w:line="264" w:lineRule="auto"/>
        <w:tabs>
          <w:tab w:leader="none" w:pos="70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Company distributes dividends or makes other distributions paid entirely in Cash to all or substantially all holders of Common Stock, other than (i) distributions described in Section 10.07(e) or (ii) any dividend or distribution in connection with the Company’s liquidation, dissolution or winding up, the Conversion Rate shall be increased based on the following formula:</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60" w:type="dxa"/>
            <w:vAlign w:val="bottom"/>
            <w:gridSpan w:val="2"/>
            <w:vMerge w:val="restart"/>
          </w:tcPr>
          <w:p>
            <w:pPr>
              <w:jc w:val="center"/>
              <w:ind w:left="33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color w:val="auto"/>
                <w:w w:val="94"/>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7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7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460" w:type="dxa"/>
            <w:vAlign w:val="bottom"/>
            <w:gridSpan w:val="2"/>
            <w:vMerge w:val="restart"/>
          </w:tcPr>
          <w:p>
            <w:pPr>
              <w:jc w:val="center"/>
              <w:ind w:right="7120"/>
              <w:spacing w:after="0"/>
              <w:rPr>
                <w:sz w:val="20"/>
                <w:szCs w:val="20"/>
                <w:color w:val="auto"/>
              </w:rPr>
            </w:pPr>
            <w:r>
              <w:rPr>
                <w:rFonts w:ascii="Arial" w:cs="Arial" w:eastAsia="Arial" w:hAnsi="Arial"/>
                <w:sz w:val="18"/>
                <w:szCs w:val="18"/>
                <w:color w:val="auto"/>
                <w:w w:val="93"/>
              </w:rPr>
              <w:t>CMP</w:t>
            </w:r>
            <w:r>
              <w:rPr>
                <w:rFonts w:ascii="Arial" w:cs="Arial" w:eastAsia="Arial" w:hAnsi="Arial"/>
                <w:sz w:val="11"/>
                <w:szCs w:val="11"/>
                <w:color w:val="auto"/>
                <w:w w:val="93"/>
              </w:rPr>
              <w:t>0</w:t>
            </w:r>
            <w:r>
              <w:rPr>
                <w:rFonts w:ascii="Arial" w:cs="Arial" w:eastAsia="Arial" w:hAnsi="Arial"/>
                <w:sz w:val="18"/>
                <w:szCs w:val="18"/>
                <w:color w:val="auto"/>
                <w:w w:val="93"/>
              </w:rPr>
              <w:t xml:space="preserve"> - C</w:t>
            </w: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w w:val="92"/>
              </w:rPr>
              <w:t>where,</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0</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500" w:type="dxa"/>
            <w:vAlign w:val="bottom"/>
          </w:tcPr>
          <w:p>
            <w:pPr>
              <w:spacing w:after="0"/>
              <w:rPr>
                <w:sz w:val="24"/>
                <w:szCs w:val="24"/>
                <w:color w:val="auto"/>
              </w:rPr>
            </w:pPr>
          </w:p>
        </w:tc>
        <w:tc>
          <w:tcPr>
            <w:tcW w:w="9000" w:type="dxa"/>
            <w:vAlign w:val="bottom"/>
            <w:gridSpan w:val="3"/>
          </w:tcPr>
          <w:p>
            <w:pPr>
              <w:ind w:left="80"/>
              <w:spacing w:after="0"/>
              <w:rPr>
                <w:sz w:val="20"/>
                <w:szCs w:val="20"/>
                <w:color w:val="auto"/>
              </w:rPr>
            </w:pPr>
            <w:r>
              <w:rPr>
                <w:rFonts w:ascii="Arial" w:cs="Arial" w:eastAsia="Arial" w:hAnsi="Arial"/>
                <w:sz w:val="18"/>
                <w:szCs w:val="18"/>
                <w:color w:val="auto"/>
                <w:w w:val="91"/>
              </w:rPr>
              <w:t>the Conversion Rate in effect immediately prior to the opening of business on the Ex-Date for such dividend or distribution;</w:t>
            </w: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500" w:type="dxa"/>
            <w:vAlign w:val="bottom"/>
          </w:tcPr>
          <w:p>
            <w:pPr>
              <w:spacing w:after="0"/>
              <w:rPr>
                <w:sz w:val="24"/>
                <w:szCs w:val="24"/>
                <w:color w:val="auto"/>
              </w:rPr>
            </w:pPr>
          </w:p>
        </w:tc>
        <w:tc>
          <w:tcPr>
            <w:tcW w:w="9000" w:type="dxa"/>
            <w:vAlign w:val="bottom"/>
            <w:gridSpan w:val="3"/>
          </w:tcPr>
          <w:p>
            <w:pPr>
              <w:ind w:left="8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44" w:right="620" w:hanging="1142"/>
        <w:spacing w:after="0" w:line="277" w:lineRule="auto"/>
        <w:tabs>
          <w:tab w:leader="none" w:pos="1323" w:val="left"/>
        </w:tabs>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Current Market Price of Common Stock on the Business Day immediately preceding the Ex-Date for such dividend or distribution; and</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
        <w:spacing w:after="0"/>
        <w:tabs>
          <w:tab w:leader="none" w:pos="1323"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the amount in Cash per share of such dividend or distribution.</w:t>
      </w:r>
    </w:p>
    <w:p>
      <w:pPr>
        <w:spacing w:after="0" w:line="225" w:lineRule="exact"/>
        <w:rPr>
          <w:sz w:val="20"/>
          <w:szCs w:val="20"/>
          <w:color w:val="auto"/>
        </w:rPr>
      </w:pPr>
    </w:p>
    <w:p>
      <w:pPr>
        <w:ind w:left="4" w:firstLine="648"/>
        <w:spacing w:after="0" w:line="270" w:lineRule="auto"/>
        <w:rPr>
          <w:sz w:val="20"/>
          <w:szCs w:val="20"/>
          <w:color w:val="auto"/>
        </w:rPr>
      </w:pPr>
      <w:r>
        <w:rPr>
          <w:rFonts w:ascii="Arial" w:cs="Arial" w:eastAsia="Arial" w:hAnsi="Arial"/>
          <w:sz w:val="17"/>
          <w:szCs w:val="17"/>
          <w:color w:val="auto"/>
        </w:rPr>
        <w:t xml:space="preserve">Such increase shall become effective immediately after the opening of business on the Ex-Date for such distribution or dividend;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 (as defined in this Section 10.07(d)) is equal to or greater than “CMP</w:t>
      </w:r>
      <w:r>
        <w:rPr>
          <w:rFonts w:ascii="Arial" w:cs="Arial" w:eastAsia="Arial" w:hAnsi="Arial"/>
          <w:sz w:val="11"/>
          <w:szCs w:val="11"/>
          <w:color w:val="auto"/>
        </w:rPr>
        <w:t>0</w:t>
      </w:r>
      <w:r>
        <w:rPr>
          <w:rFonts w:ascii="Arial" w:cs="Arial" w:eastAsia="Arial" w:hAnsi="Arial"/>
          <w:sz w:val="17"/>
          <w:szCs w:val="17"/>
          <w:color w:val="auto"/>
        </w:rPr>
        <w:t>” (as defined in this Section 10.07(d)), in lieu of the foregoing increase, adequate provision shall be made so that each Holder shall have the right to receive on the date on which the relevant Cash dividend or distribution is distributed to holders of Common Stock, for each $1,000 principal amount of Notes upon conversion, at the same time and upon the same terms as holders of shares of Common Stock, the amount of Cash such Holder would have received had such Holder owned a number of shares equal to the Conversion Rate on the record date for such dividend or distribution. In the event that such distribution or dividend is not so made, the Conversion Rate shall again be adjusted to be the Conversion Rate that would then be in effect if such dividend or distribution had not been declared. Except in connection with any readjustment expressly provided for in the immediately preceding sentence, in no event shall the Conversion Rate be decreased pursuant to this Section 10.07(d).</w:t>
      </w:r>
    </w:p>
    <w:p>
      <w:pPr>
        <w:sectPr>
          <w:pgSz w:w="11900" w:h="16838" w:orient="portrait"/>
          <w:cols w:equalWidth="0" w:num="1">
            <w:col w:w="10744"/>
          </w:cols>
          <w:pgMar w:left="896" w:top="125" w:right="259" w:bottom="0" w:gutter="0" w:footer="0" w:header="0"/>
        </w:sectPr>
      </w:pPr>
    </w:p>
    <w:bookmarkStart w:id="48" w:name="page49"/>
    <w:bookmarkEnd w:id="48"/>
    <w:p>
      <w:pPr>
        <w:ind w:left="660" w:right="80" w:hanging="4"/>
        <w:spacing w:after="0" w:line="302" w:lineRule="auto"/>
        <w:tabs>
          <w:tab w:leader="none" w:pos="13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Company or any of its Subsidiaries distribute Cash or other consideration in respect of a tender offer or exchange offer for Common Stock, where such Cash and the value of any such other consideration per share of Common Stock validly tendered or exchanged exceeds the Closing Price of Common Stock on the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 Conversion Rate shall be increased based on the following formula: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980"/>
              <w:spacing w:after="0"/>
              <w:rPr>
                <w:sz w:val="20"/>
                <w:szCs w:val="20"/>
                <w:color w:val="auto"/>
              </w:rPr>
            </w:pPr>
            <w:r>
              <w:rPr>
                <w:rFonts w:ascii="Arial" w:cs="Arial" w:eastAsia="Arial" w:hAnsi="Arial"/>
                <w:sz w:val="18"/>
                <w:szCs w:val="18"/>
                <w:color w:val="auto"/>
                <w:w w:val="95"/>
              </w:rPr>
              <w:t>CR</w:t>
            </w:r>
            <w:r>
              <w:rPr>
                <w:rFonts w:ascii="Arial" w:cs="Arial" w:eastAsia="Arial" w:hAnsi="Arial"/>
                <w:sz w:val="11"/>
                <w:szCs w:val="11"/>
                <w:color w:val="auto"/>
                <w:w w:val="95"/>
              </w:rPr>
              <w:t>1</w:t>
            </w:r>
            <w:r>
              <w:rPr>
                <w:rFonts w:ascii="Arial" w:cs="Arial" w:eastAsia="Arial" w:hAnsi="Arial"/>
                <w:sz w:val="18"/>
                <w:szCs w:val="18"/>
                <w:color w:val="auto"/>
                <w:w w:val="95"/>
              </w:rPr>
              <w:t xml:space="preserve"> = CR</w:t>
            </w:r>
            <w:r>
              <w:rPr>
                <w:rFonts w:ascii="Arial" w:cs="Arial" w:eastAsia="Arial" w:hAnsi="Arial"/>
                <w:sz w:val="11"/>
                <w:szCs w:val="11"/>
                <w:color w:val="auto"/>
                <w:w w:val="95"/>
              </w:rPr>
              <w:t>0</w:t>
            </w:r>
            <w:r>
              <w:rPr>
                <w:rFonts w:ascii="Arial" w:cs="Arial" w:eastAsia="Arial" w:hAnsi="Arial"/>
                <w:sz w:val="18"/>
                <w:szCs w:val="18"/>
                <w:color w:val="auto"/>
                <w:w w:val="95"/>
              </w:rPr>
              <w:t xml:space="preserve"> ×</w:t>
            </w:r>
          </w:p>
        </w:tc>
        <w:tc>
          <w:tcPr>
            <w:tcW w:w="500" w:type="dxa"/>
            <w:vAlign w:val="bottom"/>
          </w:tcPr>
          <w:p>
            <w:pPr>
              <w:spacing w:after="0"/>
              <w:rPr>
                <w:sz w:val="20"/>
                <w:szCs w:val="20"/>
                <w:color w:val="auto"/>
              </w:rPr>
            </w:pPr>
          </w:p>
        </w:tc>
        <w:tc>
          <w:tcPr>
            <w:tcW w:w="9000" w:type="dxa"/>
            <w:vAlign w:val="bottom"/>
            <w:gridSpan w:val="2"/>
          </w:tcPr>
          <w:p>
            <w:pPr>
              <w:jc w:val="center"/>
              <w:ind w:right="7200"/>
              <w:spacing w:after="0"/>
              <w:rPr>
                <w:sz w:val="20"/>
                <w:szCs w:val="20"/>
                <w:color w:val="auto"/>
              </w:rPr>
            </w:pPr>
            <w:r>
              <w:rPr>
                <w:rFonts w:ascii="Arial" w:cs="Arial" w:eastAsia="Arial" w:hAnsi="Arial"/>
                <w:sz w:val="18"/>
                <w:szCs w:val="18"/>
                <w:color w:val="auto"/>
                <w:w w:val="94"/>
              </w:rPr>
              <w:t>FMV + (OS</w:t>
            </w:r>
            <w:r>
              <w:rPr>
                <w:rFonts w:ascii="Arial" w:cs="Arial" w:eastAsia="Arial" w:hAnsi="Arial"/>
                <w:sz w:val="11"/>
                <w:szCs w:val="11"/>
                <w:color w:val="auto"/>
                <w:w w:val="94"/>
              </w:rPr>
              <w:t>1</w:t>
            </w:r>
            <w:r>
              <w:rPr>
                <w:rFonts w:ascii="Arial" w:cs="Arial" w:eastAsia="Arial" w:hAnsi="Arial"/>
                <w:sz w:val="18"/>
                <w:szCs w:val="18"/>
                <w:color w:val="auto"/>
                <w:w w:val="94"/>
              </w:rPr>
              <w:t xml:space="preserve"> x CP</w:t>
            </w:r>
            <w:r>
              <w:rPr>
                <w:rFonts w:ascii="Arial" w:cs="Arial" w:eastAsia="Arial" w:hAnsi="Arial"/>
                <w:sz w:val="11"/>
                <w:szCs w:val="11"/>
                <w:color w:val="auto"/>
                <w:w w:val="94"/>
              </w:rPr>
              <w:t>1</w:t>
            </w:r>
            <w:r>
              <w:rPr>
                <w:rFonts w:ascii="Arial" w:cs="Arial" w:eastAsia="Arial" w:hAnsi="Arial"/>
                <w:sz w:val="18"/>
                <w:szCs w:val="18"/>
                <w:color w:val="auto"/>
                <w:w w:val="94"/>
              </w:rPr>
              <w:t>)</w:t>
            </w:r>
          </w:p>
        </w:tc>
      </w:tr>
      <w:tr>
        <w:trPr>
          <w:trHeight w:val="224"/>
        </w:trPr>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OS</w:t>
            </w:r>
            <w:r>
              <w:rPr>
                <w:rFonts w:ascii="Arial" w:cs="Arial" w:eastAsia="Arial" w:hAnsi="Arial"/>
                <w:sz w:val="11"/>
                <w:szCs w:val="11"/>
                <w:color w:val="auto"/>
                <w:w w:val="89"/>
              </w:rPr>
              <w:t>0</w:t>
            </w:r>
            <w:r>
              <w:rPr>
                <w:rFonts w:ascii="Arial" w:cs="Arial" w:eastAsia="Arial" w:hAnsi="Arial"/>
                <w:sz w:val="18"/>
                <w:szCs w:val="18"/>
                <w:color w:val="auto"/>
                <w:w w:val="89"/>
              </w:rPr>
              <w:t xml:space="preserve"> x CP</w:t>
            </w:r>
            <w:r>
              <w:rPr>
                <w:rFonts w:ascii="Arial" w:cs="Arial" w:eastAsia="Arial" w:hAnsi="Arial"/>
                <w:sz w:val="11"/>
                <w:szCs w:val="11"/>
                <w:color w:val="auto"/>
                <w:w w:val="89"/>
              </w:rPr>
              <w:t>1</w:t>
            </w:r>
          </w:p>
        </w:tc>
        <w:tc>
          <w:tcPr>
            <w:tcW w:w="7180" w:type="dxa"/>
            <w:vAlign w:val="bottom"/>
          </w:tcPr>
          <w:p>
            <w:pPr>
              <w:spacing w:after="0"/>
              <w:rPr>
                <w:sz w:val="19"/>
                <w:szCs w:val="19"/>
                <w:color w:val="auto"/>
              </w:rPr>
            </w:pPr>
          </w:p>
        </w:tc>
      </w:tr>
      <w:tr>
        <w:trPr>
          <w:trHeight w:val="418"/>
        </w:trPr>
        <w:tc>
          <w:tcPr>
            <w:tcW w:w="1960" w:type="dxa"/>
            <w:vAlign w:val="bottom"/>
          </w:tcPr>
          <w:p>
            <w:pPr>
              <w:ind w:left="660"/>
              <w:spacing w:after="0"/>
              <w:rPr>
                <w:sz w:val="20"/>
                <w:szCs w:val="20"/>
                <w:color w:val="auto"/>
              </w:rPr>
            </w:pPr>
            <w:r>
              <w:rPr>
                <w:rFonts w:ascii="Arial" w:cs="Arial" w:eastAsia="Arial" w:hAnsi="Arial"/>
                <w:sz w:val="18"/>
                <w:szCs w:val="18"/>
                <w:color w:val="auto"/>
              </w:rPr>
              <w:t>where,</w:t>
            </w: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18"/>
        </w:trPr>
        <w:tc>
          <w:tcPr>
            <w:tcW w:w="196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w w:val="97"/>
              </w:rPr>
              <w:t>the Conversion Rate in effect immediately prior to the opening of business on the Business Day immediately following the</w:t>
            </w:r>
          </w:p>
        </w:tc>
      </w:tr>
      <w:tr>
        <w:trPr>
          <w:trHeight w:val="230"/>
        </w:trPr>
        <w:tc>
          <w:tcPr>
            <w:tcW w:w="1960" w:type="dxa"/>
            <w:vAlign w:val="bottom"/>
          </w:tcPr>
          <w:p>
            <w:pPr>
              <w:spacing w:after="0"/>
              <w:rPr>
                <w:sz w:val="20"/>
                <w:szCs w:val="20"/>
                <w:color w:val="auto"/>
              </w:rPr>
            </w:pP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Trading Day immediately following the Expiration Date;</w:t>
            </w:r>
          </w:p>
        </w:tc>
      </w:tr>
      <w:tr>
        <w:trPr>
          <w:trHeight w:val="418"/>
        </w:trPr>
        <w:tc>
          <w:tcPr>
            <w:tcW w:w="196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w w:val="92"/>
              </w:rPr>
              <w:t>the Conversion Rate in effect immediately prior to the opening of business on the second Trading Day immediately following the</w:t>
            </w:r>
          </w:p>
        </w:tc>
      </w:tr>
      <w:tr>
        <w:trPr>
          <w:trHeight w:val="230"/>
        </w:trPr>
        <w:tc>
          <w:tcPr>
            <w:tcW w:w="1960" w:type="dxa"/>
            <w:vAlign w:val="bottom"/>
          </w:tcPr>
          <w:p>
            <w:pPr>
              <w:spacing w:after="0"/>
              <w:rPr>
                <w:sz w:val="20"/>
                <w:szCs w:val="20"/>
                <w:color w:val="auto"/>
              </w:rPr>
            </w:pP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Expiration Date;</w:t>
            </w:r>
          </w:p>
        </w:tc>
      </w:tr>
      <w:tr>
        <w:trPr>
          <w:trHeight w:val="418"/>
        </w:trPr>
        <w:tc>
          <w:tcPr>
            <w:tcW w:w="1960" w:type="dxa"/>
            <w:vAlign w:val="bottom"/>
          </w:tcPr>
          <w:p>
            <w:pPr>
              <w:ind w:left="860"/>
              <w:spacing w:after="0"/>
              <w:rPr>
                <w:sz w:val="20"/>
                <w:szCs w:val="20"/>
                <w:color w:val="auto"/>
              </w:rPr>
            </w:pPr>
            <w:r>
              <w:rPr>
                <w:rFonts w:ascii="Arial" w:cs="Arial" w:eastAsia="Arial" w:hAnsi="Arial"/>
                <w:sz w:val="18"/>
                <w:szCs w:val="18"/>
                <w:color w:val="auto"/>
              </w:rPr>
              <w:t>FMV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w w:val="92"/>
              </w:rPr>
              <w:t>the fair market value, as determined by the Board of Directors, of the aggregate consideration payable for all shares of Common</w:t>
            </w:r>
          </w:p>
        </w:tc>
      </w:tr>
      <w:tr>
        <w:trPr>
          <w:trHeight w:val="230"/>
        </w:trPr>
        <w:tc>
          <w:tcPr>
            <w:tcW w:w="1960" w:type="dxa"/>
            <w:vAlign w:val="bottom"/>
          </w:tcPr>
          <w:p>
            <w:pPr>
              <w:spacing w:after="0"/>
              <w:rPr>
                <w:sz w:val="20"/>
                <w:szCs w:val="20"/>
                <w:color w:val="auto"/>
              </w:rPr>
            </w:pP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Stock that the Company purchases in such tender or exchange offer;</w:t>
            </w:r>
          </w:p>
        </w:tc>
      </w:tr>
      <w:tr>
        <w:trPr>
          <w:trHeight w:val="418"/>
        </w:trPr>
        <w:tc>
          <w:tcPr>
            <w:tcW w:w="1960" w:type="dxa"/>
            <w:vAlign w:val="bottom"/>
          </w:tcPr>
          <w:p>
            <w:pPr>
              <w:ind w:left="8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w w:val="93"/>
              </w:rPr>
              <w:t>the number of shares of Common Stock outstanding immediately prior to giving effect to the purchase of all shares accepted for</w:t>
            </w:r>
          </w:p>
        </w:tc>
      </w:tr>
      <w:tr>
        <w:trPr>
          <w:trHeight w:val="230"/>
        </w:trPr>
        <w:tc>
          <w:tcPr>
            <w:tcW w:w="1960" w:type="dxa"/>
            <w:vAlign w:val="bottom"/>
          </w:tcPr>
          <w:p>
            <w:pPr>
              <w:spacing w:after="0"/>
              <w:rPr>
                <w:sz w:val="20"/>
                <w:szCs w:val="20"/>
                <w:color w:val="auto"/>
              </w:rPr>
            </w:pP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purchase or exchange in such tender offer or exchange offer;</w:t>
            </w:r>
          </w:p>
        </w:tc>
      </w:tr>
      <w:tr>
        <w:trPr>
          <w:trHeight w:val="432"/>
        </w:trPr>
        <w:tc>
          <w:tcPr>
            <w:tcW w:w="1960" w:type="dxa"/>
            <w:vAlign w:val="bottom"/>
          </w:tcPr>
          <w:p>
            <w:pPr>
              <w:ind w:left="8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the number of shares of Common Stock outstanding immediately after giving</w:t>
            </w:r>
          </w:p>
        </w:tc>
      </w:tr>
      <w:tr>
        <w:trPr>
          <w:trHeight w:val="432"/>
        </w:trPr>
        <w:tc>
          <w:tcPr>
            <w:tcW w:w="1960" w:type="dxa"/>
            <w:vAlign w:val="bottom"/>
          </w:tcPr>
          <w:p>
            <w:pPr>
              <w:spacing w:after="0"/>
              <w:rPr>
                <w:sz w:val="24"/>
                <w:szCs w:val="24"/>
                <w:color w:val="auto"/>
              </w:rPr>
            </w:pPr>
          </w:p>
        </w:tc>
        <w:tc>
          <w:tcPr>
            <w:tcW w:w="9500" w:type="dxa"/>
            <w:vAlign w:val="bottom"/>
            <w:gridSpan w:val="3"/>
          </w:tcPr>
          <w:p>
            <w:pPr>
              <w:ind w:left="3660"/>
              <w:spacing w:after="0"/>
              <w:rPr>
                <w:sz w:val="20"/>
                <w:szCs w:val="20"/>
                <w:color w:val="auto"/>
              </w:rPr>
            </w:pPr>
            <w:r>
              <w:rPr>
                <w:rFonts w:ascii="Arial" w:cs="Arial" w:eastAsia="Arial" w:hAnsi="Arial"/>
                <w:sz w:val="18"/>
                <w:szCs w:val="18"/>
                <w:color w:val="auto"/>
              </w:rPr>
              <w:t>52</w:t>
            </w:r>
          </w:p>
        </w:tc>
      </w:tr>
      <w:tr>
        <w:trPr>
          <w:trHeight w:val="132"/>
        </w:trPr>
        <w:tc>
          <w:tcPr>
            <w:tcW w:w="1960" w:type="dxa"/>
            <w:vAlign w:val="bottom"/>
            <w:tcBorders>
              <w:bottom w:val="single" w:sz="8" w:color="010101"/>
            </w:tcBorders>
          </w:tcPr>
          <w:p>
            <w:pPr>
              <w:spacing w:after="0"/>
              <w:rPr>
                <w:sz w:val="11"/>
                <w:szCs w:val="11"/>
                <w:color w:val="auto"/>
              </w:rPr>
            </w:pPr>
          </w:p>
        </w:tc>
        <w:tc>
          <w:tcPr>
            <w:tcW w:w="9500" w:type="dxa"/>
            <w:vAlign w:val="bottom"/>
            <w:tcBorders>
              <w:bottom w:val="single" w:sz="8" w:color="010101"/>
            </w:tcBorders>
            <w:gridSpan w:val="3"/>
          </w:tcPr>
          <w:p>
            <w:pPr>
              <w:spacing w:after="0"/>
              <w:rPr>
                <w:sz w:val="11"/>
                <w:szCs w:val="11"/>
                <w:color w:val="auto"/>
              </w:rPr>
            </w:pPr>
          </w:p>
        </w:tc>
      </w:tr>
      <w:tr>
        <w:trPr>
          <w:trHeight w:val="780"/>
        </w:trPr>
        <w:tc>
          <w:tcPr>
            <w:tcW w:w="1960" w:type="dxa"/>
            <w:vAlign w:val="bottom"/>
          </w:tcPr>
          <w:p>
            <w:pPr>
              <w:spacing w:after="0"/>
              <w:rPr>
                <w:sz w:val="24"/>
                <w:szCs w:val="24"/>
                <w:color w:val="auto"/>
              </w:rPr>
            </w:pP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effect to the purchase of all shares accepted for purchase or exchange in such tender offer or exchange offer; and</w:t>
            </w:r>
          </w:p>
        </w:tc>
      </w:tr>
      <w:tr>
        <w:trPr>
          <w:trHeight w:val="432"/>
        </w:trPr>
        <w:tc>
          <w:tcPr>
            <w:tcW w:w="1960" w:type="dxa"/>
            <w:vAlign w:val="bottom"/>
          </w:tcPr>
          <w:p>
            <w:pPr>
              <w:ind w:left="86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00" w:type="dxa"/>
            <w:vAlign w:val="bottom"/>
            <w:gridSpan w:val="3"/>
          </w:tcPr>
          <w:p>
            <w:pPr>
              <w:ind w:left="40"/>
              <w:spacing w:after="0"/>
              <w:rPr>
                <w:sz w:val="20"/>
                <w:szCs w:val="20"/>
                <w:color w:val="auto"/>
              </w:rPr>
            </w:pPr>
            <w:r>
              <w:rPr>
                <w:rFonts w:ascii="Arial" w:cs="Arial" w:eastAsia="Arial" w:hAnsi="Arial"/>
                <w:sz w:val="18"/>
                <w:szCs w:val="18"/>
                <w:color w:val="auto"/>
              </w:rPr>
              <w:t>the Closing Price of Common Stock on the Trading Day immediately following the Expiration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An adjustment, if any, to the Conversion Rate pursuant to this Section 10.07(e) shall become effective immediately prior to the opening of business on the second Trading Day immediately following the Expiration Date. 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offer or exchange offer had not been made. Except as provided in the immediately preceding sentence, if the application of this Section 10.07(e) to any tender offer or exchange offer would result in a decrease in the Conversion Rate, no adjustment shall be made for such tender offer or exchange offer under this Section 10.07(e).</w:t>
      </w:r>
    </w:p>
    <w:p>
      <w:pPr>
        <w:spacing w:after="0" w:line="17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i w:val="1"/>
          <w:iCs w:val="1"/>
          <w:color w:val="auto"/>
        </w:rPr>
        <w:t>Section 10.08. Provisions Governing Adjustment to Conversion Rate</w:t>
      </w:r>
      <w:r>
        <w:rPr>
          <w:rFonts w:ascii="Arial" w:cs="Arial" w:eastAsia="Arial" w:hAnsi="Arial"/>
          <w:sz w:val="16"/>
          <w:szCs w:val="16"/>
          <w:color w:val="auto"/>
        </w:rPr>
        <w:t>. Rights, options or warrants distributed by the Company to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Section 10.07 (and no adjustment to the Conversion Rate under Section 10.07 will be required) until the occurrence of the earliest Trigger Event, whereupon such rights, options and warrants shall be deemed to have been distributed and an appropriate adjustment (if any is required) to the Conversion Rate shall be made under Section 10.07(c), and, if applicable, Section 10.20.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10.20. In addition, except as set forth in Section 10.20,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10.07 was made (including any adjustment contemplated in Section 10.20),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10.09.</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80" w:firstLine="1305"/>
        <w:spacing w:after="0" w:line="277" w:lineRule="auto"/>
        <w:tabs>
          <w:tab w:leader="none" w:pos="19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ectPr>
          <w:pgSz w:w="11900" w:h="16838" w:orient="portrait"/>
          <w:cols w:equalWidth="0" w:num="1">
            <w:col w:w="11460"/>
          </w:cols>
          <w:pgMar w:left="240" w:top="341" w:right="199" w:bottom="0" w:gutter="0" w:footer="0" w:header="0"/>
        </w:sectPr>
      </w:pPr>
    </w:p>
    <w:bookmarkStart w:id="49" w:name="page50"/>
    <w:bookmarkEnd w:id="49"/>
    <w:p>
      <w:pPr>
        <w:ind w:right="160"/>
        <w:spacing w:after="0" w:line="284" w:lineRule="auto"/>
        <w:rPr>
          <w:sz w:val="20"/>
          <w:szCs w:val="20"/>
          <w:color w:val="auto"/>
        </w:rPr>
      </w:pPr>
      <w:r>
        <w:rPr>
          <w:rFonts w:ascii="Arial" w:cs="Arial" w:eastAsia="Arial" w:hAnsi="Arial"/>
          <w:sz w:val="16"/>
          <w:szCs w:val="16"/>
          <w:color w:val="auto"/>
        </w:rPr>
        <w:t>in each case as a result of which Common Stock would be converted into, or exchanged for, or would constitute solely the right to receive, stock, other securities or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xml:space="preserve">”), then, at the effective time of such Merger Event, the Company, or such successor, purchaser or transferee Person, as the case may be, shall execute and deliver to the Trustee a supplemental indenture permitted under Section 9.02(b) to provide that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before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xml:space="preserve">) upon such Merger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w:t>
      </w:r>
    </w:p>
    <w:p>
      <w:pPr>
        <w:spacing w:after="0" w:line="3" w:lineRule="exact"/>
        <w:rPr>
          <w:sz w:val="20"/>
          <w:szCs w:val="20"/>
          <w:color w:val="auto"/>
        </w:rPr>
      </w:pPr>
    </w:p>
    <w:p>
      <w:pPr>
        <w:ind w:firstLine="8"/>
        <w:spacing w:after="0" w:line="290" w:lineRule="auto"/>
        <w:tabs>
          <w:tab w:leader="none" w:pos="2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amount otherwise payable in Cash upon conversion of the Notes as set forth under Section 10.03 above shall continue to be payable in Cash, (ii) the Company shall continue to have the right to determine the form of consideration to be paid or delivered, as the case may be, in respect of the remainder, if any, of its Conversion Obligation in excess of the aggregate principal portion of the Notes being converted, as set forth under Section 10.03, (iii) each share of Common Stock that would otherwise have been required to be delivered upon a conversion of the Notes as set forth under Section 10.03 shall instead be deliverable in the amount and type of Reference Property that a holder of one share of Common Stock would have been entitled to receive in such Merger Event (a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and (iv) the Daily VWAP shall be calculated based on the value of one unit of Reference Property.</w:t>
      </w:r>
    </w:p>
    <w:p>
      <w:pPr>
        <w:spacing w:after="0" w:line="16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the Merger Event causes the Common Stock to be converted into, or exchanged for, or constitute solely the right to receive more than a single type of consideration (determined based in part upon any form of stockholder election), then (x) the Reference Property into which the Notes will be convertible or used to calculate the Daily VWAP, as the case may be, shall be deemed to be the weighted average of the types and amounts of consideration received by the holders of Common Stock that affirmatively make such an election and (y) the unit of Reference Property for purposes of the immediately preceding paragraph shall refer to the consideration referred to in clause (x) attributable to one share of Common Stock. The Company shall notify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Holders, the Trustee and the Conversion Agent (if other than the Trustee) of such weighted average as soon as practicable after such determination is made.</w:t>
      </w:r>
    </w:p>
    <w:p>
      <w:pPr>
        <w:spacing w:after="0" w:line="2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10.09,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provided for in this Indenture, within 20 days after execution thereof. Failure to deliver such notice shall not affect the legality or validity of such supplemental indenture. The Company shall not become a party to any such Merger Event unless its terms are consistent with this Section 10.09.</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10.10. Adjustment to Conversion Rate Upon a Make-Whole Change in Control; Discretionary Adjustment</w:t>
      </w:r>
      <w:r>
        <w:rPr>
          <w:rFonts w:ascii="Arial" w:cs="Arial" w:eastAsia="Arial" w:hAnsi="Arial"/>
          <w:sz w:val="17"/>
          <w:szCs w:val="17"/>
          <w:color w:val="auto"/>
        </w:rPr>
        <w:t>. (a) If, after the date hereof,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10.10.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180" w:firstLine="1305"/>
        <w:spacing w:after="0" w:line="277" w:lineRule="auto"/>
        <w:tabs>
          <w:tab w:leader="none" w:pos="20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number of Make-Whole Shares will be determined by reference to the table below and is based on the date that such Make-Whole Change in Control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7"/>
          <w:szCs w:val="17"/>
          <w:b w:val="1"/>
          <w:bCs w:val="1"/>
          <w:color w:val="auto"/>
        </w:rPr>
        <w:t>Stock Price</w:t>
      </w:r>
      <w:r>
        <w:rPr>
          <w:rFonts w:ascii="Arial" w:cs="Arial" w:eastAsia="Arial" w:hAnsi="Arial"/>
          <w:sz w:val="17"/>
          <w:szCs w:val="17"/>
          <w:color w:val="auto"/>
        </w:rPr>
        <w:t>”).</w:t>
      </w:r>
    </w:p>
    <w:p>
      <w:pPr>
        <w:spacing w:after="0" w:line="169" w:lineRule="exact"/>
        <w:rPr>
          <w:sz w:val="20"/>
          <w:szCs w:val="20"/>
          <w:color w:val="auto"/>
        </w:rPr>
      </w:pPr>
    </w:p>
    <w:p>
      <w:pPr>
        <w:ind w:firstLine="1305"/>
        <w:spacing w:after="0" w:line="257" w:lineRule="auto"/>
        <w:tabs>
          <w:tab w:leader="none" w:pos="199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first row of the table below will be adjusted as of any date on which the Applicable Conversion Rate is adjusted. The adjusted Stock Prices will equal the Stock Prices immediately prior to such adjustment,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10.07.</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Stock Price, Effective Date and number of Make-Whole Shares to be added to the Conversion Rate per $1,000 principal amount of the Notes:</w:t>
      </w:r>
    </w:p>
    <w:p>
      <w:pPr>
        <w:sectPr>
          <w:pgSz w:w="11900" w:h="16838" w:orient="portrait"/>
          <w:cols w:equalWidth="0" w:num="1">
            <w:col w:w="11400"/>
          </w:cols>
          <w:pgMar w:left="240" w:top="125" w:right="259" w:bottom="0" w:gutter="0" w:footer="0" w:header="0"/>
        </w:sectPr>
      </w:pPr>
    </w:p>
    <w:p>
      <w:pPr>
        <w:spacing w:after="0" w:line="162" w:lineRule="exact"/>
        <w:rPr>
          <w:sz w:val="20"/>
          <w:szCs w:val="20"/>
          <w:color w:val="auto"/>
        </w:rPr>
      </w:pPr>
    </w:p>
    <w:p>
      <w:pPr>
        <w:ind w:left="6180"/>
        <w:spacing w:after="0"/>
        <w:rPr>
          <w:sz w:val="20"/>
          <w:szCs w:val="20"/>
          <w:color w:val="auto"/>
        </w:rPr>
      </w:pPr>
      <w:r>
        <w:rPr>
          <w:rFonts w:ascii="Arial" w:cs="Arial" w:eastAsia="Arial" w:hAnsi="Arial"/>
          <w:sz w:val="12"/>
          <w:szCs w:val="12"/>
          <w:b w:val="1"/>
          <w:bCs w:val="1"/>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20955</wp:posOffset>
            </wp:positionV>
            <wp:extent cx="6054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50" w:name="page51"/>
    <w:bookmarkEnd w:id="50"/>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7.60</w:t>
            </w:r>
          </w:p>
        </w:tc>
        <w:tc>
          <w:tcPr>
            <w:tcW w:w="240" w:type="dxa"/>
            <w:vAlign w:val="bottom"/>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10.00</w:t>
            </w:r>
          </w:p>
        </w:tc>
        <w:tc>
          <w:tcPr>
            <w:tcW w:w="240" w:type="dxa"/>
            <w:vAlign w:val="bottom"/>
          </w:tcPr>
          <w:p>
            <w:pPr>
              <w:spacing w:after="0"/>
              <w:rPr>
                <w:sz w:val="14"/>
                <w:szCs w:val="14"/>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12.50</w:t>
            </w:r>
          </w:p>
        </w:tc>
        <w:tc>
          <w:tcPr>
            <w:tcW w:w="260" w:type="dxa"/>
            <w:vAlign w:val="bottom"/>
          </w:tcPr>
          <w:p>
            <w:pPr>
              <w:spacing w:after="0"/>
              <w:rPr>
                <w:sz w:val="14"/>
                <w:szCs w:val="14"/>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15.00</w:t>
            </w:r>
          </w:p>
        </w:tc>
        <w:tc>
          <w:tcPr>
            <w:tcW w:w="24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17.50</w:t>
            </w:r>
          </w:p>
        </w:tc>
        <w:tc>
          <w:tcPr>
            <w:tcW w:w="240" w:type="dxa"/>
            <w:vAlign w:val="bottom"/>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4"/>
                <w:szCs w:val="14"/>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25.00</w:t>
            </w:r>
          </w:p>
        </w:tc>
        <w:tc>
          <w:tcPr>
            <w:tcW w:w="260" w:type="dxa"/>
            <w:vAlign w:val="bottom"/>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30.00</w:t>
            </w:r>
          </w:p>
        </w:tc>
        <w:tc>
          <w:tcPr>
            <w:tcW w:w="120" w:type="dxa"/>
            <w:vAlign w:val="bottom"/>
          </w:tcPr>
          <w:p>
            <w:pPr>
              <w:spacing w:after="0"/>
              <w:rPr>
                <w:sz w:val="14"/>
                <w:szCs w:val="14"/>
                <w:color w:val="auto"/>
              </w:rPr>
            </w:pPr>
          </w:p>
        </w:tc>
      </w:tr>
      <w:tr>
        <w:trPr>
          <w:trHeight w:val="210"/>
        </w:trPr>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7/21/2011</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26.3157</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13.8036</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7.9371</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3.4277</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91"/>
              </w:rPr>
              <w:t>8/1/2012</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12.7254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6.7714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4.0243</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2.6289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1.8503</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1.0700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0.6927</w:t>
            </w: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10.9086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5.0909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2.7293</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1.6846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1.1644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0.6846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0.4567</w:t>
            </w: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91"/>
              </w:rPr>
              <w:t>8/1/2014</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7.7697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2.6547</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1.1666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0.7014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0.5142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0.3349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0.2349</w:t>
            </w: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91"/>
              </w:rPr>
              <w:t>8/1/2016</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jc w:val="center"/>
              <w:spacing w:after="0"/>
              <w:rPr>
                <w:sz w:val="20"/>
                <w:szCs w:val="20"/>
                <w:color w:val="auto"/>
              </w:rPr>
            </w:pPr>
            <w:r>
              <w:rPr>
                <w:rFonts w:ascii="Arial" w:cs="Arial" w:eastAsia="Arial" w:hAnsi="Arial"/>
                <w:sz w:val="18"/>
                <w:szCs w:val="18"/>
                <w:color w:val="auto"/>
                <w:w w:val="91"/>
              </w:rPr>
              <w:t>8/1/2018</w:t>
            </w:r>
          </w:p>
        </w:tc>
        <w:tc>
          <w:tcPr>
            <w:tcW w:w="2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26.3157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1305"/>
        <w:spacing w:after="0" w:line="293" w:lineRule="auto"/>
        <w:tabs>
          <w:tab w:leader="none" w:pos="200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$30.00 per share of Common Stock (subject to adjustment as set forth in Section 10.10(c)), no Make-Whole Shares will be issued upon conversion of the Notes; and (iii) if the Stock Price is less than $7.60 per share of Common Stock (subject to adjustment as set forth in Section 10.10(c)), no Make-Whole Shares will be issued upon conversion of the Notes.</w:t>
      </w:r>
    </w:p>
    <w:p>
      <w:pPr>
        <w:spacing w:after="0" w:line="164" w:lineRule="exact"/>
        <w:rPr>
          <w:rFonts w:ascii="Arial" w:cs="Arial" w:eastAsia="Arial" w:hAnsi="Arial"/>
          <w:sz w:val="16"/>
          <w:szCs w:val="16"/>
          <w:color w:val="auto"/>
        </w:rPr>
      </w:pPr>
    </w:p>
    <w:p>
      <w:pPr>
        <w:ind w:right="40" w:firstLine="1305"/>
        <w:spacing w:after="0" w:line="264" w:lineRule="auto"/>
        <w:tabs>
          <w:tab w:leader="none" w:pos="19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listing rules of The NASDAQ Global Select Market, the Company may make such increases in the Conversion Rate, in addition to those required by Section 10.07, as the Board of Directors considers to be advisable to avoid or diminish any income tax to holders of Common Stock or rights to purchase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Common Stock resulting from any dividend or distribution of stock (or rights to acquire stock) or from any event treated as such for income tax purposes.</w:t>
      </w:r>
    </w:p>
    <w:p>
      <w:pPr>
        <w:spacing w:after="0" w:line="248" w:lineRule="exact"/>
        <w:rPr>
          <w:sz w:val="20"/>
          <w:szCs w:val="20"/>
          <w:color w:val="auto"/>
        </w:rPr>
      </w:pPr>
    </w:p>
    <w:p>
      <w:pPr>
        <w:ind w:right="60" w:firstLine="1305"/>
        <w:spacing w:after="0" w:line="293" w:lineRule="auto"/>
        <w:tabs>
          <w:tab w:leader="none" w:pos="201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the extent permitted by applicable law and the listing rules of The NASDAQ Global Select Market, the Company from time to time may increase the Conversion Rate by any amount for any period of time if the period is at least twenty (20) Business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provide written notice to the Holders of the Notes a notice of the increase at least fifteen (15) days prior to the date the increased Conversion Rate takes effect, and such notice shall state the increased Conversion Rate and the period during which it will be in effect.</w:t>
      </w:r>
    </w:p>
    <w:p>
      <w:pPr>
        <w:spacing w:after="0" w:line="164" w:lineRule="exact"/>
        <w:rPr>
          <w:rFonts w:ascii="Arial" w:cs="Arial" w:eastAsia="Arial" w:hAnsi="Arial"/>
          <w:sz w:val="16"/>
          <w:szCs w:val="16"/>
          <w:color w:val="auto"/>
        </w:rPr>
      </w:pPr>
    </w:p>
    <w:p>
      <w:pPr>
        <w:ind w:right="80" w:firstLine="1305"/>
        <w:spacing w:after="0" w:line="255" w:lineRule="auto"/>
        <w:tabs>
          <w:tab w:leader="none" w:pos="20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in the event of any increase in the Conversion Rate that which would result in the Notes, in the aggregate and taken together with the 2031B Notes (as defined in the Offering Memorandum), becoming convertible into shares of Common Stock in excess of the share issuance limitations of the listing standards of The NASDAQ Global Select Market or the principal U.S. securities exchange on which the Common Stock is then listed, the Company shall, at its option, either obtain stockholder approval of such issuances or deliver Cash in lieu of any shares otherwise deliverable upon conversions in excess of such limitations (calculated based on the Daily VWAP on the last Trading Day of the applicable Observation Period).</w:t>
      </w:r>
    </w:p>
    <w:p>
      <w:pPr>
        <w:spacing w:after="0" w:line="19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i w:val="1"/>
          <w:iCs w:val="1"/>
          <w:color w:val="auto"/>
        </w:rPr>
        <w:t>Section 10.11. When Adjustment May Be Deferred</w:t>
      </w:r>
      <w:r>
        <w:rPr>
          <w:rFonts w:ascii="Arial" w:cs="Arial" w:eastAsia="Arial" w:hAnsi="Arial"/>
          <w:sz w:val="17"/>
          <w:szCs w:val="17"/>
          <w:color w:val="auto"/>
        </w:rPr>
        <w:t>. No adjustment in the Conversion Rate need be made unless the adjustment would require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Section 10.12. When No Adjustment Required</w:t>
      </w:r>
      <w:r>
        <w:rPr>
          <w:rFonts w:ascii="Arial" w:cs="Arial" w:eastAsia="Arial" w:hAnsi="Arial"/>
          <w:sz w:val="17"/>
          <w:szCs w:val="17"/>
          <w:color w:val="auto"/>
        </w:rPr>
        <w:t>. (a) No adjustment need be made for a transaction referred to in Section 10.07 if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Holders, at such time, held a number of shares of Common Stock equal to the Applicable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 without having to convert their Notes.</w:t>
      </w:r>
    </w:p>
    <w:p>
      <w:pPr>
        <w:spacing w:after="0" w:line="173" w:lineRule="exact"/>
        <w:rPr>
          <w:sz w:val="20"/>
          <w:szCs w:val="20"/>
          <w:color w:val="auto"/>
        </w:rPr>
      </w:pPr>
    </w:p>
    <w:p>
      <w:pPr>
        <w:ind w:right="180" w:firstLine="1305"/>
        <w:spacing w:after="0" w:line="277" w:lineRule="auto"/>
        <w:tabs>
          <w:tab w:leader="none" w:pos="20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2000" w:hanging="695"/>
        <w:spacing w:after="0"/>
        <w:tabs>
          <w:tab w:leader="none" w:pos="2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00" w:firstLine="1305"/>
        <w:spacing w:after="0" w:line="277" w:lineRule="auto"/>
        <w:tabs>
          <w:tab w:leader="none" w:pos="19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solely into Cash, no adjustment need be made thereafter as to the Cash. Interest will not accrue on the Cash.</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10.13. Notice of Adjustment</w:t>
      </w:r>
      <w:r>
        <w:rPr>
          <w:rFonts w:ascii="Arial" w:cs="Arial" w:eastAsia="Arial" w:hAnsi="Arial"/>
          <w:sz w:val="18"/>
          <w:szCs w:val="18"/>
          <w:color w:val="auto"/>
        </w:rPr>
        <w:t>. Whenever the Conversion Rate is adjusted, the Company shall promptly send to Holders a written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Section 10.14. Notice of Certain Transactions</w:t>
      </w:r>
      <w:r>
        <w:rPr>
          <w:rFonts w:ascii="Arial" w:cs="Arial" w:eastAsia="Arial" w:hAnsi="Arial"/>
          <w:sz w:val="16"/>
          <w:szCs w:val="16"/>
          <w:color w:val="auto"/>
        </w:rPr>
        <w:t>. If (a) the Company takes any action that would require an adjustment in the Conversion Rate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10.07 (unless no adjustment is to occur pursuant to Section 10.11 or Section 10.12), (b) the Company takes any action that would require</w:t>
      </w:r>
    </w:p>
    <w:p>
      <w:pPr>
        <w:sectPr>
          <w:pgSz w:w="11900" w:h="16921" w:orient="portrait"/>
          <w:cols w:equalWidth="0" w:num="1">
            <w:col w:w="11420"/>
          </w:cols>
          <w:pgMar w:left="240" w:top="118" w:right="239" w:bottom="0" w:gutter="0" w:footer="0" w:header="0"/>
        </w:sectPr>
      </w:pPr>
    </w:p>
    <w:bookmarkStart w:id="51" w:name="page52"/>
    <w:bookmarkEnd w:id="51"/>
    <w:p>
      <w:pPr>
        <w:spacing w:after="0" w:line="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supplemental indenture pursuant to Section 10.09, or (c) there is a liquidation or dissolution of the Company, then the Company shall send to Holders and file with the Trustee and the Conversion Agent a written notice stating the proposed Ex-Date for a issuance,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Section 10.15. Right of Holders to Convert</w:t>
      </w:r>
      <w:r>
        <w:rPr>
          <w:rFonts w:ascii="Arial" w:cs="Arial" w:eastAsia="Arial" w:hAnsi="Arial"/>
          <w:sz w:val="18"/>
          <w:szCs w:val="18"/>
          <w:color w:val="auto"/>
        </w:rPr>
        <w:t>. Notwithstanding any other provision in this Indenture, the Holder of any Note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Section 10.16. Company Determination Final</w:t>
      </w:r>
      <w:r>
        <w:rPr>
          <w:rFonts w:ascii="Arial" w:cs="Arial" w:eastAsia="Arial" w:hAnsi="Arial"/>
          <w:sz w:val="18"/>
          <w:szCs w:val="18"/>
          <w:color w:val="auto"/>
        </w:rPr>
        <w:t>. The Company shall be responsible for making all calculations called for hereunder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Company shall make all these calculations using commercially reasonable means and, absent manifest error, the Company’s calculations will be final and binding on Holders. The Company shall provide a schedule of the Company’s calculations to the Trustee, and the Trustee is entitled to rely upon the accuracy of the Company’s calculations without independent verification.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10.17. Trustee’s Adjustment Disclaimer</w:t>
      </w:r>
      <w:r>
        <w:rPr>
          <w:rFonts w:ascii="Arial" w:cs="Arial" w:eastAsia="Arial" w:hAnsi="Arial"/>
          <w:sz w:val="16"/>
          <w:szCs w:val="16"/>
          <w:color w:val="auto"/>
        </w:rPr>
        <w:t>. The Trustee has no duty to determine when an adjustment under this Article 10 should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 value of any securities or assets issued upon conversion of Notes. The Trustee shall not be responsible for the Company’s failure to comply with this Article 10. Each Conversion Agent shall have the same protection under this Section 10.17 as the Trustee.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Section 10.18. Simultaneous Adjustments</w:t>
      </w:r>
      <w:r>
        <w:rPr>
          <w:rFonts w:ascii="Arial" w:cs="Arial" w:eastAsia="Arial" w:hAnsi="Arial"/>
          <w:sz w:val="18"/>
          <w:szCs w:val="18"/>
          <w:color w:val="auto"/>
        </w:rPr>
        <w:t>. For purposes of Sections 10.07(a), 10.07(b) and 10.07(c), any dividend or distribution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10.07(c)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10.07(c) with respect to such dividend or distribution shall then be made) immediately followed by (2) a dividend or distribution of such shares of Common Stock or such rights (and any further Conversion Rate adjustment required by Sections 10.07(a) and 10.07(b)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10.07(a).</w:t>
      </w:r>
    </w:p>
    <w:p>
      <w:pPr>
        <w:spacing w:after="0" w:line="19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Section 10.19. Successive Adjustments</w:t>
      </w:r>
      <w:r>
        <w:rPr>
          <w:rFonts w:ascii="Arial" w:cs="Arial" w:eastAsia="Arial" w:hAnsi="Arial"/>
          <w:sz w:val="18"/>
          <w:szCs w:val="18"/>
          <w:color w:val="auto"/>
        </w:rPr>
        <w:t>. After an adjustment to the Conversion Rate under this Article 10, any subsequent event requiring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under this Article 10 shall cause an adjustment to the Conversion Rate as so adjusted.</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Section 10.20. Rights Issued in Respect of Common Stock Issued Upon Conversion</w:t>
      </w:r>
      <w:r>
        <w:rPr>
          <w:rFonts w:ascii="Arial" w:cs="Arial" w:eastAsia="Arial" w:hAnsi="Arial"/>
          <w:sz w:val="17"/>
          <w:szCs w:val="17"/>
          <w:color w:val="auto"/>
        </w:rPr>
        <w:t>. Each share of Common Stock issued upon conversion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from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10.07(c), and further adjusted in the event of certain events affecting such Rights following any separation from the Common Stock and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8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Section 10.21. Withholding Taxes for Adjustments in Conversion Rate</w:t>
      </w:r>
      <w:r>
        <w:rPr>
          <w:rFonts w:ascii="Arial" w:cs="Arial" w:eastAsia="Arial" w:hAnsi="Arial"/>
          <w:sz w:val="18"/>
          <w:szCs w:val="18"/>
          <w:color w:val="auto"/>
        </w:rPr>
        <w:t>. The Company may, at its option, set-off withholding taxes due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11.01.</w:t>
      </w:r>
      <w:r>
        <w:rPr>
          <w:sz w:val="20"/>
          <w:szCs w:val="20"/>
          <w:color w:val="auto"/>
        </w:rPr>
        <w:tab/>
      </w:r>
      <w:r>
        <w:rPr>
          <w:rFonts w:ascii="Arial" w:cs="Arial" w:eastAsia="Arial" w:hAnsi="Arial"/>
          <w:sz w:val="16"/>
          <w:szCs w:val="16"/>
          <w:i w:val="1"/>
          <w:iCs w:val="1"/>
          <w:color w:val="auto"/>
        </w:rPr>
        <w:t>Right to Redeem; Notices to Trustee.</w:t>
      </w:r>
    </w:p>
    <w:p>
      <w:pPr>
        <w:spacing w:after="0" w:line="225" w:lineRule="exact"/>
        <w:rPr>
          <w:sz w:val="20"/>
          <w:szCs w:val="20"/>
          <w:color w:val="auto"/>
        </w:rPr>
      </w:pPr>
    </w:p>
    <w:p>
      <w:pPr>
        <w:ind w:firstLine="1305"/>
        <w:spacing w:after="0" w:line="259" w:lineRule="auto"/>
        <w:tabs>
          <w:tab w:leader="none" w:pos="199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provided below, the Notes are not redeemable by the Company prior to August 5, 2013. On or after August 5, 2013, the Notes may be redeemed for Cash in whole or in part at the option of the Company if the Closing Price of the Company’s Common Stock has been greater than or equal to 130% of the Conversion Price then in effect for at least 20 Trading Days during any 30 consecutive Trading Day period ending within five Trading Days prior to the date on which the Company provides notice of redemption.</w:t>
      </w:r>
    </w:p>
    <w:p>
      <w:pPr>
        <w:spacing w:after="0" w:line="182" w:lineRule="exact"/>
        <w:rPr>
          <w:rFonts w:ascii="Arial" w:cs="Arial" w:eastAsia="Arial" w:hAnsi="Arial"/>
          <w:sz w:val="18"/>
          <w:szCs w:val="18"/>
          <w:color w:val="auto"/>
        </w:rPr>
      </w:pPr>
    </w:p>
    <w:p>
      <w:pPr>
        <w:ind w:left="2000" w:hanging="695"/>
        <w:spacing w:after="0"/>
        <w:tabs>
          <w:tab w:leader="none" w:pos="20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pursuant to Section 11.01(a) shall be equal to</w:t>
      </w:r>
    </w:p>
    <w:p>
      <w:pPr>
        <w:spacing w:after="0" w:line="50" w:lineRule="exact"/>
        <w:rPr>
          <w:rFonts w:ascii="Arial" w:cs="Arial" w:eastAsia="Arial" w:hAnsi="Arial"/>
          <w:sz w:val="16"/>
          <w:szCs w:val="16"/>
          <w:color w:val="auto"/>
        </w:rPr>
      </w:pPr>
    </w:p>
    <w:p>
      <w:pPr>
        <w:ind w:left="220" w:hanging="212"/>
        <w:spacing w:after="0"/>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100% of the principal of Notes to be redeemed, plus (ii) accrued and unpaid interest (including Additional Interest), if any, to, but excluding, the</w:t>
      </w:r>
    </w:p>
    <w:p>
      <w:pPr>
        <w:spacing w:after="0" w:line="20" w:lineRule="exact"/>
        <w:rPr>
          <w:rFonts w:ascii="Arial" w:cs="Arial" w:eastAsia="Arial" w:hAnsi="Arial"/>
          <w:sz w:val="17"/>
          <w:szCs w:val="17"/>
          <w:color w:val="auto"/>
        </w:rPr>
      </w:pPr>
    </w:p>
    <w:p>
      <w:pPr>
        <w:ind w:right="60"/>
        <w:spacing w:after="0" w:line="295" w:lineRule="auto"/>
        <w:rPr>
          <w:rFonts w:ascii="Arial" w:cs="Arial" w:eastAsia="Arial" w:hAnsi="Arial"/>
          <w:sz w:val="17"/>
          <w:szCs w:val="17"/>
          <w:color w:val="auto"/>
        </w:rPr>
      </w:pPr>
      <w:r>
        <w:rPr>
          <w:rFonts w:ascii="Arial" w:cs="Arial" w:eastAsia="Arial" w:hAnsi="Arial"/>
          <w:sz w:val="16"/>
          <w:szCs w:val="16"/>
          <w:color w:val="auto"/>
        </w:rPr>
        <w:t xml:space="preserve">Redemption Date, plus (iii) the Make-Whole Premium;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w:t>
      </w:r>
    </w:p>
    <w:p>
      <w:pPr>
        <w:sectPr>
          <w:pgSz w:w="11900" w:h="16938" w:orient="portrait"/>
          <w:cols w:equalWidth="0" w:num="1">
            <w:col w:w="11400"/>
          </w:cols>
          <w:pgMar w:left="240" w:top="125" w:right="259" w:bottom="0" w:gutter="0" w:footer="0" w:header="0"/>
        </w:sectPr>
      </w:pPr>
    </w:p>
    <w:bookmarkStart w:id="52" w:name="page53"/>
    <w:bookmarkEnd w:id="52"/>
    <w:p>
      <w:pPr>
        <w:jc w:val="both"/>
        <w:ind w:right="80"/>
        <w:spacing w:after="0" w:line="259" w:lineRule="auto"/>
        <w:rPr>
          <w:sz w:val="20"/>
          <w:szCs w:val="20"/>
          <w:color w:val="auto"/>
        </w:rPr>
      </w:pPr>
      <w:r>
        <w:rPr>
          <w:rFonts w:ascii="Arial" w:cs="Arial" w:eastAsia="Arial" w:hAnsi="Arial"/>
          <w:sz w:val="18"/>
          <w:szCs w:val="18"/>
          <w:color w:val="auto"/>
        </w:rPr>
        <w:t>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87" w:lineRule="exact"/>
        <w:rPr>
          <w:sz w:val="20"/>
          <w:szCs w:val="20"/>
          <w:color w:val="auto"/>
        </w:rPr>
      </w:pPr>
    </w:p>
    <w:p>
      <w:pPr>
        <w:ind w:right="60" w:firstLine="1305"/>
        <w:spacing w:after="0" w:line="273" w:lineRule="auto"/>
        <w:tabs>
          <w:tab w:leader="none" w:pos="199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Upon any redemption prior to August 5, 2015, the Company shall pay the Make-Whole Premium with respect to the Notes called for redemption to Holders in Cash, including with respect to Notes converted into Common Stock pursuant to the terms of the Indenture after the date of the notice of redemption sent pursuant to Section 11.03 of this Indenture and prior to such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78" w:lineRule="exact"/>
        <w:rPr>
          <w:rFonts w:ascii="Arial" w:cs="Arial" w:eastAsia="Arial" w:hAnsi="Arial"/>
          <w:sz w:val="17"/>
          <w:szCs w:val="17"/>
          <w:color w:val="auto"/>
        </w:rPr>
      </w:pPr>
    </w:p>
    <w:p>
      <w:pPr>
        <w:ind w:firstLine="1305"/>
        <w:spacing w:after="0" w:line="297" w:lineRule="auto"/>
        <w:tabs>
          <w:tab w:leader="none" w:pos="200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On or after August 5, 2015, the Company may redeem for Cash all or part of the Notes. The Redemption Price will equal the sum of 100% of the principal amount of the Notes to be redeemed, plus accrued and unpaid interest, including Additional Interest, if any,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59"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shall not redeem any Notes or deliver to any Holder a notice of redemption pursuant to Section 11.03 at any time when there exists any accrued and unpaid Defaulted Interest.</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Section 11.02. Selection of Notes to be Redeemed</w:t>
      </w:r>
      <w:r>
        <w:rPr>
          <w:rFonts w:ascii="Arial" w:cs="Arial" w:eastAsia="Arial" w:hAnsi="Arial"/>
          <w:sz w:val="16"/>
          <w:szCs w:val="16"/>
          <w:color w:val="auto"/>
        </w:rPr>
        <w:t>. If less than all the Notes are to be redeemed, the Trustee shall select the Notes to be redeemed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5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Section 11.03. Notice of Redemption</w:t>
      </w:r>
      <w:r>
        <w:rPr>
          <w:rFonts w:ascii="Arial" w:cs="Arial" w:eastAsia="Arial" w:hAnsi="Arial"/>
          <w:sz w:val="17"/>
          <w:szCs w:val="17"/>
          <w:color w:val="auto"/>
        </w:rPr>
        <w:t>. At least 30 days but not more than 60 days before a Redemption Date, the Company shall mail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deliver any such notice to any Holder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660" w:hanging="707"/>
        <w:spacing w:after="0"/>
        <w:tabs>
          <w:tab w:leader="none" w:pos="2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00" w:firstLine="1953"/>
        <w:spacing w:after="0" w:line="277" w:lineRule="auto"/>
        <w:tabs>
          <w:tab w:leader="none" w:pos="265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Section 11.04. Effect of Notice of Redemption</w:t>
      </w:r>
      <w:r>
        <w:rPr>
          <w:rFonts w:ascii="Arial" w:cs="Arial" w:eastAsia="Arial" w:hAnsi="Arial"/>
          <w:sz w:val="18"/>
          <w:szCs w:val="18"/>
          <w:color w:val="auto"/>
        </w:rPr>
        <w:t>. Once notice of redemption is given, Notes called for redemption become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Section 11.05. Deposit of Redemption Price</w:t>
      </w:r>
      <w:r>
        <w:rPr>
          <w:rFonts w:ascii="Arial" w:cs="Arial" w:eastAsia="Arial" w:hAnsi="Arial"/>
          <w:sz w:val="16"/>
          <w:szCs w:val="16"/>
          <w:color w:val="auto"/>
        </w:rPr>
        <w:t>. Prior to 12:00 p.m., New York City time, on or prior to the Redemption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ectPr>
          <w:pgSz w:w="11900" w:h="16838" w:orient="portrait"/>
          <w:cols w:equalWidth="0" w:num="1">
            <w:col w:w="11380"/>
          </w:cols>
          <w:pgMar w:left="240" w:top="125" w:right="279" w:bottom="0" w:gutter="0" w:footer="0" w:header="0"/>
        </w:sectPr>
      </w:pPr>
    </w:p>
    <w:bookmarkStart w:id="53" w:name="page54"/>
    <w:bookmarkEnd w:id="53"/>
    <w:p>
      <w:pPr>
        <w:ind w:right="6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11.06. Notes Redeemed in Part</w:t>
      </w:r>
      <w:r>
        <w:rPr>
          <w:rFonts w:ascii="Arial" w:cs="Arial" w:eastAsia="Arial" w:hAnsi="Arial"/>
          <w:sz w:val="17"/>
          <w:szCs w:val="17"/>
          <w:color w:val="auto"/>
        </w:rPr>
        <w:t>. Any Note which is to be redeemed only in part shall be surrendered at the office of the Paying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issue, register the transfer of or exchange any Notes during a period beginning immediately prior to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Section 12.01. Interest Payments</w:t>
      </w:r>
      <w:r>
        <w:rPr>
          <w:rFonts w:ascii="Arial" w:cs="Arial" w:eastAsia="Arial" w:hAnsi="Arial"/>
          <w:sz w:val="17"/>
          <w:szCs w:val="17"/>
          <w:color w:val="auto"/>
        </w:rPr>
        <w:t>. Interest (including any Additional Interest) on any Note that is payable, and is punctually paid or duly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Section 12.02. Defaulted Interest</w:t>
      </w:r>
      <w:r>
        <w:rPr>
          <w:rFonts w:ascii="Arial" w:cs="Arial" w:eastAsia="Arial" w:hAnsi="Arial"/>
          <w:sz w:val="17"/>
          <w:szCs w:val="17"/>
          <w:color w:val="auto"/>
        </w:rPr>
        <w:t>. Any interest (including any Additional Interest) on any Note that is payable, but is not punctually paid or duly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firstLine="1305"/>
        <w:spacing w:after="0" w:line="287" w:lineRule="auto"/>
        <w:tabs>
          <w:tab w:leader="none" w:pos="199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its address as it appears on the list of Holders maintained pursuant to Section 2.05 not less than 25 days prior to such Special Record Date. Notice of the proposed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81" w:lineRule="exact"/>
        <w:rPr>
          <w:sz w:val="20"/>
          <w:szCs w:val="20"/>
          <w:color w:val="auto"/>
        </w:rPr>
      </w:pPr>
    </w:p>
    <w:p>
      <w:pPr>
        <w:ind w:right="60" w:firstLine="1305"/>
        <w:spacing w:after="0" w:line="312" w:lineRule="auto"/>
        <w:tabs>
          <w:tab w:leader="none" w:pos="20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Section 12.03. Interest Rights Preserved</w:t>
      </w:r>
      <w:r>
        <w:rPr>
          <w:rFonts w:ascii="Arial" w:cs="Arial" w:eastAsia="Arial" w:hAnsi="Arial"/>
          <w:sz w:val="18"/>
          <w:szCs w:val="18"/>
          <w:color w:val="auto"/>
        </w:rPr>
        <w:t>. Subject to the foregoing provisions of this Article 12 and Section 2.06, each Note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Section 13.01. Holder Communications; Holder Actions</w:t>
      </w:r>
      <w:r>
        <w:rPr>
          <w:rFonts w:ascii="Arial" w:cs="Arial" w:eastAsia="Arial" w:hAnsi="Arial"/>
          <w:sz w:val="18"/>
          <w:szCs w:val="18"/>
          <w:color w:val="auto"/>
        </w:rPr>
        <w:t>. (a) The rights of Holders to communicate with other Holders with respect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ectPr>
          <w:pgSz w:w="11900" w:h="16838" w:orient="portrait"/>
          <w:cols w:equalWidth="0" w:num="1">
            <w:col w:w="11400"/>
          </w:cols>
          <w:pgMar w:left="240" w:top="125" w:right="259" w:bottom="0" w:gutter="0" w:footer="0" w:header="0"/>
        </w:sectPr>
      </w:pPr>
    </w:p>
    <w:bookmarkStart w:id="54" w:name="page55"/>
    <w:bookmarkEnd w:id="54"/>
    <w:p>
      <w:pPr>
        <w:ind w:firstLine="1305"/>
        <w:spacing w:after="0" w:line="253" w:lineRule="auto"/>
        <w:tabs>
          <w:tab w:leader="none" w:pos="20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Any request, demand, authorization, direction, notice, consent to amendment, supplement or waiver or other action provided by this Indenture to be given or taken by a Holder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Holders.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1305"/>
        <w:spacing w:after="0" w:line="312" w:lineRule="auto"/>
        <w:tabs>
          <w:tab w:leader="none" w:pos="199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46" w:lineRule="exact"/>
        <w:rPr>
          <w:rFonts w:ascii="Arial" w:cs="Arial" w:eastAsia="Arial" w:hAnsi="Arial"/>
          <w:sz w:val="16"/>
          <w:szCs w:val="16"/>
          <w:color w:val="auto"/>
        </w:rPr>
      </w:pPr>
    </w:p>
    <w:p>
      <w:pPr>
        <w:ind w:firstLine="1305"/>
        <w:spacing w:after="0" w:line="255" w:lineRule="auto"/>
        <w:tabs>
          <w:tab w:leader="none" w:pos="20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13.02.</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480" w:firstLine="8"/>
        <w:spacing w:after="0" w:line="261"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2011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213.615.6043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213.615.6197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80" w:firstLine="1305"/>
        <w:spacing w:after="0" w:line="257" w:lineRule="auto"/>
        <w:tabs>
          <w:tab w:leader="none" w:pos="20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80" w:firstLine="1305"/>
        <w:spacing w:after="0" w:line="264" w:lineRule="auto"/>
        <w:tabs>
          <w:tab w:leader="none" w:pos="19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ectPr>
          <w:pgSz w:w="11900" w:h="16838" w:orient="portrait"/>
          <w:cols w:equalWidth="0" w:num="1">
            <w:col w:w="11400"/>
          </w:cols>
          <w:pgMar w:left="240" w:top="125" w:right="259" w:bottom="0" w:gutter="0" w:footer="0" w:header="0"/>
        </w:sectPr>
      </w:pPr>
    </w:p>
    <w:bookmarkStart w:id="55" w:name="page56"/>
    <w:bookmarkEnd w:id="55"/>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13.03. Communication by Holders with Other Holders</w:t>
      </w:r>
      <w:r>
        <w:rPr>
          <w:rFonts w:ascii="Arial" w:cs="Arial" w:eastAsia="Arial" w:hAnsi="Arial"/>
          <w:sz w:val="18"/>
          <w:szCs w:val="18"/>
          <w:color w:val="auto"/>
        </w:rPr>
        <w:t>. Holders may communicate pursuant to Section 312(b)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Section 13.04. Certificate and Opinion as to Conditions Precedent</w:t>
      </w:r>
      <w:r>
        <w:rPr>
          <w:rFonts w:ascii="Arial" w:cs="Arial" w:eastAsia="Arial" w:hAnsi="Arial"/>
          <w:sz w:val="18"/>
          <w:szCs w:val="18"/>
          <w:color w:val="auto"/>
        </w:rPr>
        <w:t>. Upon any request or application by the Company to the Trustee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Indenture, the Company shall furnish to the Trustee:</w:t>
      </w:r>
    </w:p>
    <w:p>
      <w:pPr>
        <w:spacing w:after="0" w:line="170" w:lineRule="exact"/>
        <w:rPr>
          <w:sz w:val="20"/>
          <w:szCs w:val="20"/>
          <w:color w:val="auto"/>
        </w:rPr>
      </w:pPr>
    </w:p>
    <w:p>
      <w:pPr>
        <w:ind w:right="380" w:firstLine="1953"/>
        <w:spacing w:after="0" w:line="277" w:lineRule="auto"/>
        <w:tabs>
          <w:tab w:leader="none" w:pos="2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Section 13.05. Statements Required in Certificate or Opinion</w:t>
      </w:r>
      <w:r>
        <w:rPr>
          <w:rFonts w:ascii="Arial" w:cs="Arial" w:eastAsia="Arial" w:hAnsi="Arial"/>
          <w:sz w:val="18"/>
          <w:szCs w:val="18"/>
          <w:color w:val="auto"/>
        </w:rPr>
        <w:t>. Each certificate or opinion with respect to compliance with a condition or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this Indenture must include:</w:t>
      </w:r>
    </w:p>
    <w:p>
      <w:pPr>
        <w:spacing w:after="0" w:line="170" w:lineRule="exact"/>
        <w:rPr>
          <w:sz w:val="20"/>
          <w:szCs w:val="20"/>
          <w:color w:val="auto"/>
        </w:rPr>
      </w:pPr>
    </w:p>
    <w:p>
      <w:pPr>
        <w:ind w:left="2660" w:hanging="707"/>
        <w:spacing w:after="0"/>
        <w:tabs>
          <w:tab w:leader="none" w:pos="2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20" w:firstLine="1953"/>
        <w:spacing w:after="0" w:line="277" w:lineRule="auto"/>
        <w:tabs>
          <w:tab w:leader="none" w:pos="26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20" w:firstLine="1953"/>
        <w:spacing w:after="0" w:line="342" w:lineRule="auto"/>
        <w:tabs>
          <w:tab w:leader="none" w:pos="265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right="80" w:firstLine="1953"/>
        <w:spacing w:after="0" w:line="308" w:lineRule="auto"/>
        <w:tabs>
          <w:tab w:leader="none" w:pos="265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i w:val="1"/>
          <w:iCs w:val="1"/>
          <w:color w:val="auto"/>
        </w:rPr>
        <w:t>Section 13.06. 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w:t>
      </w:r>
      <w:r>
        <w:rPr>
          <w:rFonts w:ascii="Arial" w:cs="Arial" w:eastAsia="Arial" w:hAnsi="Arial"/>
          <w:sz w:val="18"/>
          <w:szCs w:val="18"/>
          <w:i w:val="1"/>
          <w:iCs w:val="1"/>
          <w:color w:val="auto"/>
        </w:rPr>
        <w:t xml:space="preserve"> </w:t>
      </w:r>
      <w:r>
        <w:rPr>
          <w:rFonts w:ascii="Arial" w:cs="Arial" w:eastAsia="Arial" w:hAnsi="Arial"/>
          <w:sz w:val="18"/>
          <w:szCs w:val="18"/>
          <w:color w:val="auto"/>
        </w:rPr>
        <w:t>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8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Section 13.07. Rules by Trustee, Paying Agent, Conversion Agent and Registrar</w:t>
      </w:r>
      <w:r>
        <w:rPr>
          <w:rFonts w:ascii="Arial" w:cs="Arial" w:eastAsia="Arial" w:hAnsi="Arial"/>
          <w:sz w:val="18"/>
          <w:szCs w:val="18"/>
          <w:color w:val="auto"/>
        </w:rPr>
        <w:t>. The Trustee may make reasonable rules for action by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Holders. The Registrar, Conversion Agent and the Paying Agent may make reasonable rules for their functions.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Section 13.08. Governing Law</w:t>
      </w:r>
      <w:r>
        <w:rPr>
          <w:rFonts w:ascii="Arial" w:cs="Arial" w:eastAsia="Arial" w:hAnsi="Arial"/>
          <w:sz w:val="18"/>
          <w:szCs w:val="18"/>
          <w:color w:val="auto"/>
        </w:rPr>
        <w:t>. 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AND FOR ALL PURPOSES SHALL BE CONSTRUED IN ACCORDANCE WITH THE LAWS OF THE STATE OF NEW YORK.</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Section 13.09. No Adverse Interpretation of Other Agreements</w:t>
      </w:r>
      <w:r>
        <w:rPr>
          <w:rFonts w:ascii="Arial" w:cs="Arial" w:eastAsia="Arial" w:hAnsi="Arial"/>
          <w:sz w:val="16"/>
          <w:szCs w:val="16"/>
          <w:color w:val="auto"/>
        </w:rPr>
        <w:t>. This Indenture may not be used to interpret another indenture or loan or debt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the Company or any Subsidiary of the Company, and no such indenture or loan or debt agreement may be used to interpret this Indenture.</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13.10. Successors</w:t>
      </w:r>
      <w:r>
        <w:rPr>
          <w:rFonts w:ascii="Arial" w:cs="Arial" w:eastAsia="Arial" w:hAnsi="Arial"/>
          <w:sz w:val="18"/>
          <w:szCs w:val="18"/>
          <w:color w:val="auto"/>
        </w:rPr>
        <w:t>. All agreements of the Company in this Indenture and the Notes will bind its successors. All agreements of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will bind its successor.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Section 13.11. Counterparts</w:t>
      </w:r>
      <w:r>
        <w:rPr>
          <w:rFonts w:ascii="Arial" w:cs="Arial" w:eastAsia="Arial" w:hAnsi="Arial"/>
          <w:sz w:val="18"/>
          <w:szCs w:val="18"/>
          <w:color w:val="auto"/>
        </w:rPr>
        <w:t>. The parties may sign any number of copies of this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Section 13.12. Severability</w:t>
      </w:r>
      <w:r>
        <w:rPr>
          <w:rFonts w:ascii="Arial" w:cs="Arial" w:eastAsia="Arial" w:hAnsi="Arial"/>
          <w:sz w:val="18"/>
          <w:szCs w:val="18"/>
          <w:color w:val="auto"/>
        </w:rPr>
        <w:t>. In case any provision in this Indenture or in the Notes is invalid, illegal or unenforceable, the validity, legality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the remaining provisions will not in any way be affected or impaired thereby.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Section 13.13. Table of Contents and Headings</w:t>
      </w:r>
      <w:r>
        <w:rPr>
          <w:rFonts w:ascii="Arial" w:cs="Arial" w:eastAsia="Arial" w:hAnsi="Arial"/>
          <w:sz w:val="18"/>
          <w:szCs w:val="18"/>
          <w:color w:val="auto"/>
        </w:rPr>
        <w:t>. The Table of Contents, Cross-Reference Table and headings of the Articles and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13.14. No Liability of Directors, Officers, Employees, Incorporators, Members and Stockholders</w:t>
      </w:r>
      <w:r>
        <w:rPr>
          <w:rFonts w:ascii="Arial" w:cs="Arial" w:eastAsia="Arial" w:hAnsi="Arial"/>
          <w:sz w:val="18"/>
          <w:szCs w:val="18"/>
          <w:color w:val="auto"/>
        </w:rPr>
        <w:t>. No director, officer,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incorporator, member or stockholder of the Company, as such, will have any liability for any obligations of the Company under the Notes or this Indenture or for any claim based on, in respect of, or by reason of, such obligations. Each Holder by accepting a Note waives and releases all such liability. The waiver and release are part of the consideration for issuance of the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5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2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Vice President of Finance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U.S. BANK NATIONAL ASSOCIATION, as Trustee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Oswald</w:t>
            </w:r>
          </w:p>
        </w:tc>
      </w:tr>
      <w:tr>
        <w:trPr>
          <w:trHeight w:val="195"/>
        </w:trPr>
        <w:tc>
          <w:tcPr>
            <w:tcW w:w="5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2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DTC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TRANSFER RESTRICTED NOTE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 Convertible Senior Note due 2031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[A-1]</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ISIN</w:t>
      </w:r>
    </w:p>
    <w:p>
      <w:pPr>
        <w:spacing w:after="0" w:line="22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under the Indenture hereinafter referred to), for value received, promises to pay to Cede &amp; Co. or its registered assigns, the principal sum of Dollars ($ ) [(which principal amount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may from time to time be increased or decreased to such other principal amounts (which, taken together with the principal amounts of all other outstanding</w:t>
      </w:r>
    </w:p>
    <w:p>
      <w:pPr>
        <w:spacing w:after="0" w:line="32"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Notes, shall not exceed $[</w:t>
      </w:r>
      <w:r>
        <w:rPr>
          <w:sz w:val="20"/>
          <w:szCs w:val="20"/>
          <w:color w:val="auto"/>
        </w:rPr>
        <w:tab/>
      </w:r>
      <w:r>
        <w:rPr>
          <w:rFonts w:ascii="Arial" w:cs="Arial" w:eastAsia="Arial" w:hAnsi="Arial"/>
          <w:sz w:val="16"/>
          <w:szCs w:val="16"/>
          <w:color w:val="auto"/>
        </w:rPr>
        <w:t>]) by adjustments made by the Trustee as set forth on Schedule I hereto)]* on August 1, 2031.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1.50%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 and August 1, commencing February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January 15 and July 15.</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700" w:hanging="368"/>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1.50% Convertible Senior Notes due 2031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 Convertible Senior Note due 2031</w:t>
      </w:r>
    </w:p>
    <w:p>
      <w:pPr>
        <w:spacing w:after="0" w:line="225" w:lineRule="exact"/>
        <w:rPr>
          <w:sz w:val="20"/>
          <w:szCs w:val="20"/>
          <w:color w:val="auto"/>
        </w:rPr>
      </w:pPr>
    </w:p>
    <w:p>
      <w:pPr>
        <w:ind w:left="1000" w:hanging="344"/>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August 1, 2031.</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1.50% per annum.</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Business Day immediately preceding the Interest Payment Date) on each Interest Payment Date, commencing February 1, 2012.</w:t>
      </w:r>
    </w:p>
    <w:p>
      <w:pPr>
        <w:spacing w:after="0" w:line="170"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Interest on this Note will accrue from the most recent date to which interest has been paid or provided for on this Note or the Note surrendered in exchange for this Note or, if no interest has been paid, from July 26, 2011, through the day before each Interest Payment Date. Interest will be computed in the basis of a 360-day year of twelve 30-day months. Interest will cease to accrue on this Note upon its maturity, conversion, redemption or repurchase by the Company, including repurchase by the Company at the option of a holder upon a Change in Control or Termination of Trading.</w:t>
      </w:r>
    </w:p>
    <w:p>
      <w:pPr>
        <w:spacing w:after="0" w:line="15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the Company elects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1.50%. Defaulted Interest shall be paid to the Persons that are Holders on a Special Record Date, which will established as set forth in the Indenture.</w:t>
      </w:r>
    </w:p>
    <w:p>
      <w:pPr>
        <w:spacing w:after="0" w:line="181" w:lineRule="exact"/>
        <w:rPr>
          <w:sz w:val="20"/>
          <w:szCs w:val="20"/>
          <w:color w:val="auto"/>
        </w:rPr>
      </w:pPr>
    </w:p>
    <w:p>
      <w:pPr>
        <w:ind w:left="1000" w:hanging="344"/>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47" w:lineRule="exact"/>
        <w:rPr>
          <w:sz w:val="20"/>
          <w:szCs w:val="20"/>
          <w:color w:val="auto"/>
        </w:rPr>
      </w:pPr>
    </w:p>
    <w:p>
      <w:pPr>
        <w:ind w:left="1000" w:hanging="344"/>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 any of their Affiliates may act as Paying Agent, Conversion Agent, Registrar or co-registrar. The Company may maintain deposit accounts and conduct other banking transactions with the Trustee in the normal course of business.</w:t>
      </w:r>
    </w:p>
    <w:p>
      <w:pPr>
        <w:spacing w:after="0" w:line="170" w:lineRule="exact"/>
        <w:rPr>
          <w:sz w:val="20"/>
          <w:szCs w:val="20"/>
          <w:color w:val="auto"/>
        </w:rPr>
      </w:pPr>
    </w:p>
    <w:p>
      <w:pPr>
        <w:ind w:left="1000" w:hanging="344"/>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July 26, 2011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1000" w:hanging="344"/>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On August 1, 2018 and 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1000" w:hanging="344"/>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No sinking fund is provided for the Notes. The Notes are redeemable as a whole, or from time to time in part, at any time commencing on August 5, 2013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(i) 100% of the Principal Amount of Notes to be redeemed, plus (ii) accrued and unpaid interest (including Additional Interest), if any, to, but excluding, the Redemption Date, plus (iii) if applicable, the Make-Whole Premium.</w:t>
      </w:r>
    </w:p>
    <w:p>
      <w:pPr>
        <w:sectPr>
          <w:pgSz w:w="11900" w:h="16838" w:orient="portrait"/>
          <w:cols w:equalWidth="0" w:num="1">
            <w:col w:w="11420"/>
          </w:cols>
          <w:pgMar w:left="240" w:top="557" w:right="239" w:bottom="0" w:gutter="0" w:footer="0" w:header="0"/>
        </w:sectPr>
      </w:pPr>
    </w:p>
    <w:bookmarkStart w:id="58" w:name="page59"/>
    <w:bookmarkEnd w:id="58"/>
    <w:p>
      <w:pPr>
        <w:spacing w:after="0" w:line="36" w:lineRule="exact"/>
        <w:rPr>
          <w:sz w:val="20"/>
          <w:szCs w:val="20"/>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the consideration specified in the Indenture, as adjusted from time to time as provided in the Indenture.</w:t>
      </w:r>
    </w:p>
    <w:p>
      <w:pPr>
        <w:spacing w:after="0" w:line="187" w:lineRule="exact"/>
        <w:rPr>
          <w:sz w:val="20"/>
          <w:szCs w:val="20"/>
          <w:color w:val="auto"/>
        </w:rPr>
      </w:pPr>
    </w:p>
    <w:p>
      <w:pPr>
        <w:ind w:left="1000" w:hanging="344"/>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58" w:lineRule="exact"/>
        <w:rPr>
          <w:sz w:val="20"/>
          <w:szCs w:val="20"/>
          <w:color w:val="auto"/>
        </w:rPr>
      </w:pPr>
    </w:p>
    <w:p>
      <w:pPr>
        <w:ind w:left="1000" w:hanging="344"/>
        <w:spacing w:after="0"/>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1000" w:hanging="344"/>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1000" w:hanging="344"/>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ind w:left="1000" w:hanging="344"/>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ind w:left="1000" w:hanging="344"/>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rights it would have if it were not the Trustee. Any Agent may do the same with like rights. However, the Trustee is subject to Trust Indenture Act Sections 310(b) and 311.</w:t>
      </w:r>
    </w:p>
    <w:p>
      <w:pPr>
        <w:spacing w:after="0" w:line="170" w:lineRule="exact"/>
        <w:rPr>
          <w:sz w:val="20"/>
          <w:szCs w:val="20"/>
          <w:color w:val="auto"/>
        </w:rPr>
      </w:pPr>
    </w:p>
    <w:p>
      <w:pPr>
        <w:ind w:left="1000" w:hanging="344"/>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1000" w:hanging="344"/>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1000" w:hanging="344"/>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1000" w:hanging="344"/>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ectPr>
          <w:pgSz w:w="11900" w:h="16874" w:orient="portrait"/>
          <w:cols w:equalWidth="0" w:num="1">
            <w:col w:w="11380"/>
          </w:cols>
          <w:pgMar w:left="240" w:top="125" w:right="279" w:bottom="0" w:gutter="0" w:footer="0" w:header="0"/>
        </w:sectPr>
      </w:pPr>
    </w:p>
    <w:bookmarkStart w:id="59" w:name="page60"/>
    <w:bookmarkEnd w:id="59"/>
    <w:p>
      <w:pPr>
        <w:ind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378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332"/>
        <w:spacing w:after="0" w:line="264" w:lineRule="auto"/>
        <w:tabs>
          <w:tab w:leader="none" w:pos="6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Paula Oswald (Micron 2011 Indenture)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(213) 615-6197</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w:t>
      </w:r>
    </w:p>
    <w:p>
      <w:pPr>
        <w:spacing w:after="0" w:line="46"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41" w:right="379" w:bottom="356"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387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826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firstLine="332"/>
        <w:spacing w:after="0" w:line="264" w:lineRule="auto"/>
        <w:tabs>
          <w:tab w:leader="none" w:pos="6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[A-1]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principal amount of this Global Note is $345,000,000.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3"/>
              </w:rPr>
              <w:t>Principal Amount of this</w:t>
            </w:r>
          </w:p>
        </w:tc>
        <w:tc>
          <w:tcPr>
            <w:tcW w:w="3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Notation Explaining</w:t>
            </w: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Authorized Signature of</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Change in Principal</w:t>
            </w:r>
          </w:p>
        </w:tc>
        <w:tc>
          <w:tcPr>
            <w:tcW w:w="2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Global Note</w:t>
            </w:r>
          </w:p>
        </w:tc>
        <w:tc>
          <w:tcPr>
            <w:tcW w:w="3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RESTRICTED NOTE LEGEND</w:t>
      </w:r>
    </w:p>
    <w:p>
      <w:pPr>
        <w:sectPr>
          <w:pgSz w:w="11900" w:h="16838" w:orient="portrait"/>
          <w:cols w:equalWidth="0" w:num="1">
            <w:col w:w="11420"/>
          </w:cols>
          <w:pgMar w:left="240" w:top="571" w:right="239" w:bottom="5" w:gutter="0" w:footer="0" w:header="0"/>
        </w:sectPr>
      </w:pPr>
    </w:p>
    <w:bookmarkStart w:id="61" w:name="page62"/>
    <w:bookmarkEnd w:id="61"/>
    <w:p>
      <w:pPr>
        <w:ind w:right="120"/>
        <w:spacing w:after="0" w:line="252" w:lineRule="auto"/>
        <w:rPr>
          <w:sz w:val="20"/>
          <w:szCs w:val="20"/>
          <w:color w:val="auto"/>
        </w:rPr>
      </w:pPr>
      <w:r>
        <w:rPr>
          <w:rFonts w:ascii="Arial" w:cs="Arial" w:eastAsia="Arial" w:hAnsi="Arial"/>
          <w:sz w:val="18"/>
          <w:szCs w:val="18"/>
          <w:color w:val="auto"/>
        </w:rPr>
        <w:t>THE SALE OF THIS SECURITY HAS NOT BEEN REGISTERED UNDER THE UNITED STATES SECURITIES ACT OF 1933, AS AMENDED (THE ‘‘SECURITIES ACT’’), AND ACCORDINGLY, THIS SECURITY MAY NOT BE OFFERED OR SOLD EXCEPT AS SET FORTH IN THE FOLLOWING SENTENCE. BY ITS ACQUISITION HEREOF, THE HOLDER AGREES (1) THAT IT WILL NOT WITHIN THE LATER OF (X) ONE YEAR AFTER THE LATEST ISSUE DATE OF THIS SECURITY AND (Y) THREE MONTHS AFTER IT CEASES TO BE AN AFFILIATE (WITHIN THE MEANING OF RULE 144 UNDER THE SECURITIES ACT) OF THE ISSUER, OFFER, RESELL, PLEDGE OR OTHERWISE TRANSFER THE SECURITY EVIDENCED HEREBY OR THE COMMON STOCK ISSUABLE UPON CONVERSION OF SUCH SECURITY, EXCEPT (A) TO THE ISSUER;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WITHIN THE LATER OF (X) SIX MONTHS (OR, IF THE ISSUER HAS NOT SATISFIED THE CURRENT PUBLIC INFORMATION REQUIREMENTS OF RULE 144, ONE YEAR) AFTER THE LAST DATE OF ORIGINAL ISSUANCE OF NOTES (INCLUDING THROUGH THE EXERCISE OF THE OPTION TO PURCHASE ADDITIONAL NOTES) AND (Y) THREE MONTHS AFTER IT CEASES TO BE AN AFFILIATE (WITHIN THE MEANING OF RULE 144 UNDER THE SECURITIES ACT) OF THE ISSUER, FURNISH TO THE TRUSTEE AND THE ISSUER SUCH CERTIFICATIONS, LEGAL OPINIONS OR OTHER INFORMATION AS MAY BE REQUIRED PURSUANT TO THE INDENTURE TO CONFIRM WITH SUCH TRANSFER IS BEING MADE PURSUANT TO AN EXEMPTION FROM, OR IN A TRANSACTION NOT SUBJECT TO, THE REGISTRATION REQUIREMENTS OF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TO BE DELIVERED UPON EXCHANGE OR REGISTRATION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TRANSFER OF TRANSFER RESTRICTED NOTES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1.50% Convertible Senior Notes due 2031 (the “</w:t>
      </w:r>
      <w:r>
        <w:rPr>
          <w:rFonts w:ascii="Arial" w:cs="Arial" w:eastAsia="Arial" w:hAnsi="Arial"/>
          <w:sz w:val="18"/>
          <w:szCs w:val="18"/>
          <w:b w:val="1"/>
          <w:bCs w:val="1"/>
          <w:color w:val="auto"/>
        </w:rPr>
        <w:t>Notes</w:t>
      </w:r>
      <w:r>
        <w:rPr>
          <w:rFonts w:ascii="Arial" w:cs="Arial" w:eastAsia="Arial" w:hAnsi="Arial"/>
          <w:sz w:val="18"/>
          <w:szCs w:val="18"/>
          <w:color w:val="auto"/>
        </w:rPr>
        <w:t>”) of Micron Technology, Inc.</w:t>
      </w:r>
    </w:p>
    <w:p>
      <w:pPr>
        <w:spacing w:after="0" w:line="229" w:lineRule="exact"/>
        <w:rPr>
          <w:sz w:val="20"/>
          <w:szCs w:val="20"/>
          <w:color w:val="auto"/>
        </w:rPr>
      </w:pPr>
    </w:p>
    <w:p>
      <w:pPr>
        <w:ind w:left="660"/>
        <w:spacing w:after="0"/>
        <w:tabs>
          <w:tab w:leader="none" w:pos="4800" w:val="left"/>
        </w:tabs>
        <w:rPr>
          <w:sz w:val="20"/>
          <w:szCs w:val="20"/>
          <w:color w:val="auto"/>
        </w:rPr>
      </w:pPr>
      <w:r>
        <w:rPr>
          <w:rFonts w:ascii="Arial" w:cs="Arial" w:eastAsia="Arial" w:hAnsi="Arial"/>
          <w:sz w:val="18"/>
          <w:szCs w:val="18"/>
          <w:color w:val="auto"/>
        </w:rPr>
        <w:t>This certificate relates to $</w:t>
      </w:r>
      <w:r>
        <w:rPr>
          <w:sz w:val="20"/>
          <w:szCs w:val="20"/>
          <w:color w:val="auto"/>
        </w:rPr>
        <w:tab/>
      </w:r>
      <w:r>
        <w:rPr>
          <w:rFonts w:ascii="Arial" w:cs="Arial" w:eastAsia="Arial" w:hAnsi="Arial"/>
          <w:sz w:val="16"/>
          <w:szCs w:val="16"/>
          <w:color w:val="auto"/>
        </w:rPr>
        <w:t>principal amount of Notes owned in (check applicable box)</w:t>
      </w:r>
    </w:p>
    <w:p>
      <w:pPr>
        <w:spacing w:after="0" w:line="221" w:lineRule="exact"/>
        <w:rPr>
          <w:sz w:val="20"/>
          <w:szCs w:val="20"/>
          <w:color w:val="auto"/>
        </w:rPr>
      </w:pPr>
    </w:p>
    <w:p>
      <w:pPr>
        <w:ind w:left="660"/>
        <w:spacing w:after="0"/>
        <w:tabs>
          <w:tab w:leader="none" w:pos="2020" w:val="left"/>
          <w:tab w:leader="none" w:pos="6120" w:val="left"/>
        </w:tabs>
        <w:rPr>
          <w:sz w:val="20"/>
          <w:szCs w:val="20"/>
          <w:color w:val="auto"/>
        </w:rPr>
      </w:pPr>
      <w:r>
        <w:rPr>
          <w:rFonts w:ascii="Arial" w:cs="Arial" w:eastAsia="Arial" w:hAnsi="Arial"/>
          <w:sz w:val="18"/>
          <w:szCs w:val="18"/>
          <w:color w:val="auto"/>
        </w:rPr>
        <w:t>o  book-entry or</w:t>
        <w:tab/>
        <w:t>o  definitive form by</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Transferor has requested a Registrar or the Trustee to exchange or register the transfer of such Notes.</w:t>
      </w:r>
    </w:p>
    <w:p>
      <w:pPr>
        <w:spacing w:after="0" w:line="225" w:lineRule="exact"/>
        <w:rPr>
          <w:sz w:val="20"/>
          <w:szCs w:val="20"/>
          <w:color w:val="auto"/>
        </w:rPr>
      </w:pPr>
    </w:p>
    <w:p>
      <w:pPr>
        <w:jc w:val="both"/>
        <w:ind w:right="440" w:firstLine="648"/>
        <w:spacing w:after="0" w:line="276" w:lineRule="auto"/>
        <w:rPr>
          <w:sz w:val="20"/>
          <w:szCs w:val="20"/>
          <w:color w:val="auto"/>
        </w:rPr>
      </w:pPr>
      <w:r>
        <w:rPr>
          <w:rFonts w:ascii="Arial" w:cs="Arial" w:eastAsia="Arial" w:hAnsi="Arial"/>
          <w:sz w:val="17"/>
          <w:szCs w:val="17"/>
          <w:color w:val="auto"/>
        </w:rPr>
        <w:t>In connection with such request and in respect of each such Note, the Transferor does hereby certify that the Transferor is familiar with transfer restrictions relating to the Notes as provided in Section 2.13 of the Indenture dated as of July 26, 2011 between Micron Technology, Inc.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and the transfer of such Note is being made pursuant to an effective registration statement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(check applicable box) or the transfer or exchange, as the case may be, of such Note does not require registration under the Securities Act because (check applicable box):</w:t>
      </w:r>
    </w:p>
    <w:p>
      <w:pPr>
        <w:spacing w:after="0" w:line="173" w:lineRule="exact"/>
        <w:rPr>
          <w:sz w:val="20"/>
          <w:szCs w:val="20"/>
          <w:color w:val="auto"/>
        </w:rPr>
      </w:pPr>
    </w:p>
    <w:p>
      <w:pPr>
        <w:ind w:left="1420" w:hanging="764"/>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Note is being transferred pursuant to an effective registration statement under the Securities Act.</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Note is being acquired for the Transferor’s own account, without transfer.</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Note is being transferred to the Company or a Subsidiary (as defined in the Indenture) of the Company.</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Note is being transferred to a person the Transferor reasonably believes is a “qualified institutional buyer” (as defined in</w:t>
      </w:r>
    </w:p>
    <w:p>
      <w:pPr>
        <w:spacing w:after="0" w:line="23" w:lineRule="exact"/>
        <w:rPr>
          <w:rFonts w:ascii="Arial" w:cs="Arial" w:eastAsia="Arial" w:hAnsi="Arial"/>
          <w:sz w:val="18"/>
          <w:szCs w:val="18"/>
          <w:color w:val="auto"/>
        </w:rPr>
      </w:pPr>
    </w:p>
    <w:p>
      <w:pPr>
        <w:ind w:left="1420" w:right="280"/>
        <w:spacing w:after="0" w:line="255" w:lineRule="auto"/>
        <w:rPr>
          <w:rFonts w:ascii="Arial" w:cs="Arial" w:eastAsia="Arial" w:hAnsi="Arial"/>
          <w:sz w:val="18"/>
          <w:szCs w:val="18"/>
          <w:color w:val="auto"/>
        </w:rPr>
      </w:pPr>
      <w:r>
        <w:rPr>
          <w:rFonts w:ascii="Arial" w:cs="Arial" w:eastAsia="Arial" w:hAnsi="Arial"/>
          <w:sz w:val="18"/>
          <w:szCs w:val="18"/>
          <w:color w:val="auto"/>
        </w:rPr>
        <w:t>Rule 144A or any successor provision thereto (“</w:t>
      </w:r>
      <w:r>
        <w:rPr>
          <w:rFonts w:ascii="Arial" w:cs="Arial" w:eastAsia="Arial" w:hAnsi="Arial"/>
          <w:sz w:val="18"/>
          <w:szCs w:val="18"/>
          <w:b w:val="1"/>
          <w:bCs w:val="1"/>
          <w:color w:val="auto"/>
        </w:rPr>
        <w:t>Rule 144A</w:t>
      </w:r>
      <w:r>
        <w:rPr>
          <w:rFonts w:ascii="Arial" w:cs="Arial" w:eastAsia="Arial" w:hAnsi="Arial"/>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right="220" w:hanging="764"/>
        <w:spacing w:after="0" w:line="277"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8"/>
          <w:szCs w:val="18"/>
          <w:b w:val="1"/>
          <w:bCs w:val="1"/>
          <w:color w:val="auto"/>
        </w:rPr>
        <w:t>Rule 144</w:t>
      </w:r>
      <w:r>
        <w:rPr>
          <w:rFonts w:ascii="Arial" w:cs="Arial" w:eastAsia="Arial" w:hAnsi="Arial"/>
          <w:sz w:val="18"/>
          <w:szCs w:val="18"/>
          <w:color w:val="auto"/>
        </w:rPr>
        <w:t>”) under the Securities Act.</w:t>
      </w:r>
    </w:p>
    <w:p>
      <w:pPr>
        <w:spacing w:after="0" w:line="170" w:lineRule="exact"/>
        <w:rPr>
          <w:rFonts w:ascii="Arial" w:cs="Arial" w:eastAsia="Arial" w:hAnsi="Arial"/>
          <w:sz w:val="18"/>
          <w:szCs w:val="18"/>
          <w:color w:val="auto"/>
        </w:rPr>
      </w:pPr>
    </w:p>
    <w:p>
      <w:pPr>
        <w:ind w:left="1420" w:right="180" w:hanging="764"/>
        <w:spacing w:after="0" w:line="264"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351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420"/>
          </w:cols>
          <w:pgMar w:left="240" w:top="125" w:right="239" w:bottom="894"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94" w:gutter="0" w:footer="0" w:header="0"/>
          <w:type w:val="continuous"/>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July 26,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1.875%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8940" w:type="dxa"/>
            <w:vAlign w:val="bottom"/>
          </w:tcPr>
          <w:p>
            <w:pPr>
              <w:ind w:left="280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6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90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9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94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894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8940" w:type="dxa"/>
            <w:vAlign w:val="bottom"/>
          </w:tcPr>
          <w:p>
            <w:pPr>
              <w:ind w:left="100"/>
              <w:spacing w:after="0"/>
              <w:rPr>
                <w:sz w:val="20"/>
                <w:szCs w:val="20"/>
                <w:color w:val="auto"/>
              </w:rPr>
            </w:pPr>
            <w:r>
              <w:rPr>
                <w:rFonts w:ascii="Arial" w:cs="Arial" w:eastAsia="Arial" w:hAnsi="Arial"/>
                <w:sz w:val="18"/>
                <w:szCs w:val="18"/>
                <w:color w:val="auto"/>
              </w:rPr>
              <w:t>Acts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2 The Notes</w:t>
            </w:r>
          </w:p>
        </w:tc>
        <w:tc>
          <w:tcPr>
            <w:tcW w:w="89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940" w:type="dxa"/>
            <w:vAlign w:val="bottom"/>
          </w:tcPr>
          <w:p>
            <w:pPr>
              <w:ind w:left="100"/>
              <w:spacing w:after="0"/>
              <w:rPr>
                <w:sz w:val="20"/>
                <w:szCs w:val="20"/>
                <w:color w:val="auto"/>
              </w:rPr>
            </w:pPr>
            <w:r>
              <w:rPr>
                <w:rFonts w:ascii="Arial" w:cs="Arial" w:eastAsia="Arial" w:hAnsi="Arial"/>
                <w:sz w:val="18"/>
                <w:szCs w:val="18"/>
                <w:color w:val="auto"/>
              </w:rPr>
              <w:t>Form, Dating and Denominations; Legends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94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940" w:type="dxa"/>
            <w:vAlign w:val="bottom"/>
          </w:tcPr>
          <w:p>
            <w:pPr>
              <w:ind w:left="100"/>
              <w:spacing w:after="0"/>
              <w:rPr>
                <w:sz w:val="20"/>
                <w:szCs w:val="20"/>
                <w:color w:val="auto"/>
              </w:rPr>
            </w:pPr>
            <w:r>
              <w:rPr>
                <w:rFonts w:ascii="Arial" w:cs="Arial" w:eastAsia="Arial" w:hAnsi="Arial"/>
                <w:sz w:val="18"/>
                <w:szCs w:val="18"/>
                <w:color w:val="auto"/>
              </w:rPr>
              <w:t>Registrar, Paying Agent and Conversion Agent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94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894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2.06.</w:t>
            </w:r>
          </w:p>
        </w:tc>
        <w:tc>
          <w:tcPr>
            <w:tcW w:w="894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2.07.</w:t>
            </w:r>
          </w:p>
        </w:tc>
        <w:tc>
          <w:tcPr>
            <w:tcW w:w="894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2.08.</w:t>
            </w:r>
          </w:p>
        </w:tc>
        <w:tc>
          <w:tcPr>
            <w:tcW w:w="894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2.09.</w:t>
            </w:r>
          </w:p>
        </w:tc>
        <w:tc>
          <w:tcPr>
            <w:tcW w:w="894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894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89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2.12.</w:t>
            </w:r>
          </w:p>
        </w:tc>
        <w:tc>
          <w:tcPr>
            <w:tcW w:w="894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2.13.</w:t>
            </w:r>
          </w:p>
        </w:tc>
        <w:tc>
          <w:tcPr>
            <w:tcW w:w="8940" w:type="dxa"/>
            <w:vAlign w:val="bottom"/>
          </w:tcPr>
          <w:p>
            <w:pPr>
              <w:ind w:left="100"/>
              <w:spacing w:after="0"/>
              <w:rPr>
                <w:sz w:val="20"/>
                <w:szCs w:val="20"/>
                <w:color w:val="auto"/>
              </w:rPr>
            </w:pPr>
            <w:r>
              <w:rPr>
                <w:rFonts w:ascii="Arial" w:cs="Arial" w:eastAsia="Arial" w:hAnsi="Arial"/>
                <w:sz w:val="18"/>
                <w:szCs w:val="18"/>
                <w:color w:val="auto"/>
              </w:rPr>
              <w:t>Additional Transfer and Exchange Requirements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w w:val="95"/>
              </w:rPr>
              <w:t>ARTICLE 3 Repurchases</w:t>
            </w:r>
          </w:p>
        </w:tc>
        <w:tc>
          <w:tcPr>
            <w:tcW w:w="89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940" w:type="dxa"/>
            <w:vAlign w:val="bottom"/>
          </w:tcPr>
          <w:p>
            <w:pPr>
              <w:ind w:left="10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940" w:type="dxa"/>
            <w:vAlign w:val="bottom"/>
          </w:tcPr>
          <w:p>
            <w:pPr>
              <w:ind w:left="100"/>
              <w:spacing w:after="0"/>
              <w:rPr>
                <w:sz w:val="20"/>
                <w:szCs w:val="20"/>
                <w:color w:val="auto"/>
              </w:rPr>
            </w:pPr>
            <w:r>
              <w:rPr>
                <w:rFonts w:ascii="Arial" w:cs="Arial" w:eastAsia="Arial" w:hAnsi="Arial"/>
                <w:sz w:val="18"/>
                <w:szCs w:val="18"/>
                <w:color w:val="auto"/>
              </w:rPr>
              <w:t>Repurchase of Securities by the Company at the Option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8940" w:type="dxa"/>
            <w:vAlign w:val="bottom"/>
          </w:tcPr>
          <w:p>
            <w:pPr>
              <w:ind w:left="100"/>
              <w:spacing w:after="0"/>
              <w:rPr>
                <w:sz w:val="20"/>
                <w:szCs w:val="20"/>
                <w:color w:val="auto"/>
              </w:rPr>
            </w:pPr>
            <w:r>
              <w:rPr>
                <w:rFonts w:ascii="Arial" w:cs="Arial" w:eastAsia="Arial" w:hAnsi="Arial"/>
                <w:sz w:val="18"/>
                <w:szCs w:val="18"/>
                <w:color w:val="auto"/>
              </w:rPr>
              <w:t>Effect of Repurchase Notice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3.04.</w:t>
            </w:r>
          </w:p>
        </w:tc>
        <w:tc>
          <w:tcPr>
            <w:tcW w:w="8940" w:type="dxa"/>
            <w:vAlign w:val="bottom"/>
          </w:tcPr>
          <w:p>
            <w:pPr>
              <w:ind w:left="100"/>
              <w:spacing w:after="0"/>
              <w:rPr>
                <w:sz w:val="20"/>
                <w:szCs w:val="20"/>
                <w:color w:val="auto"/>
              </w:rPr>
            </w:pPr>
            <w:r>
              <w:rPr>
                <w:rFonts w:ascii="Arial" w:cs="Arial" w:eastAsia="Arial" w:hAnsi="Arial"/>
                <w:sz w:val="18"/>
                <w:szCs w:val="18"/>
                <w:color w:val="auto"/>
              </w:rPr>
              <w:t>Deposit of Repurchase Price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8940" w:type="dxa"/>
            <w:vAlign w:val="bottom"/>
          </w:tcPr>
          <w:p>
            <w:pPr>
              <w:ind w:left="100"/>
              <w:spacing w:after="0"/>
              <w:rPr>
                <w:sz w:val="20"/>
                <w:szCs w:val="20"/>
                <w:color w:val="auto"/>
              </w:rPr>
            </w:pPr>
            <w:r>
              <w:rPr>
                <w:rFonts w:ascii="Arial" w:cs="Arial" w:eastAsia="Arial" w:hAnsi="Arial"/>
                <w:sz w:val="18"/>
                <w:szCs w:val="18"/>
                <w:color w:val="auto"/>
              </w:rPr>
              <w:t>Notes Repurchased in Part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3.06.</w:t>
            </w:r>
          </w:p>
        </w:tc>
        <w:tc>
          <w:tcPr>
            <w:tcW w:w="8940" w:type="dxa"/>
            <w:vAlign w:val="bottom"/>
          </w:tcPr>
          <w:p>
            <w:pPr>
              <w:ind w:left="10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4 Covenants</w:t>
            </w:r>
          </w:p>
        </w:tc>
        <w:tc>
          <w:tcPr>
            <w:tcW w:w="89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940" w:type="dxa"/>
            <w:vAlign w:val="bottom"/>
          </w:tcPr>
          <w:p>
            <w:pPr>
              <w:ind w:left="100"/>
              <w:spacing w:after="0"/>
              <w:rPr>
                <w:sz w:val="20"/>
                <w:szCs w:val="20"/>
                <w:color w:val="auto"/>
              </w:rPr>
            </w:pPr>
            <w:r>
              <w:rPr>
                <w:rFonts w:ascii="Arial" w:cs="Arial" w:eastAsia="Arial" w:hAnsi="Arial"/>
                <w:sz w:val="18"/>
                <w:szCs w:val="18"/>
                <w:color w:val="auto"/>
              </w:rPr>
              <w:t>Payment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4.02.</w:t>
            </w:r>
          </w:p>
        </w:tc>
        <w:tc>
          <w:tcPr>
            <w:tcW w:w="8940" w:type="dxa"/>
            <w:vAlign w:val="bottom"/>
          </w:tcPr>
          <w:p>
            <w:pPr>
              <w:ind w:left="100"/>
              <w:spacing w:after="0"/>
              <w:rPr>
                <w:sz w:val="20"/>
                <w:szCs w:val="20"/>
                <w:color w:val="auto"/>
              </w:rPr>
            </w:pPr>
            <w:r>
              <w:rPr>
                <w:rFonts w:ascii="Arial" w:cs="Arial" w:eastAsia="Arial" w:hAnsi="Arial"/>
                <w:sz w:val="18"/>
                <w:szCs w:val="18"/>
                <w:color w:val="auto"/>
              </w:rPr>
              <w:t>Maintenance of Office or Agency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894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4.04.</w:t>
            </w:r>
          </w:p>
        </w:tc>
        <w:tc>
          <w:tcPr>
            <w:tcW w:w="8940" w:type="dxa"/>
            <w:vAlign w:val="bottom"/>
          </w:tcPr>
          <w:p>
            <w:pPr>
              <w:ind w:left="100"/>
              <w:spacing w:after="0"/>
              <w:rPr>
                <w:sz w:val="20"/>
                <w:szCs w:val="20"/>
                <w:color w:val="auto"/>
              </w:rPr>
            </w:pPr>
            <w:r>
              <w:rPr>
                <w:rFonts w:ascii="Arial" w:cs="Arial" w:eastAsia="Arial" w:hAnsi="Arial"/>
                <w:sz w:val="18"/>
                <w:szCs w:val="18"/>
                <w:color w:val="auto"/>
              </w:rPr>
              <w:t>Reports; 144A Information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4.05.</w:t>
            </w:r>
          </w:p>
        </w:tc>
        <w:tc>
          <w:tcPr>
            <w:tcW w:w="8940" w:type="dxa"/>
            <w:vAlign w:val="bottom"/>
          </w:tcPr>
          <w:p>
            <w:pPr>
              <w:ind w:left="100"/>
              <w:spacing w:after="0"/>
              <w:rPr>
                <w:sz w:val="20"/>
                <w:szCs w:val="20"/>
                <w:color w:val="auto"/>
              </w:rPr>
            </w:pPr>
            <w:r>
              <w:rPr>
                <w:rFonts w:ascii="Arial" w:cs="Arial" w:eastAsia="Arial" w:hAnsi="Arial"/>
                <w:sz w:val="18"/>
                <w:szCs w:val="18"/>
                <w:color w:val="auto"/>
              </w:rPr>
              <w:t>Reports to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4.06.</w:t>
            </w:r>
          </w:p>
        </w:tc>
        <w:tc>
          <w:tcPr>
            <w:tcW w:w="894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96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940" w:type="dxa"/>
            <w:vAlign w:val="bottom"/>
          </w:tcPr>
          <w:p>
            <w:pPr>
              <w:ind w:left="100"/>
              <w:spacing w:after="0"/>
              <w:rPr>
                <w:sz w:val="20"/>
                <w:szCs w:val="20"/>
                <w:color w:val="auto"/>
              </w:rPr>
            </w:pPr>
            <w:r>
              <w:rPr>
                <w:rFonts w:ascii="Arial" w:cs="Arial" w:eastAsia="Arial" w:hAnsi="Arial"/>
                <w:sz w:val="18"/>
                <w:szCs w:val="18"/>
                <w:color w:val="auto"/>
              </w:rPr>
              <w:t>Consolidation, Merger, Sale or Lease of Assets by the Company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960" w:type="dxa"/>
            <w:vAlign w:val="bottom"/>
          </w:tcPr>
          <w:p>
            <w:pPr>
              <w:spacing w:after="0"/>
              <w:rPr>
                <w:sz w:val="24"/>
                <w:szCs w:val="24"/>
                <w:color w:val="auto"/>
              </w:rPr>
            </w:pPr>
          </w:p>
        </w:tc>
        <w:tc>
          <w:tcPr>
            <w:tcW w:w="8940" w:type="dxa"/>
            <w:vAlign w:val="bottom"/>
          </w:tcPr>
          <w:p>
            <w:pPr>
              <w:ind w:left="372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89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63" w:name="page64"/>
    <w:bookmarkEnd w:id="6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4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828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6.05.</w:t>
            </w:r>
          </w:p>
        </w:tc>
        <w:tc>
          <w:tcPr>
            <w:tcW w:w="8280" w:type="dxa"/>
            <w:vAlign w:val="bottom"/>
          </w:tcPr>
          <w:p>
            <w:pPr>
              <w:ind w:left="100"/>
              <w:spacing w:after="0"/>
              <w:rPr>
                <w:sz w:val="20"/>
                <w:szCs w:val="20"/>
                <w:color w:val="auto"/>
              </w:rPr>
            </w:pPr>
            <w:r>
              <w:rPr>
                <w:rFonts w:ascii="Arial" w:cs="Arial" w:eastAsia="Arial" w:hAnsi="Arial"/>
                <w:sz w:val="18"/>
                <w:szCs w:val="18"/>
                <w:color w:val="auto"/>
              </w:rPr>
              <w:t>Control by Majority</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6.07.</w:t>
            </w:r>
          </w:p>
        </w:tc>
        <w:tc>
          <w:tcPr>
            <w:tcW w:w="8280" w:type="dxa"/>
            <w:vAlign w:val="bottom"/>
          </w:tcPr>
          <w:p>
            <w:pPr>
              <w:ind w:left="100"/>
              <w:spacing w:after="0"/>
              <w:rPr>
                <w:sz w:val="20"/>
                <w:szCs w:val="20"/>
                <w:color w:val="auto"/>
              </w:rPr>
            </w:pPr>
            <w:r>
              <w:rPr>
                <w:rFonts w:ascii="Arial" w:cs="Arial" w:eastAsia="Arial" w:hAnsi="Arial"/>
                <w:sz w:val="18"/>
                <w:szCs w:val="18"/>
                <w:color w:val="auto"/>
              </w:rPr>
              <w:t>Rights of Holders to Receive Payment</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6.08.</w:t>
            </w:r>
          </w:p>
        </w:tc>
        <w:tc>
          <w:tcPr>
            <w:tcW w:w="8280" w:type="dxa"/>
            <w:vAlign w:val="bottom"/>
          </w:tcPr>
          <w:p>
            <w:pPr>
              <w:ind w:left="100"/>
              <w:spacing w:after="0"/>
              <w:rPr>
                <w:sz w:val="20"/>
                <w:szCs w:val="20"/>
                <w:color w:val="auto"/>
              </w:rPr>
            </w:pPr>
            <w:r>
              <w:rPr>
                <w:rFonts w:ascii="Arial" w:cs="Arial" w:eastAsia="Arial" w:hAnsi="Arial"/>
                <w:sz w:val="18"/>
                <w:szCs w:val="18"/>
                <w:color w:val="auto"/>
              </w:rPr>
              <w:t>Collection Suit by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6.09.</w:t>
            </w:r>
          </w:p>
        </w:tc>
        <w:tc>
          <w:tcPr>
            <w:tcW w:w="828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6.10.</w:t>
            </w:r>
          </w:p>
        </w:tc>
        <w:tc>
          <w:tcPr>
            <w:tcW w:w="828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6.11.</w:t>
            </w:r>
          </w:p>
        </w:tc>
        <w:tc>
          <w:tcPr>
            <w:tcW w:w="828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6.12.</w:t>
            </w:r>
          </w:p>
        </w:tc>
        <w:tc>
          <w:tcPr>
            <w:tcW w:w="828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6.13.</w:t>
            </w:r>
          </w:p>
        </w:tc>
        <w:tc>
          <w:tcPr>
            <w:tcW w:w="828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6.14.</w:t>
            </w:r>
          </w:p>
        </w:tc>
        <w:tc>
          <w:tcPr>
            <w:tcW w:w="828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6.15.</w:t>
            </w:r>
          </w:p>
        </w:tc>
        <w:tc>
          <w:tcPr>
            <w:tcW w:w="8280" w:type="dxa"/>
            <w:vAlign w:val="bottom"/>
          </w:tcPr>
          <w:p>
            <w:pPr>
              <w:ind w:left="100"/>
              <w:spacing w:after="0"/>
              <w:rPr>
                <w:sz w:val="20"/>
                <w:szCs w:val="20"/>
                <w:color w:val="auto"/>
              </w:rPr>
            </w:pPr>
            <w:r>
              <w:rPr>
                <w:rFonts w:ascii="Arial" w:cs="Arial" w:eastAsia="Arial" w:hAnsi="Arial"/>
                <w:sz w:val="18"/>
                <w:szCs w:val="18"/>
                <w:color w:val="auto"/>
              </w:rPr>
              <w:t>Failure to File</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7 The Trustee</w:t>
            </w:r>
          </w:p>
        </w:tc>
        <w:tc>
          <w:tcPr>
            <w:tcW w:w="8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7.01.</w:t>
            </w:r>
          </w:p>
        </w:tc>
        <w:tc>
          <w:tcPr>
            <w:tcW w:w="8280" w:type="dxa"/>
            <w:vAlign w:val="bottom"/>
          </w:tcPr>
          <w:p>
            <w:pPr>
              <w:ind w:left="100"/>
              <w:spacing w:after="0"/>
              <w:rPr>
                <w:sz w:val="20"/>
                <w:szCs w:val="20"/>
                <w:color w:val="auto"/>
              </w:rPr>
            </w:pPr>
            <w:r>
              <w:rPr>
                <w:rFonts w:ascii="Arial" w:cs="Arial" w:eastAsia="Arial" w:hAnsi="Arial"/>
                <w:sz w:val="18"/>
                <w:szCs w:val="18"/>
                <w:color w:val="auto"/>
              </w:rPr>
              <w:t>General</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100"/>
              <w:spacing w:after="0"/>
              <w:rPr>
                <w:sz w:val="20"/>
                <w:szCs w:val="20"/>
                <w:color w:val="auto"/>
              </w:rPr>
            </w:pPr>
            <w:r>
              <w:rPr>
                <w:rFonts w:ascii="Arial" w:cs="Arial" w:eastAsia="Arial" w:hAnsi="Arial"/>
                <w:sz w:val="18"/>
                <w:szCs w:val="18"/>
                <w:color w:val="auto"/>
              </w:rPr>
              <w:t>Certain Rights of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7.03.</w:t>
            </w:r>
          </w:p>
        </w:tc>
        <w:tc>
          <w:tcPr>
            <w:tcW w:w="8280" w:type="dxa"/>
            <w:vAlign w:val="bottom"/>
          </w:tcPr>
          <w:p>
            <w:pPr>
              <w:ind w:left="100"/>
              <w:spacing w:after="0"/>
              <w:rPr>
                <w:sz w:val="20"/>
                <w:szCs w:val="20"/>
                <w:color w:val="auto"/>
              </w:rPr>
            </w:pPr>
            <w:r>
              <w:rPr>
                <w:rFonts w:ascii="Arial" w:cs="Arial" w:eastAsia="Arial" w:hAnsi="Arial"/>
                <w:sz w:val="18"/>
                <w:szCs w:val="18"/>
                <w:color w:val="auto"/>
              </w:rPr>
              <w:t>Individual Rights of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7.06.</w:t>
            </w:r>
          </w:p>
        </w:tc>
        <w:tc>
          <w:tcPr>
            <w:tcW w:w="828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7.07.</w:t>
            </w:r>
          </w:p>
        </w:tc>
        <w:tc>
          <w:tcPr>
            <w:tcW w:w="828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7.08.</w:t>
            </w:r>
          </w:p>
        </w:tc>
        <w:tc>
          <w:tcPr>
            <w:tcW w:w="828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7.09.</w:t>
            </w:r>
          </w:p>
        </w:tc>
        <w:tc>
          <w:tcPr>
            <w:tcW w:w="8280" w:type="dxa"/>
            <w:vAlign w:val="bottom"/>
          </w:tcPr>
          <w:p>
            <w:pPr>
              <w:ind w:left="100"/>
              <w:spacing w:after="0"/>
              <w:rPr>
                <w:sz w:val="20"/>
                <w:szCs w:val="20"/>
                <w:color w:val="auto"/>
              </w:rPr>
            </w:pPr>
            <w:r>
              <w:rPr>
                <w:rFonts w:ascii="Arial" w:cs="Arial" w:eastAsia="Arial" w:hAnsi="Arial"/>
                <w:sz w:val="18"/>
                <w:szCs w:val="18"/>
                <w:color w:val="auto"/>
              </w:rPr>
              <w:t>Successor Trustee by Merger</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8280" w:type="dxa"/>
            <w:vAlign w:val="bottom"/>
          </w:tcPr>
          <w:p>
            <w:pPr>
              <w:ind w:left="100"/>
              <w:spacing w:after="0"/>
              <w:rPr>
                <w:sz w:val="20"/>
                <w:szCs w:val="20"/>
                <w:color w:val="auto"/>
              </w:rPr>
            </w:pPr>
            <w:r>
              <w:rPr>
                <w:rFonts w:ascii="Arial" w:cs="Arial" w:eastAsia="Arial" w:hAnsi="Arial"/>
                <w:sz w:val="18"/>
                <w:szCs w:val="18"/>
                <w:color w:val="auto"/>
              </w:rPr>
              <w:t>Eligibility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7.11.</w:t>
            </w:r>
          </w:p>
        </w:tc>
        <w:tc>
          <w:tcPr>
            <w:tcW w:w="8280" w:type="dxa"/>
            <w:vAlign w:val="bottom"/>
          </w:tcPr>
          <w:p>
            <w:pPr>
              <w:ind w:left="100"/>
              <w:spacing w:after="0"/>
              <w:rPr>
                <w:sz w:val="20"/>
                <w:szCs w:val="20"/>
                <w:color w:val="auto"/>
              </w:rPr>
            </w:pPr>
            <w:r>
              <w:rPr>
                <w:rFonts w:ascii="Arial" w:cs="Arial" w:eastAsia="Arial" w:hAnsi="Arial"/>
                <w:sz w:val="18"/>
                <w:szCs w:val="18"/>
                <w:color w:val="auto"/>
              </w:rPr>
              <w:t>Money Held in Trust</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8 Discharge</w:t>
            </w:r>
          </w:p>
        </w:tc>
        <w:tc>
          <w:tcPr>
            <w:tcW w:w="8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100"/>
              <w:spacing w:after="0"/>
              <w:rPr>
                <w:sz w:val="20"/>
                <w:szCs w:val="20"/>
                <w:color w:val="auto"/>
              </w:rPr>
            </w:pPr>
            <w:r>
              <w:rPr>
                <w:rFonts w:ascii="Arial" w:cs="Arial" w:eastAsia="Arial" w:hAnsi="Arial"/>
                <w:sz w:val="18"/>
                <w:szCs w:val="18"/>
                <w:color w:val="auto"/>
              </w:rPr>
              <w:t>Satisfaction and Discharge of this Indenture</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100"/>
              <w:spacing w:after="0"/>
              <w:rPr>
                <w:sz w:val="20"/>
                <w:szCs w:val="20"/>
                <w:color w:val="auto"/>
              </w:rPr>
            </w:pPr>
            <w:r>
              <w:rPr>
                <w:rFonts w:ascii="Arial" w:cs="Arial" w:eastAsia="Arial" w:hAnsi="Arial"/>
                <w:sz w:val="18"/>
                <w:szCs w:val="18"/>
                <w:color w:val="auto"/>
              </w:rPr>
              <w:t>Amendments Without Consent of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100"/>
              <w:spacing w:after="0"/>
              <w:rPr>
                <w:sz w:val="20"/>
                <w:szCs w:val="20"/>
                <w:color w:val="auto"/>
              </w:rPr>
            </w:pPr>
            <w:r>
              <w:rPr>
                <w:rFonts w:ascii="Arial" w:cs="Arial" w:eastAsia="Arial" w:hAnsi="Arial"/>
                <w:sz w:val="18"/>
                <w:szCs w:val="18"/>
                <w:color w:val="auto"/>
              </w:rPr>
              <w:t>Amendments With Consent of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100"/>
              <w:spacing w:after="0"/>
              <w:rPr>
                <w:sz w:val="20"/>
                <w:szCs w:val="20"/>
                <w:color w:val="auto"/>
              </w:rPr>
            </w:pPr>
            <w:r>
              <w:rPr>
                <w:rFonts w:ascii="Arial" w:cs="Arial" w:eastAsia="Arial" w:hAnsi="Arial"/>
                <w:sz w:val="18"/>
                <w:szCs w:val="18"/>
                <w:color w:val="auto"/>
              </w:rPr>
              <w:t>Effect of Consent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9.04.</w:t>
            </w:r>
          </w:p>
        </w:tc>
        <w:tc>
          <w:tcPr>
            <w:tcW w:w="8280" w:type="dxa"/>
            <w:vAlign w:val="bottom"/>
          </w:tcPr>
          <w:p>
            <w:pPr>
              <w:ind w:left="100"/>
              <w:spacing w:after="0"/>
              <w:rPr>
                <w:sz w:val="20"/>
                <w:szCs w:val="20"/>
                <w:color w:val="auto"/>
              </w:rPr>
            </w:pPr>
            <w:r>
              <w:rPr>
                <w:rFonts w:ascii="Arial" w:cs="Arial" w:eastAsia="Arial" w:hAnsi="Arial"/>
                <w:sz w:val="18"/>
                <w:szCs w:val="18"/>
                <w:color w:val="auto"/>
              </w:rPr>
              <w:t>Trustee’s Rights and Obligations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100"/>
              <w:spacing w:after="0"/>
              <w:rPr>
                <w:sz w:val="20"/>
                <w:szCs w:val="20"/>
                <w:color w:val="auto"/>
              </w:rPr>
            </w:pPr>
            <w:r>
              <w:rPr>
                <w:rFonts w:ascii="Arial" w:cs="Arial" w:eastAsia="Arial" w:hAnsi="Arial"/>
                <w:sz w:val="18"/>
                <w:szCs w:val="18"/>
                <w:color w:val="auto"/>
              </w:rPr>
              <w:t>Payments for Consents</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w w:val="98"/>
              </w:rPr>
              <w:t>ARTICLE 10 Conversion</w:t>
            </w:r>
          </w:p>
        </w:tc>
        <w:tc>
          <w:tcPr>
            <w:tcW w:w="8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100"/>
              <w:spacing w:after="0"/>
              <w:rPr>
                <w:sz w:val="20"/>
                <w:szCs w:val="20"/>
                <w:color w:val="auto"/>
              </w:rPr>
            </w:pPr>
            <w:r>
              <w:rPr>
                <w:rFonts w:ascii="Arial" w:cs="Arial" w:eastAsia="Arial" w:hAnsi="Arial"/>
                <w:sz w:val="18"/>
                <w:szCs w:val="18"/>
                <w:color w:val="auto"/>
              </w:rPr>
              <w:t>Conversion Privilege</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100"/>
              <w:spacing w:after="0"/>
              <w:rPr>
                <w:sz w:val="20"/>
                <w:szCs w:val="20"/>
                <w:color w:val="auto"/>
              </w:rPr>
            </w:pPr>
            <w:r>
              <w:rPr>
                <w:rFonts w:ascii="Arial" w:cs="Arial" w:eastAsia="Arial" w:hAnsi="Arial"/>
                <w:sz w:val="18"/>
                <w:szCs w:val="18"/>
                <w:color w:val="auto"/>
              </w:rPr>
              <w:t>Conversion Procedures; Conversion Settlement</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100"/>
              <w:spacing w:after="0"/>
              <w:rPr>
                <w:sz w:val="20"/>
                <w:szCs w:val="20"/>
                <w:color w:val="auto"/>
              </w:rPr>
            </w:pPr>
            <w:r>
              <w:rPr>
                <w:rFonts w:ascii="Arial" w:cs="Arial" w:eastAsia="Arial" w:hAnsi="Arial"/>
                <w:sz w:val="18"/>
                <w:szCs w:val="18"/>
                <w:color w:val="auto"/>
              </w:rPr>
              <w:t>Settlement Upon Conversion</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60" w:type="dxa"/>
            <w:vAlign w:val="bottom"/>
          </w:tcPr>
          <w:p>
            <w:pPr>
              <w:spacing w:after="0"/>
              <w:rPr>
                <w:sz w:val="24"/>
                <w:szCs w:val="24"/>
                <w:color w:val="auto"/>
              </w:rPr>
            </w:pPr>
          </w:p>
        </w:tc>
        <w:tc>
          <w:tcPr>
            <w:tcW w:w="8280" w:type="dxa"/>
            <w:vAlign w:val="bottom"/>
          </w:tcPr>
          <w:p>
            <w:pPr>
              <w:ind w:left="3700"/>
              <w:spacing w:after="0"/>
              <w:rPr>
                <w:sz w:val="20"/>
                <w:szCs w:val="20"/>
                <w:color w:val="auto"/>
              </w:rPr>
            </w:pPr>
            <w:r>
              <w:rPr>
                <w:rFonts w:ascii="Arial" w:cs="Arial" w:eastAsia="Arial" w:hAnsi="Arial"/>
                <w:sz w:val="18"/>
                <w:szCs w:val="18"/>
                <w:color w:val="auto"/>
              </w:rPr>
              <w:t>ii</w:t>
            </w:r>
          </w:p>
        </w:tc>
        <w:tc>
          <w:tcPr>
            <w:tcW w:w="122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r>
      <w:tr>
        <w:trPr>
          <w:trHeight w:val="76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100"/>
              <w:spacing w:after="0"/>
              <w:rPr>
                <w:sz w:val="20"/>
                <w:szCs w:val="20"/>
                <w:color w:val="auto"/>
              </w:rPr>
            </w:pPr>
            <w:r>
              <w:rPr>
                <w:rFonts w:ascii="Arial" w:cs="Arial" w:eastAsia="Arial" w:hAnsi="Arial"/>
                <w:sz w:val="18"/>
                <w:szCs w:val="18"/>
                <w:color w:val="auto"/>
              </w:rPr>
              <w:t>Fractional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100"/>
              <w:spacing w:after="0"/>
              <w:rPr>
                <w:sz w:val="20"/>
                <w:szCs w:val="20"/>
                <w:color w:val="auto"/>
              </w:rPr>
            </w:pPr>
            <w:r>
              <w:rPr>
                <w:rFonts w:ascii="Arial" w:cs="Arial" w:eastAsia="Arial" w:hAnsi="Arial"/>
                <w:sz w:val="18"/>
                <w:szCs w:val="18"/>
                <w:color w:val="auto"/>
              </w:rPr>
              <w:t>Taxes on Conversion</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10.06.</w:t>
            </w:r>
          </w:p>
        </w:tc>
        <w:tc>
          <w:tcPr>
            <w:tcW w:w="8280" w:type="dxa"/>
            <w:vAlign w:val="bottom"/>
          </w:tcPr>
          <w:p>
            <w:pPr>
              <w:ind w:left="100"/>
              <w:spacing w:after="0"/>
              <w:rPr>
                <w:sz w:val="20"/>
                <w:szCs w:val="20"/>
                <w:color w:val="auto"/>
              </w:rPr>
            </w:pPr>
            <w:r>
              <w:rPr>
                <w:rFonts w:ascii="Arial" w:cs="Arial" w:eastAsia="Arial" w:hAnsi="Arial"/>
                <w:sz w:val="18"/>
                <w:szCs w:val="18"/>
                <w:color w:val="auto"/>
              </w:rPr>
              <w:t>Company to Provide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10.07.</w:t>
            </w:r>
          </w:p>
        </w:tc>
        <w:tc>
          <w:tcPr>
            <w:tcW w:w="8280" w:type="dxa"/>
            <w:vAlign w:val="bottom"/>
          </w:tcPr>
          <w:p>
            <w:pPr>
              <w:ind w:left="100"/>
              <w:spacing w:after="0"/>
              <w:rPr>
                <w:sz w:val="20"/>
                <w:szCs w:val="20"/>
                <w:color w:val="auto"/>
              </w:rPr>
            </w:pPr>
            <w:r>
              <w:rPr>
                <w:rFonts w:ascii="Arial" w:cs="Arial" w:eastAsia="Arial" w:hAnsi="Arial"/>
                <w:sz w:val="18"/>
                <w:szCs w:val="18"/>
                <w:color w:val="auto"/>
              </w:rPr>
              <w:t>Adjustment to Conversion Rate</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10.08.</w:t>
            </w:r>
          </w:p>
        </w:tc>
        <w:tc>
          <w:tcPr>
            <w:tcW w:w="8280" w:type="dxa"/>
            <w:vAlign w:val="bottom"/>
          </w:tcPr>
          <w:p>
            <w:pPr>
              <w:ind w:left="100"/>
              <w:spacing w:after="0"/>
              <w:rPr>
                <w:sz w:val="20"/>
                <w:szCs w:val="20"/>
                <w:color w:val="auto"/>
              </w:rPr>
            </w:pPr>
            <w:r>
              <w:rPr>
                <w:rFonts w:ascii="Arial" w:cs="Arial" w:eastAsia="Arial" w:hAnsi="Arial"/>
                <w:sz w:val="18"/>
                <w:szCs w:val="18"/>
                <w:color w:val="auto"/>
              </w:rPr>
              <w:t>Provisions Governing Adjustment to Conversion Rate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10.09.</w:t>
            </w:r>
          </w:p>
        </w:tc>
        <w:tc>
          <w:tcPr>
            <w:tcW w:w="8280" w:type="dxa"/>
            <w:vAlign w:val="bottom"/>
          </w:tcPr>
          <w:p>
            <w:pPr>
              <w:ind w:left="100"/>
              <w:spacing w:after="0"/>
              <w:rPr>
                <w:sz w:val="20"/>
                <w:szCs w:val="20"/>
                <w:color w:val="auto"/>
              </w:rPr>
            </w:pPr>
            <w:r>
              <w:rPr>
                <w:rFonts w:ascii="Arial" w:cs="Arial" w:eastAsia="Arial" w:hAnsi="Arial"/>
                <w:sz w:val="18"/>
                <w:szCs w:val="18"/>
                <w:color w:val="auto"/>
              </w:rPr>
              <w:t>Disposition Events</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10.10.</w:t>
            </w:r>
          </w:p>
        </w:tc>
        <w:tc>
          <w:tcPr>
            <w:tcW w:w="8280" w:type="dxa"/>
            <w:vAlign w:val="bottom"/>
          </w:tcPr>
          <w:p>
            <w:pPr>
              <w:ind w:left="100"/>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10.11.</w:t>
            </w:r>
          </w:p>
        </w:tc>
        <w:tc>
          <w:tcPr>
            <w:tcW w:w="8280" w:type="dxa"/>
            <w:vAlign w:val="bottom"/>
          </w:tcPr>
          <w:p>
            <w:pPr>
              <w:ind w:left="100"/>
              <w:spacing w:after="0"/>
              <w:rPr>
                <w:sz w:val="20"/>
                <w:szCs w:val="20"/>
                <w:color w:val="auto"/>
              </w:rPr>
            </w:pPr>
            <w:r>
              <w:rPr>
                <w:rFonts w:ascii="Arial" w:cs="Arial" w:eastAsia="Arial" w:hAnsi="Arial"/>
                <w:sz w:val="18"/>
                <w:szCs w:val="18"/>
                <w:color w:val="auto"/>
              </w:rPr>
              <w:t>When Adjustment May Be Deferred</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10.12.</w:t>
            </w:r>
          </w:p>
        </w:tc>
        <w:tc>
          <w:tcPr>
            <w:tcW w:w="8280" w:type="dxa"/>
            <w:vAlign w:val="bottom"/>
          </w:tcPr>
          <w:p>
            <w:pPr>
              <w:ind w:left="100"/>
              <w:spacing w:after="0"/>
              <w:rPr>
                <w:sz w:val="20"/>
                <w:szCs w:val="20"/>
                <w:color w:val="auto"/>
              </w:rPr>
            </w:pPr>
            <w:r>
              <w:rPr>
                <w:rFonts w:ascii="Arial" w:cs="Arial" w:eastAsia="Arial" w:hAnsi="Arial"/>
                <w:sz w:val="18"/>
                <w:szCs w:val="18"/>
                <w:color w:val="auto"/>
              </w:rPr>
              <w:t>When No Adjustment Required</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10.13.</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 of Adjustment</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10.14.</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 of Certain Transactions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10.15.</w:t>
            </w:r>
          </w:p>
        </w:tc>
        <w:tc>
          <w:tcPr>
            <w:tcW w:w="8280" w:type="dxa"/>
            <w:vAlign w:val="bottom"/>
          </w:tcPr>
          <w:p>
            <w:pPr>
              <w:ind w:left="100"/>
              <w:spacing w:after="0"/>
              <w:rPr>
                <w:sz w:val="20"/>
                <w:szCs w:val="20"/>
                <w:color w:val="auto"/>
              </w:rPr>
            </w:pPr>
            <w:r>
              <w:rPr>
                <w:rFonts w:ascii="Arial" w:cs="Arial" w:eastAsia="Arial" w:hAnsi="Arial"/>
                <w:sz w:val="18"/>
                <w:szCs w:val="18"/>
                <w:color w:val="auto"/>
              </w:rPr>
              <w:t>Right of Holders to Convert</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10.16.</w:t>
            </w:r>
          </w:p>
        </w:tc>
        <w:tc>
          <w:tcPr>
            <w:tcW w:w="8280" w:type="dxa"/>
            <w:vAlign w:val="bottom"/>
          </w:tcPr>
          <w:p>
            <w:pPr>
              <w:ind w:left="100"/>
              <w:spacing w:after="0"/>
              <w:rPr>
                <w:sz w:val="20"/>
                <w:szCs w:val="20"/>
                <w:color w:val="auto"/>
              </w:rPr>
            </w:pPr>
            <w:r>
              <w:rPr>
                <w:rFonts w:ascii="Arial" w:cs="Arial" w:eastAsia="Arial" w:hAnsi="Arial"/>
                <w:sz w:val="18"/>
                <w:szCs w:val="18"/>
                <w:color w:val="auto"/>
              </w:rPr>
              <w:t>Company Determination Final</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10.17.</w:t>
            </w:r>
          </w:p>
        </w:tc>
        <w:tc>
          <w:tcPr>
            <w:tcW w:w="8280" w:type="dxa"/>
            <w:vAlign w:val="bottom"/>
          </w:tcPr>
          <w:p>
            <w:pPr>
              <w:ind w:left="100"/>
              <w:spacing w:after="0"/>
              <w:rPr>
                <w:sz w:val="20"/>
                <w:szCs w:val="20"/>
                <w:color w:val="auto"/>
              </w:rPr>
            </w:pPr>
            <w:r>
              <w:rPr>
                <w:rFonts w:ascii="Arial" w:cs="Arial" w:eastAsia="Arial" w:hAnsi="Arial"/>
                <w:sz w:val="18"/>
                <w:szCs w:val="18"/>
                <w:color w:val="auto"/>
              </w:rPr>
              <w:t>Trustee’s Adjustment Disclaimer</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10.18.</w:t>
            </w:r>
          </w:p>
        </w:tc>
        <w:tc>
          <w:tcPr>
            <w:tcW w:w="8280" w:type="dxa"/>
            <w:vAlign w:val="bottom"/>
          </w:tcPr>
          <w:p>
            <w:pPr>
              <w:ind w:left="100"/>
              <w:spacing w:after="0"/>
              <w:rPr>
                <w:sz w:val="20"/>
                <w:szCs w:val="20"/>
                <w:color w:val="auto"/>
              </w:rPr>
            </w:pPr>
            <w:r>
              <w:rPr>
                <w:rFonts w:ascii="Arial" w:cs="Arial" w:eastAsia="Arial" w:hAnsi="Arial"/>
                <w:sz w:val="18"/>
                <w:szCs w:val="18"/>
                <w:color w:val="auto"/>
              </w:rPr>
              <w:t>Simultaneous Adjustments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10.19.</w:t>
            </w:r>
          </w:p>
        </w:tc>
        <w:tc>
          <w:tcPr>
            <w:tcW w:w="8280" w:type="dxa"/>
            <w:vAlign w:val="bottom"/>
          </w:tcPr>
          <w:p>
            <w:pPr>
              <w:ind w:left="100"/>
              <w:spacing w:after="0"/>
              <w:rPr>
                <w:sz w:val="20"/>
                <w:szCs w:val="20"/>
                <w:color w:val="auto"/>
              </w:rPr>
            </w:pPr>
            <w:r>
              <w:rPr>
                <w:rFonts w:ascii="Arial" w:cs="Arial" w:eastAsia="Arial" w:hAnsi="Arial"/>
                <w:sz w:val="18"/>
                <w:szCs w:val="18"/>
                <w:color w:val="auto"/>
              </w:rPr>
              <w:t>Successive Adjustments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10.20.</w:t>
            </w:r>
          </w:p>
        </w:tc>
        <w:tc>
          <w:tcPr>
            <w:tcW w:w="8280" w:type="dxa"/>
            <w:vAlign w:val="bottom"/>
          </w:tcPr>
          <w:p>
            <w:pPr>
              <w:ind w:left="100"/>
              <w:spacing w:after="0"/>
              <w:rPr>
                <w:sz w:val="20"/>
                <w:szCs w:val="20"/>
                <w:color w:val="auto"/>
              </w:rPr>
            </w:pPr>
            <w:r>
              <w:rPr>
                <w:rFonts w:ascii="Arial" w:cs="Arial" w:eastAsia="Arial" w:hAnsi="Arial"/>
                <w:sz w:val="18"/>
                <w:szCs w:val="18"/>
                <w:color w:val="auto"/>
              </w:rPr>
              <w:t>Rights Issued in Respect of Common Stock Issued Upon Conversion</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584" w:right="199" w:bottom="0" w:gutter="0" w:footer="0" w:header="0"/>
        </w:sectPr>
      </w:pPr>
    </w:p>
    <w:bookmarkStart w:id="64" w:name="page65"/>
    <w:bookmarkEnd w:id="64"/>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10.21.</w:t>
            </w:r>
          </w:p>
        </w:tc>
        <w:tc>
          <w:tcPr>
            <w:tcW w:w="7920" w:type="dxa"/>
            <w:vAlign w:val="bottom"/>
          </w:tcPr>
          <w:p>
            <w:pPr>
              <w:ind w:left="80"/>
              <w:spacing w:after="0"/>
              <w:rPr>
                <w:sz w:val="20"/>
                <w:szCs w:val="20"/>
                <w:color w:val="auto"/>
              </w:rPr>
            </w:pPr>
            <w:r>
              <w:rPr>
                <w:rFonts w:ascii="Arial" w:cs="Arial" w:eastAsia="Arial" w:hAnsi="Arial"/>
                <w:sz w:val="18"/>
                <w:szCs w:val="18"/>
                <w:color w:val="auto"/>
              </w:rPr>
              <w:t>Withholding Taxes for Adjustments in Conversion Rate</w:t>
            </w: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980" w:type="dxa"/>
            <w:vAlign w:val="bottom"/>
            <w:gridSpan w:val="2"/>
          </w:tcPr>
          <w:p>
            <w:pPr>
              <w:spacing w:after="0"/>
              <w:rPr>
                <w:sz w:val="20"/>
                <w:szCs w:val="20"/>
                <w:color w:val="auto"/>
              </w:rPr>
            </w:pPr>
            <w:r>
              <w:rPr>
                <w:rFonts w:ascii="Arial" w:cs="Arial" w:eastAsia="Arial" w:hAnsi="Arial"/>
                <w:sz w:val="18"/>
                <w:szCs w:val="18"/>
                <w:color w:val="auto"/>
                <w:w w:val="96"/>
              </w:rPr>
              <w:t>ARTICLE 11 Redemption</w:t>
            </w:r>
          </w:p>
        </w:tc>
        <w:tc>
          <w:tcPr>
            <w:tcW w:w="79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11.01.</w:t>
            </w:r>
          </w:p>
        </w:tc>
        <w:tc>
          <w:tcPr>
            <w:tcW w:w="7920" w:type="dxa"/>
            <w:vAlign w:val="bottom"/>
          </w:tcPr>
          <w:p>
            <w:pPr>
              <w:ind w:left="80"/>
              <w:spacing w:after="0"/>
              <w:rPr>
                <w:sz w:val="20"/>
                <w:szCs w:val="20"/>
                <w:color w:val="auto"/>
              </w:rPr>
            </w:pPr>
            <w:r>
              <w:rPr>
                <w:rFonts w:ascii="Arial" w:cs="Arial" w:eastAsia="Arial" w:hAnsi="Arial"/>
                <w:sz w:val="18"/>
                <w:szCs w:val="18"/>
                <w:color w:val="auto"/>
              </w:rPr>
              <w:t>Right to Redeem; Notices to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11.02.</w:t>
            </w:r>
          </w:p>
        </w:tc>
        <w:tc>
          <w:tcPr>
            <w:tcW w:w="7920" w:type="dxa"/>
            <w:vAlign w:val="bottom"/>
          </w:tcPr>
          <w:p>
            <w:pPr>
              <w:ind w:left="80"/>
              <w:spacing w:after="0"/>
              <w:rPr>
                <w:sz w:val="20"/>
                <w:szCs w:val="20"/>
                <w:color w:val="auto"/>
              </w:rPr>
            </w:pPr>
            <w:r>
              <w:rPr>
                <w:rFonts w:ascii="Arial" w:cs="Arial" w:eastAsia="Arial" w:hAnsi="Arial"/>
                <w:sz w:val="18"/>
                <w:szCs w:val="18"/>
                <w:color w:val="auto"/>
              </w:rPr>
              <w:t>Selection of Notes to be Redeemed</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11.03.</w:t>
            </w:r>
          </w:p>
        </w:tc>
        <w:tc>
          <w:tcPr>
            <w:tcW w:w="7920" w:type="dxa"/>
            <w:vAlign w:val="bottom"/>
          </w:tcPr>
          <w:p>
            <w:pPr>
              <w:ind w:left="80"/>
              <w:spacing w:after="0"/>
              <w:rPr>
                <w:sz w:val="20"/>
                <w:szCs w:val="20"/>
                <w:color w:val="auto"/>
              </w:rPr>
            </w:pPr>
            <w:r>
              <w:rPr>
                <w:rFonts w:ascii="Arial" w:cs="Arial" w:eastAsia="Arial" w:hAnsi="Arial"/>
                <w:sz w:val="18"/>
                <w:szCs w:val="18"/>
                <w:color w:val="auto"/>
              </w:rPr>
              <w:t>Notice of Redemption</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11.04.</w:t>
            </w:r>
          </w:p>
        </w:tc>
        <w:tc>
          <w:tcPr>
            <w:tcW w:w="7920" w:type="dxa"/>
            <w:vAlign w:val="bottom"/>
          </w:tcPr>
          <w:p>
            <w:pPr>
              <w:ind w:left="80"/>
              <w:spacing w:after="0"/>
              <w:rPr>
                <w:sz w:val="20"/>
                <w:szCs w:val="20"/>
                <w:color w:val="auto"/>
              </w:rPr>
            </w:pPr>
            <w:r>
              <w:rPr>
                <w:rFonts w:ascii="Arial" w:cs="Arial" w:eastAsia="Arial" w:hAnsi="Arial"/>
                <w:sz w:val="18"/>
                <w:szCs w:val="18"/>
                <w:color w:val="auto"/>
              </w:rPr>
              <w:t>Effect of Notice of Redemption</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11.05.</w:t>
            </w:r>
          </w:p>
        </w:tc>
        <w:tc>
          <w:tcPr>
            <w:tcW w:w="7920" w:type="dxa"/>
            <w:vAlign w:val="bottom"/>
          </w:tcPr>
          <w:p>
            <w:pPr>
              <w:ind w:left="80"/>
              <w:spacing w:after="0"/>
              <w:rPr>
                <w:sz w:val="20"/>
                <w:szCs w:val="20"/>
                <w:color w:val="auto"/>
              </w:rPr>
            </w:pPr>
            <w:r>
              <w:rPr>
                <w:rFonts w:ascii="Arial" w:cs="Arial" w:eastAsia="Arial" w:hAnsi="Arial"/>
                <w:sz w:val="18"/>
                <w:szCs w:val="18"/>
                <w:color w:val="auto"/>
              </w:rPr>
              <w:t>Deposit of Redemption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11.06.</w:t>
            </w:r>
          </w:p>
        </w:tc>
        <w:tc>
          <w:tcPr>
            <w:tcW w:w="7920" w:type="dxa"/>
            <w:vAlign w:val="bottom"/>
          </w:tcPr>
          <w:p>
            <w:pPr>
              <w:ind w:left="80"/>
              <w:spacing w:after="0"/>
              <w:rPr>
                <w:sz w:val="20"/>
                <w:szCs w:val="20"/>
                <w:color w:val="auto"/>
              </w:rPr>
            </w:pPr>
            <w:r>
              <w:rPr>
                <w:rFonts w:ascii="Arial" w:cs="Arial" w:eastAsia="Arial" w:hAnsi="Arial"/>
                <w:sz w:val="18"/>
                <w:szCs w:val="18"/>
                <w:color w:val="auto"/>
              </w:rPr>
              <w:t>Notes Redeemed in Part</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990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12.01.</w:t>
            </w:r>
          </w:p>
        </w:tc>
        <w:tc>
          <w:tcPr>
            <w:tcW w:w="7920" w:type="dxa"/>
            <w:vAlign w:val="bottom"/>
          </w:tcPr>
          <w:p>
            <w:pPr>
              <w:ind w:left="80"/>
              <w:spacing w:after="0"/>
              <w:rPr>
                <w:sz w:val="20"/>
                <w:szCs w:val="20"/>
                <w:color w:val="auto"/>
              </w:rPr>
            </w:pPr>
            <w:r>
              <w:rPr>
                <w:rFonts w:ascii="Arial" w:cs="Arial" w:eastAsia="Arial" w:hAnsi="Arial"/>
                <w:sz w:val="18"/>
                <w:szCs w:val="18"/>
                <w:color w:val="auto"/>
              </w:rPr>
              <w:t>Interest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12.02.</w:t>
            </w:r>
          </w:p>
        </w:tc>
        <w:tc>
          <w:tcPr>
            <w:tcW w:w="7920" w:type="dxa"/>
            <w:vAlign w:val="bottom"/>
          </w:tcPr>
          <w:p>
            <w:pPr>
              <w:ind w:left="80"/>
              <w:spacing w:after="0"/>
              <w:rPr>
                <w:sz w:val="20"/>
                <w:szCs w:val="20"/>
                <w:color w:val="auto"/>
              </w:rPr>
            </w:pPr>
            <w:r>
              <w:rPr>
                <w:rFonts w:ascii="Arial" w:cs="Arial" w:eastAsia="Arial" w:hAnsi="Arial"/>
                <w:sz w:val="18"/>
                <w:szCs w:val="18"/>
                <w:color w:val="auto"/>
              </w:rPr>
              <w:t>Defaulted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12.03.</w:t>
            </w:r>
          </w:p>
        </w:tc>
        <w:tc>
          <w:tcPr>
            <w:tcW w:w="7920" w:type="dxa"/>
            <w:vAlign w:val="bottom"/>
          </w:tcPr>
          <w:p>
            <w:pPr>
              <w:ind w:left="80"/>
              <w:spacing w:after="0"/>
              <w:rPr>
                <w:sz w:val="20"/>
                <w:szCs w:val="20"/>
                <w:color w:val="auto"/>
              </w:rPr>
            </w:pPr>
            <w:r>
              <w:rPr>
                <w:rFonts w:ascii="Arial" w:cs="Arial" w:eastAsia="Arial" w:hAnsi="Arial"/>
                <w:sz w:val="18"/>
                <w:szCs w:val="18"/>
                <w:color w:val="auto"/>
              </w:rPr>
              <w:t>Interest Rights Preserved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990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13.01.</w:t>
            </w:r>
          </w:p>
        </w:tc>
        <w:tc>
          <w:tcPr>
            <w:tcW w:w="7920" w:type="dxa"/>
            <w:vAlign w:val="bottom"/>
          </w:tcPr>
          <w:p>
            <w:pPr>
              <w:ind w:left="80"/>
              <w:spacing w:after="0"/>
              <w:rPr>
                <w:sz w:val="20"/>
                <w:szCs w:val="20"/>
                <w:color w:val="auto"/>
              </w:rPr>
            </w:pPr>
            <w:r>
              <w:rPr>
                <w:rFonts w:ascii="Arial" w:cs="Arial" w:eastAsia="Arial" w:hAnsi="Arial"/>
                <w:sz w:val="18"/>
                <w:szCs w:val="18"/>
                <w:color w:val="auto"/>
              </w:rPr>
              <w:t>Holder Communications; Holder Actions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13.02.</w:t>
            </w:r>
          </w:p>
        </w:tc>
        <w:tc>
          <w:tcPr>
            <w:tcW w:w="7920" w:type="dxa"/>
            <w:vAlign w:val="bottom"/>
          </w:tcPr>
          <w:p>
            <w:pPr>
              <w:ind w:left="80"/>
              <w:spacing w:after="0"/>
              <w:rPr>
                <w:sz w:val="20"/>
                <w:szCs w:val="20"/>
                <w:color w:val="auto"/>
              </w:rPr>
            </w:pPr>
            <w:r>
              <w:rPr>
                <w:rFonts w:ascii="Arial" w:cs="Arial" w:eastAsia="Arial" w:hAnsi="Arial"/>
                <w:sz w:val="18"/>
                <w:szCs w:val="18"/>
                <w:color w:val="auto"/>
              </w:rPr>
              <w:t>Notices</w:t>
            </w: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13.03.</w:t>
            </w:r>
          </w:p>
        </w:tc>
        <w:tc>
          <w:tcPr>
            <w:tcW w:w="7920" w:type="dxa"/>
            <w:vAlign w:val="bottom"/>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13.04.</w:t>
            </w:r>
          </w:p>
        </w:tc>
        <w:tc>
          <w:tcPr>
            <w:tcW w:w="792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13.05.</w:t>
            </w:r>
          </w:p>
        </w:tc>
        <w:tc>
          <w:tcPr>
            <w:tcW w:w="7920" w:type="dxa"/>
            <w:vAlign w:val="bottom"/>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13.06.</w:t>
            </w:r>
          </w:p>
        </w:tc>
        <w:tc>
          <w:tcPr>
            <w:tcW w:w="7920" w:type="dxa"/>
            <w:vAlign w:val="bottom"/>
          </w:tcPr>
          <w:p>
            <w:pPr>
              <w:ind w:left="80"/>
              <w:spacing w:after="0"/>
              <w:rPr>
                <w:sz w:val="20"/>
                <w:szCs w:val="20"/>
                <w:color w:val="auto"/>
              </w:rPr>
            </w:pPr>
            <w:r>
              <w:rPr>
                <w:rFonts w:ascii="Arial" w:cs="Arial" w:eastAsia="Arial" w:hAnsi="Arial"/>
                <w:sz w:val="18"/>
                <w:szCs w:val="18"/>
                <w:color w:val="auto"/>
              </w:rPr>
              <w:t>Legal Holiday</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13.07.</w:t>
            </w:r>
          </w:p>
        </w:tc>
        <w:tc>
          <w:tcPr>
            <w:tcW w:w="7920" w:type="dxa"/>
            <w:vAlign w:val="bottom"/>
          </w:tcPr>
          <w:p>
            <w:pPr>
              <w:ind w:left="80"/>
              <w:spacing w:after="0"/>
              <w:rPr>
                <w:sz w:val="20"/>
                <w:szCs w:val="20"/>
                <w:color w:val="auto"/>
              </w:rPr>
            </w:pPr>
            <w:r>
              <w:rPr>
                <w:rFonts w:ascii="Arial" w:cs="Arial" w:eastAsia="Arial" w:hAnsi="Arial"/>
                <w:sz w:val="18"/>
                <w:szCs w:val="18"/>
                <w:color w:val="auto"/>
              </w:rPr>
              <w:t>Rules by Trustee, Paying Agent, Conversion Agent and Registrar</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13.08.</w:t>
            </w:r>
          </w:p>
        </w:tc>
        <w:tc>
          <w:tcPr>
            <w:tcW w:w="792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13.09.</w:t>
            </w:r>
          </w:p>
        </w:tc>
        <w:tc>
          <w:tcPr>
            <w:tcW w:w="7920" w:type="dxa"/>
            <w:vAlign w:val="bottom"/>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13.10.</w:t>
            </w:r>
          </w:p>
        </w:tc>
        <w:tc>
          <w:tcPr>
            <w:tcW w:w="792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13.11.</w:t>
            </w:r>
          </w:p>
        </w:tc>
        <w:tc>
          <w:tcPr>
            <w:tcW w:w="79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13.12.</w:t>
            </w:r>
          </w:p>
        </w:tc>
        <w:tc>
          <w:tcPr>
            <w:tcW w:w="79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20" w:type="dxa"/>
            <w:vAlign w:val="bottom"/>
          </w:tcPr>
          <w:p>
            <w:pPr>
              <w:ind w:left="3660"/>
              <w:spacing w:after="0"/>
              <w:rPr>
                <w:sz w:val="20"/>
                <w:szCs w:val="20"/>
                <w:color w:val="auto"/>
              </w:rPr>
            </w:pPr>
            <w:r>
              <w:rPr>
                <w:rFonts w:ascii="Arial" w:cs="Arial" w:eastAsia="Arial" w:hAnsi="Arial"/>
                <w:sz w:val="18"/>
                <w:szCs w:val="18"/>
                <w:color w:val="auto"/>
              </w:rPr>
              <w:t>iii</w:t>
            </w:r>
          </w:p>
        </w:tc>
        <w:tc>
          <w:tcPr>
            <w:tcW w:w="156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79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r>
        <w:trPr>
          <w:trHeight w:val="76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13.13.</w:t>
            </w:r>
          </w:p>
        </w:tc>
        <w:tc>
          <w:tcPr>
            <w:tcW w:w="7920" w:type="dxa"/>
            <w:vAlign w:val="bottom"/>
          </w:tcPr>
          <w:p>
            <w:pPr>
              <w:ind w:left="80"/>
              <w:spacing w:after="0"/>
              <w:rPr>
                <w:sz w:val="20"/>
                <w:szCs w:val="20"/>
                <w:color w:val="auto"/>
              </w:rPr>
            </w:pPr>
            <w:r>
              <w:rPr>
                <w:rFonts w:ascii="Arial" w:cs="Arial" w:eastAsia="Arial" w:hAnsi="Arial"/>
                <w:sz w:val="18"/>
                <w:szCs w:val="18"/>
                <w:color w:val="auto"/>
              </w:rPr>
              <w:t>Table of Contents and Headings</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13.14.</w:t>
            </w:r>
          </w:p>
        </w:tc>
        <w:tc>
          <w:tcPr>
            <w:tcW w:w="7920" w:type="dxa"/>
            <w:vAlign w:val="bottom"/>
          </w:tcPr>
          <w:p>
            <w:pPr>
              <w:ind w:left="8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11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7920" w:type="dxa"/>
            <w:vAlign w:val="bottom"/>
          </w:tcPr>
          <w:p>
            <w:pPr>
              <w:ind w:left="80"/>
              <w:spacing w:after="0"/>
              <w:rPr>
                <w:sz w:val="20"/>
                <w:szCs w:val="20"/>
                <w:color w:val="auto"/>
              </w:rPr>
            </w:pPr>
            <w:r>
              <w:rPr>
                <w:rFonts w:ascii="Arial" w:cs="Arial" w:eastAsia="Arial" w:hAnsi="Arial"/>
                <w:sz w:val="18"/>
                <w:szCs w:val="18"/>
                <w:i w:val="1"/>
                <w:iCs w:val="1"/>
                <w:color w:val="auto"/>
              </w:rPr>
              <w:t>Form of Note</w:t>
            </w:r>
          </w:p>
        </w:tc>
        <w:tc>
          <w:tcPr>
            <w:tcW w:w="1560" w:type="dxa"/>
            <w:vAlign w:val="bottom"/>
          </w:tcPr>
          <w:p>
            <w:pPr>
              <w:spacing w:after="0"/>
              <w:rPr>
                <w:sz w:val="24"/>
                <w:szCs w:val="24"/>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7920" w:type="dxa"/>
            <w:vAlign w:val="bottom"/>
          </w:tcPr>
          <w:p>
            <w:pPr>
              <w:ind w:left="80"/>
              <w:spacing w:after="0"/>
              <w:rPr>
                <w:sz w:val="20"/>
                <w:szCs w:val="20"/>
                <w:color w:val="auto"/>
              </w:rPr>
            </w:pPr>
            <w:r>
              <w:rPr>
                <w:rFonts w:ascii="Arial" w:cs="Arial" w:eastAsia="Arial" w:hAnsi="Arial"/>
                <w:sz w:val="18"/>
                <w:szCs w:val="18"/>
                <w:i w:val="1"/>
                <w:iCs w:val="1"/>
                <w:color w:val="auto"/>
              </w:rPr>
              <w:t>DTC Legend</w:t>
            </w:r>
          </w:p>
        </w:tc>
        <w:tc>
          <w:tcPr>
            <w:tcW w:w="1560" w:type="dxa"/>
            <w:vAlign w:val="bottom"/>
          </w:tcPr>
          <w:p>
            <w:pPr>
              <w:spacing w:after="0"/>
              <w:rPr>
                <w:sz w:val="18"/>
                <w:szCs w:val="18"/>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7920" w:type="dxa"/>
            <w:vAlign w:val="bottom"/>
          </w:tcPr>
          <w:p>
            <w:pPr>
              <w:ind w:left="80"/>
              <w:spacing w:after="0"/>
              <w:rPr>
                <w:sz w:val="20"/>
                <w:szCs w:val="20"/>
                <w:color w:val="auto"/>
              </w:rPr>
            </w:pPr>
            <w:r>
              <w:rPr>
                <w:rFonts w:ascii="Arial" w:cs="Arial" w:eastAsia="Arial" w:hAnsi="Arial"/>
                <w:sz w:val="18"/>
                <w:szCs w:val="18"/>
                <w:i w:val="1"/>
                <w:iCs w:val="1"/>
                <w:color w:val="auto"/>
              </w:rPr>
              <w:t>Transfer Restricted Note Legend</w:t>
            </w:r>
          </w:p>
        </w:tc>
        <w:tc>
          <w:tcPr>
            <w:tcW w:w="1560" w:type="dxa"/>
            <w:vAlign w:val="bottom"/>
          </w:tcPr>
          <w:p>
            <w:pPr>
              <w:spacing w:after="0"/>
              <w:rPr>
                <w:sz w:val="18"/>
                <w:szCs w:val="18"/>
                <w:color w:val="auto"/>
              </w:rPr>
            </w:pP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D</w:t>
            </w:r>
          </w:p>
        </w:tc>
        <w:tc>
          <w:tcPr>
            <w:tcW w:w="7920" w:type="dxa"/>
            <w:vAlign w:val="bottom"/>
          </w:tcPr>
          <w:p>
            <w:pPr>
              <w:ind w:left="80"/>
              <w:spacing w:after="0"/>
              <w:rPr>
                <w:sz w:val="20"/>
                <w:szCs w:val="20"/>
                <w:color w:val="auto"/>
              </w:rPr>
            </w:pPr>
            <w:r>
              <w:rPr>
                <w:rFonts w:ascii="Arial" w:cs="Arial" w:eastAsia="Arial" w:hAnsi="Arial"/>
                <w:sz w:val="18"/>
                <w:szCs w:val="18"/>
                <w:i w:val="1"/>
                <w:iCs w:val="1"/>
                <w:color w:val="auto"/>
              </w:rPr>
              <w:t>Certificate for Exchange or Transfer of Transfer Restricted Notes</w:t>
            </w: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INDENTURE dated as of July 26, 2011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$345,000,000 aggregate principal amount of the Company’s 1.875% Convertible Senior Notes due 2031 (the “</w:t>
      </w:r>
      <w:r>
        <w:rPr>
          <w:rFonts w:ascii="Arial" w:cs="Arial" w:eastAsia="Arial" w:hAnsi="Arial"/>
          <w:sz w:val="18"/>
          <w:szCs w:val="18"/>
          <w:b w:val="1"/>
          <w:bCs w:val="1"/>
          <w:color w:val="auto"/>
        </w:rPr>
        <w:t>Notes</w:t>
      </w:r>
      <w:r>
        <w:rPr>
          <w:rFonts w:ascii="Arial" w:cs="Arial" w:eastAsia="Arial" w:hAnsi="Arial"/>
          <w:sz w:val="18"/>
          <w:szCs w:val="18"/>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1"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ectPr>
          <w:pgSz w:w="11900" w:h="16930" w:orient="portrait"/>
          <w:cols w:equalWidth="0" w:num="1">
            <w:col w:w="11460"/>
          </w:cols>
          <w:pgMar w:left="240" w:top="125" w:right="199" w:bottom="0" w:gutter="0" w:footer="0" w:header="0"/>
        </w:sectPr>
      </w:pPr>
    </w:p>
    <w:bookmarkStart w:id="65" w:name="page66"/>
    <w:bookmarkEnd w:id="65"/>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 Section 3.01(a)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of Common Stock or any other security on any date means the closing sale price per share (or, if no closing sale price is reported, the average of the last bid and last ask prices or, if more than one in either case, the average of the average last bid and the average last ask prices) on that date as reported in composite transactions for the principal U.S. national or regional securities exchange on which Common Stock or such other security is listed.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a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reclassifications bears to the total number of shares of all such classes resulting from all such reclassifications.</w:t>
      </w:r>
    </w:p>
    <w:p>
      <w:pPr>
        <w:spacing w:after="0" w:line="221"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633 West Fifth Street, 24th Floor, Los Angeles, California 90071.</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20 consecutive Trading Days during the Observation Period, 5.00% of the product of (a) the Conversion Rate in effect on such Trading Day and (ii) the Daily VWAP on such Trading Day.</w:t>
      </w:r>
    </w:p>
    <w:p>
      <w:pPr>
        <w:spacing w:after="0" w:line="162"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Net Settlement Amount</w:t>
      </w:r>
      <w:r>
        <w:rPr>
          <w:rFonts w:ascii="Arial" w:cs="Arial" w:eastAsia="Arial" w:hAnsi="Arial"/>
          <w:sz w:val="16"/>
          <w:szCs w:val="16"/>
          <w:color w:val="auto"/>
        </w:rPr>
        <w:t xml:space="preserve">” means for each of the 20 consecutive Trading Days during the applicable Observation Period (a) if the Company does not elect a Cash Percentage pursuant to Section 10.03(d), a number of shares of Common Stock equal to (i) the difference between the Daily Conversion Value on such Trading Day and $50.00,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(ii) the Daily VWAP for such Trading Day; (b) if the Company elects a Cash Percentage of 100% pursuant to Section 10.03(d), Cash in an amount equal to the difference between the Daily Conversion Value on such Trading Day and $50.00; or (c) if the Company</w:t>
      </w:r>
    </w:p>
    <w:p>
      <w:pPr>
        <w:sectPr>
          <w:pgSz w:w="11900" w:h="16944" w:orient="portrait"/>
          <w:cols w:equalWidth="0" w:num="1">
            <w:col w:w="11400"/>
          </w:cols>
          <w:pgMar w:left="240" w:top="337" w:right="259" w:bottom="0" w:gutter="0" w:footer="0" w:header="0"/>
        </w:sectPr>
      </w:pPr>
    </w:p>
    <w:bookmarkStart w:id="66" w:name="page67"/>
    <w:bookmarkEnd w:id="66"/>
    <w:p>
      <w:pPr>
        <w:spacing w:after="0" w:line="10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elects a Cash Percentage of less than 100% pursuant to Section 10.03(d), (i) Cash in an amount equal to the product of (x) the difference between the Daily Conversion Value on such Trading Day and $50.00 and (y) the Cash Percentage, plus (ii) a number of shares of Common Stock equal to the product of</w:t>
      </w:r>
    </w:p>
    <w:p>
      <w:pPr>
        <w:ind w:left="260" w:hanging="252"/>
        <w:spacing w:after="0"/>
        <w:tabs>
          <w:tab w:leader="none" w:pos="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(A) the difference between the Daily Conversion Value on such Trading Day and $50.00,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(B) the Daily VWAP for such Trading Day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Cash Percentage.</w:t>
      </w:r>
    </w:p>
    <w:p>
      <w:pPr>
        <w:spacing w:after="0" w:line="20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each of the 20 consecutive Trading Days during the applicable Observation Period, the per share volume weighted average price of Common Stock as displayed on Bloomberg (or any successor service) page MU UQ&lt;equity&gt;AQR in respect of the period from 9:30 a.m. to 4:00 p.m., New York City time, on such Trading Day; or, if such price is not available, the Daily VWAP means the market value per share of Common Stock on such day as determined by a nationally recognized independent investment banking firm retained for this purpose by the Company. The “Daily VWAP” shall be determined without regard to after hours trading or any other trading outside of the regular trading session’s trading hours.</w:t>
      </w:r>
    </w:p>
    <w:p>
      <w:pPr>
        <w:spacing w:after="0" w:line="168" w:lineRule="exact"/>
        <w:rPr>
          <w:sz w:val="20"/>
          <w:szCs w:val="20"/>
          <w:color w:val="auto"/>
        </w:rPr>
      </w:pPr>
    </w:p>
    <w:p>
      <w:pPr>
        <w:ind w:right="2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all obligations (other than non-recourse obligations) of such Person for borrowed money or evidenced by bonds, debentures, notes or other similar instruments.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issuance, dividend or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Freely Tradable</w:t>
      </w:r>
      <w:r>
        <w:rPr>
          <w:rFonts w:ascii="Arial" w:cs="Arial" w:eastAsia="Arial" w:hAnsi="Arial"/>
          <w:sz w:val="17"/>
          <w:szCs w:val="17"/>
          <w:color w:val="auto"/>
        </w:rPr>
        <w:t>” means, with respect to the Notes and the shares of Common Stock issuable upon the conversion of the Notes, that such Notes and shares of Common Stock, if any, (a) are eligible to be sold by a Person who has not been an Affiliate of the Company during the preceding three months without any volume or manner of sale restrictions under the Securities Act, (ii) do not bear a Transfer Restricted Note Legend and (iii) with respect to Global Notes only, are identified by an unrestricted CUSIP number in the facilities of the applicable Depositary.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62" w:lineRule="exact"/>
        <w:rPr>
          <w:sz w:val="20"/>
          <w:szCs w:val="20"/>
          <w:color w:val="auto"/>
        </w:rPr>
      </w:pPr>
    </w:p>
    <w:p>
      <w:pPr>
        <w:jc w:val="both"/>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Morgan Stanley &amp; Co. LLC, Lazard Capital Markets LLC and the several other initial purchasers listed in Schedule I to the Purchase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February 1 and August 1 of each year, commencing February 1, 2012.</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each $1,000 in principal amount of Notes to be redeemed, a payment in Cash equal to the present values of the remaining scheduled payments of interest on the Notes to be redeemed from the Redemption Date to August 5, 2016 (excluding interest accrued to, but excluding, such Redemption Date, which is otherwise paid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pursuant to clause (ii) of the definition of Redemption Price), computed using a discount rate equal to 1.50%.</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 exchange or otherwise) in the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1, 2031.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(a) if the relevant Conversion Date occurs before the 24th Scheduled Trading Day immediately preceding the Maturity Date, the 20 consecutive Trading Day period beginning on, and including, the third Trading Day after such Conversion Date; and (b) if the relevant Conversion Date occurs on or after the 24th Scheduled Trading Day immediately preceding the Maturity Date, the 20 consecutive Trading Days beginning on, and including, the 22nd Scheduled Trading Day immediately preceding the Maturity Date.</w:t>
      </w:r>
    </w:p>
    <w:p>
      <w:pPr>
        <w:sectPr>
          <w:pgSz w:w="11900" w:h="16944" w:orient="portrait"/>
          <w:cols w:equalWidth="0" w:num="1">
            <w:col w:w="11420"/>
          </w:cols>
          <w:pgMar w:left="240" w:top="125" w:right="239" w:bottom="0" w:gutter="0" w:footer="0" w:header="0"/>
        </w:sectPr>
      </w:pPr>
    </w:p>
    <w:bookmarkStart w:id="67" w:name="page68"/>
    <w:bookmarkEnd w:id="67"/>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July 20, 2011, relating to the offering and sale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has an account with the Depositary.</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July 20, 2011, among the Company and the Initial Purchasers relating to the purchase of the Notes by the Initial Purchasers.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January 15 or July 15 next preceding such Interest Payment Date.</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w:t>
      </w:r>
    </w:p>
    <w:p>
      <w:pPr>
        <w:spacing w:after="0" w:line="176"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58"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Common Stock, or other Capital Stock into which the Notes are then convertible, is not listed for trading on a United States national securities exchange or approved for quotation on a U.S. system of automated dissemination of quotations of securities prices similar to The NASDAQ Global Select Market prior to its designation as a national securities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with respect to Common Stock or any other security, a day during which (a) trading in Common Stock or such other security generally occurs on The NASDAQ Global Select Market or, if the Common Stock is not is not then listed on The NASDAQ Global Select Market, on the principal other U.S. national or regional securities exchange, if any, on which the Common Stock is then listed or, if the Common Stock is not then listed on a U.S. national or regional securities exchange, on the principal other market, if any, on which the Common Stock is then admitted for trading, (b) there is no Market Disruption Event and (c) a Closing Price for Common Stock or such other security (other than a Closing Price referred to in the next to last sentence of such definition)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Common Stock or such other security is not admitted for trading or quotation on or by any exchange, market, bureau or other organization, “Trading Day” will mean any Business Day.</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on any date of determination, the average of the secondary market bid quotations obtained by the Trustee for $5.0 million principal amount of Notes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Any such determination will be conclusive absent manifest error. If the Trustee cannot reasonably obtain at least one bid for $5.0 million principal amount of Notes</w:t>
      </w:r>
    </w:p>
    <w:p>
      <w:pPr>
        <w:sectPr>
          <w:pgSz w:w="11900" w:h="16838" w:orient="portrait"/>
          <w:cols w:equalWidth="0" w:num="1">
            <w:col w:w="11400"/>
          </w:cols>
          <w:pgMar w:left="240" w:top="337" w:right="259" w:bottom="0" w:gutter="0" w:footer="0" w:header="0"/>
        </w:sectPr>
      </w:pPr>
    </w:p>
    <w:bookmarkStart w:id="68" w:name="page69"/>
    <w:bookmarkEnd w:id="68"/>
    <w:p>
      <w:pPr>
        <w:ind w:right="160"/>
        <w:spacing w:after="0" w:line="277" w:lineRule="auto"/>
        <w:rPr>
          <w:sz w:val="20"/>
          <w:szCs w:val="20"/>
          <w:color w:val="auto"/>
        </w:rPr>
      </w:pPr>
      <w:r>
        <w:rPr>
          <w:rFonts w:ascii="Arial" w:cs="Arial" w:eastAsia="Arial" w:hAnsi="Arial"/>
          <w:sz w:val="18"/>
          <w:szCs w:val="18"/>
          <w:color w:val="auto"/>
        </w:rPr>
        <w:t>from a U.S. nationally recognized securities dealer, then the Trading Price per $1,000 principal amount of relevant Notes will be deemed to be less than 98% of the product of the Closing Price of the Common Stock and the then Applicable Conversion Rate for the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Global Note</w:t>
      </w:r>
      <w:r>
        <w:rPr>
          <w:rFonts w:ascii="Arial" w:cs="Arial" w:eastAsia="Arial" w:hAnsi="Arial"/>
          <w:sz w:val="18"/>
          <w:szCs w:val="18"/>
          <w:color w:val="auto"/>
        </w:rPr>
        <w:t>” means a Global Note that is a Transfer Restricted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w:t>
      </w:r>
      <w:r>
        <w:rPr>
          <w:rFonts w:ascii="Arial" w:cs="Arial" w:eastAsia="Arial" w:hAnsi="Arial"/>
          <w:sz w:val="18"/>
          <w:szCs w:val="18"/>
          <w:color w:val="auto"/>
        </w:rPr>
        <w:t>” means a Note that is subject to resale restrictions pursuant to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 Legend</w:t>
      </w:r>
      <w:r>
        <w:rPr>
          <w:rFonts w:ascii="Arial" w:cs="Arial" w:eastAsia="Arial" w:hAnsi="Arial"/>
          <w:sz w:val="18"/>
          <w:szCs w:val="18"/>
          <w:color w:val="auto"/>
        </w:rPr>
        <w:t>” means the legend set forth in Exhibit 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 Global Note that is not a Transfer Restricted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w:t>
      </w:r>
      <w:r>
        <w:rPr>
          <w:rFonts w:ascii="Arial" w:cs="Arial" w:eastAsia="Arial" w:hAnsi="Arial"/>
          <w:sz w:val="18"/>
          <w:szCs w:val="18"/>
          <w:color w:val="auto"/>
        </w:rPr>
        <w:t>” means a Note that is not a Transfer Restricted Note.</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80"/>
        </w:trPr>
        <w:tc>
          <w:tcPr>
            <w:tcW w:w="1880" w:type="dxa"/>
            <w:vAlign w:val="bottom"/>
            <w:gridSpan w:val="2"/>
          </w:tcPr>
          <w:p>
            <w:pPr>
              <w:ind w:left="660"/>
              <w:spacing w:after="0"/>
              <w:rPr>
                <w:sz w:val="20"/>
                <w:szCs w:val="20"/>
                <w:color w:val="auto"/>
              </w:rPr>
            </w:pPr>
            <w:r>
              <w:rPr>
                <w:rFonts w:ascii="Arial" w:cs="Arial" w:eastAsia="Arial" w:hAnsi="Arial"/>
                <w:sz w:val="18"/>
                <w:szCs w:val="18"/>
                <w:i w:val="1"/>
                <w:iCs w:val="1"/>
                <w:color w:val="auto"/>
              </w:rPr>
              <w:t>Section 1.02.</w:t>
            </w:r>
          </w:p>
        </w:tc>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188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3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20" w:type="dxa"/>
            <w:vAlign w:val="bottom"/>
            <w:gridSpan w:val="2"/>
          </w:tcPr>
          <w:p>
            <w:pPr>
              <w:ind w:left="208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60" w:type="dxa"/>
            <w:vAlign w:val="bottom"/>
          </w:tcPr>
          <w:p>
            <w:pPr>
              <w:spacing w:after="0"/>
              <w:rPr>
                <w:sz w:val="18"/>
                <w:szCs w:val="18"/>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“2020 Repurchase Date”</w:t>
            </w:r>
          </w:p>
        </w:tc>
        <w:tc>
          <w:tcPr>
            <w:tcW w:w="54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jc w:val="right"/>
              <w:ind w:right="207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“2020 Repurchase Price”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Repurchase Notice”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3.02(c)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“Act”</w:t>
            </w:r>
          </w:p>
        </w:tc>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13.01(b)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6.15(a)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“Bankruptcy Default”</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6.01(h)</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owner”</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“Cash Percentage”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10.03(d)</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Order”</w:t>
            </w: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Date”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“Conversion Obligation”</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Rate”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“Conversion Trigger Price”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“Daily Settlement Amount”</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10.03(b)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“Distributed Assets”</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“Effective Date”</w:t>
            </w:r>
          </w:p>
        </w:tc>
        <w:tc>
          <w:tcPr>
            <w:tcW w:w="3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10.10(b)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10.07(e)</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“Free Trade Date”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Date”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“Fundamental Change Repurchase Price”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Notice”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“group”</w:t>
            </w:r>
          </w:p>
        </w:tc>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Original Issuance Date”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“Legal Holiday”</w:t>
            </w:r>
          </w:p>
        </w:tc>
        <w:tc>
          <w:tcPr>
            <w:tcW w:w="3620" w:type="dxa"/>
            <w:vAlign w:val="bottom"/>
          </w:tcPr>
          <w:p>
            <w:pPr>
              <w:spacing w:after="0"/>
              <w:rPr>
                <w:sz w:val="18"/>
                <w:szCs w:val="18"/>
                <w:color w:val="auto"/>
              </w:rPr>
            </w:pP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“Make-Whole Change in Control”</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9"/>
              </w:rPr>
              <w:t>“Merger Event”</w:t>
            </w:r>
          </w:p>
        </w:tc>
        <w:tc>
          <w:tcPr>
            <w:tcW w:w="36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“Paying Agent”</w:t>
            </w:r>
          </w:p>
        </w:tc>
        <w:tc>
          <w:tcPr>
            <w:tcW w:w="3620" w:type="dxa"/>
            <w:vAlign w:val="bottom"/>
          </w:tcPr>
          <w:p>
            <w:pPr>
              <w:spacing w:after="0"/>
              <w:rPr>
                <w:sz w:val="18"/>
                <w:szCs w:val="18"/>
                <w:color w:val="auto"/>
              </w:rPr>
            </w:pP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3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“Primary Registrar”</w:t>
            </w: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Price”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“Reference Period”</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Property”</w:t>
            </w: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“Register”</w:t>
            </w:r>
          </w:p>
        </w:tc>
        <w:tc>
          <w:tcPr>
            <w:tcW w:w="3620" w:type="dxa"/>
            <w:vAlign w:val="bottom"/>
          </w:tcPr>
          <w:p>
            <w:pPr>
              <w:spacing w:after="0"/>
              <w:rPr>
                <w:sz w:val="18"/>
                <w:szCs w:val="18"/>
                <w:color w:val="auto"/>
              </w:rPr>
            </w:pPr>
          </w:p>
        </w:tc>
        <w:tc>
          <w:tcPr>
            <w:tcW w:w="5800" w:type="dxa"/>
            <w:vAlign w:val="bottom"/>
            <w:gridSpan w:val="2"/>
          </w:tcPr>
          <w:p>
            <w:pPr>
              <w:jc w:val="right"/>
              <w:ind w:right="22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36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“Repurchase Date”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Notice”</w:t>
            </w:r>
          </w:p>
        </w:tc>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“Repurchase Price”</w:t>
            </w:r>
          </w:p>
        </w:tc>
        <w:tc>
          <w:tcPr>
            <w:tcW w:w="540" w:type="dxa"/>
            <w:vAlign w:val="bottom"/>
          </w:tcPr>
          <w:p>
            <w:pPr>
              <w:spacing w:after="0"/>
              <w:rPr>
                <w:sz w:val="18"/>
                <w:szCs w:val="18"/>
                <w:color w:val="auto"/>
              </w:rPr>
            </w:pPr>
          </w:p>
        </w:tc>
        <w:tc>
          <w:tcPr>
            <w:tcW w:w="5260" w:type="dxa"/>
            <w:vAlign w:val="bottom"/>
          </w:tcPr>
          <w:p>
            <w:pPr>
              <w:jc w:val="right"/>
              <w:ind w:right="20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36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right"/>
              <w:ind w:right="2271"/>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-7035800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-7035800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1" w:lineRule="exact"/>
        <w:rPr>
          <w:sz w:val="20"/>
          <w:szCs w:val="20"/>
          <w:color w:val="auto"/>
        </w:rPr>
      </w:pPr>
    </w:p>
    <w:p>
      <w:pPr>
        <w:ind w:left="660"/>
        <w:spacing w:after="0"/>
        <w:tabs>
          <w:tab w:leader="none" w:pos="8100" w:val="left"/>
        </w:tabs>
        <w:rPr>
          <w:sz w:val="20"/>
          <w:szCs w:val="20"/>
          <w:color w:val="auto"/>
        </w:rPr>
      </w:pPr>
      <w:r>
        <w:rPr>
          <w:rFonts w:ascii="Arial" w:cs="Arial" w:eastAsia="Arial" w:hAnsi="Arial"/>
          <w:sz w:val="12"/>
          <w:szCs w:val="12"/>
          <w:b w:val="1"/>
          <w:bCs w:val="1"/>
          <w:color w:val="auto"/>
        </w:rPr>
        <w:t>Term</w:t>
      </w:r>
      <w:r>
        <w:rPr>
          <w:sz w:val="20"/>
          <w:szCs w:val="20"/>
          <w:color w:val="auto"/>
        </w:rPr>
        <w:tab/>
      </w:r>
      <w:r>
        <w:rPr>
          <w:rFonts w:ascii="Arial" w:cs="Arial" w:eastAsia="Arial" w:hAnsi="Arial"/>
          <w:sz w:val="12"/>
          <w:szCs w:val="12"/>
          <w:b w:val="1"/>
          <w:bCs w:val="1"/>
          <w:color w:val="auto"/>
        </w:rPr>
        <w:t>Defined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wp:posOffset>
            </wp:positionV>
            <wp:extent cx="6757670" cy="78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57670" cy="7874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69" w:name="page70"/>
    <w:bookmarkEnd w:id="69"/>
    <w:tbl>
      <w:tblPr>
        <w:tblLayout w:type="fixed"/>
        <w:tblInd w:w="66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“Settlement Amount”</w:t>
            </w:r>
          </w:p>
        </w:tc>
        <w:tc>
          <w:tcPr>
            <w:tcW w:w="56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10.03(a)</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“Shareholders Rights Plan”</w:t>
            </w:r>
          </w:p>
        </w:tc>
        <w:tc>
          <w:tcPr>
            <w:tcW w:w="5640" w:type="dxa"/>
            <w:vAlign w:val="bottom"/>
          </w:tcPr>
          <w:p>
            <w:pPr>
              <w:ind w:left="2860"/>
              <w:spacing w:after="0"/>
              <w:rPr>
                <w:sz w:val="20"/>
                <w:szCs w:val="20"/>
                <w:color w:val="auto"/>
              </w:rPr>
            </w:pPr>
            <w:r>
              <w:rPr>
                <w:rFonts w:ascii="Arial" w:cs="Arial" w:eastAsia="Arial" w:hAnsi="Arial"/>
                <w:sz w:val="18"/>
                <w:szCs w:val="18"/>
                <w:color w:val="auto"/>
              </w:rPr>
              <w:t>10.20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“Special Record Date”</w:t>
            </w:r>
          </w:p>
        </w:tc>
        <w:tc>
          <w:tcPr>
            <w:tcW w:w="56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12.02(a)</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“Spin-Off”</w:t>
            </w:r>
          </w:p>
        </w:tc>
        <w:tc>
          <w:tcPr>
            <w:tcW w:w="5640" w:type="dxa"/>
            <w:vAlign w:val="bottom"/>
          </w:tcPr>
          <w:p>
            <w:pPr>
              <w:ind w:left="2860"/>
              <w:spacing w:after="0"/>
              <w:rPr>
                <w:sz w:val="20"/>
                <w:szCs w:val="20"/>
                <w:color w:val="auto"/>
              </w:rPr>
            </w:pPr>
            <w:r>
              <w:rPr>
                <w:rFonts w:ascii="Arial" w:cs="Arial" w:eastAsia="Arial" w:hAnsi="Arial"/>
                <w:sz w:val="18"/>
                <w:szCs w:val="18"/>
                <w:color w:val="auto"/>
              </w:rPr>
              <w:t>10.07(c)</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56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10.10(b)</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“Trading Price Condition”</w:t>
            </w:r>
          </w:p>
        </w:tc>
        <w:tc>
          <w:tcPr>
            <w:tcW w:w="5640" w:type="dxa"/>
            <w:vAlign w:val="bottom"/>
          </w:tcPr>
          <w:p>
            <w:pPr>
              <w:ind w:left="2860"/>
              <w:spacing w:after="0"/>
              <w:rPr>
                <w:sz w:val="20"/>
                <w:szCs w:val="20"/>
                <w:color w:val="auto"/>
              </w:rPr>
            </w:pPr>
            <w:r>
              <w:rPr>
                <w:rFonts w:ascii="Arial" w:cs="Arial" w:eastAsia="Arial" w:hAnsi="Arial"/>
                <w:sz w:val="18"/>
                <w:szCs w:val="18"/>
                <w:color w:val="auto"/>
              </w:rPr>
              <w:t>10.01(b)</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“Trigger Event”</w:t>
            </w:r>
          </w:p>
        </w:tc>
        <w:tc>
          <w:tcPr>
            <w:tcW w:w="56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10.08</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“Unit of Reference Property”</w:t>
            </w:r>
          </w:p>
        </w:tc>
        <w:tc>
          <w:tcPr>
            <w:tcW w:w="5640" w:type="dxa"/>
            <w:vAlign w:val="bottom"/>
          </w:tcPr>
          <w:p>
            <w:pPr>
              <w:ind w:left="2860"/>
              <w:spacing w:after="0"/>
              <w:rPr>
                <w:sz w:val="20"/>
                <w:szCs w:val="20"/>
                <w:color w:val="auto"/>
              </w:rPr>
            </w:pPr>
            <w:r>
              <w:rPr>
                <w:rFonts w:ascii="Arial" w:cs="Arial" w:eastAsia="Arial" w:hAnsi="Arial"/>
                <w:sz w:val="18"/>
                <w:szCs w:val="18"/>
                <w:color w:val="auto"/>
              </w:rPr>
              <w:t>10.09</w:t>
            </w:r>
          </w:p>
        </w:tc>
      </w:tr>
    </w:tbl>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1.03.</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920" w:hanging="615"/>
        <w:spacing w:after="0"/>
        <w:tabs>
          <w:tab w:leader="none" w:pos="1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940" w:hanging="635"/>
        <w:spacing w:after="0"/>
        <w:tabs>
          <w:tab w:leader="none" w:pos="19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720" w:firstLine="1305"/>
        <w:spacing w:after="0" w:line="277" w:lineRule="auto"/>
        <w:tabs>
          <w:tab w:leader="none" w:pos="19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580" w:firstLine="1305"/>
        <w:spacing w:after="0" w:line="277" w:lineRule="auto"/>
        <w:tabs>
          <w:tab w:leader="none" w:pos="19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Section 1.04. Payments due on non-Business Days</w:t>
      </w:r>
      <w:r>
        <w:rPr>
          <w:rFonts w:ascii="Arial" w:cs="Arial" w:eastAsia="Arial" w:hAnsi="Arial"/>
          <w:sz w:val="18"/>
          <w:szCs w:val="18"/>
          <w:color w:val="auto"/>
        </w:rPr>
        <w:t>. Notwithstanding anything herein to the contrary, any payment required to be made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that is not a Business Day will be made on the next succeeding Business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2.01.</w:t>
      </w:r>
      <w:r>
        <w:rPr>
          <w:sz w:val="20"/>
          <w:szCs w:val="20"/>
          <w:color w:val="auto"/>
        </w:rPr>
        <w:tab/>
      </w:r>
      <w:r>
        <w:rPr>
          <w:rFonts w:ascii="Arial" w:cs="Arial" w:eastAsia="Arial" w:hAnsi="Arial"/>
          <w:sz w:val="16"/>
          <w:szCs w:val="16"/>
          <w:i w:val="1"/>
          <w:iCs w:val="1"/>
          <w:color w:val="auto"/>
        </w:rPr>
        <w:t>Form, Dating and Denominations; Legends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7" w:lineRule="auto"/>
        <w:tabs>
          <w:tab w:leader="none" w:pos="19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rFonts w:ascii="Arial" w:cs="Arial" w:eastAsia="Arial" w:hAnsi="Arial"/>
          <w:sz w:val="18"/>
          <w:szCs w:val="18"/>
          <w:color w:val="auto"/>
        </w:rPr>
      </w:pPr>
    </w:p>
    <w:p>
      <w:pPr>
        <w:ind w:firstLine="1305"/>
        <w:spacing w:after="0" w:line="255" w:lineRule="auto"/>
        <w:tabs>
          <w:tab w:leader="none" w:pos="1927"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3" w:lineRule="exact"/>
        <w:rPr>
          <w:sz w:val="20"/>
          <w:szCs w:val="20"/>
          <w:color w:val="auto"/>
        </w:rPr>
      </w:pPr>
    </w:p>
    <w:p>
      <w:pPr>
        <w:jc w:val="both"/>
        <w:ind w:right="14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20" w:firstLine="8"/>
        <w:spacing w:after="0" w:line="255" w:lineRule="auto"/>
        <w:tabs>
          <w:tab w:leader="none" w:pos="2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pacing w:after="0" w:line="190" w:lineRule="exact"/>
        <w:rPr>
          <w:rFonts w:ascii="Arial" w:cs="Arial" w:eastAsia="Arial" w:hAnsi="Arial"/>
          <w:sz w:val="18"/>
          <w:szCs w:val="18"/>
          <w:color w:val="auto"/>
        </w:rPr>
      </w:pPr>
    </w:p>
    <w:p>
      <w:pPr>
        <w:ind w:firstLine="1305"/>
        <w:spacing w:after="0" w:line="286" w:lineRule="auto"/>
        <w:tabs>
          <w:tab w:leader="none" w:pos="1917" w:val="left"/>
        </w:tabs>
        <w:numPr>
          <w:ilvl w:val="1"/>
          <w:numId w:val="164"/>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5" w:lineRule="exact"/>
        <w:rPr>
          <w:rFonts w:ascii="Arial" w:cs="Arial" w:eastAsia="Arial" w:hAnsi="Arial"/>
          <w:sz w:val="17"/>
          <w:szCs w:val="17"/>
          <w:color w:val="auto"/>
        </w:rPr>
      </w:pPr>
    </w:p>
    <w:p>
      <w:pPr>
        <w:ind w:left="1940" w:hanging="635"/>
        <w:spacing w:after="0"/>
        <w:tabs>
          <w:tab w:leader="none" w:pos="1940" w:val="left"/>
        </w:tabs>
        <w:numPr>
          <w:ilvl w:val="1"/>
          <w:numId w:val="164"/>
        </w:numPr>
        <w:rPr>
          <w:rFonts w:ascii="Arial" w:cs="Arial" w:eastAsia="Arial" w:hAnsi="Arial"/>
          <w:sz w:val="18"/>
          <w:szCs w:val="18"/>
          <w:color w:val="auto"/>
        </w:rPr>
      </w:pPr>
      <w:r>
        <w:rPr>
          <w:rFonts w:ascii="Arial" w:cs="Arial" w:eastAsia="Arial" w:hAnsi="Arial"/>
          <w:sz w:val="18"/>
          <w:szCs w:val="18"/>
          <w:i w:val="1"/>
          <w:iCs w:val="1"/>
          <w:color w:val="auto"/>
        </w:rPr>
        <w:t>Transfer Restricted Note Legend</w:t>
      </w:r>
      <w:r>
        <w:rPr>
          <w:rFonts w:ascii="Arial" w:cs="Arial" w:eastAsia="Arial" w:hAnsi="Arial"/>
          <w:sz w:val="18"/>
          <w:szCs w:val="18"/>
          <w:color w:val="auto"/>
        </w:rPr>
        <w:t>. All Transfer Restricted Notes shall bear the Transfer Restricted Note Legend.</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2.02. Execution and Authentication</w:t>
      </w:r>
      <w:r>
        <w:rPr>
          <w:rFonts w:ascii="Arial" w:cs="Arial" w:eastAsia="Arial" w:hAnsi="Arial"/>
          <w:sz w:val="18"/>
          <w:szCs w:val="18"/>
          <w:color w:val="auto"/>
        </w:rPr>
        <w:t>. An Officer shall sign the Notes for the Company by manual or facsimile signature. Typographic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errors or defects in any such facsimile signature shall not affect the validity or enforceability of any Note which has been authenticated and delivered by the Trustee.</w:t>
      </w:r>
    </w:p>
    <w:p>
      <w:pPr>
        <w:sectPr>
          <w:pgSz w:w="11900" w:h="16838" w:orient="portrait"/>
          <w:cols w:equalWidth="0" w:num="1">
            <w:col w:w="11400"/>
          </w:cols>
          <w:pgMar w:left="240" w:top="140" w:right="259" w:bottom="0" w:gutter="0" w:footer="0" w:header="0"/>
        </w:sectPr>
      </w:pPr>
    </w:p>
    <w:bookmarkStart w:id="70" w:name="page71"/>
    <w:bookmarkEnd w:id="70"/>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shall authenticate and make available for delivery Notes for original issue in the aggregate principal amount of $345,000,000 upon receipt of a written order or orders of the Company signed by an Officer of the Company (a “</w:t>
      </w:r>
      <w:r>
        <w:rPr>
          <w:rFonts w:ascii="Arial" w:cs="Arial" w:eastAsia="Arial" w:hAnsi="Arial"/>
          <w:sz w:val="18"/>
          <w:szCs w:val="18"/>
          <w:b w:val="1"/>
          <w:bCs w:val="1"/>
          <w:color w:val="auto"/>
        </w:rPr>
        <w:t>Company Order</w:t>
      </w:r>
      <w:r>
        <w:rPr>
          <w:rFonts w:ascii="Arial" w:cs="Arial" w:eastAsia="Arial" w:hAnsi="Arial"/>
          <w:sz w:val="18"/>
          <w:szCs w:val="18"/>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$345,000,000 except as provided in Section 2.07.</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Section 2.03. Registrar, Paying Agent and Conversion Agent</w:t>
      </w:r>
      <w:r>
        <w:rPr>
          <w:rFonts w:ascii="Arial" w:cs="Arial" w:eastAsia="Arial" w:hAnsi="Arial"/>
          <w:sz w:val="18"/>
          <w:szCs w:val="18"/>
          <w:color w:val="auto"/>
        </w:rPr>
        <w:t>. The Company shall maintain one or more offices or agencies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hereby initially designates the Trustee as Paying Agent, Registrar, and Conversion Agent, and each of the Corporate Trust Office of the Trustee and the office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agency of the Trustee in the United States (located at c/o U.S. Bank Association, Corporate Trust Services, 633 West Fifth Street, 24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Los Angeles, CA 90071, Tel. (213) 615-6043, Attention: Paula Oswald (Micron 2011 Indenture)), one such office or agency of the Company for each of the aforesaid purposes.</w:t>
      </w:r>
    </w:p>
    <w:p>
      <w:pPr>
        <w:spacing w:after="0" w:line="1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Section 2.04. Paying Agent to Hold Money in Trust</w:t>
      </w:r>
      <w:r>
        <w:rPr>
          <w:rFonts w:ascii="Arial" w:cs="Arial" w:eastAsia="Arial" w:hAnsi="Arial"/>
          <w:sz w:val="17"/>
          <w:szCs w:val="17"/>
          <w:color w:val="auto"/>
        </w:rPr>
        <w:t>. Prior to 12:00 p.m., New York City time, on each date on which the principal amount of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Section 2.05. Holder Lists</w:t>
      </w:r>
      <w:r>
        <w:rPr>
          <w:rFonts w:ascii="Arial" w:cs="Arial" w:eastAsia="Arial" w:hAnsi="Arial"/>
          <w:sz w:val="18"/>
          <w:szCs w:val="18"/>
          <w:color w:val="auto"/>
        </w:rPr>
        <w:t>. The Trustee shall preserve in as current a form as is reasonably practicable the most recent list available to 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addresses of 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Holders.</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Section 2.06. Transfer and Exchange</w:t>
      </w:r>
      <w:r>
        <w:rPr>
          <w:rFonts w:ascii="Arial" w:cs="Arial" w:eastAsia="Arial" w:hAnsi="Arial"/>
          <w:sz w:val="17"/>
          <w:szCs w:val="17"/>
          <w:color w:val="auto"/>
        </w:rPr>
        <w:t>. Subject to compliance with any applicable additional requirements contained in Section 2.13, when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every Note presented or surrendered for registration of transfer or exchange shall be duly endorsed or accompanied by an assignment form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any exchange pursuant to Section 2.10, Section 3.05, Section 9.03(b) or Section 11.06 not involving any transfer.</w:t>
      </w:r>
    </w:p>
    <w:p>
      <w:pPr>
        <w:sectPr>
          <w:pgSz w:w="11900" w:h="16851"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51" w:orient="portrait"/>
          <w:cols w:equalWidth="0" w:num="1">
            <w:col w:w="11420"/>
          </w:cols>
          <w:pgMar w:left="240" w:top="125" w:right="239" w:bottom="0" w:gutter="0" w:footer="0" w:header="0"/>
          <w:type w:val="continuous"/>
        </w:sectPr>
      </w:pPr>
    </w:p>
    <w:bookmarkStart w:id="71" w:name="page72"/>
    <w:bookmarkEnd w:id="71"/>
    <w:p>
      <w:pPr>
        <w:ind w:right="400" w:firstLine="64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Section 2.07. Replacement Notes</w:t>
      </w:r>
      <w:r>
        <w:rPr>
          <w:rFonts w:ascii="Arial" w:cs="Arial" w:eastAsia="Arial" w:hAnsi="Arial"/>
          <w:sz w:val="17"/>
          <w:szCs w:val="17"/>
          <w:color w:val="auto"/>
        </w:rPr>
        <w:t>. If any mutilated Note is surrendered to the Company, a Registrar or the Trustee, or the Company, a Registrar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Section 2.08. Outstanding Notes</w:t>
      </w:r>
      <w:r>
        <w:rPr>
          <w:rFonts w:ascii="Arial" w:cs="Arial" w:eastAsia="Arial" w:hAnsi="Arial"/>
          <w:sz w:val="18"/>
          <w:szCs w:val="18"/>
          <w:color w:val="auto"/>
        </w:rPr>
        <w:t>. Notes outstanding at any time are all Notes authenticated by the Trustee, except for those canceled by it, those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 (as defined in Section 8-303 of the New York Uniform Commercial Code).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Section 2.09. Treasury Notes</w:t>
      </w:r>
      <w:r>
        <w:rPr>
          <w:rFonts w:ascii="Arial" w:cs="Arial" w:eastAsia="Arial" w:hAnsi="Arial"/>
          <w:sz w:val="17"/>
          <w:szCs w:val="17"/>
          <w:color w:val="auto"/>
        </w:rPr>
        <w:t>. In determining whether the Holders of the required principal amount of Notes have concurred in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2.10. Temporary Notes</w:t>
      </w:r>
      <w:r>
        <w:rPr>
          <w:rFonts w:ascii="Arial" w:cs="Arial" w:eastAsia="Arial" w:hAnsi="Arial"/>
          <w:sz w:val="17"/>
          <w:szCs w:val="17"/>
          <w:color w:val="auto"/>
        </w:rPr>
        <w:t>. Until definitive Notes are ready for delivery, the Company may prepare and execute, and, upon receipt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2.11. Cancellation</w:t>
      </w:r>
      <w:r>
        <w:rPr>
          <w:rFonts w:ascii="Arial" w:cs="Arial" w:eastAsia="Arial" w:hAnsi="Arial"/>
          <w:sz w:val="17"/>
          <w:szCs w:val="17"/>
          <w:color w:val="auto"/>
        </w:rPr>
        <w:t>. The Company at any time may deliver Notes to the Trustee for cancellation. The Registrar, the Paying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Section 2.12. CUSIP Numbers</w:t>
      </w:r>
      <w:r>
        <w:rPr>
          <w:rFonts w:ascii="Arial" w:cs="Arial" w:eastAsia="Arial" w:hAnsi="Arial"/>
          <w:sz w:val="17"/>
          <w:szCs w:val="17"/>
          <w:color w:val="auto"/>
        </w:rPr>
        <w:t>. The Company in issuing the Notes may use one or more “CUSIP” numbers (if then generally in use), and, if 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Trustee shall use “CUSIP” numbers in notices of purchase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0" w:gutter="0" w:footer="0" w:header="0"/>
        </w:sectPr>
      </w:pPr>
    </w:p>
    <w:bookmarkStart w:id="72" w:name="page73"/>
    <w:bookmarkEnd w:id="72"/>
    <w:p>
      <w:pPr>
        <w:ind w:right="40"/>
        <w:spacing w:after="0" w:line="264" w:lineRule="auto"/>
        <w:rPr>
          <w:sz w:val="20"/>
          <w:szCs w:val="20"/>
          <w:color w:val="auto"/>
        </w:rPr>
      </w:pPr>
      <w:r>
        <w:rPr>
          <w:rFonts w:ascii="Arial" w:cs="Arial" w:eastAsia="Arial" w:hAnsi="Arial"/>
          <w:sz w:val="18"/>
          <w:szCs w:val="18"/>
          <w:color w:val="auto"/>
        </w:rPr>
        <w:t>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2.13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Additional Transfer and Exchange Requirements.</w:t>
      </w:r>
    </w:p>
    <w:p>
      <w:pPr>
        <w:spacing w:after="0" w:line="225" w:lineRule="exact"/>
        <w:rPr>
          <w:sz w:val="20"/>
          <w:szCs w:val="20"/>
          <w:color w:val="auto"/>
        </w:rPr>
      </w:pPr>
    </w:p>
    <w:p>
      <w:pPr>
        <w:ind w:right="40" w:firstLine="1305"/>
        <w:spacing w:after="0" w:line="287" w:lineRule="auto"/>
        <w:tabs>
          <w:tab w:leader="none" w:pos="199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Notes are issued upon the transfer, exchange or replacement of Notes subject to restrictions on transfer and bearing the Transfer Restricted Note Legend, or if a request is made to remove the Transfer Restricted Note Legend on a Note, the Notes so issued shall bear the Transfer Restricted Note Legend, or the Transfer Restricted Note Legend shall not be removed, as the case may be, unless there is delivered to the Company and the Registrar such satisfactory evidence, which shall include an Opinion of Counsel if requested by the Company or such Registrar, as may be reasonably required by the Company and the Registrar, that neither the Transfer Restricted Note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 (i) 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Transfer Restricted Note Legend. If the Transfer Restricted Note Legend is removed from the face of a Note and the Note is subsequently held by an Affiliate of the Company, the Transfer Restricted Note Legend shall be reinstated.</w:t>
      </w:r>
    </w:p>
    <w:p>
      <w:pPr>
        <w:spacing w:after="0" w:line="172" w:lineRule="exact"/>
        <w:rPr>
          <w:rFonts w:ascii="Arial" w:cs="Arial" w:eastAsia="Arial" w:hAnsi="Arial"/>
          <w:sz w:val="16"/>
          <w:szCs w:val="16"/>
          <w:color w:val="auto"/>
        </w:rPr>
      </w:pPr>
    </w:p>
    <w:p>
      <w:pPr>
        <w:ind w:right="540" w:firstLine="1305"/>
        <w:spacing w:after="0" w:line="277" w:lineRule="auto"/>
        <w:tabs>
          <w:tab w:leader="none" w:pos="200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transfer of a Note to any Person shall be effective under this Indenture or the Notes unless and until such Note has been registered in the name of such Person.</w:t>
      </w:r>
    </w:p>
    <w:p>
      <w:pPr>
        <w:spacing w:after="0" w:line="170" w:lineRule="exact"/>
        <w:rPr>
          <w:rFonts w:ascii="Arial" w:cs="Arial" w:eastAsia="Arial" w:hAnsi="Arial"/>
          <w:sz w:val="18"/>
          <w:szCs w:val="18"/>
          <w:color w:val="auto"/>
        </w:rPr>
      </w:pPr>
    </w:p>
    <w:p>
      <w:pPr>
        <w:ind w:right="80" w:firstLine="1305"/>
        <w:spacing w:after="0" w:line="277" w:lineRule="auto"/>
        <w:tabs>
          <w:tab w:leader="none" w:pos="199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transfer and exchange of beneficial interests in the Global Notes shall be effected through the Depositary, in accordance with the provisions of this Indenture and the Applicable Procedures.</w:t>
      </w:r>
    </w:p>
    <w:p>
      <w:pPr>
        <w:spacing w:after="0" w:line="170" w:lineRule="exact"/>
        <w:rPr>
          <w:rFonts w:ascii="Arial" w:cs="Arial" w:eastAsia="Arial" w:hAnsi="Arial"/>
          <w:sz w:val="18"/>
          <w:szCs w:val="18"/>
          <w:color w:val="auto"/>
        </w:rPr>
      </w:pPr>
    </w:p>
    <w:p>
      <w:pPr>
        <w:ind w:right="20" w:firstLine="2277"/>
        <w:spacing w:after="0" w:line="257" w:lineRule="auto"/>
        <w:tabs>
          <w:tab w:leader="none" w:pos="261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Beneficial interests in any Transfer Restricted Global Note may be transferred to Persons who take delivery thereof in the form of a beneficial interest in the same Transfer Restricted Global Note in accordance with the transfer restrictions set forth in the Transfer Restricted Note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88" w:lineRule="exact"/>
        <w:rPr>
          <w:rFonts w:ascii="Arial" w:cs="Arial" w:eastAsia="Arial" w:hAnsi="Arial"/>
          <w:sz w:val="18"/>
          <w:szCs w:val="18"/>
          <w:color w:val="auto"/>
        </w:rPr>
      </w:pPr>
    </w:p>
    <w:p>
      <w:pPr>
        <w:ind w:right="20" w:firstLine="2277"/>
        <w:spacing w:after="0" w:line="259" w:lineRule="auto"/>
        <w:tabs>
          <w:tab w:leader="none" w:pos="262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connection with all transfers and exchanges of beneficial interests that are not subject to Section 2.13(c)(i), the transferor of such beneficial interest must deliver to the Registrar an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Applicable Procedures containing information regarding the Participant account to be credited with such increase.</w:t>
      </w:r>
    </w:p>
    <w:p>
      <w:pPr>
        <w:spacing w:after="0" w:line="225" w:lineRule="exact"/>
        <w:rPr>
          <w:sz w:val="20"/>
          <w:szCs w:val="20"/>
          <w:color w:val="auto"/>
        </w:rPr>
      </w:pPr>
    </w:p>
    <w:p>
      <w:pPr>
        <w:ind w:right="80" w:firstLine="2277"/>
        <w:spacing w:after="0" w:line="264" w:lineRule="auto"/>
        <w:tabs>
          <w:tab w:leader="none" w:pos="262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D hereto.</w:t>
      </w:r>
    </w:p>
    <w:p>
      <w:pPr>
        <w:spacing w:after="0" w:line="181" w:lineRule="exact"/>
        <w:rPr>
          <w:rFonts w:ascii="Arial" w:cs="Arial" w:eastAsia="Arial" w:hAnsi="Arial"/>
          <w:sz w:val="18"/>
          <w:szCs w:val="18"/>
          <w:color w:val="auto"/>
        </w:rPr>
      </w:pPr>
    </w:p>
    <w:p>
      <w:pPr>
        <w:ind w:firstLine="2277"/>
        <w:spacing w:after="0" w:line="255" w:lineRule="auto"/>
        <w:tabs>
          <w:tab w:leader="none" w:pos="261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Restricted Note Legend are no longer required in order to maintain compliance with the Securities Act.</w:t>
      </w:r>
    </w:p>
    <w:p>
      <w:pPr>
        <w:spacing w:after="0" w:line="193" w:lineRule="exact"/>
        <w:rPr>
          <w:rFonts w:ascii="Arial" w:cs="Arial" w:eastAsia="Arial" w:hAnsi="Arial"/>
          <w:sz w:val="18"/>
          <w:szCs w:val="18"/>
          <w:color w:val="auto"/>
        </w:rPr>
      </w:pPr>
    </w:p>
    <w:p>
      <w:pPr>
        <w:ind w:right="40" w:firstLine="1305"/>
        <w:spacing w:after="0" w:line="270" w:lineRule="auto"/>
        <w:tabs>
          <w:tab w:leader="none" w:pos="200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restrictions imposed by the Transfer Restricted Note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 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Transfer Restricted Note Legend.</w:t>
      </w:r>
    </w:p>
    <w:p>
      <w:pPr>
        <w:spacing w:after="0" w:line="181" w:lineRule="exact"/>
        <w:rPr>
          <w:rFonts w:ascii="Arial" w:cs="Arial" w:eastAsia="Arial" w:hAnsi="Arial"/>
          <w:sz w:val="17"/>
          <w:szCs w:val="17"/>
          <w:color w:val="auto"/>
        </w:rPr>
      </w:pPr>
    </w:p>
    <w:p>
      <w:pPr>
        <w:ind w:left="2000" w:hanging="695"/>
        <w:spacing w:after="0"/>
        <w:tabs>
          <w:tab w:leader="none" w:pos="20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used in Section 2.13(c) and (d), the term “transfer” encompasses any sale, pledge, transfer, hypothecation or other disposition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Note.</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Section 2.13(f) shall apply only to Global Notes:</w:t>
      </w:r>
    </w:p>
    <w:p>
      <w:pPr>
        <w:spacing w:after="0" w:line="225" w:lineRule="exact"/>
        <w:rPr>
          <w:rFonts w:ascii="Arial" w:cs="Arial" w:eastAsia="Arial" w:hAnsi="Arial"/>
          <w:sz w:val="18"/>
          <w:szCs w:val="18"/>
          <w:color w:val="auto"/>
        </w:rPr>
      </w:pPr>
    </w:p>
    <w:p>
      <w:pPr>
        <w:ind w:right="60" w:firstLine="2277"/>
        <w:spacing w:after="0" w:line="297" w:lineRule="auto"/>
        <w:tabs>
          <w:tab w:leader="none" w:pos="261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 unable to continue as Depositary for such Global Note or such Depositary has ceased to be a “clearing agency” registered under the Exchange Act, and a successor Depositary is not appointed by the Company within 90 days, (B) the Company has provided the Depositary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73" w:name="page74"/>
    <w:bookmarkEnd w:id="73"/>
    <w:p>
      <w:pPr>
        <w:ind w:right="120"/>
        <w:spacing w:after="0" w:line="276" w:lineRule="auto"/>
        <w:rPr>
          <w:sz w:val="20"/>
          <w:szCs w:val="20"/>
          <w:color w:val="auto"/>
        </w:rPr>
      </w:pPr>
      <w:r>
        <w:rPr>
          <w:rFonts w:ascii="Arial" w:cs="Arial" w:eastAsia="Arial" w:hAnsi="Arial"/>
          <w:sz w:val="17"/>
          <w:szCs w:val="17"/>
          <w:color w:val="auto"/>
        </w:rPr>
        <w:t>written notice that it has decided to discontinue use of the system of book-entry transfer through the Depositary or any successor Depositary or (C) an Event of Default has occurred and is continuing. Any Global Note exchanged pursuant to clauses (A) or (B) above shall be so exchanged in whole and not in part, and any Global Note exchanged pursuant to clause (C)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73" w:lineRule="exact"/>
        <w:rPr>
          <w:sz w:val="20"/>
          <w:szCs w:val="20"/>
          <w:color w:val="auto"/>
        </w:rPr>
      </w:pPr>
    </w:p>
    <w:p>
      <w:pPr>
        <w:ind w:firstLine="2277"/>
        <w:spacing w:after="0" w:line="271" w:lineRule="auto"/>
        <w:tabs>
          <w:tab w:leader="none" w:pos="262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Notes issued in exchange for a Global Note or any portion thereof shall be issued in definitive, fully-registered book entry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78" w:lineRule="exact"/>
        <w:rPr>
          <w:rFonts w:ascii="Arial" w:cs="Arial" w:eastAsia="Arial" w:hAnsi="Arial"/>
          <w:sz w:val="17"/>
          <w:szCs w:val="17"/>
          <w:color w:val="auto"/>
        </w:rPr>
      </w:pPr>
    </w:p>
    <w:p>
      <w:pPr>
        <w:ind w:right="300" w:firstLine="2277"/>
        <w:spacing w:after="0" w:line="264" w:lineRule="auto"/>
        <w:tabs>
          <w:tab w:leader="none" w:pos="262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right="600" w:firstLine="2277"/>
        <w:spacing w:after="0" w:line="308" w:lineRule="auto"/>
        <w:tabs>
          <w:tab w:leader="none" w:pos="26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46" w:lineRule="exact"/>
        <w:rPr>
          <w:rFonts w:ascii="Arial" w:cs="Arial" w:eastAsia="Arial" w:hAnsi="Arial"/>
          <w:sz w:val="17"/>
          <w:szCs w:val="17"/>
          <w:color w:val="auto"/>
        </w:rPr>
      </w:pPr>
    </w:p>
    <w:p>
      <w:pPr>
        <w:ind w:right="100" w:firstLine="2277"/>
        <w:spacing w:after="0" w:line="271" w:lineRule="auto"/>
        <w:tabs>
          <w:tab w:leader="none" w:pos="261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 the Trustee nor any Agent Member shall have any responsibility or liability for any actions taken or not taken by the Depositary.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Section 3.01. Repurchase at the Option of the Holders Upon Change in Control or Termination of Trading</w:t>
      </w:r>
      <w:r>
        <w:rPr>
          <w:rFonts w:ascii="Arial" w:cs="Arial" w:eastAsia="Arial" w:hAnsi="Arial"/>
          <w:sz w:val="16"/>
          <w:szCs w:val="16"/>
          <w:color w:val="auto"/>
        </w:rPr>
        <w:t>. (a) Upon the occurrence of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or a Termination of Trading,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Change Repurchase Date is after a Regular Record Date and on or prior to the Interest Payment Date to which it relates, the interest accrued to the Interest Payment Date will be paid to Holders of the Notes as of the preceding Regular Record Date, and the Fundamental Change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1953"/>
        <w:spacing w:after="0" w:line="255" w:lineRule="auto"/>
        <w:tabs>
          <w:tab w:leader="none" w:pos="2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rFonts w:ascii="Arial" w:cs="Arial" w:eastAsia="Arial" w:hAnsi="Arial"/>
          <w:sz w:val="18"/>
          <w:szCs w:val="18"/>
          <w:color w:val="auto"/>
        </w:rPr>
      </w:pPr>
    </w:p>
    <w:p>
      <w:pPr>
        <w:ind w:right="60" w:firstLine="1953"/>
        <w:spacing w:after="0" w:line="255" w:lineRule="auto"/>
        <w:tabs>
          <w:tab w:leader="none" w:pos="2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none of these circumstances will be a Change in Control if persons that beneficially own the Voting Securities of the Company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transaction own, directly or indirectly, a majority of the Voting Securities of the surviving or transferee person, or the direct or indirect parent thereof, immediately after the transaction in substantially the same proportion as their ownership of the Company’s Voting Securities immediately prior to the transaction;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80" w:hanging="727"/>
        <w:spacing w:after="0"/>
        <w:tabs>
          <w:tab w:leader="none" w:pos="2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w:t>
      </w:r>
    </w:p>
    <w:p>
      <w:pPr>
        <w:sectPr>
          <w:pgSz w:w="11900" w:h="16838" w:orient="portrait"/>
          <w:cols w:equalWidth="0" w:num="1">
            <w:col w:w="11420"/>
          </w:cols>
          <w:pgMar w:left="240" w:top="584" w:right="239" w:bottom="5" w:gutter="0" w:footer="0" w:header="0"/>
        </w:sectPr>
      </w:pPr>
    </w:p>
    <w:bookmarkStart w:id="74" w:name="page75"/>
    <w:bookmarkEnd w:id="74"/>
    <w:p>
      <w:pPr>
        <w:ind w:left="1960"/>
        <w:spacing w:after="0"/>
        <w:rPr>
          <w:sz w:val="20"/>
          <w:szCs w:val="20"/>
          <w:color w:val="auto"/>
        </w:rPr>
      </w:pPr>
      <w:r>
        <w:rPr>
          <w:rFonts w:ascii="Arial" w:cs="Arial" w:eastAsia="Arial" w:hAnsi="Arial"/>
          <w:sz w:val="18"/>
          <w:szCs w:val="18"/>
          <w:color w:val="auto"/>
        </w:rPr>
        <w:t>For purposes of defining a Change in Control:</w:t>
      </w:r>
    </w:p>
    <w:p>
      <w:pPr>
        <w:spacing w:after="0" w:line="221" w:lineRule="exact"/>
        <w:rPr>
          <w:sz w:val="20"/>
          <w:szCs w:val="20"/>
          <w:color w:val="auto"/>
        </w:rPr>
      </w:pPr>
    </w:p>
    <w:p>
      <w:pPr>
        <w:ind w:left="3300" w:hanging="699"/>
        <w:spacing w:after="0"/>
        <w:tabs>
          <w:tab w:leader="none" w:pos="33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 or any successor provisions;</w:t>
      </w:r>
    </w:p>
    <w:p>
      <w:pPr>
        <w:spacing w:after="0" w:line="207" w:lineRule="exact"/>
        <w:rPr>
          <w:sz w:val="20"/>
          <w:szCs w:val="20"/>
          <w:color w:val="auto"/>
        </w:rPr>
      </w:pPr>
    </w:p>
    <w:p>
      <w:pPr>
        <w:ind w:right="360" w:firstLine="2601"/>
        <w:spacing w:after="0" w:line="282" w:lineRule="auto"/>
        <w:tabs>
          <w:tab w:leader="none" w:pos="33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jc w:val="both"/>
        <w:ind w:right="100" w:firstLine="2601"/>
        <w:spacing w:after="0" w:line="266" w:lineRule="auto"/>
        <w:tabs>
          <w:tab w:leader="none" w:pos="33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80" w:firstLine="1305"/>
        <w:spacing w:after="0" w:line="259" w:lineRule="auto"/>
        <w:tabs>
          <w:tab w:leader="none" w:pos="200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as applicable, by first-class mail to the Trustee and to each Holder at their addresses shown in the register of the Registrar (and to beneficial owners as required by applicable law). The notice shall include a form of Fundamental Change Repurchase Notice to be completed by the Holder and shall state:</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whether a Change in Control constitutes a Make-Whole Change in Control;</w:t>
      </w:r>
    </w:p>
    <w:p>
      <w:pPr>
        <w:spacing w:after="0" w:line="225" w:lineRule="exact"/>
        <w:rPr>
          <w:rFonts w:ascii="Arial" w:cs="Arial" w:eastAsia="Arial" w:hAnsi="Arial"/>
          <w:sz w:val="18"/>
          <w:szCs w:val="18"/>
          <w:color w:val="auto"/>
        </w:rPr>
      </w:pPr>
    </w:p>
    <w:p>
      <w:pPr>
        <w:ind w:right="280" w:firstLine="1953"/>
        <w:spacing w:after="0" w:line="342" w:lineRule="auto"/>
        <w:tabs>
          <w:tab w:leader="none" w:pos="27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that Notes with respect to which a Fundamental Change Repurchase Notice is given by the Holder may be converted pursuant to Article 10 hereof only if the Fundamental Change Repurchase Notice has been withdrawn in accordance with the terms of this Indenture; and</w:t>
      </w:r>
    </w:p>
    <w:p>
      <w:pPr>
        <w:spacing w:after="0" w:line="123" w:lineRule="exact"/>
        <w:rPr>
          <w:rFonts w:ascii="Arial" w:cs="Arial" w:eastAsia="Arial" w:hAnsi="Arial"/>
          <w:sz w:val="16"/>
          <w:szCs w:val="16"/>
          <w:color w:val="auto"/>
        </w:rPr>
      </w:pPr>
    </w:p>
    <w:p>
      <w:pPr>
        <w:ind w:left="2700" w:hanging="747"/>
        <w:spacing w:after="0"/>
        <w:tabs>
          <w:tab w:leader="none" w:pos="27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00" w:firstLine="1305"/>
        <w:spacing w:after="0" w:line="266" w:lineRule="auto"/>
        <w:tabs>
          <w:tab w:leader="none" w:pos="199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Holder may exercise its rights specified in Section 3.01 by delivery of a written notice (a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Paying Agent at any time prior to the Close of Business on the Business Day immediately preceding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Fundamental Change Repurchase Notice shall state:</w:t>
      </w:r>
    </w:p>
    <w:p>
      <w:pPr>
        <w:spacing w:after="0" w:line="180" w:lineRule="exact"/>
        <w:rPr>
          <w:rFonts w:ascii="Arial" w:cs="Arial" w:eastAsia="Arial" w:hAnsi="Arial"/>
          <w:sz w:val="18"/>
          <w:szCs w:val="18"/>
          <w:color w:val="auto"/>
        </w:rPr>
      </w:pPr>
    </w:p>
    <w:p>
      <w:pPr>
        <w:ind w:right="280" w:firstLine="1953"/>
        <w:spacing w:after="0" w:line="277" w:lineRule="auto"/>
        <w:tabs>
          <w:tab w:leader="none" w:pos="265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680" w:hanging="727"/>
        <w:spacing w:after="0"/>
        <w:tabs>
          <w:tab w:leader="none" w:pos="26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The delivery of such Note to the Paying Agent prior to, on or after the Fundamental Change Repurchase Date (together with all necessary endorsements and compliance by the Holder with the Applicable Procedures) at the offices of the Paying Agent shall be a condition to the receipt by the Holder of the Fundamental Change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Repurchase Price shall be so paid pursuant to this Section 3.01 only if the Note so delivered to the Paying Agent shall conform in all respects to the description thereof set forth in the related Fundamental Change Repurchase Notice.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 including the Fundamental Change Repurchase Date) on or prior to the later of the Fundamental Change Repurchase Date and the time of delivery of the Note to the Paying Agent in accordance with this Section 3.01.</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5" w:right="259" w:bottom="0" w:gutter="0" w:footer="0" w:header="0"/>
          <w:type w:val="continuous"/>
        </w:sectPr>
      </w:pPr>
    </w:p>
    <w:bookmarkStart w:id="75" w:name="page76"/>
    <w:bookmarkEnd w:id="75"/>
    <w:p>
      <w:pPr>
        <w:ind w:right="20"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herein to the contrary, any Holder delivering to the Paying Agent the Fundamental Change Repurchase Notice contemplated by this Section 3.01(c) shall have the right to withdraw such Fundamental Change Repurchase Notice at any time prior to the Close of Business on the Business Day immediately preceding the Fundamental Change Repurchase Date by delivery of a written notice of withdrawal to the Paying Agent in accordance with Section 3.03(b).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withdrawal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No Notes may be repurchased by the Company at the option of Holders upon a Change in Control or a Termination of Trading if the principal amount of the Notes has been accelerated (other than as a result of a default in the payment of the Fundamental Change Repurchase Price with respect to the Notes), and such acceleration has not been rescinded, on or prior to the date on which such repurchase is to be consummated. The Paying Agent will promptly return to the respective Holders thereof any Notes (x) with respect to which a Fundamental Change Repurchase Notice has been withdrawn in compliance with this Indenture, or (y) held by it during the continuance of acceleration described in the immediately preceding sentence in which case, upon such return, the Fundamental Change Repurchase Notice with respect thereto shall be deemed to have been withdrawn.</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3.02.</w:t>
      </w:r>
      <w:r>
        <w:rPr>
          <w:sz w:val="20"/>
          <w:szCs w:val="20"/>
          <w:color w:val="auto"/>
        </w:rPr>
        <w:tab/>
      </w:r>
      <w:r>
        <w:rPr>
          <w:rFonts w:ascii="Arial" w:cs="Arial" w:eastAsia="Arial" w:hAnsi="Arial"/>
          <w:sz w:val="16"/>
          <w:szCs w:val="16"/>
          <w:i w:val="1"/>
          <w:iCs w:val="1"/>
          <w:color w:val="auto"/>
        </w:rPr>
        <w:t>Repurchase of Securities by the Company at the Option of Holders</w:t>
      </w:r>
    </w:p>
    <w:p>
      <w:pPr>
        <w:spacing w:after="0" w:line="221" w:lineRule="exact"/>
        <w:rPr>
          <w:sz w:val="20"/>
          <w:szCs w:val="20"/>
          <w:color w:val="auto"/>
        </w:rPr>
      </w:pPr>
    </w:p>
    <w:p>
      <w:pPr>
        <w:ind w:right="40" w:firstLine="656"/>
        <w:spacing w:after="0" w:line="295" w:lineRule="auto"/>
        <w:tabs>
          <w:tab w:leader="none" w:pos="134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On August 1, 2020 (the “</w:t>
      </w:r>
      <w:r>
        <w:rPr>
          <w:rFonts w:ascii="Arial" w:cs="Arial" w:eastAsia="Arial" w:hAnsi="Arial"/>
          <w:sz w:val="16"/>
          <w:szCs w:val="16"/>
          <w:b w:val="1"/>
          <w:bCs w:val="1"/>
          <w:color w:val="auto"/>
        </w:rPr>
        <w:t>2020 Repurchase Date</w:t>
      </w:r>
      <w:r>
        <w:rPr>
          <w:rFonts w:ascii="Arial" w:cs="Arial" w:eastAsia="Arial" w:hAnsi="Arial"/>
          <w:sz w:val="16"/>
          <w:szCs w:val="16"/>
          <w:color w:val="auto"/>
        </w:rPr>
        <w:t>”),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2020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2020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2020 Repurchase Date is after a Regular Record Date and on or prior to the Interest Payment Date to which it relates, the interest accrued to the Interest Payment Date will be paid to Holders of the Notes as of the preceding Regular Record Date, and the 2020 Repurchase Price shall be equal to the principal amount of Notes subject to repurchase.</w:t>
      </w:r>
    </w:p>
    <w:p>
      <w:pPr>
        <w:spacing w:after="0" w:line="159" w:lineRule="exact"/>
        <w:rPr>
          <w:rFonts w:ascii="Arial" w:cs="Arial" w:eastAsia="Arial" w:hAnsi="Arial"/>
          <w:sz w:val="16"/>
          <w:szCs w:val="16"/>
          <w:color w:val="auto"/>
        </w:rPr>
      </w:pPr>
    </w:p>
    <w:p>
      <w:pPr>
        <w:ind w:right="340" w:firstLine="656"/>
        <w:spacing w:after="0" w:line="279" w:lineRule="auto"/>
        <w:tabs>
          <w:tab w:leader="none" w:pos="135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On or before the 20th Business Day prior to the 2020 Repurchase Date, the Company shall mail or cause to be mailed to all Holders of record on such date at their addresses shown in the Register of the Registrar (and to beneficial owners as required by applicable law) a 2020 Repurchase Notice as set forth in Section 3.02(c). No failure of the Company to give the foregoing notices and no defect therein shall limit the repurchase rights of Holders or affect the validity of the proceedings for the repurchase of the Notes pursuant to this Section 3.02.</w:t>
      </w:r>
    </w:p>
    <w:p>
      <w:pPr>
        <w:spacing w:after="0" w:line="171" w:lineRule="exact"/>
        <w:rPr>
          <w:rFonts w:ascii="Arial" w:cs="Arial" w:eastAsia="Arial" w:hAnsi="Arial"/>
          <w:sz w:val="17"/>
          <w:szCs w:val="17"/>
          <w:color w:val="auto"/>
        </w:rPr>
      </w:pPr>
    </w:p>
    <w:p>
      <w:pPr>
        <w:ind w:right="40" w:firstLine="656"/>
        <w:spacing w:after="0" w:line="279" w:lineRule="auto"/>
        <w:tabs>
          <w:tab w:leader="none" w:pos="13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For Notes to be so repurchased at the option of the Holder, the Holder must deliver to the Paying Agent, at any time during the period beginning at 9:00 a.m., New York City time, on the date that is 20 Business Days prior to the applicable Repurchase Date and ending at the Close of Business on the Business Day immediately preceding the 2020 Repurchase Date, (i) a notice (the “</w:t>
      </w:r>
      <w:r>
        <w:rPr>
          <w:rFonts w:ascii="Arial" w:cs="Arial" w:eastAsia="Arial" w:hAnsi="Arial"/>
          <w:sz w:val="17"/>
          <w:szCs w:val="17"/>
          <w:b w:val="1"/>
          <w:bCs w:val="1"/>
          <w:color w:val="auto"/>
        </w:rPr>
        <w:t>2020 Repurchase Notice</w:t>
      </w:r>
      <w:r>
        <w:rPr>
          <w:rFonts w:ascii="Arial" w:cs="Arial" w:eastAsia="Arial" w:hAnsi="Arial"/>
          <w:sz w:val="17"/>
          <w:szCs w:val="17"/>
          <w:color w:val="auto"/>
        </w:rPr>
        <w:t>”) in the form set forth on the reverse of the Notes duly completed (if the Notes are certificated) or comply with applicable Depositary procedures (if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Notes are represented by a Global Note) together with (ii) such Notes duly endorsed for transfer (if the Notes are certificated) or book-entry transfer of such Notes (if such Notes are represented by a Global Note). The delivery of such Notes to the Paying Agent with, or at any time after delivery of, the 2020 Repurchase Notice (together with all necessary endorsements) at the office of the Paying Agent shall be a condition to the payment by the Company to the Holder of the 2020 Repurchase Price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Repurchase Price shall be so paid pursuant to this Section 3.02 only if the Notes so delivered to the Paying Agent shall conform in all respects to the description thereof in the 2020 Repurchase Notice. All questions as to the validity, eligibility (including time of receipt) and acceptance of any Notes for repurchase shall be determined in good faith by the Company, whose determination shall be final and binding absent manifest error. The 2020 Repurchase Notice shall state:</w:t>
      </w:r>
    </w:p>
    <w:p>
      <w:pPr>
        <w:spacing w:after="0" w:line="178" w:lineRule="exact"/>
        <w:rPr>
          <w:sz w:val="20"/>
          <w:szCs w:val="20"/>
          <w:color w:val="auto"/>
        </w:rPr>
      </w:pPr>
    </w:p>
    <w:p>
      <w:pPr>
        <w:ind w:left="1940" w:hanging="635"/>
        <w:spacing w:after="0"/>
        <w:tabs>
          <w:tab w:leader="none" w:pos="19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certificate numbers of the Notes to be repurchased, if they are Certificated Notes;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portion of the principal amount of a Holder’s Notes to be repurchased, which must be in integral multiples of $1,000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 and</w:t>
      </w:r>
    </w:p>
    <w:p>
      <w:pPr>
        <w:spacing w:after="0" w:line="211" w:lineRule="exact"/>
        <w:rPr>
          <w:sz w:val="20"/>
          <w:szCs w:val="20"/>
          <w:color w:val="auto"/>
        </w:rPr>
      </w:pPr>
    </w:p>
    <w:p>
      <w:pPr>
        <w:ind w:left="1960" w:hanging="655"/>
        <w:spacing w:after="0"/>
        <w:tabs>
          <w:tab w:leader="none" w:pos="196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236" w:lineRule="exact"/>
        <w:rPr>
          <w:rFonts w:ascii="Arial" w:cs="Arial" w:eastAsia="Arial" w:hAnsi="Arial"/>
          <w:sz w:val="17"/>
          <w:szCs w:val="17"/>
          <w:color w:val="auto"/>
        </w:rPr>
      </w:pPr>
    </w:p>
    <w:p>
      <w:pPr>
        <w:ind w:right="220" w:firstLine="656"/>
        <w:spacing w:after="0" w:line="277" w:lineRule="auto"/>
        <w:tabs>
          <w:tab w:leader="none" w:pos="12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repurchase from the Holder thereof, pursuant to this Section 3.02, a portion of a Note, if the principal amount of such portion is in integral multiples of $1,000 principal amount.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Paying Agent shall promptly notify the Company of the receipt by it of any 2020 Repurchase Notice or written notice of withdrawal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firstLine="656"/>
        <w:spacing w:after="0" w:line="264" w:lineRule="auto"/>
        <w:tabs>
          <w:tab w:leader="none" w:pos="128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repurchase by the Company contemplated pursuant to the provisions of this Section 3.02 shall be consummated by the delivery of the consideration to be received by the Holder promptly following the later of the 2020 Repurchase Date and the time of the book-entry transfer or delivery of the Notes, as the case may be.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3.03. Effect of Repurchase Notice</w:t>
      </w:r>
      <w:r>
        <w:rPr>
          <w:rFonts w:ascii="Arial" w:cs="Arial" w:eastAsia="Arial" w:hAnsi="Arial"/>
          <w:sz w:val="17"/>
          <w:szCs w:val="17"/>
          <w:color w:val="auto"/>
        </w:rPr>
        <w:t>. (a) Upon receipt by the Paying Agent of the Fundamental Change Repurchase Notice specified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3.01(c) or the 2020 Repurchase Notice specified in Section 3.02(c) (each of the foregoing, a “</w:t>
      </w:r>
      <w:r>
        <w:rPr>
          <w:rFonts w:ascii="Arial" w:cs="Arial" w:eastAsia="Arial" w:hAnsi="Arial"/>
          <w:sz w:val="17"/>
          <w:szCs w:val="17"/>
          <w:b w:val="1"/>
          <w:bCs w:val="1"/>
          <w:color w:val="auto"/>
        </w:rPr>
        <w:t>Repurchase Notice</w:t>
      </w:r>
      <w:r>
        <w:rPr>
          <w:rFonts w:ascii="Arial" w:cs="Arial" w:eastAsia="Arial" w:hAnsi="Arial"/>
          <w:sz w:val="17"/>
          <w:szCs w:val="17"/>
          <w:color w:val="auto"/>
        </w:rPr>
        <w:t>”), the Holder of the Note in respect of which such Repurchase Notice was given shall (unless such Repurchase Notice is withdrawn as specified in this Section 3.03) thereafter be entitled to receive solely the Fundamental Change Repurchase Price or 2020 Repurchase Price (each of the foregoing, a “</w:t>
      </w:r>
      <w:r>
        <w:rPr>
          <w:rFonts w:ascii="Arial" w:cs="Arial" w:eastAsia="Arial" w:hAnsi="Arial"/>
          <w:sz w:val="17"/>
          <w:szCs w:val="17"/>
          <w:b w:val="1"/>
          <w:bCs w:val="1"/>
          <w:color w:val="auto"/>
        </w:rPr>
        <w:t>Repurchase Price</w:t>
      </w:r>
      <w:r>
        <w:rPr>
          <w:rFonts w:ascii="Arial" w:cs="Arial" w:eastAsia="Arial" w:hAnsi="Arial"/>
          <w:sz w:val="17"/>
          <w:szCs w:val="17"/>
          <w:color w:val="auto"/>
        </w:rPr>
        <w:t>”), as applicable, and any accrued and unpaid interest (including any Additional Interest) to but not including the Fundamental Change Repurchase Date or 2020 Repurchase Date (each of the foregoing, a “</w:t>
      </w:r>
      <w:r>
        <w:rPr>
          <w:rFonts w:ascii="Arial" w:cs="Arial" w:eastAsia="Arial" w:hAnsi="Arial"/>
          <w:sz w:val="17"/>
          <w:szCs w:val="17"/>
          <w:b w:val="1"/>
          <w:bCs w:val="1"/>
          <w:color w:val="auto"/>
        </w:rPr>
        <w:t>Repurchase Date</w:t>
      </w:r>
      <w:r>
        <w:rPr>
          <w:rFonts w:ascii="Arial" w:cs="Arial" w:eastAsia="Arial" w:hAnsi="Arial"/>
          <w:sz w:val="17"/>
          <w:szCs w:val="17"/>
          <w:color w:val="auto"/>
        </w:rPr>
        <w:t>”), as applicable, with respect to such Note. Such Repurchase Price shall be paid to such Holder, subject to receipt of funds by the Paying Agent, on or prior to the later of (x) the Repurchase Date with respect to such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conditions in Section 3.01(c) or Section 3.02(c), as applicable, have been satisfied) and (y) the time of delivery of such Note to the Paying Agent by the Holder thereof in the manner required by Section 3.01(c) or Section 3.02(c), as applicable. Notes in respect of which a</w:t>
      </w:r>
    </w:p>
    <w:p>
      <w:pPr>
        <w:sectPr>
          <w:pgSz w:w="11900" w:h="16838" w:orient="portrait"/>
          <w:cols w:equalWidth="0" w:num="1">
            <w:col w:w="11400"/>
          </w:cols>
          <w:pgMar w:left="240" w:top="733" w:right="259" w:bottom="0" w:gutter="0" w:footer="0" w:header="0"/>
        </w:sectPr>
      </w:pPr>
    </w:p>
    <w:bookmarkStart w:id="76" w:name="page77"/>
    <w:bookmarkEnd w:id="76"/>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Repurchase Notice has been given by the Holder thereof may not be converted pursuant to Article 10 hereof on or after the date of the delivery of such Repurchase Notice unless such Repurchase Notice has first been validly withdrawn as specified in this Section 3.03.</w:t>
      </w:r>
    </w:p>
    <w:p>
      <w:pPr>
        <w:spacing w:after="0" w:line="170" w:lineRule="exact"/>
        <w:rPr>
          <w:sz w:val="20"/>
          <w:szCs w:val="20"/>
          <w:color w:val="auto"/>
        </w:rPr>
      </w:pPr>
    </w:p>
    <w:p>
      <w:pPr>
        <w:ind w:firstLine="1305"/>
        <w:spacing w:after="0" w:line="264" w:lineRule="auto"/>
        <w:tabs>
          <w:tab w:leader="none" w:pos="192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Repurchase Notice may be withdrawn by means of a written notice of withdrawal delivered to the office of the Paying Agent at any time prior to the Close of Business on the Business Day immediately preceding the Repurchase Date. If a Repurchase Notice is withdrawn, the Company will not be obligated to repurchase such Notes listed in the Repurchase Notice. Such notice of withdrawal shall state:</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160" w:firstLine="1953"/>
        <w:spacing w:after="0" w:line="277" w:lineRule="auto"/>
        <w:tabs>
          <w:tab w:leader="none" w:pos="258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principal amount, if any, of the Notes that remain subject to a Repurchase Notice, which must be $1,000 or whole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multiples thereof.</w:t>
      </w:r>
    </w:p>
    <w:p>
      <w:pPr>
        <w:spacing w:after="0" w:line="21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Section 3.04. Deposit of Repurchase Price</w:t>
      </w:r>
      <w:r>
        <w:rPr>
          <w:rFonts w:ascii="Arial" w:cs="Arial" w:eastAsia="Arial" w:hAnsi="Arial"/>
          <w:sz w:val="16"/>
          <w:szCs w:val="16"/>
          <w:color w:val="auto"/>
        </w:rPr>
        <w:t>. Prior to 12:00 p.m., New York City time, on or prior to the Repurchase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Paying Agent holds money sufficient to pay the Repurchase Price with respect to the Notes to be repurchased on the Repurchase Date in accordance with the terms of this Indenture, then, immediately on and after the Repurchase Date, those Notes shall cease to be outstanding,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Section 3.05. Notes Repurchased in Part</w:t>
      </w:r>
      <w:r>
        <w:rPr>
          <w:rFonts w:ascii="Arial" w:cs="Arial" w:eastAsia="Arial" w:hAnsi="Arial"/>
          <w:sz w:val="16"/>
          <w:szCs w:val="16"/>
          <w:color w:val="auto"/>
        </w:rPr>
        <w:t>. Any Note which is to be repurchased only in part shall be surrendered at the office of the Paying Agent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3.06.</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or in connection with the 2020 Repurchase Date, to the extent required by applicable law, the Company shall: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615"/>
        <w:spacing w:after="0"/>
        <w:tabs>
          <w:tab w:leader="none" w:pos="19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940" w:hanging="635"/>
        <w:spacing w:after="0"/>
        <w:tabs>
          <w:tab w:leader="none" w:pos="19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file a Schedule TO or any other schedule required in connection with any offer by the Company to repurchase the Notes; and</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4.01. Payment of Notes</w:t>
      </w:r>
      <w:r>
        <w:rPr>
          <w:rFonts w:ascii="Arial" w:cs="Arial" w:eastAsia="Arial" w:hAnsi="Arial"/>
          <w:sz w:val="18"/>
          <w:szCs w:val="18"/>
          <w:color w:val="auto"/>
        </w:rPr>
        <w:t>. (a) The Company agrees to pay the principal of and interest (including any Additional Interest) on the Notes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89" w:lineRule="exact"/>
        <w:rPr>
          <w:sz w:val="20"/>
          <w:szCs w:val="20"/>
          <w:color w:val="auto"/>
        </w:rPr>
      </w:pPr>
    </w:p>
    <w:p>
      <w:pPr>
        <w:jc w:val="both"/>
        <w:ind w:right="80" w:firstLine="1305"/>
        <w:spacing w:after="0" w:line="259" w:lineRule="auto"/>
        <w:tabs>
          <w:tab w:leader="none" w:pos="192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120" w:firstLine="1305"/>
        <w:spacing w:after="0" w:line="277" w:lineRule="auto"/>
        <w:tabs>
          <w:tab w:leader="none" w:pos="191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ind w:right="180" w:firstLine="1305"/>
        <w:spacing w:after="0" w:line="255" w:lineRule="auto"/>
        <w:tabs>
          <w:tab w:leader="none" w:pos="192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ectPr>
          <w:pgSz w:w="11900" w:h="16906" w:orient="portrait"/>
          <w:cols w:equalWidth="0" w:num="1">
            <w:col w:w="11400"/>
          </w:cols>
          <w:pgMar w:left="240" w:top="125" w:right="259" w:bottom="0" w:gutter="0" w:footer="0" w:header="0"/>
        </w:sectPr>
      </w:pPr>
    </w:p>
    <w:bookmarkStart w:id="77" w:name="page78"/>
    <w:bookmarkEnd w:id="77"/>
    <w:p>
      <w:pPr>
        <w:ind w:right="500" w:firstLine="648"/>
        <w:spacing w:after="0" w:line="308" w:lineRule="auto"/>
        <w:rPr>
          <w:sz w:val="20"/>
          <w:szCs w:val="20"/>
          <w:color w:val="auto"/>
        </w:rPr>
      </w:pPr>
      <w:r>
        <w:rPr>
          <w:rFonts w:ascii="Arial" w:cs="Arial" w:eastAsia="Arial" w:hAnsi="Arial"/>
          <w:sz w:val="17"/>
          <w:szCs w:val="17"/>
          <w:i w:val="1"/>
          <w:iCs w:val="1"/>
          <w:color w:val="auto"/>
        </w:rPr>
        <w:t>Section 4.02. Maintenance of Office or Agency</w:t>
      </w:r>
      <w:r>
        <w:rPr>
          <w:rFonts w:ascii="Arial" w:cs="Arial" w:eastAsia="Arial" w:hAnsi="Arial"/>
          <w:sz w:val="17"/>
          <w:szCs w:val="17"/>
          <w:color w:val="auto"/>
        </w:rPr>
        <w:t>. The Company will maintain in the United States, an office or agency where Notes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surrendered for registration of transfer or exchange or for presentation for payment and where notices and demands to or upon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4.03. Existence</w:t>
      </w:r>
      <w:r>
        <w:rPr>
          <w:rFonts w:ascii="Arial" w:cs="Arial" w:eastAsia="Arial" w:hAnsi="Arial"/>
          <w:sz w:val="18"/>
          <w:szCs w:val="18"/>
          <w:color w:val="auto"/>
        </w:rPr>
        <w:t>. The Company will do or cause to be done all things necessary to preserve and keep in full force and effect its existence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Section does not prohibit any transaction otherwise permitted by Section 5.01.</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Section 4.04. Reports; 144A Information</w:t>
      </w:r>
      <w:r>
        <w:rPr>
          <w:rFonts w:ascii="Arial" w:cs="Arial" w:eastAsia="Arial" w:hAnsi="Arial"/>
          <w:sz w:val="17"/>
          <w:szCs w:val="17"/>
          <w:color w:val="auto"/>
        </w:rPr>
        <w:t>. (a) The Company shall deliver to the Trustee, within 15 days after the Company is required to file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filed with the Commission pursuant to its Electronic Data Gathering, Analysis and Retrieval (or EDGAR) system shall be deemed to be filed with the Trustee.</w:t>
      </w:r>
    </w:p>
    <w:p>
      <w:pPr>
        <w:spacing w:after="0" w:line="173" w:lineRule="exact"/>
        <w:rPr>
          <w:sz w:val="20"/>
          <w:szCs w:val="20"/>
          <w:color w:val="auto"/>
        </w:rPr>
      </w:pPr>
    </w:p>
    <w:p>
      <w:pPr>
        <w:ind w:right="20" w:firstLine="656"/>
        <w:spacing w:after="0" w:line="286" w:lineRule="auto"/>
        <w:tabs>
          <w:tab w:leader="none" w:pos="127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rFonts w:ascii="Arial" w:cs="Arial" w:eastAsia="Arial" w:hAnsi="Arial"/>
          <w:sz w:val="17"/>
          <w:szCs w:val="17"/>
          <w:color w:val="auto"/>
        </w:rPr>
      </w:pPr>
    </w:p>
    <w:p>
      <w:pPr>
        <w:jc w:val="both"/>
        <w:ind w:right="80" w:firstLine="656"/>
        <w:spacing w:after="0" w:line="302" w:lineRule="auto"/>
        <w:tabs>
          <w:tab w:leader="none" w:pos="126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at any time that any of the Notes are “restricted securities” within the meaning of Rule 144 under the Securities Act, the Company is not subject to the reporting requirements of the Exchange Act, the Company shall, upon the request of a Holder, beneficial owner or prospective purchaser of the Notes or any shares of Common Stock issuable upon conversion of the Notes, promptly furnish such Holder, beneficial owner or prospective purchaser the information required to be delivered pursuant to Rule 144A(d)(4) under the Securities Act to facilitate the resale of the Notes pursuant to Rule 144A.</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420" w:firstLine="656"/>
        <w:spacing w:after="0" w:line="277" w:lineRule="auto"/>
        <w:tabs>
          <w:tab w:leader="none" w:pos="126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commencing September 1, 2011 a certificate from the principal executive, financial or accounting officer of the Company stating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70" w:lineRule="exact"/>
        <w:rPr>
          <w:sz w:val="20"/>
          <w:szCs w:val="20"/>
          <w:color w:val="auto"/>
        </w:rPr>
      </w:pPr>
    </w:p>
    <w:p>
      <w:pPr>
        <w:ind w:right="340" w:firstLine="656"/>
        <w:spacing w:after="0" w:line="342" w:lineRule="auto"/>
        <w:tabs>
          <w:tab w:leader="none" w:pos="127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Section 4.06. Stay, Extension and Usury Laws</w:t>
      </w:r>
      <w:r>
        <w:rPr>
          <w:rFonts w:ascii="Arial" w:cs="Arial" w:eastAsia="Arial" w:hAnsi="Arial"/>
          <w:sz w:val="17"/>
          <w:szCs w:val="17"/>
          <w:color w:val="auto"/>
        </w:rPr>
        <w:t>. The Company covenants (to the extent that it may lawfully do so) that it will not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5.01. Consolidation, Merger, Sale or Lease of Assets by the Company</w:t>
      </w:r>
      <w:r>
        <w:rPr>
          <w:rFonts w:ascii="Arial" w:cs="Arial" w:eastAsia="Arial" w:hAnsi="Arial"/>
          <w:sz w:val="16"/>
          <w:szCs w:val="16"/>
          <w:color w:val="auto"/>
        </w:rPr>
        <w:t>. (a) The Company may consolidate with or merge into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convey, transfer or lease its properties and assets substantially as an entirety to another Person (other than a Subsidiary of the Company) only if:</w:t>
      </w:r>
    </w:p>
    <w:p>
      <w:pPr>
        <w:spacing w:after="0" w:line="124" w:lineRule="exact"/>
        <w:rPr>
          <w:sz w:val="20"/>
          <w:szCs w:val="20"/>
          <w:color w:val="auto"/>
        </w:rPr>
      </w:pPr>
    </w:p>
    <w:p>
      <w:pPr>
        <w:ind w:right="60" w:firstLine="1953"/>
        <w:spacing w:after="0" w:line="277" w:lineRule="auto"/>
        <w:tabs>
          <w:tab w:leader="none" w:pos="257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such corporation (if other than the Company) assumes all of the obligations of the Company under the Notes and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 and</w:t>
      </w:r>
    </w:p>
    <w:p>
      <w:pPr>
        <w:spacing w:after="0" w:line="248" w:lineRule="exact"/>
        <w:rPr>
          <w:rFonts w:ascii="Arial" w:cs="Arial" w:eastAsia="Arial" w:hAnsi="Arial"/>
          <w:sz w:val="16"/>
          <w:szCs w:val="16"/>
          <w:color w:val="auto"/>
        </w:rPr>
      </w:pPr>
    </w:p>
    <w:p>
      <w:pPr>
        <w:ind w:right="860" w:firstLine="1953"/>
        <w:spacing w:after="0" w:line="308" w:lineRule="auto"/>
        <w:tabs>
          <w:tab w:leader="none" w:pos="258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ectPr>
          <w:pgSz w:w="11900" w:h="16838" w:orient="portrait"/>
          <w:cols w:equalWidth="0" w:num="1">
            <w:col w:w="11400"/>
          </w:cols>
          <w:pgMar w:left="240" w:top="341" w:right="259" w:bottom="0" w:gutter="0" w:footer="0" w:header="0"/>
        </w:sectPr>
      </w:pPr>
    </w:p>
    <w:bookmarkStart w:id="78" w:name="page79"/>
    <w:bookmarkEnd w:id="78"/>
    <w:p>
      <w:pPr>
        <w:spacing w:after="0" w:line="106" w:lineRule="exact"/>
        <w:rPr>
          <w:sz w:val="20"/>
          <w:szCs w:val="20"/>
          <w:color w:val="auto"/>
        </w:rPr>
      </w:pPr>
    </w:p>
    <w:p>
      <w:pPr>
        <w:ind w:firstLine="1305"/>
        <w:spacing w:after="0" w:line="259" w:lineRule="auto"/>
        <w:tabs>
          <w:tab w:leader="none" w:pos="192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Company’s Subsidiaries, the Company will be released from its obligations under the Notes and this Indenture.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300" w:firstLine="1305"/>
        <w:spacing w:after="0" w:line="277" w:lineRule="auto"/>
        <w:tabs>
          <w:tab w:leader="none" w:pos="191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 upon required purchase, upon declaration or otherwise;</w:t>
      </w:r>
    </w:p>
    <w:p>
      <w:pPr>
        <w:spacing w:after="0" w:line="170" w:lineRule="exact"/>
        <w:rPr>
          <w:rFonts w:ascii="Arial" w:cs="Arial" w:eastAsia="Arial" w:hAnsi="Arial"/>
          <w:sz w:val="18"/>
          <w:szCs w:val="18"/>
          <w:color w:val="auto"/>
        </w:rPr>
      </w:pPr>
    </w:p>
    <w:p>
      <w:pPr>
        <w:ind w:right="100" w:firstLine="1305"/>
        <w:spacing w:after="0" w:line="277" w:lineRule="auto"/>
        <w:tabs>
          <w:tab w:leader="none" w:pos="192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100" w:firstLine="1305"/>
        <w:spacing w:after="0" w:line="264" w:lineRule="auto"/>
        <w:tabs>
          <w:tab w:leader="none" w:pos="191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or a Change in Control as required under Section 3.01(b) of this Indenture or a Make-Whole Change in Control that does not constitute a Change in Control as required under Section 10.10(a) of this Indenture, and such default continues for a period of three Business Days;</w:t>
      </w:r>
    </w:p>
    <w:p>
      <w:pPr>
        <w:spacing w:after="0" w:line="181" w:lineRule="exact"/>
        <w:rPr>
          <w:rFonts w:ascii="Arial" w:cs="Arial" w:eastAsia="Arial" w:hAnsi="Arial"/>
          <w:sz w:val="18"/>
          <w:szCs w:val="18"/>
          <w:color w:val="auto"/>
        </w:rPr>
      </w:pPr>
    </w:p>
    <w:p>
      <w:pPr>
        <w:ind w:right="60" w:firstLine="1305"/>
        <w:spacing w:after="0" w:line="264" w:lineRule="auto"/>
        <w:tabs>
          <w:tab w:leader="none" w:pos="192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Cash up to the aggregate principal amount of Notes to be converted and shares of Common Stock, Cash or a combination thereof in respect of the remainder, if any, as described in Section 10.03, upon exercise of a Holder’s right to convert its Notes pursuant to Article 10;</w:t>
      </w:r>
    </w:p>
    <w:p>
      <w:pPr>
        <w:spacing w:after="0" w:line="181" w:lineRule="exact"/>
        <w:rPr>
          <w:rFonts w:ascii="Arial" w:cs="Arial" w:eastAsia="Arial" w:hAnsi="Arial"/>
          <w:sz w:val="18"/>
          <w:szCs w:val="18"/>
          <w:color w:val="auto"/>
        </w:rPr>
      </w:pPr>
    </w:p>
    <w:p>
      <w:pPr>
        <w:jc w:val="both"/>
        <w:ind w:right="440" w:firstLine="1305"/>
        <w:spacing w:after="0" w:line="264" w:lineRule="auto"/>
        <w:tabs>
          <w:tab w:leader="none" w:pos="191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85" w:lineRule="auto"/>
        <w:tabs>
          <w:tab w:leader="none" w:pos="193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above shall cease or be cured, waived, rescinded or annulled, then the resulting Event of Default shall be deemed not to have occurred;</w:t>
      </w:r>
    </w:p>
    <w:p>
      <w:pPr>
        <w:spacing w:after="0" w:line="210" w:lineRule="exact"/>
        <w:rPr>
          <w:rFonts w:ascii="Arial" w:cs="Arial" w:eastAsia="Arial" w:hAnsi="Arial"/>
          <w:sz w:val="18"/>
          <w:szCs w:val="18"/>
          <w:color w:val="auto"/>
        </w:rPr>
      </w:pPr>
    </w:p>
    <w:p>
      <w:pPr>
        <w:jc w:val="both"/>
        <w:ind w:right="100" w:firstLine="1305"/>
        <w:spacing w:after="0" w:line="264" w:lineRule="auto"/>
        <w:tabs>
          <w:tab w:leader="none" w:pos="192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81" w:lineRule="exact"/>
        <w:rPr>
          <w:sz w:val="20"/>
          <w:szCs w:val="20"/>
          <w:color w:val="auto"/>
        </w:rPr>
      </w:pPr>
    </w:p>
    <w:p>
      <w:pPr>
        <w:ind w:right="40" w:firstLine="1305"/>
        <w:spacing w:after="0" w:line="279" w:lineRule="auto"/>
        <w:tabs>
          <w:tab w:leader="none" w:pos="192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7"/>
          <w:szCs w:val="17"/>
          <w:b w:val="1"/>
          <w:bCs w:val="1"/>
          <w:color w:val="auto"/>
        </w:rPr>
        <w:t>Bankruptcy Default</w:t>
      </w:r>
      <w:r>
        <w:rPr>
          <w:rFonts w:ascii="Arial" w:cs="Arial" w:eastAsia="Arial" w:hAnsi="Arial"/>
          <w:sz w:val="17"/>
          <w:szCs w:val="17"/>
          <w:color w:val="auto"/>
        </w:rPr>
        <w:t>”).</w:t>
      </w:r>
    </w:p>
    <w:p>
      <w:pPr>
        <w:spacing w:after="0" w:line="17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Section 6.02. Acceleration</w:t>
      </w:r>
      <w:r>
        <w:rPr>
          <w:rFonts w:ascii="Arial" w:cs="Arial" w:eastAsia="Arial" w:hAnsi="Arial"/>
          <w:sz w:val="17"/>
          <w:szCs w:val="17"/>
          <w:color w:val="auto"/>
        </w:rPr>
        <w:t>. If an Event of Default, other than a Bankruptcy Default and subject to Section 6.15 of this Indenture, occurs and is</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and unpaid interest (including any Additional Interest) on the Notes then outstanding will become immediately due and payable automatically without any declaration or other act on the part of the Trustee or any Holder.</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6.03. Other Remedies</w:t>
      </w:r>
      <w:r>
        <w:rPr>
          <w:rFonts w:ascii="Arial" w:cs="Arial" w:eastAsia="Arial" w:hAnsi="Arial"/>
          <w:sz w:val="18"/>
          <w:szCs w:val="18"/>
          <w:color w:val="auto"/>
        </w:rPr>
        <w:t>. If an Event of Default occurs and is continuing, the Trustee may pursue, in its own name or as trustee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i w:val="1"/>
          <w:iCs w:val="1"/>
          <w:color w:val="auto"/>
        </w:rPr>
        <w:t>Section 6.04. Waiver of Past Defaults</w:t>
      </w:r>
      <w:r>
        <w:rPr>
          <w:rFonts w:ascii="Arial" w:cs="Arial" w:eastAsia="Arial" w:hAnsi="Arial"/>
          <w:sz w:val="16"/>
          <w:szCs w:val="16"/>
          <w:color w:val="auto"/>
        </w:rPr>
        <w:t>. Except as otherwise provided in Section 6.07 and Section 9.02(b), Holders of a majority in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outstanding Notes by written notice to the Company and to the Trustee may waive any existing or past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w:t>
      </w:r>
    </w:p>
    <w:p>
      <w:pPr>
        <w:sectPr>
          <w:pgSz w:w="11900" w:h="16945" w:orient="portrait"/>
          <w:cols w:equalWidth="0" w:num="1">
            <w:col w:w="11420"/>
          </w:cols>
          <w:pgMar w:left="240" w:top="125" w:right="239" w:bottom="0" w:gutter="0" w:footer="0" w:header="0"/>
        </w:sectPr>
      </w:pPr>
    </w:p>
    <w:bookmarkStart w:id="79" w:name="page80"/>
    <w:bookmarkEnd w:id="79"/>
    <w:p>
      <w:pPr>
        <w:spacing w:after="0" w:line="1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respect to any Note or the Repurchase Price or Redemption Price with respect to any Note, (b) in the payment or delivery of Cash and shares of Common Stock, if any, due upon conversion or the redemption of the Notes or (c) in respect of any provision that under this Indenture cannot be modified or amended without the consent of the Holder of each outstanding Note affected)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953"/>
        <w:spacing w:after="0" w:line="277" w:lineRule="auto"/>
        <w:tabs>
          <w:tab w:leader="none" w:pos="257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6.05. Control by Majority</w:t>
      </w:r>
      <w:r>
        <w:rPr>
          <w:rFonts w:ascii="Arial" w:cs="Arial" w:eastAsia="Arial" w:hAnsi="Arial"/>
          <w:sz w:val="18"/>
          <w:szCs w:val="18"/>
          <w:color w:val="auto"/>
        </w:rPr>
        <w:t>. The Holders of a majority in aggregate principal amount of the outstanding Notes may direct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6.06. Limitation on Suits</w:t>
      </w:r>
      <w:r>
        <w:rPr>
          <w:rFonts w:ascii="Arial" w:cs="Arial" w:eastAsia="Arial" w:hAnsi="Arial"/>
          <w:sz w:val="18"/>
          <w:szCs w:val="18"/>
          <w:color w:val="auto"/>
        </w:rPr>
        <w:t>. A Holder may not institute any proceeding, judicial or otherwise, with respect to this Indenture or the Notes, or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appointment of a receiver or trustee, or for any other remedy under this Indenture or the Notes, unless:</w:t>
      </w:r>
    </w:p>
    <w:p>
      <w:pPr>
        <w:spacing w:after="0" w:line="170" w:lineRule="exact"/>
        <w:rPr>
          <w:sz w:val="20"/>
          <w:szCs w:val="20"/>
          <w:color w:val="auto"/>
        </w:rPr>
      </w:pPr>
    </w:p>
    <w:p>
      <w:pPr>
        <w:ind w:left="2580" w:hanging="627"/>
        <w:spacing w:after="0"/>
        <w:tabs>
          <w:tab w:leader="none" w:pos="25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220" w:firstLine="1953"/>
        <w:spacing w:after="0" w:line="277" w:lineRule="auto"/>
        <w:tabs>
          <w:tab w:leader="none" w:pos="25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60" w:firstLine="1953"/>
        <w:spacing w:after="0" w:line="277" w:lineRule="auto"/>
        <w:tabs>
          <w:tab w:leader="none" w:pos="259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360" w:firstLine="1953"/>
        <w:spacing w:after="0" w:line="277" w:lineRule="auto"/>
        <w:tabs>
          <w:tab w:leader="none" w:pos="25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i w:val="1"/>
          <w:iCs w:val="1"/>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right="40" w:firstLine="8"/>
        <w:spacing w:after="0" w:line="254" w:lineRule="auto"/>
        <w:tabs>
          <w:tab w:leader="none" w:pos="2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payment of principal of or interest (including any Additional Interest) on its Note on the Maturity Date or the relevant Interest Payment Date, as the case may be, (x) payment of the Repurchase Price on the Repurchase Date, (y) payment of the Redemption Price on the Redemption Date and (z) delivery of Cash and shares of Common Stock, if any, upon conversion of such Note on the date specified in Section 10.02(b), or to bring suit for the enforcement of any such payment or delivery, as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case may be, on or after such respective dates, may not be impaired or affected without the consent of that Holder.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6.08. Collection Suit by Trustee</w:t>
      </w:r>
      <w:r>
        <w:rPr>
          <w:rFonts w:ascii="Arial" w:cs="Arial" w:eastAsia="Arial" w:hAnsi="Arial"/>
          <w:sz w:val="18"/>
          <w:szCs w:val="18"/>
          <w:color w:val="auto"/>
        </w:rPr>
        <w:t>. If an Event of Default in payment of principal or interest (including any Additional Interest)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6.09. Trustee May File Proofs of Claim</w:t>
      </w:r>
      <w:r>
        <w:rPr>
          <w:rFonts w:ascii="Arial" w:cs="Arial" w:eastAsia="Arial" w:hAnsi="Arial"/>
          <w:sz w:val="16"/>
          <w:szCs w:val="16"/>
          <w:color w:val="auto"/>
        </w:rPr>
        <w:t>. The Trustee may file proofs of claim and other papers or documents as may be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Section 6.10. Priorities</w:t>
      </w:r>
      <w:r>
        <w:rPr>
          <w:rFonts w:ascii="Arial" w:cs="Arial" w:eastAsia="Arial" w:hAnsi="Arial"/>
          <w:sz w:val="18"/>
          <w:szCs w:val="18"/>
          <w:color w:val="auto"/>
        </w:rPr>
        <w:t>. If the Trustee collects any money or property pursuant to this Article, it shall pay out the money or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ectPr>
          <w:pgSz w:w="11900" w:h="16975" w:orient="portrait"/>
          <w:cols w:equalWidth="0" w:num="1">
            <w:col w:w="11400"/>
          </w:cols>
          <w:pgMar w:left="240" w:top="125" w:right="259" w:bottom="0" w:gutter="0" w:footer="0" w:header="0"/>
        </w:sectPr>
      </w:pPr>
    </w:p>
    <w:bookmarkStart w:id="80" w:name="page81"/>
    <w:bookmarkEnd w:id="80"/>
    <w:p>
      <w:pPr>
        <w:ind w:right="10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Holder and the Company a notice that states the record date, the payment date and the amount to be paid.</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i w:val="1"/>
          <w:iCs w:val="1"/>
          <w:color w:val="auto"/>
        </w:rPr>
        <w:t>Section 6.11. Restoration of Rights and Remedies</w:t>
      </w:r>
      <w:r>
        <w:rPr>
          <w:rFonts w:ascii="Arial" w:cs="Arial" w:eastAsia="Arial" w:hAnsi="Arial"/>
          <w:sz w:val="16"/>
          <w:szCs w:val="16"/>
          <w:color w:val="auto"/>
        </w:rPr>
        <w:t>. If the Trustee or any Holder has instituted a proceeding to enforce any right or remedy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Section 6.12. Undertaking for Costs</w:t>
      </w:r>
      <w:r>
        <w:rPr>
          <w:rFonts w:ascii="Arial" w:cs="Arial" w:eastAsia="Arial" w:hAnsi="Arial"/>
          <w:sz w:val="17"/>
          <w:szCs w:val="17"/>
          <w:color w:val="auto"/>
        </w:rPr>
        <w:t>. In any suit for the enforcement of any right or remedy under this Indenture or in any suit against the Trustee</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Cash and shares of Common Stock, if any, due upon conversion of a Note or (e) a suit by Holders of more than 10% in principal amount of the outstanding Notes.</w:t>
      </w:r>
    </w:p>
    <w:p>
      <w:pPr>
        <w:spacing w:after="0" w:line="17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Section 6.13. Rights and Remedies Cumulative</w:t>
      </w:r>
      <w:r>
        <w:rPr>
          <w:rFonts w:ascii="Arial" w:cs="Arial" w:eastAsia="Arial" w:hAnsi="Arial"/>
          <w:sz w:val="17"/>
          <w:szCs w:val="17"/>
          <w:color w:val="auto"/>
        </w:rPr>
        <w:t>. No right or remedy conferred or reserved to the Trustee or to the Holders under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6.14. Delay or Omission Not Waiver</w:t>
      </w:r>
      <w:r>
        <w:rPr>
          <w:rFonts w:ascii="Arial" w:cs="Arial" w:eastAsia="Arial" w:hAnsi="Arial"/>
          <w:sz w:val="18"/>
          <w:szCs w:val="18"/>
          <w:color w:val="auto"/>
        </w:rPr>
        <w:t>. No delay or omission of the Trustee or of any Holder to exercise any right or remedy accruing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Section 6.15. Failure to File</w:t>
      </w:r>
      <w:r>
        <w:rPr>
          <w:rFonts w:ascii="Arial" w:cs="Arial" w:eastAsia="Arial" w:hAnsi="Arial"/>
          <w:sz w:val="18"/>
          <w:szCs w:val="18"/>
          <w:color w:val="auto"/>
        </w:rPr>
        <w:t>. (a) Notwithstanding anything in this Article 6, the Company may, at its option, elect that the sole remedy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relating to its failure to comply with its obligations described under Section 4.04 or its failure to comply with the requirements of Section 314(a)(1) of the Trust Indenture Act will for the first 180 days after the occurrence of such an Event of Default (which will be the 60th day after written notice is provided to the Company in accordance with Section 6.01(e)), consist exclusively of the right to receive additional interest on the Notes at a rate equal to 0.25% per annum of the principal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amount of the Notes (the “</w:t>
      </w:r>
      <w:r>
        <w:rPr>
          <w:rFonts w:ascii="Arial" w:cs="Arial" w:eastAsia="Arial" w:hAnsi="Arial"/>
          <w:sz w:val="16"/>
          <w:szCs w:val="16"/>
          <w:b w:val="1"/>
          <w:bCs w:val="1"/>
          <w:color w:val="auto"/>
        </w:rPr>
        <w:t>Additional Interest</w:t>
      </w:r>
      <w:r>
        <w:rPr>
          <w:rFonts w:ascii="Arial" w:cs="Arial" w:eastAsia="Arial" w:hAnsi="Arial"/>
          <w:sz w:val="16"/>
          <w:szCs w:val="16"/>
          <w:color w:val="auto"/>
        </w:rPr>
        <w:t>”). If the Company elects to pay Additional Interest, such Additional Interest will be payable on all outstanding Notes from and including the date on which such Event of Default first occurs to but excluding the 181st day thereafter (or such earlier date on which the Event of Default relating to a failure to comply with such requirements has been cured or waived). On the 181st day after such Event of Default (if such violation is not cured or waived prior to such 181st day), the Notes will be subject to acceleration as provided in Section 6.02. In the event the Company does not elect to pay the Additional Interest upon any such Event of Default in accordance with this Section 6.15, the Notes will be subject to acceleration as provided in Section 6.02. This Section 6.15 shall not affect the rights of Holders if any other Event of Default occurs under this Indenture.</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elect to pay the Additional Interest as the sole remedy during the first 180 days after the occurrence of any Event of Default relating to the failure to comply with the reporting obligations in accordance with the preceding paragraph, the Company shall notify all Holders and the Trustee and Paying Agent of such election in writing prior to the Close of Business on the date on which such Event of Default occurs. If the Company fails to timely give such notice, the Notes will be immediately subject to acceleration as provided in Section 6.02.</w:t>
      </w:r>
    </w:p>
    <w:p>
      <w:pPr>
        <w:spacing w:after="0" w:line="187" w:lineRule="exact"/>
        <w:rPr>
          <w:sz w:val="20"/>
          <w:szCs w:val="20"/>
          <w:color w:val="auto"/>
        </w:rPr>
      </w:pPr>
    </w:p>
    <w:p>
      <w:pPr>
        <w:ind w:right="20" w:firstLine="656"/>
        <w:spacing w:after="0" w:line="291" w:lineRule="auto"/>
        <w:tabs>
          <w:tab w:leader="none" w:pos="127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at any time during the period beginning six months from the last date of original issuance of the Notes (including the last date of issuance of additional Notes pursuant to the exercise of the Initial Purchasers’ option to purchase additional Notes) (such date, the “</w:t>
      </w:r>
      <w:r>
        <w:rPr>
          <w:rFonts w:ascii="Arial" w:cs="Arial" w:eastAsia="Arial" w:hAnsi="Arial"/>
          <w:sz w:val="16"/>
          <w:szCs w:val="16"/>
          <w:b w:val="1"/>
          <w:bCs w:val="1"/>
          <w:color w:val="auto"/>
        </w:rPr>
        <w:t>Last Original Issuance Date</w:t>
      </w:r>
      <w:r>
        <w:rPr>
          <w:rFonts w:ascii="Arial" w:cs="Arial" w:eastAsia="Arial" w:hAnsi="Arial"/>
          <w:sz w:val="16"/>
          <w:szCs w:val="16"/>
          <w:color w:val="auto"/>
        </w:rPr>
        <w:t>”) and ending on the one-year anniversary of the Last Original Issuance Date (the “</w:t>
      </w:r>
      <w:r>
        <w:rPr>
          <w:rFonts w:ascii="Arial" w:cs="Arial" w:eastAsia="Arial" w:hAnsi="Arial"/>
          <w:sz w:val="16"/>
          <w:szCs w:val="16"/>
          <w:b w:val="1"/>
          <w:bCs w:val="1"/>
          <w:color w:val="auto"/>
        </w:rPr>
        <w:t>Free Trade Date</w:t>
      </w:r>
      <w:r>
        <w:rPr>
          <w:rFonts w:ascii="Arial" w:cs="Arial" w:eastAsia="Arial" w:hAnsi="Arial"/>
          <w:sz w:val="16"/>
          <w:szCs w:val="16"/>
          <w:color w:val="auto"/>
        </w:rPr>
        <w:t>”), the Company fails to make available adequate current public information in accordance with Rule 144(c) of the Securities Act, the Company shall pay Additional Interest on the Notes, accruing from and including the first day on which the Company fails to make available adequate current public information in accordance with Rule 144(c) and continuing until the earlier of (i) the Free Trade Date and (ii) the date on which the Company corrects such failure. During the first 90 days on which such Additional Interest is payable, such Additional Interest shall accrue at a rate of 0.25% per annum; thereafter, such Additional Interest shall accrue at a rate of 0.50% per annum.</w:t>
      </w:r>
    </w:p>
    <w:p>
      <w:pPr>
        <w:spacing w:after="0" w:line="167" w:lineRule="exact"/>
        <w:rPr>
          <w:rFonts w:ascii="Arial" w:cs="Arial" w:eastAsia="Arial" w:hAnsi="Arial"/>
          <w:sz w:val="16"/>
          <w:szCs w:val="16"/>
          <w:color w:val="auto"/>
        </w:rPr>
      </w:pPr>
    </w:p>
    <w:p>
      <w:pPr>
        <w:ind w:right="80" w:firstLine="656"/>
        <w:spacing w:after="0" w:line="297" w:lineRule="auto"/>
        <w:tabs>
          <w:tab w:leader="none" w:pos="126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addition, if the Company fails to cause the Notes or any shares of Common Stock issuable upon conversion of the Notes to become Freely Tradable on and at all times after the Free Trade Date (or the next succeeding Business Day if the Free Trade Date is not a Business Day), the Company shall pay Additional Interest on the Notes accruing from and including the Free Trade Date and until the date on which the Notes and any shares of Common Stock issuable upon the conversion of the Notes become Freely Tradable. During the first 90 days on which such Additional Interest is payable, such Additional Interest will accrue at a rate of 0.25% per annum; thereafter, such Additional Interest will accrue at a rate of 0.50% per annum.</w:t>
      </w:r>
    </w:p>
    <w:p>
      <w:pPr>
        <w:spacing w:after="0" w:line="158" w:lineRule="exact"/>
        <w:rPr>
          <w:rFonts w:ascii="Arial" w:cs="Arial" w:eastAsia="Arial" w:hAnsi="Arial"/>
          <w:sz w:val="16"/>
          <w:szCs w:val="16"/>
          <w:color w:val="auto"/>
        </w:rPr>
      </w:pPr>
    </w:p>
    <w:p>
      <w:pPr>
        <w:ind w:left="1280" w:hanging="624"/>
        <w:spacing w:after="0"/>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will the combined rate of any Additional Interest payable under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6.15 exceed 0.50% per annum.</w:t>
      </w:r>
    </w:p>
    <w:p>
      <w:pPr>
        <w:sectPr>
          <w:pgSz w:w="11900" w:h="16838" w:orient="portrait"/>
          <w:cols w:equalWidth="0" w:num="1">
            <w:col w:w="11420"/>
          </w:cols>
          <w:pgMar w:left="240" w:top="341" w:right="239" w:bottom="0" w:gutter="0" w:footer="0" w:header="0"/>
        </w:sectPr>
      </w:pPr>
    </w:p>
    <w:bookmarkStart w:id="81" w:name="page82"/>
    <w:bookmarkEnd w:id="81"/>
    <w:p>
      <w:pPr>
        <w:jc w:val="center"/>
        <w:ind w:left="5620" w:right="1600" w:hanging="4964"/>
        <w:spacing w:after="0" w:line="528" w:lineRule="auto"/>
        <w:tabs>
          <w:tab w:leader="none" w:pos="127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Additional Interest shall be payable at the same time, in the same manner and to the same Persons as ordinary interest. 32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firstLine="656"/>
        <w:spacing w:after="0" w:line="272" w:lineRule="auto"/>
        <w:tabs>
          <w:tab w:leader="none" w:pos="128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-1362710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i w:val="1"/>
          <w:iCs w:val="1"/>
          <w:color w:val="auto"/>
        </w:rPr>
        <w:t>Section 7.01. General</w:t>
      </w:r>
      <w:r>
        <w:rPr>
          <w:rFonts w:ascii="Arial" w:cs="Arial" w:eastAsia="Arial" w:hAnsi="Arial"/>
          <w:sz w:val="18"/>
          <w:szCs w:val="18"/>
          <w:color w:val="auto"/>
        </w:rPr>
        <w:t>. (a) The duties and responsibilities of the Trustee are as provided by the Trust Indenture Act and as set forth herein.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120" w:firstLine="1305"/>
        <w:spacing w:after="0" w:line="279" w:lineRule="auto"/>
        <w:tabs>
          <w:tab w:leader="none" w:pos="192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40" w:firstLine="1305"/>
        <w:spacing w:after="0" w:line="277" w:lineRule="auto"/>
        <w:tabs>
          <w:tab w:leader="none" w:pos="19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60" w:firstLine="1305"/>
        <w:spacing w:after="0" w:line="255" w:lineRule="auto"/>
        <w:tabs>
          <w:tab w:leader="none" w:pos="191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342" w:lineRule="auto"/>
        <w:tabs>
          <w:tab w:leader="none" w:pos="192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13.05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left="1920" w:hanging="615"/>
        <w:spacing w:after="0"/>
        <w:tabs>
          <w:tab w:leader="none" w:pos="19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appointed with due care.</w:t>
      </w:r>
    </w:p>
    <w:p>
      <w:pPr>
        <w:spacing w:after="0" w:line="210" w:lineRule="exact"/>
        <w:rPr>
          <w:rFonts w:ascii="Arial" w:cs="Arial" w:eastAsia="Arial" w:hAnsi="Arial"/>
          <w:sz w:val="16"/>
          <w:szCs w:val="16"/>
          <w:color w:val="auto"/>
        </w:rPr>
      </w:pPr>
    </w:p>
    <w:p>
      <w:pPr>
        <w:ind w:right="280" w:firstLine="1305"/>
        <w:spacing w:after="0" w:line="264" w:lineRule="auto"/>
        <w:tabs>
          <w:tab w:leader="none" w:pos="192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ind w:right="20" w:firstLine="1305"/>
        <w:spacing w:after="0" w:line="259" w:lineRule="auto"/>
        <w:tabs>
          <w:tab w:leader="none" w:pos="191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60" w:firstLine="1305"/>
        <w:spacing w:after="0" w:line="308" w:lineRule="auto"/>
        <w:tabs>
          <w:tab w:leader="none" w:pos="193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60" w:firstLine="1305"/>
        <w:spacing w:after="0" w:line="264" w:lineRule="auto"/>
        <w:tabs>
          <w:tab w:leader="none" w:pos="192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20" w:firstLine="1305"/>
        <w:spacing w:after="0" w:line="279" w:lineRule="auto"/>
        <w:tabs>
          <w:tab w:leader="none" w:pos="192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480" w:firstLine="1305"/>
        <w:spacing w:after="0" w:line="264" w:lineRule="auto"/>
        <w:tabs>
          <w:tab w:leader="none" w:pos="192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ectPr>
          <w:pgSz w:w="11900" w:h="16838" w:orient="portrait"/>
          <w:cols w:equalWidth="0" w:num="1">
            <w:col w:w="11400"/>
          </w:cols>
          <w:pgMar w:left="240" w:top="125" w:right="259" w:bottom="0" w:gutter="0" w:footer="0" w:header="0"/>
        </w:sectPr>
      </w:pPr>
    </w:p>
    <w:bookmarkStart w:id="82" w:name="page83"/>
    <w:bookmarkEnd w:id="82"/>
    <w:p>
      <w:pPr>
        <w:ind w:left="1940" w:hanging="635"/>
        <w:spacing w:after="0"/>
        <w:tabs>
          <w:tab w:leader="none" w:pos="19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i w:val="1"/>
          <w:iCs w:val="1"/>
          <w:color w:val="auto"/>
        </w:rPr>
        <w:t>Section 7.03. Individual Rights of Trustee</w:t>
      </w:r>
      <w:r>
        <w:rPr>
          <w:rFonts w:ascii="Arial" w:cs="Arial" w:eastAsia="Arial" w:hAnsi="Arial"/>
          <w:sz w:val="17"/>
          <w:szCs w:val="17"/>
          <w:color w:val="auto"/>
        </w:rPr>
        <w:t>. The Trustee, in its individual or any other capacity, may become the owner or pledgee of Notes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may otherwise deal with the Company or its Affiliates with the same rights it would have if it were not the Trustee. Any Agent may do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same with like rights. However, the Trustee is subject to Trust Indenture Act Sections 310(b) and 311.</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Section 7.04. Trustee’s Disclaimer</w:t>
      </w:r>
      <w:r>
        <w:rPr>
          <w:rFonts w:ascii="Arial" w:cs="Arial" w:eastAsia="Arial" w:hAnsi="Arial"/>
          <w:sz w:val="18"/>
          <w:szCs w:val="18"/>
          <w:color w:val="auto"/>
        </w:rPr>
        <w:t>. The Trustee (a) makes no representation as to the validity or adequacy of this Indenture or the Notes, (b)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Section 7.05. Notice of Default</w:t>
      </w:r>
      <w:r>
        <w:rPr>
          <w:rFonts w:ascii="Arial" w:cs="Arial" w:eastAsia="Arial" w:hAnsi="Arial"/>
          <w:sz w:val="17"/>
          <w:szCs w:val="17"/>
          <w:color w:val="auto"/>
        </w:rPr>
        <w:t>. If any Default or Event of Default occurs and is continuing and is known to the Trustee, the Trustee will send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notice of the Default or Event of Default to each Holder within 90 days after it occurs, unless the Default or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Section 7.06. Reports by Trustee to Holders</w:t>
      </w:r>
      <w:r>
        <w:rPr>
          <w:rFonts w:ascii="Arial" w:cs="Arial" w:eastAsia="Arial" w:hAnsi="Arial"/>
          <w:sz w:val="17"/>
          <w:szCs w:val="17"/>
          <w:color w:val="auto"/>
        </w:rPr>
        <w:t>. Within 60 days after each June 1, beginning with June 1, 2012, the Trustee will mail to each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as provided in Trust Indenture Act Section 313(c), a brief report dated as of such June 1, if required by Trust Indenture Act Section 313(a), and file such reports with each stock exchange upon which its Notes are listed and with the Commission as required by Trust Indenture Act Section 313(d).</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Section 7.07. Compensation and Indemnity</w:t>
      </w:r>
      <w:r>
        <w:rPr>
          <w:rFonts w:ascii="Arial" w:cs="Arial" w:eastAsia="Arial" w:hAnsi="Arial"/>
          <w:sz w:val="18"/>
          <w:szCs w:val="18"/>
          <w:color w:val="auto"/>
        </w:rPr>
        <w:t>. (a) The Company will pay the Trustee compensation as agreed upon in writing for its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79" w:lineRule="auto"/>
        <w:tabs>
          <w:tab w:leader="none" w:pos="192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ind w:right="400" w:firstLine="1305"/>
        <w:spacing w:after="0" w:line="264" w:lineRule="auto"/>
        <w:tabs>
          <w:tab w:leader="none" w:pos="191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i w:val="1"/>
          <w:iCs w:val="1"/>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00" w:hanging="647"/>
        <w:spacing w:after="0"/>
        <w:tabs>
          <w:tab w:leader="none" w:pos="26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1953"/>
        <w:spacing w:after="0" w:line="264" w:lineRule="auto"/>
        <w:tabs>
          <w:tab w:leader="none" w:pos="259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1953"/>
        <w:spacing w:after="0" w:line="264" w:lineRule="auto"/>
        <w:tabs>
          <w:tab w:leader="none" w:pos="25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jc w:val="both"/>
        <w:ind w:right="120" w:firstLine="1305"/>
        <w:spacing w:after="0" w:line="257" w:lineRule="auto"/>
        <w:tabs>
          <w:tab w:leader="none" w:pos="192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left="1920" w:hanging="615"/>
        <w:spacing w:after="0"/>
        <w:tabs>
          <w:tab w:leader="none" w:pos="19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Upon delivery by the successor Trustee of a written acceptance of its appointment to the retiring Trustee and to the Company,</w:t>
      </w:r>
    </w:p>
    <w:p>
      <w:pPr>
        <w:spacing w:after="0" w:line="34" w:lineRule="exact"/>
        <w:rPr>
          <w:rFonts w:ascii="Arial" w:cs="Arial" w:eastAsia="Arial" w:hAnsi="Arial"/>
          <w:sz w:val="17"/>
          <w:szCs w:val="17"/>
          <w:color w:val="auto"/>
        </w:rPr>
      </w:pPr>
    </w:p>
    <w:p>
      <w:pPr>
        <w:ind w:right="180" w:firstLine="8"/>
        <w:spacing w:after="0" w:line="252" w:lineRule="auto"/>
        <w:tabs>
          <w:tab w:leader="none" w:pos="21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ectPr>
          <w:pgSz w:w="11900" w:h="16838" w:orient="portrait"/>
          <w:cols w:equalWidth="0" w:num="1">
            <w:col w:w="11420"/>
          </w:cols>
          <w:pgMar w:left="240" w:top="125" w:right="239" w:bottom="0" w:gutter="0" w:footer="0" w:header="0"/>
        </w:sectPr>
      </w:pPr>
    </w:p>
    <w:bookmarkStart w:id="83" w:name="page84"/>
    <w:bookmarkEnd w:id="83"/>
    <w:p>
      <w:pPr>
        <w:spacing w:after="0" w:line="94" w:lineRule="exact"/>
        <w:rPr>
          <w:sz w:val="20"/>
          <w:szCs w:val="20"/>
          <w:color w:val="auto"/>
        </w:rPr>
      </w:pPr>
    </w:p>
    <w:p>
      <w:pPr>
        <w:ind w:right="180" w:firstLine="1305"/>
        <w:spacing w:after="0" w:line="277" w:lineRule="auto"/>
        <w:tabs>
          <w:tab w:leader="none" w:pos="192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Section 7.09. Successor Trustee by Merger</w:t>
      </w:r>
      <w:r>
        <w:rPr>
          <w:rFonts w:ascii="Arial" w:cs="Arial" w:eastAsia="Arial" w:hAnsi="Arial"/>
          <w:sz w:val="18"/>
          <w:szCs w:val="18"/>
          <w:color w:val="auto"/>
        </w:rPr>
        <w:t>. If the Trustee consolidates with, merges or converts into, or transfers all or substantially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trust business to, another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Section 7.10. Eligibility</w:t>
      </w:r>
      <w:r>
        <w:rPr>
          <w:rFonts w:ascii="Arial" w:cs="Arial" w:eastAsia="Arial" w:hAnsi="Arial"/>
          <w:sz w:val="18"/>
          <w:szCs w:val="18"/>
          <w:color w:val="auto"/>
        </w:rPr>
        <w:t>. This Indenture must always have a Trustee that satisfies the requirements of Trust Indenture Act Section 310(a)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capital and surplus of at least $25,000,000 as set forth in its most recent published annual report of condition.</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Section 7.11. Money Held in Trust</w:t>
      </w:r>
      <w:r>
        <w:rPr>
          <w:rFonts w:ascii="Arial" w:cs="Arial" w:eastAsia="Arial" w:hAnsi="Arial"/>
          <w:sz w:val="18"/>
          <w:szCs w:val="18"/>
          <w:color w:val="auto"/>
        </w:rPr>
        <w:t>. The Trustee will not be liable for interest on any money received by it except as it may agree in writing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Section 8.01. Satisfaction and Discharge of this Indenture</w:t>
      </w:r>
      <w:r>
        <w:rPr>
          <w:rFonts w:ascii="Arial" w:cs="Arial" w:eastAsia="Arial" w:hAnsi="Arial"/>
          <w:sz w:val="17"/>
          <w:szCs w:val="17"/>
          <w:color w:val="auto"/>
        </w:rPr>
        <w:t>. (a) This Indenture shall cease to be of further effect if either: (i) all outstanding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Termination of Trading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Common Stock or a combination thereof in respect of any such conversion on the Maturity Date, the Repurchase Date, the Redemption Date or the date such conversion is to be settled,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the Company shall pay to the Trustee all other sums payable hereunder by the Company.</w:t>
      </w:r>
    </w:p>
    <w:p>
      <w:pPr>
        <w:spacing w:after="0" w:line="182" w:lineRule="exact"/>
        <w:rPr>
          <w:sz w:val="20"/>
          <w:szCs w:val="20"/>
          <w:color w:val="auto"/>
        </w:rPr>
      </w:pPr>
    </w:p>
    <w:p>
      <w:pPr>
        <w:ind w:left="1940" w:hanging="635"/>
        <w:spacing w:after="0"/>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right="80" w:firstLine="1953"/>
        <w:spacing w:after="0" w:line="277" w:lineRule="auto"/>
        <w:tabs>
          <w:tab w:leader="none" w:pos="258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100" w:firstLine="1953"/>
        <w:spacing w:after="0" w:line="264" w:lineRule="auto"/>
        <w:tabs>
          <w:tab w:leader="none" w:pos="259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Section 8.02. Application of Trust Money</w:t>
      </w:r>
      <w:r>
        <w:rPr>
          <w:rFonts w:ascii="Arial" w:cs="Arial" w:eastAsia="Arial" w:hAnsi="Arial"/>
          <w:sz w:val="18"/>
          <w:szCs w:val="18"/>
          <w:color w:val="auto"/>
        </w:rPr>
        <w:t>. Subject to the provisions of Section 8.03, the Trustee or a Paying Agent shall hold in trust,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Cash and shares of Common Stock, if any, issuable upon conversion of the Notes.</w:t>
      </w:r>
    </w:p>
    <w:p>
      <w:pPr>
        <w:spacing w:after="0" w:line="18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Section 8.03. Repayment to Company</w:t>
      </w:r>
      <w:r>
        <w:rPr>
          <w:rFonts w:ascii="Arial" w:cs="Arial" w:eastAsia="Arial" w:hAnsi="Arial"/>
          <w:sz w:val="18"/>
          <w:szCs w:val="18"/>
          <w:color w:val="auto"/>
        </w:rPr>
        <w:t>. The Trustee and each Paying Agent shall promptly pay or deliver, as the case may be,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request any excess money, Common Stock or other consideration (x) paid or delivered to them pursuant to Section 8.01 and (y) held by them at any time.</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w:t>
      </w:r>
    </w:p>
    <w:p>
      <w:pPr>
        <w:sectPr>
          <w:pgSz w:w="11900" w:h="16932" w:orient="portrait"/>
          <w:cols w:equalWidth="0" w:num="1">
            <w:col w:w="11420"/>
          </w:cols>
          <w:pgMar w:left="240" w:top="125" w:right="239" w:bottom="0" w:gutter="0" w:footer="0" w:header="0"/>
        </w:sectPr>
      </w:pPr>
    </w:p>
    <w:bookmarkStart w:id="84" w:name="page85"/>
    <w:bookmarkEnd w:id="84"/>
    <w:p>
      <w:pPr>
        <w:ind w:right="200"/>
        <w:spacing w:after="0" w:line="277" w:lineRule="auto"/>
        <w:rPr>
          <w:sz w:val="20"/>
          <w:szCs w:val="20"/>
          <w:color w:val="auto"/>
        </w:rPr>
      </w:pPr>
      <w:r>
        <w:rPr>
          <w:rFonts w:ascii="Arial" w:cs="Arial" w:eastAsia="Arial" w:hAnsi="Arial"/>
          <w:sz w:val="18"/>
          <w:szCs w:val="18"/>
          <w:color w:val="auto"/>
        </w:rPr>
        <w:t>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Section 8.04. Reinstatement</w:t>
      </w:r>
      <w:r>
        <w:rPr>
          <w:rFonts w:ascii="Arial" w:cs="Arial" w:eastAsia="Arial" w:hAnsi="Arial"/>
          <w:sz w:val="18"/>
          <w:szCs w:val="18"/>
          <w:color w:val="auto"/>
        </w:rPr>
        <w:t>. If the Trustee or any Paying Agent is unable to apply any money, Common Stock or other consideration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delivery, as the case may be, had occurred pursuant to Section 8.01 until such time as the Trustee or such Paying Agent is permitted to apply all such money in accordance with Section 8.02;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Section 9.01. Amendments Without Consent of Holders</w:t>
      </w:r>
      <w:r>
        <w:rPr>
          <w:rFonts w:ascii="Arial" w:cs="Arial" w:eastAsia="Arial" w:hAnsi="Arial"/>
          <w:sz w:val="18"/>
          <w:szCs w:val="18"/>
          <w:color w:val="auto"/>
        </w:rPr>
        <w:t>. The Company and the Trustee may amend or supplement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notice to or the consent of any Holder:</w:t>
      </w:r>
    </w:p>
    <w:p>
      <w:pPr>
        <w:spacing w:after="0" w:line="170" w:lineRule="exact"/>
        <w:rPr>
          <w:sz w:val="20"/>
          <w:szCs w:val="20"/>
          <w:color w:val="auto"/>
        </w:rPr>
      </w:pPr>
    </w:p>
    <w:p>
      <w:pPr>
        <w:ind w:right="100" w:firstLine="1305"/>
        <w:spacing w:after="0" w:line="277" w:lineRule="auto"/>
        <w:tabs>
          <w:tab w:leader="none" w:pos="191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Offering Memorandum;</w:t>
      </w:r>
    </w:p>
    <w:p>
      <w:pPr>
        <w:spacing w:after="0" w:line="170" w:lineRule="exact"/>
        <w:rPr>
          <w:rFonts w:ascii="Arial" w:cs="Arial" w:eastAsia="Arial" w:hAnsi="Arial"/>
          <w:sz w:val="18"/>
          <w:szCs w:val="18"/>
          <w:color w:val="auto"/>
        </w:rPr>
      </w:pPr>
    </w:p>
    <w:p>
      <w:pPr>
        <w:jc w:val="both"/>
        <w:ind w:right="620" w:firstLine="1305"/>
        <w:spacing w:after="0" w:line="342" w:lineRule="auto"/>
        <w:tabs>
          <w:tab w:leader="none" w:pos="192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evidence a successor to the Company and the assumption by that successor of the obligations of the Company under this Indenture in accordance with Article 5 or Section 10.09, including to provide for the adjustments to the Conversion Rate as set forth in Section 10.09;</w:t>
      </w:r>
    </w:p>
    <w:p>
      <w:pPr>
        <w:spacing w:after="0" w:line="123" w:lineRule="exact"/>
        <w:rPr>
          <w:rFonts w:ascii="Arial" w:cs="Arial" w:eastAsia="Arial" w:hAnsi="Arial"/>
          <w:sz w:val="16"/>
          <w:szCs w:val="16"/>
          <w:color w:val="auto"/>
        </w:rPr>
      </w:pPr>
    </w:p>
    <w:p>
      <w:pPr>
        <w:ind w:left="1920" w:hanging="615"/>
        <w:spacing w:after="0"/>
        <w:tabs>
          <w:tab w:leader="none" w:pos="1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Company;</w:t>
      </w:r>
    </w:p>
    <w:p>
      <w:pPr>
        <w:spacing w:after="0" w:line="210" w:lineRule="exact"/>
        <w:rPr>
          <w:rFonts w:ascii="Arial" w:cs="Arial" w:eastAsia="Arial" w:hAnsi="Arial"/>
          <w:sz w:val="16"/>
          <w:szCs w:val="16"/>
          <w:color w:val="auto"/>
        </w:rPr>
      </w:pPr>
    </w:p>
    <w:p>
      <w:pPr>
        <w:ind w:left="1920" w:hanging="615"/>
        <w:spacing w:after="0"/>
        <w:tabs>
          <w:tab w:leader="none" w:pos="1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9.02. Amendments With Consent of Holders</w:t>
      </w:r>
      <w:r>
        <w:rPr>
          <w:rFonts w:ascii="Arial" w:cs="Arial" w:eastAsia="Arial" w:hAnsi="Arial"/>
          <w:sz w:val="18"/>
          <w:szCs w:val="18"/>
          <w:color w:val="auto"/>
        </w:rPr>
        <w:t>. (a) Except as otherwise provided in Section 6.07 or paragraph (b),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payment or delivery of the cash and shares of Common Stock, if any, due upon conversion or redemption of the Notes or (v) in respect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provision that under this Indenture cannot be modified or amended without the consent of the Holder of each outstanding Note affected.</w:t>
      </w:r>
    </w:p>
    <w:p>
      <w:pPr>
        <w:spacing w:after="0" w:line="225" w:lineRule="exact"/>
        <w:rPr>
          <w:sz w:val="20"/>
          <w:szCs w:val="20"/>
          <w:color w:val="auto"/>
        </w:rPr>
      </w:pPr>
    </w:p>
    <w:p>
      <w:pPr>
        <w:ind w:left="1940" w:hanging="635"/>
        <w:spacing w:after="0"/>
        <w:tabs>
          <w:tab w:leader="none" w:pos="19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left="2580" w:hanging="627"/>
        <w:spacing w:after="0"/>
        <w:tabs>
          <w:tab w:leader="none" w:pos="25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reduce the principal amount of, or premium or interest payment on, any Note, or reduce the Repurchase Price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on any Note;</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right="540" w:firstLine="1953"/>
        <w:spacing w:after="0" w:line="277" w:lineRule="auto"/>
        <w:tabs>
          <w:tab w:leader="none" w:pos="258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the Company to repurchase a Note upon the occurrence of a Change in Control or Termination of Trading or on the 2020 Repurchase Date;</w:t>
      </w:r>
    </w:p>
    <w:p>
      <w:pPr>
        <w:spacing w:after="0" w:line="170" w:lineRule="exact"/>
        <w:rPr>
          <w:rFonts w:ascii="Arial" w:cs="Arial" w:eastAsia="Arial" w:hAnsi="Arial"/>
          <w:sz w:val="18"/>
          <w:szCs w:val="18"/>
          <w:color w:val="auto"/>
        </w:rPr>
      </w:pPr>
    </w:p>
    <w:p>
      <w:pPr>
        <w:ind w:right="40" w:firstLine="1953"/>
        <w:spacing w:after="0" w:line="277" w:lineRule="auto"/>
        <w:tabs>
          <w:tab w:leader="none" w:pos="259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ectPr>
          <w:pgSz w:w="11900" w:h="16838" w:orient="portrait"/>
          <w:cols w:equalWidth="0" w:num="1">
            <w:col w:w="11420"/>
          </w:cols>
          <w:pgMar w:left="240" w:top="125" w:right="239" w:bottom="32" w:gutter="0" w:footer="0" w:header="0"/>
        </w:sectPr>
      </w:pPr>
    </w:p>
    <w:bookmarkStart w:id="85" w:name="page86"/>
    <w:bookmarkEnd w:id="85"/>
    <w:p>
      <w:pPr>
        <w:ind w:right="20" w:firstLine="1305"/>
        <w:spacing w:after="0" w:line="277" w:lineRule="auto"/>
        <w:tabs>
          <w:tab w:leader="none" w:pos="191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It is not necessary for 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20" w:firstLine="1305"/>
        <w:spacing w:after="0" w:line="255" w:lineRule="auto"/>
        <w:tabs>
          <w:tab w:leader="none" w:pos="192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(including consents delivered in accordance with the Applicable Procedures with respect to Global Notes) from the Holders of the requisite percentage in principal 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Section 9.03. Effect of Consent</w:t>
      </w:r>
      <w:r>
        <w:rPr>
          <w:rFonts w:ascii="Arial" w:cs="Arial" w:eastAsia="Arial" w:hAnsi="Arial"/>
          <w:sz w:val="18"/>
          <w:szCs w:val="18"/>
          <w:color w:val="auto"/>
        </w:rPr>
        <w:t>. (a) After an amendment, supplement or waiver becomes effective, it will bind every Holder unless it 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requiring the consent of each Holder affected. If the amendment, supplement or waiver is of the type requiring the consent of each Holder affected, the amendment, supplement or waiver shall bind each Holder that has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it and every subsequent Holder of a Note that evidences the same debt as the Note of the consenting Holder.</w:t>
      </w:r>
    </w:p>
    <w:p>
      <w:pPr>
        <w:spacing w:after="0" w:line="225" w:lineRule="exact"/>
        <w:rPr>
          <w:sz w:val="20"/>
          <w:szCs w:val="20"/>
          <w:color w:val="auto"/>
        </w:rPr>
      </w:pPr>
    </w:p>
    <w:p>
      <w:pPr>
        <w:ind w:right="40" w:firstLine="1305"/>
        <w:spacing w:after="0" w:line="279" w:lineRule="auto"/>
        <w:tabs>
          <w:tab w:leader="none" w:pos="192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Section 9.04. Trustee’s Rights and Obligations</w:t>
      </w:r>
      <w:r>
        <w:rPr>
          <w:rFonts w:ascii="Arial" w:cs="Arial" w:eastAsia="Arial" w:hAnsi="Arial"/>
          <w:sz w:val="17"/>
          <w:szCs w:val="17"/>
          <w:color w:val="auto"/>
        </w:rPr>
        <w:t>. The Trustee is entitled to receive, and will be fully protected in relying upon, an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Section 9.05. Payments for Consents</w:t>
      </w:r>
      <w:r>
        <w:rPr>
          <w:rFonts w:ascii="Arial" w:cs="Arial" w:eastAsia="Arial" w:hAnsi="Arial"/>
          <w:sz w:val="18"/>
          <w:szCs w:val="18"/>
          <w:color w:val="auto"/>
        </w:rPr>
        <w:t>. The Company shall not, and shall not permit or suffer any of its Subsidiaries or Affiliates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Conversion Privilege</w:t>
      </w:r>
    </w:p>
    <w:p>
      <w:pPr>
        <w:spacing w:after="0" w:line="225" w:lineRule="exact"/>
        <w:rPr>
          <w:sz w:val="20"/>
          <w:szCs w:val="20"/>
          <w:color w:val="auto"/>
        </w:rPr>
      </w:pPr>
    </w:p>
    <w:p>
      <w:pPr>
        <w:ind w:firstLine="1305"/>
        <w:spacing w:after="0" w:line="288" w:lineRule="auto"/>
        <w:tabs>
          <w:tab w:leader="none" w:pos="191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Subject to and upon compliance with the provisions of this Article 10, a Holder shall have the right, at such Holder’s option, to convert all or any portion (if the portion to be converted is $1,000 principal amount or an integral multiple thereof) of such Holder’s Notes at any time prior to the Close of Business on the Business Day immediately preceding the Maturity Date, upon the occurrence of any of the events set forth in clauses (i) through</w:t>
      </w:r>
    </w:p>
    <w:p>
      <w:pPr>
        <w:jc w:val="both"/>
        <w:ind w:right="80" w:firstLine="8"/>
        <w:spacing w:after="0" w:line="253" w:lineRule="auto"/>
        <w:tabs>
          <w:tab w:leader="none" w:pos="3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of Section 10.01(b), at a Conversion Rate (the “</w:t>
      </w:r>
      <w:r>
        <w:rPr>
          <w:rFonts w:ascii="Arial" w:cs="Arial" w:eastAsia="Arial" w:hAnsi="Arial"/>
          <w:sz w:val="18"/>
          <w:szCs w:val="18"/>
          <w:b w:val="1"/>
          <w:bCs w:val="1"/>
          <w:color w:val="auto"/>
        </w:rPr>
        <w:t>Conversion Rate</w:t>
      </w:r>
      <w:r>
        <w:rPr>
          <w:rFonts w:ascii="Arial" w:cs="Arial" w:eastAsia="Arial" w:hAnsi="Arial"/>
          <w:sz w:val="18"/>
          <w:szCs w:val="18"/>
          <w:color w:val="auto"/>
        </w:rPr>
        <w:t>”) of 105.2632 shares of Common Stock per $1,000 principal amount of Notes. Upon conversion of any Notes, the Company shall deliver to the converting Holder Cash up to the aggregate principal amount of Notes to be converted and shares of Common Stock, Cash or a combination thereof in respect of the remainder, if any, of its conversion obligation in excess of the aggregate principal amount of the Notes being converted, as described in Section 10.03 and subject to adjustment as set forth in this Article 10 (the Company’s obligation to deliver such consideration being herein called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92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Holder may convert its Notes prior to the Close of Business on the Business Day immediately preceding the Maturity Date, upon the occurrence of any of the events set forth below:</w:t>
      </w:r>
    </w:p>
    <w:p>
      <w:pPr>
        <w:spacing w:after="0" w:line="170" w:lineRule="exact"/>
        <w:rPr>
          <w:rFonts w:ascii="Arial" w:cs="Arial" w:eastAsia="Arial" w:hAnsi="Arial"/>
          <w:sz w:val="18"/>
          <w:szCs w:val="18"/>
          <w:color w:val="auto"/>
        </w:rPr>
      </w:pPr>
    </w:p>
    <w:p>
      <w:pPr>
        <w:ind w:right="80" w:firstLine="1953"/>
        <w:spacing w:after="0" w:line="312" w:lineRule="auto"/>
        <w:tabs>
          <w:tab w:leader="none" w:pos="257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during any calendar quarter commencing at any time after September 30, 2011, and only during such calendar quarter, if the Closing Price of Common Stock for at least 20 Trading Days in the period of 30 consecutive Trading Days ending on the last Trading Day of the preceding calendar quarter exceeds the Conversion Trigger Price (as defined in Section 10.01(c)) on the last Trading Day of such preceding calendar quarter;</w:t>
      </w:r>
    </w:p>
    <w:p>
      <w:pPr>
        <w:spacing w:after="0" w:line="146" w:lineRule="exact"/>
        <w:rPr>
          <w:rFonts w:ascii="Arial" w:cs="Arial" w:eastAsia="Arial" w:hAnsi="Arial"/>
          <w:sz w:val="16"/>
          <w:szCs w:val="16"/>
          <w:color w:val="auto"/>
        </w:rPr>
      </w:pPr>
    </w:p>
    <w:p>
      <w:pPr>
        <w:ind w:right="360" w:firstLine="1953"/>
        <w:spacing w:after="0" w:line="302" w:lineRule="auto"/>
        <w:tabs>
          <w:tab w:leader="none" w:pos="258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in which the Trading Price per $1,000 principal amount of Notes for each Trading Day during that five-day period was less than 98% of the product of the Closing Price of Common Stock and the then Applicable Conversion Rate for the Notes on such Trading Day, subject to compliance with the procedures and conditions described in Section 10.01(d) concerning the Trustee’s obligation to make a Trading Price determination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1953"/>
        <w:spacing w:after="0" w:line="273" w:lineRule="auto"/>
        <w:tabs>
          <w:tab w:leader="none" w:pos="259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ectPr>
          <w:pgSz w:w="11900" w:h="16838" w:orient="portrait"/>
          <w:cols w:equalWidth="0" w:num="1">
            <w:col w:w="11400"/>
          </w:cols>
          <w:pgMar w:left="240" w:top="125" w:right="259" w:bottom="0" w:gutter="0" w:footer="0" w:header="0"/>
        </w:sectPr>
      </w:pPr>
    </w:p>
    <w:bookmarkStart w:id="86" w:name="page87"/>
    <w:bookmarkEnd w:id="86"/>
    <w:p>
      <w:pPr>
        <w:spacing w:after="0" w:line="114" w:lineRule="exact"/>
        <w:rPr>
          <w:sz w:val="20"/>
          <w:szCs w:val="20"/>
          <w:color w:val="auto"/>
        </w:rPr>
      </w:pPr>
    </w:p>
    <w:p>
      <w:pPr>
        <w:ind w:right="20" w:firstLine="1953"/>
        <w:spacing w:after="0" w:line="255" w:lineRule="auto"/>
        <w:tabs>
          <w:tab w:leader="none" w:pos="25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indebtedness) or other assets (excluding dividends or distributions described in Section 10.07(a)), which distribution, together with all other such distributions within the preceding twelve months, has a per share value, as determined by the Board of Directors,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89" w:lineRule="exact"/>
        <w:rPr>
          <w:rFonts w:ascii="Arial" w:cs="Arial" w:eastAsia="Arial" w:hAnsi="Arial"/>
          <w:sz w:val="18"/>
          <w:szCs w:val="18"/>
          <w:color w:val="auto"/>
        </w:rPr>
      </w:pPr>
    </w:p>
    <w:p>
      <w:pPr>
        <w:ind w:right="80" w:firstLine="1953"/>
        <w:spacing w:after="0" w:line="264" w:lineRule="auto"/>
        <w:tabs>
          <w:tab w:leader="none" w:pos="257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 Termination of Trading occurs, during the period from, and including, the earlier of (i) the date the applicable securities exchange announces that a Termination of Trading will occur and (ii) the effective date of the Termination of Trading, to, and including, the related Repurchase Date;</w:t>
      </w:r>
    </w:p>
    <w:p>
      <w:pPr>
        <w:spacing w:after="0" w:line="181" w:lineRule="exact"/>
        <w:rPr>
          <w:rFonts w:ascii="Arial" w:cs="Arial" w:eastAsia="Arial" w:hAnsi="Arial"/>
          <w:sz w:val="18"/>
          <w:szCs w:val="18"/>
          <w:color w:val="auto"/>
        </w:rPr>
      </w:pPr>
    </w:p>
    <w:p>
      <w:pPr>
        <w:ind w:right="120" w:firstLine="1953"/>
        <w:spacing w:after="0" w:line="277" w:lineRule="auto"/>
        <w:tabs>
          <w:tab w:leader="none" w:pos="25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 Make-Whole Change in Control that does not constitute a Change in Control occurs or if the Company is a party to a consolidation, merger, binding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exchange, or transfer or lease of all or substantially all of the Company’s assets, pursuant to which Common Stock would be converted into Cash, securities or other assets, during the period from, and including, the date that is 25 Business Days prior to the anticipated effective date of the transaction, to, and including, the date that is 35 Trading Days after the actual effective date of such transaction;</w:t>
      </w:r>
    </w:p>
    <w:p>
      <w:pPr>
        <w:spacing w:after="0" w:line="181" w:lineRule="exact"/>
        <w:rPr>
          <w:sz w:val="20"/>
          <w:szCs w:val="20"/>
          <w:color w:val="auto"/>
        </w:rPr>
      </w:pPr>
    </w:p>
    <w:p>
      <w:pPr>
        <w:ind w:right="580" w:firstLine="1953"/>
        <w:spacing w:after="0" w:line="277" w:lineRule="auto"/>
        <w:tabs>
          <w:tab w:leader="none" w:pos="259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 Change of Control occurs, during the period from, and including, the date that is 25 Business Days prior to the anticipated effective date of the transaction, to, and including, the related Repurchase Date;</w:t>
      </w:r>
    </w:p>
    <w:p>
      <w:pPr>
        <w:spacing w:after="0" w:line="170" w:lineRule="exact"/>
        <w:rPr>
          <w:rFonts w:ascii="Arial" w:cs="Arial" w:eastAsia="Arial" w:hAnsi="Arial"/>
          <w:sz w:val="18"/>
          <w:szCs w:val="18"/>
          <w:color w:val="auto"/>
        </w:rPr>
      </w:pPr>
    </w:p>
    <w:p>
      <w:pPr>
        <w:ind w:right="860" w:firstLine="1953"/>
        <w:spacing w:after="0" w:line="277" w:lineRule="auto"/>
        <w:tabs>
          <w:tab w:leader="none" w:pos="26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at any time on or after May 1, 2031 until the Close of Business on the Business Day immediately preceding the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07" w:lineRule="exact"/>
        <w:rPr>
          <w:sz w:val="20"/>
          <w:szCs w:val="20"/>
          <w:color w:val="auto"/>
        </w:rPr>
      </w:pPr>
    </w:p>
    <w:p>
      <w:pPr>
        <w:ind w:right="120" w:firstLine="1305"/>
        <w:spacing w:after="0" w:line="258" w:lineRule="auto"/>
        <w:tabs>
          <w:tab w:leader="none" w:pos="191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equal 130% of the Conversion Price. The Conversion Trigger Price will initially equal $12.35 and shall be automatically adjusted whenever the Conversion Price is adjusted as a result of an adjustment in the Conversion Rate pursuant to this Article 10. The Company will determine at the beginning of each calendar quarter commencing at any time after September 30, 2011, whether the Notes are convertible as a result of the price of Common Stock exceeding the Conversion Trigger Price in accordance with Section 10.01(b)(i) and will notify the Conversion Agent and the Trustee.</w:t>
      </w:r>
    </w:p>
    <w:p>
      <w:pPr>
        <w:spacing w:after="0" w:line="187" w:lineRule="exact"/>
        <w:rPr>
          <w:rFonts w:ascii="Arial" w:cs="Arial" w:eastAsia="Arial" w:hAnsi="Arial"/>
          <w:sz w:val="18"/>
          <w:szCs w:val="18"/>
          <w:color w:val="auto"/>
        </w:rPr>
      </w:pPr>
    </w:p>
    <w:p>
      <w:pPr>
        <w:ind w:right="40" w:firstLine="1305"/>
        <w:spacing w:after="0" w:line="268" w:lineRule="auto"/>
        <w:tabs>
          <w:tab w:leader="none" w:pos="192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Holder provides the Company with reasonable evidence that the Trading Price per $1,000 principal amount of the Notes at such time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 Common Stock and the then Applicable Conversion Rate on each day the Company or the Trustee fails to do so. If the Trading Price Condition has been met, the Company shall so notify the Holders and the Trustee. If, at any point after the Trading Price Condition has been met, the Trading Price per $1,000 principal amount of Notes is greater than 98% of the product of the Closing Price of Common Stock and the then Applicable Conversion Rate, the Company shall so notify the Holders and the Trustee.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firstLine="1305"/>
        <w:spacing w:after="0" w:line="302" w:lineRule="auto"/>
        <w:tabs>
          <w:tab w:leader="none" w:pos="191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Holders at least 35 Business Days prior to the Ex-Date for such distribution by (i) issuing a press release and using its reasonable efforts to post such information on its website or otherwise publicly disclose this information or (ii) providing written notice to Holders by mailing such notice to Holders at their address in the Register (in the case of a Certificated Note), or through the facilities of the Depositary (in the case of a Global Note).</w:t>
      </w:r>
    </w:p>
    <w:p>
      <w:pPr>
        <w:spacing w:after="0" w:line="154" w:lineRule="exact"/>
        <w:rPr>
          <w:rFonts w:ascii="Arial" w:cs="Arial" w:eastAsia="Arial" w:hAnsi="Arial"/>
          <w:sz w:val="16"/>
          <w:szCs w:val="16"/>
          <w:color w:val="auto"/>
        </w:rPr>
      </w:pPr>
    </w:p>
    <w:p>
      <w:pPr>
        <w:ind w:firstLine="1305"/>
        <w:spacing w:after="0" w:line="291" w:lineRule="auto"/>
        <w:tabs>
          <w:tab w:leader="none" w:pos="193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connection with the transactions described in Section 10.01(b)(v), (vi) or (vii), the Company shall notify the Holders and the Trustee (i) in the case of a Change in Control or a Make-Whole Change in Control, as promptly as practicable following the date the Company publicly announces such transaction, which shall be at least 25 Business Days prior to the anticipated effective date in the case of transactions to which the Company is a party, and (ii) in the case of a Termination of Trading, the earlier of (x) the day immediately following the date the applicable securities exchange announces that a termination of trading will occur and (y) the effective date of a Termination of Trading by (A) issuing a press release and using its reasonable efforts to post such information on its website or otherwise publicly disclose this information or (B) providing written notice to Holders by mailing such notice to Holders at their address in the Register (in the case of a Certificated Note), or through the facilities of the Depositary (in the case of a Global Note).</w:t>
      </w:r>
    </w:p>
    <w:p>
      <w:pPr>
        <w:spacing w:after="0" w:line="167" w:lineRule="exact"/>
        <w:rPr>
          <w:rFonts w:ascii="Arial" w:cs="Arial" w:eastAsia="Arial" w:hAnsi="Arial"/>
          <w:sz w:val="16"/>
          <w:szCs w:val="16"/>
          <w:color w:val="auto"/>
        </w:rPr>
      </w:pPr>
    </w:p>
    <w:p>
      <w:pPr>
        <w:ind w:right="120" w:firstLine="1305"/>
        <w:spacing w:after="0" w:line="259" w:lineRule="auto"/>
        <w:tabs>
          <w:tab w:leader="none" w:pos="192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determining that 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Holders by mailing such notice to Holders at their address in the Register (in the case of a Certificated Note), or through the facilities of the Depositary (in the case of a Global Note).</w:t>
      </w:r>
    </w:p>
    <w:p>
      <w:pPr>
        <w:spacing w:after="0" w:line="186" w:lineRule="exact"/>
        <w:rPr>
          <w:rFonts w:ascii="Arial" w:cs="Arial" w:eastAsia="Arial" w:hAnsi="Arial"/>
          <w:sz w:val="18"/>
          <w:szCs w:val="18"/>
          <w:color w:val="auto"/>
        </w:rPr>
      </w:pPr>
    </w:p>
    <w:p>
      <w:pPr>
        <w:ind w:firstLine="1305"/>
        <w:spacing w:after="0" w:line="308" w:lineRule="auto"/>
        <w:tabs>
          <w:tab w:leader="none" w:pos="192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Holders shall not have the right to convert their Notes pursuant to Section 10.01(b)(iii) or Section 10.01(b)(iv) if in connection with the distribution described in Section 10.01(b)(iii) or Section 10.01(b)(iv) that gives rise to a right to convert their Notes, such Holders are entitled to</w:t>
      </w:r>
    </w:p>
    <w:p>
      <w:pPr>
        <w:sectPr>
          <w:pgSz w:w="11900" w:h="16953" w:orient="portrait"/>
          <w:cols w:equalWidth="0" w:num="1">
            <w:col w:w="11420"/>
          </w:cols>
          <w:pgMar w:left="240" w:top="125" w:right="239" w:bottom="0" w:gutter="0" w:footer="0" w:header="0"/>
        </w:sectPr>
      </w:pPr>
    </w:p>
    <w:bookmarkStart w:id="87" w:name="page88"/>
    <w:bookmarkEnd w:id="87"/>
    <w:p>
      <w:pPr>
        <w:spacing w:after="0" w:line="10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participate (as a result of holding the Notes, and at the same time as holders of Common Stock participate) in the distribution described in such Section as if such Holders held a number of shares of Common Stock equal to the Applicable Conversion Rate on the Ex-Date for such distribution,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principal amount (expressed in thousands) of Notes held by such Holder, without having to convert their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6"/>
          <w:szCs w:val="16"/>
          <w:i w:val="1"/>
          <w:iCs w:val="1"/>
          <w:color w:val="auto"/>
        </w:rPr>
        <w:t>Conversion Procedures; Conversion Settlement</w:t>
      </w:r>
    </w:p>
    <w:p>
      <w:pPr>
        <w:spacing w:after="0" w:line="225" w:lineRule="exact"/>
        <w:rPr>
          <w:sz w:val="20"/>
          <w:szCs w:val="20"/>
          <w:color w:val="auto"/>
        </w:rPr>
      </w:pPr>
    </w:p>
    <w:p>
      <w:pPr>
        <w:ind w:right="40" w:firstLine="656"/>
        <w:spacing w:after="0" w:line="276" w:lineRule="auto"/>
        <w:tabs>
          <w:tab w:leader="none" w:pos="89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To convert a Note that is represented by a Certificated Note, a Holder must (1) 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amount of interest due on the next Interest Payment Date for such Note. If a Holder holds a beneficial interest in a Global Note, to convert such beneficial interest, such Holder must comply with requirements (4) and (5) as set forth in the immediately preceding sentence and comply with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 beneficial interest therein) have been satisfied is referred to in this Indenture as the “</w:t>
      </w:r>
      <w:r>
        <w:rPr>
          <w:rFonts w:ascii="Arial" w:cs="Arial" w:eastAsia="Arial" w:hAnsi="Arial"/>
          <w:sz w:val="16"/>
          <w:szCs w:val="16"/>
          <w:b w:val="1"/>
          <w:bCs w:val="1"/>
          <w:color w:val="auto"/>
        </w:rPr>
        <w:t>Conversion Date</w:t>
      </w:r>
      <w:r>
        <w:rPr>
          <w:rFonts w:ascii="Arial" w:cs="Arial" w:eastAsia="Arial" w:hAnsi="Arial"/>
          <w:sz w:val="16"/>
          <w:szCs w:val="16"/>
          <w:color w:val="auto"/>
        </w:rPr>
        <w:t>.” The Conversion Agent shall, within one (1) Business Day of any Conversion Date, provide notice to the Company, as set forth in Section 13.02, of the occurrence of such Conversion Date.</w:t>
      </w:r>
    </w:p>
    <w:p>
      <w:pPr>
        <w:spacing w:after="0" w:line="154" w:lineRule="exact"/>
        <w:rPr>
          <w:sz w:val="20"/>
          <w:szCs w:val="20"/>
          <w:color w:val="auto"/>
        </w:rPr>
      </w:pPr>
    </w:p>
    <w:p>
      <w:pPr>
        <w:ind w:right="120" w:firstLine="1305"/>
        <w:spacing w:after="0" w:line="308" w:lineRule="auto"/>
        <w:tabs>
          <w:tab w:leader="none" w:pos="192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Delivery of shares of Common Stock upon conversion of Notes shall occur as soon as practicable after the last Trading Day of the relevant Observation Period, but in any event within five Business Days after the last Trading Day of the relevant Observation Period.</w:t>
      </w:r>
    </w:p>
    <w:p>
      <w:pPr>
        <w:spacing w:after="0" w:line="146" w:lineRule="exact"/>
        <w:rPr>
          <w:rFonts w:ascii="Arial" w:cs="Arial" w:eastAsia="Arial" w:hAnsi="Arial"/>
          <w:sz w:val="17"/>
          <w:szCs w:val="17"/>
          <w:color w:val="auto"/>
        </w:rPr>
      </w:pPr>
    </w:p>
    <w:p>
      <w:pPr>
        <w:jc w:val="both"/>
        <w:ind w:right="280" w:firstLine="1305"/>
        <w:spacing w:after="0" w:line="264" w:lineRule="auto"/>
        <w:tabs>
          <w:tab w:leader="none" w:pos="191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Holder receiving Common Stock upon conversion shall not be entitled to any rights as a holder of Common Stock, including, among other things, the right to vote and receive dividends and notices of stockholder meetings, until the Close of Business on the last Trading Day of the Observation Period.</w:t>
      </w:r>
    </w:p>
    <w:p>
      <w:pPr>
        <w:spacing w:after="0" w:line="181" w:lineRule="exact"/>
        <w:rPr>
          <w:rFonts w:ascii="Arial" w:cs="Arial" w:eastAsia="Arial" w:hAnsi="Arial"/>
          <w:sz w:val="18"/>
          <w:szCs w:val="18"/>
          <w:color w:val="auto"/>
        </w:rPr>
      </w:pPr>
    </w:p>
    <w:p>
      <w:pPr>
        <w:ind w:right="60" w:firstLine="1305"/>
        <w:spacing w:after="0" w:line="271" w:lineRule="auto"/>
        <w:tabs>
          <w:tab w:leader="none" w:pos="192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 payment or adjustment will be made for dividends on, or other distributions with respect to, any Common Stock except as provided in this Article 10. Upon conversion of a Note, a Holder will not receive, except as described below, any Cash payment representing accrued interest (including any Additional Interest), other than the Make-Whole Premium pursuant to Section 11.01. Instead, accrued interest (including any Additional Interest) will be deemed paid by the Cash and shares of Common Stock, if any, received by the Holder upon conversion. Delivery to the Holder of such Cash and shares of Common Stock, if any, shall thus be deemed to satisfy (1) the Company’s obligation to pay the principal amount of a Note, and (2) the Company’s obligation to pay any accrued and unpaid interest (including any Additional Interest) on the Note from the last Interest Payment Date to the Conversion Date. As a result, upon conversion of a Note, accrued and unpaid interest (including any Additional Interest) on such Note to, but not including, the Conversion Date is deemed paid in full rather than cancelled, extinguished or forfeited.</w:t>
      </w:r>
    </w:p>
    <w:p>
      <w:pPr>
        <w:spacing w:after="0" w:line="178" w:lineRule="exact"/>
        <w:rPr>
          <w:rFonts w:ascii="Arial" w:cs="Arial" w:eastAsia="Arial" w:hAnsi="Arial"/>
          <w:sz w:val="17"/>
          <w:szCs w:val="17"/>
          <w:color w:val="auto"/>
        </w:rPr>
      </w:pPr>
    </w:p>
    <w:p>
      <w:pPr>
        <w:ind w:firstLine="1305"/>
        <w:spacing w:after="0" w:line="271" w:lineRule="auto"/>
        <w:tabs>
          <w:tab w:leader="none" w:pos="191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Notwithstanding Section 10.02(d), if Notes are converted after a Regular Record Date but prior to the next succeeding Interest Payment Date, Holders of such Notes at the Close of Business on such Regular Record Date will receive the interest payable (including Additional Interest) on such Notes on the corresponding Interest Payment Date notwithstanding the conversion. Such Notes, upon surrender for conversion, must be accompanied by Cash equal to the amount of interest (including any Additional Interest) payable on such Interest Payment Date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(1) if the Company has specified a Redemption Date that is after a Regular Record Date but on or prior to the next succeeding Interest Payment Date, (2) if the Company has specified a Repurchase Date that is after a Regular Record Date but on or prior to the next succeeding Interest Payment Date, (3) with respect to any Notes converted after the Regular Record Date immediately preceding August 1, 2020 or (4) to the extent of any Defaulted Interest that exists at the time of conversion with respect to such Note.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1305"/>
        <w:spacing w:after="0" w:line="342" w:lineRule="auto"/>
        <w:tabs>
          <w:tab w:leader="none" w:pos="193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If a Holder converts more than one Note at the same time, the number of shares of Common Stock and the amount of Cash delivered in lieu of fractional shares, if any, due upon conversion shall be determined based on the total principal amount of the Notes converted.</w:t>
      </w:r>
    </w:p>
    <w:p>
      <w:pPr>
        <w:spacing w:after="0" w:line="123" w:lineRule="exact"/>
        <w:rPr>
          <w:rFonts w:ascii="Arial" w:cs="Arial" w:eastAsia="Arial" w:hAnsi="Arial"/>
          <w:sz w:val="16"/>
          <w:szCs w:val="16"/>
          <w:color w:val="auto"/>
        </w:rPr>
      </w:pPr>
    </w:p>
    <w:p>
      <w:pPr>
        <w:ind w:right="80" w:firstLine="1305"/>
        <w:spacing w:after="0" w:line="277" w:lineRule="auto"/>
        <w:tabs>
          <w:tab w:leader="none" w:pos="19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10.03.</w:t>
      </w:r>
      <w:r>
        <w:rPr>
          <w:sz w:val="20"/>
          <w:szCs w:val="20"/>
          <w:color w:val="auto"/>
        </w:rPr>
        <w:tab/>
      </w:r>
      <w:r>
        <w:rPr>
          <w:rFonts w:ascii="Arial" w:cs="Arial" w:eastAsia="Arial" w:hAnsi="Arial"/>
          <w:sz w:val="16"/>
          <w:szCs w:val="16"/>
          <w:i w:val="1"/>
          <w:iCs w:val="1"/>
          <w:color w:val="auto"/>
        </w:rPr>
        <w:t>Settlement Upon Conversion</w:t>
      </w:r>
    </w:p>
    <w:p>
      <w:pPr>
        <w:spacing w:after="0" w:line="225" w:lineRule="exact"/>
        <w:rPr>
          <w:sz w:val="20"/>
          <w:szCs w:val="20"/>
          <w:color w:val="auto"/>
        </w:rPr>
      </w:pPr>
    </w:p>
    <w:p>
      <w:pPr>
        <w:ind w:right="120" w:firstLine="1305"/>
        <w:spacing w:after="0" w:line="259" w:lineRule="auto"/>
        <w:tabs>
          <w:tab w:leader="none" w:pos="191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Section 10.09, upon conversion of any Note, the Company shall pay or deliver, as the case may be, to the converting Holder, in respect of each $1,000 principal amount of Notes being converted, a “</w:t>
      </w:r>
      <w:r>
        <w:rPr>
          <w:rFonts w:ascii="Arial" w:cs="Arial" w:eastAsia="Arial" w:hAnsi="Arial"/>
          <w:sz w:val="18"/>
          <w:szCs w:val="18"/>
          <w:b w:val="1"/>
          <w:bCs w:val="1"/>
          <w:color w:val="auto"/>
        </w:rPr>
        <w:t>Settlement Amount</w:t>
      </w:r>
      <w:r>
        <w:rPr>
          <w:rFonts w:ascii="Arial" w:cs="Arial" w:eastAsia="Arial" w:hAnsi="Arial"/>
          <w:sz w:val="18"/>
          <w:szCs w:val="18"/>
          <w:color w:val="auto"/>
        </w:rPr>
        <w:t>” equal to the sum of the Daily Settlement Amounts for each of the 20 Trading Days during the relevant Observation Period for such Note, together with Cash, if applicable, in lieu of any fractional share of Common Stock in accordance with Section 10.04.</w:t>
      </w:r>
    </w:p>
    <w:p>
      <w:pPr>
        <w:spacing w:after="0" w:line="182" w:lineRule="exact"/>
        <w:rPr>
          <w:rFonts w:ascii="Arial" w:cs="Arial" w:eastAsia="Arial" w:hAnsi="Arial"/>
          <w:sz w:val="18"/>
          <w:szCs w:val="18"/>
          <w:color w:val="auto"/>
        </w:rPr>
      </w:pPr>
    </w:p>
    <w:p>
      <w:pPr>
        <w:jc w:val="both"/>
        <w:ind w:right="120" w:firstLine="1305"/>
        <w:spacing w:after="0" w:line="266" w:lineRule="auto"/>
        <w:tabs>
          <w:tab w:leader="none" w:pos="192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20 consecutive Trading Days during the applicable Observation Period, shall consist of (i) Cash in an amount equal to the lesser of (x) $50.00 and (y) the Daily Conversion Value on such Trading Day; and (ii) if the Daily Conversion Value on such Trading Day exceeds $50.00, the Daily Net Settlement Amount.</w:t>
      </w:r>
    </w:p>
    <w:p>
      <w:pPr>
        <w:spacing w:after="0" w:line="180" w:lineRule="exact"/>
        <w:rPr>
          <w:rFonts w:ascii="Arial" w:cs="Arial" w:eastAsia="Arial" w:hAnsi="Arial"/>
          <w:sz w:val="18"/>
          <w:szCs w:val="18"/>
          <w:color w:val="auto"/>
        </w:rPr>
      </w:pPr>
    </w:p>
    <w:p>
      <w:pPr>
        <w:ind w:right="120" w:firstLine="1305"/>
        <w:spacing w:after="0" w:line="302" w:lineRule="auto"/>
        <w:tabs>
          <w:tab w:leader="none" w:pos="191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All conversions occurring on or after the 24th Scheduled Trading Day immediately preceding the Maturity Date shall be settled using the same forms and amounts of consideration. Before the 24th Scheduled Trading Day immediately preceding the Maturity Date, the Company shall use the same forms and amounts of consideration for all conversions occurring on the same Conversion Date, but the Company shall not have any obligation to use the same forms and amounts of consideration with respect to conversions with Conversion Dates that occur on different Trading Days.</w:t>
      </w:r>
    </w:p>
    <w:p>
      <w:pPr>
        <w:spacing w:after="0" w:line="154" w:lineRule="exact"/>
        <w:rPr>
          <w:rFonts w:ascii="Arial" w:cs="Arial" w:eastAsia="Arial" w:hAnsi="Arial"/>
          <w:sz w:val="16"/>
          <w:szCs w:val="16"/>
          <w:color w:val="auto"/>
        </w:rPr>
      </w:pPr>
    </w:p>
    <w:p>
      <w:pPr>
        <w:ind w:right="40" w:firstLine="1305"/>
        <w:spacing w:after="0" w:line="302" w:lineRule="auto"/>
        <w:tabs>
          <w:tab w:leader="none" w:pos="192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With respect to any conversion of Notes, subject to subsection (c) of this Section 10.03, the Company may irrevocably elect to settle all or a portion of the remainder, if any, of its Conversion Obligation in excess of the aggregate principal portion of the Notes being converted in Cash by informing the Trustee, converting Holders, through the Trustee, and the Depositary of such election no later than the Close of Business on the Trading Day immediately following the relevant Conversion Date (or, in the case of any conversions occurring on or after the 24th Scheduled Trading Day immediately</w:t>
      </w:r>
    </w:p>
    <w:p>
      <w:pPr>
        <w:sectPr>
          <w:pgSz w:w="11900" w:h="16945" w:orient="portrait"/>
          <w:cols w:equalWidth="0" w:num="1">
            <w:col w:w="11420"/>
          </w:cols>
          <w:pgMar w:left="240" w:top="125" w:right="239" w:bottom="0" w:gutter="0" w:footer="0" w:header="0"/>
        </w:sectPr>
      </w:pPr>
    </w:p>
    <w:bookmarkStart w:id="88" w:name="page89"/>
    <w:bookmarkEnd w:id="88"/>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preceding the Maturity Date, no later than the 24th Scheduled Trading Day immediately preceding the Maturity Date), and the Company shall indicate in such notice the percentage of the remainder, if any, of the Company’s Conversion Obligation in excess of the aggregate principal portion of the Notes being converted that will be paid in Cash (the “</w:t>
      </w:r>
      <w:r>
        <w:rPr>
          <w:rFonts w:ascii="Arial" w:cs="Arial" w:eastAsia="Arial" w:hAnsi="Arial"/>
          <w:sz w:val="18"/>
          <w:szCs w:val="18"/>
          <w:b w:val="1"/>
          <w:bCs w:val="1"/>
          <w:color w:val="auto"/>
        </w:rPr>
        <w:t>Cash Percentage</w:t>
      </w:r>
      <w:r>
        <w:rPr>
          <w:rFonts w:ascii="Arial" w:cs="Arial" w:eastAsia="Arial" w:hAnsi="Arial"/>
          <w:sz w:val="18"/>
          <w:szCs w:val="18"/>
          <w:color w:val="auto"/>
        </w:rPr>
        <w:t>”).</w:t>
      </w:r>
    </w:p>
    <w:p>
      <w:pPr>
        <w:spacing w:after="0" w:line="181" w:lineRule="exact"/>
        <w:rPr>
          <w:sz w:val="20"/>
          <w:szCs w:val="20"/>
          <w:color w:val="auto"/>
        </w:rPr>
      </w:pPr>
    </w:p>
    <w:p>
      <w:pPr>
        <w:ind w:right="140" w:firstLine="1305"/>
        <w:spacing w:after="0" w:line="264" w:lineRule="auto"/>
        <w:tabs>
          <w:tab w:leader="none" w:pos="191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Daily Settlement Amounts (if applicable), the Daily Net Settlement Amounts (if applicable) and the Daily Conversion Values (if applicable) shall be determined by the Company promptly following the last day of the Observation Period. Promptly after such determination of the Daily Settlement Amounts, the Daily Net Settlement Amounts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applicable) or the Daily Conversion Values, as the case may be, and the amount of Cash, if any, deliverable in lieu of any fractional share of Common Stock, the Company shall notify the Trustee and the Conversion Agent (if other than the Trustee) of the Daily Settlement Amounts, the Daily Net Settlement Amounts (if applicable) or the Daily Conversion Values, as the case may be, and the amount of Cash, if any, deliverable in lieu of fractional shares of Common Stock. In calculating the Daily Settlement Amounts (if applicable) and the Daily Net Settlement Amounts (if applicable) the Conversion Rate on any day shall be appropriately adjusted to take into account the occurrence on or before such Trading Day of any event that would require an adjustment to the Conversion Rate as set forth in Section 10.07. The Trustee and the Conversion Agent (if other than the Trustee) shall have no responsibility for any such determination.</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Section 10.04. Fractional Shares</w:t>
      </w:r>
      <w:r>
        <w:rPr>
          <w:rFonts w:ascii="Arial" w:cs="Arial" w:eastAsia="Arial" w:hAnsi="Arial"/>
          <w:sz w:val="16"/>
          <w:szCs w:val="16"/>
          <w:color w:val="auto"/>
        </w:rPr>
        <w:t>. The Company will not issue a fractional share of Common Stock upon conversion of a Note. Instead,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pay Cash in lieu of fractional shares based on the Closing Price of Common Stock on the last Trading Day of the relevant Observation Period.</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Section 10.05. Taxes on Conversion</w:t>
      </w:r>
      <w:r>
        <w:rPr>
          <w:rFonts w:ascii="Arial" w:cs="Arial" w:eastAsia="Arial" w:hAnsi="Arial"/>
          <w:sz w:val="18"/>
          <w:szCs w:val="18"/>
          <w:color w:val="auto"/>
        </w:rPr>
        <w:t>. If a Holder converts a Note, the Company shall pay any documentary, stamp or similar issue or transfer tax</w:t>
      </w:r>
      <w:r>
        <w:rPr>
          <w:rFonts w:ascii="Arial" w:cs="Arial" w:eastAsia="Arial" w:hAnsi="Arial"/>
          <w:sz w:val="18"/>
          <w:szCs w:val="18"/>
          <w:i w:val="1"/>
          <w:iCs w:val="1"/>
          <w:color w:val="auto"/>
        </w:rPr>
        <w:t xml:space="preserve"> </w:t>
      </w:r>
      <w:r>
        <w:rPr>
          <w:rFonts w:ascii="Arial" w:cs="Arial" w:eastAsia="Arial" w:hAnsi="Arial"/>
          <w:sz w:val="18"/>
          <w:szCs w:val="18"/>
          <w:color w:val="auto"/>
        </w:rPr>
        <w:t>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Section 10.06. Company to Provide Common Stock</w:t>
      </w:r>
      <w:r>
        <w:rPr>
          <w:rFonts w:ascii="Arial" w:cs="Arial" w:eastAsia="Arial" w:hAnsi="Arial"/>
          <w:sz w:val="18"/>
          <w:szCs w:val="18"/>
          <w:color w:val="auto"/>
        </w:rPr>
        <w:t>. The Company shall, from time to time as may be necessary, reserve out of its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shares of Common Stock a sufficient number of shares of Common Stock to permit the delivery in respect of all outstanding Notes of the number of shares of Common Stock due upon conversion.</w:t>
      </w:r>
    </w:p>
    <w:p>
      <w:pPr>
        <w:spacing w:after="0" w:line="181"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10.07.</w:t>
      </w:r>
      <w:r>
        <w:rPr>
          <w:sz w:val="20"/>
          <w:szCs w:val="20"/>
          <w:color w:val="auto"/>
        </w:rPr>
        <w:tab/>
      </w:r>
      <w:r>
        <w:rPr>
          <w:rFonts w:ascii="Arial" w:cs="Arial" w:eastAsia="Arial" w:hAnsi="Arial"/>
          <w:sz w:val="16"/>
          <w:szCs w:val="16"/>
          <w:i w:val="1"/>
          <w:iCs w:val="1"/>
          <w:color w:val="auto"/>
        </w:rPr>
        <w:t>Adjustment to Conversion Rate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Conversion Rate shall be adjusted, at any time and from time to time while any of the Notes are outstanding, by the Company if any of the following events occur.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hanging="4"/>
        <w:spacing w:after="0" w:line="342" w:lineRule="auto"/>
        <w:tabs>
          <w:tab w:leader="none" w:pos="12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the Company issues dividends or makes distributions on Common Stock payable in shares of Common Stock, or if the Company subdivides, combines or reclassifies shares of Common Stock, the Conversion Rate shall be adjusted based on the following formula:</w:t>
      </w:r>
    </w:p>
    <w:p>
      <w:pPr>
        <w:spacing w:after="0" w:line="124"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4"/>
              </w:rPr>
              <w:t>×</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820" w:right="480" w:hanging="904"/>
        <w:spacing w:after="0" w:line="264" w:lineRule="auto"/>
        <w:tabs>
          <w:tab w:leader="none" w:pos="18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Ex-Date for such dividend or distribution, or immediately prior to the opening of business on the effective date for such subdivision, combination or reclassification, as applicable;</w:t>
      </w:r>
    </w:p>
    <w:p>
      <w:pPr>
        <w:spacing w:after="0" w:line="181"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 or effective date, as applicable;</w:t>
      </w:r>
    </w:p>
    <w:p>
      <w:pPr>
        <w:spacing w:after="0" w:line="225" w:lineRule="exact"/>
        <w:rPr>
          <w:sz w:val="20"/>
          <w:szCs w:val="20"/>
          <w:color w:val="auto"/>
        </w:rPr>
      </w:pPr>
    </w:p>
    <w:p>
      <w:pPr>
        <w:ind w:left="1820" w:right="1380" w:hanging="904"/>
        <w:spacing w:after="0" w:line="277" w:lineRule="auto"/>
        <w:tabs>
          <w:tab w:leader="none" w:pos="18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such dividend, distribution, subdivision, combination or reclassification; and</w:t>
      </w:r>
    </w:p>
    <w:p>
      <w:pPr>
        <w:spacing w:after="0" w:line="170" w:lineRule="exact"/>
        <w:rPr>
          <w:sz w:val="20"/>
          <w:szCs w:val="20"/>
          <w:color w:val="auto"/>
        </w:rPr>
      </w:pPr>
    </w:p>
    <w:p>
      <w:pPr>
        <w:ind w:left="1820" w:right="1360" w:hanging="904"/>
        <w:spacing w:after="0" w:line="277" w:lineRule="auto"/>
        <w:tabs>
          <w:tab w:leader="none" w:pos="18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subdivision, combination or reclassification.</w:t>
      </w:r>
    </w:p>
    <w:p>
      <w:pPr>
        <w:spacing w:after="0" w:line="170"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color w:val="auto"/>
        </w:rPr>
        <w:t>Any adjustment made under this Section 10.07(a) shall become effective immediately after the opening of business on the Ex-Date for such dividend or distribution, or immediately after the opening of business on the effective date for such subdivision, combination or reclassification, as applicable. If any dividend or distribution of the type described in this Section 10.07(a) is declared but not so paid or made, or the outstanding shares</w:t>
      </w:r>
    </w:p>
    <w:p>
      <w:pPr>
        <w:sectPr>
          <w:pgSz w:w="11900" w:h="16966" w:orient="portrait"/>
          <w:cols w:equalWidth="0" w:num="1">
            <w:col w:w="11420"/>
          </w:cols>
          <w:pgMar w:left="240" w:top="125" w:right="239" w:bottom="0" w:gutter="0" w:footer="0" w:header="0"/>
        </w:sectPr>
      </w:pPr>
    </w:p>
    <w:bookmarkStart w:id="89" w:name="page90"/>
    <w:bookmarkEnd w:id="89"/>
    <w:p>
      <w:pPr>
        <w:jc w:val="both"/>
        <w:ind w:left="4" w:right="140"/>
        <w:spacing w:after="0" w:line="259" w:lineRule="auto"/>
        <w:rPr>
          <w:sz w:val="20"/>
          <w:szCs w:val="20"/>
          <w:color w:val="auto"/>
        </w:rPr>
      </w:pPr>
      <w:r>
        <w:rPr>
          <w:rFonts w:ascii="Arial" w:cs="Arial" w:eastAsia="Arial" w:hAnsi="Arial"/>
          <w:sz w:val="18"/>
          <w:szCs w:val="18"/>
          <w:color w:val="auto"/>
        </w:rPr>
        <w:t>of Common Stock are not subdivided, combined or reclassified, as the case may be, effective as of the date the Board of Directors or a committee thereof determines not to pay such dividend or distribution or to effect such subdivision, combination or reclassification, the Conversion Rate shall again be adjusted to the Conversion Rate that would then be in effect if such dividend or distribution or subdivision, combination or reclassification had not been declared.</w:t>
      </w:r>
    </w:p>
    <w:p>
      <w:pPr>
        <w:spacing w:after="0" w:line="187" w:lineRule="exact"/>
        <w:rPr>
          <w:sz w:val="20"/>
          <w:szCs w:val="20"/>
          <w:color w:val="auto"/>
        </w:rPr>
      </w:pPr>
    </w:p>
    <w:p>
      <w:pPr>
        <w:jc w:val="both"/>
        <w:ind w:left="4" w:right="80" w:hanging="4"/>
        <w:spacing w:after="0" w:line="276" w:lineRule="auto"/>
        <w:tabs>
          <w:tab w:leader="none" w:pos="63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If the Company distributes to all holders of shares of Common Stock rights, options or warrants (other than pursuant to a stockholder rights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rights plan provides for the issuance of such rights with respect to the Common Stock issued upon conversion of the Notes) to purchase shares of Common Stock for a period expiring within 60 days after the record date for such distribution at less than the average of the Closing Prices of Common Stock for the five consecutive Trading Days immediately preceding the public announcement of such distribution, the Conversion Rate shall be increased based on the following formula:</w:t>
      </w:r>
    </w:p>
    <w:p>
      <w:pPr>
        <w:spacing w:after="0" w:line="38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400" w:type="dxa"/>
            <w:vAlign w:val="bottom"/>
            <w:vMerge w:val="restart"/>
          </w:tcPr>
          <w:p>
            <w:pPr>
              <w:ind w:left="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X</w:t>
            </w: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7440" w:type="dxa"/>
            <w:vAlign w:val="bottom"/>
            <w:gridSpan w:val="2"/>
            <w:vMerge w:val="restart"/>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where,</w:t>
            </w: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ind w:left="2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w w:val="96"/>
              </w:rPr>
              <w:t>the Conversion Rate in effect immediately prior to the opening of business on the Ex-Date for such distribution;</w:t>
            </w:r>
          </w:p>
        </w:tc>
        <w:tc>
          <w:tcPr>
            <w:tcW w:w="0" w:type="dxa"/>
            <w:vAlign w:val="bottom"/>
          </w:tcPr>
          <w:p>
            <w:pPr>
              <w:spacing w:after="0"/>
              <w:rPr>
                <w:sz w:val="1"/>
                <w:szCs w:val="1"/>
                <w:color w:val="auto"/>
              </w:rPr>
            </w:pPr>
          </w:p>
        </w:tc>
      </w:tr>
      <w:tr>
        <w:trPr>
          <w:trHeight w:val="432"/>
        </w:trPr>
        <w:tc>
          <w:tcPr>
            <w:tcW w:w="780" w:type="dxa"/>
            <w:vAlign w:val="bottom"/>
          </w:tcPr>
          <w:p>
            <w:pPr>
              <w:ind w:left="2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18"/>
        </w:trPr>
        <w:tc>
          <w:tcPr>
            <w:tcW w:w="780" w:type="dxa"/>
            <w:vAlign w:val="bottom"/>
          </w:tcPr>
          <w:p>
            <w:pPr>
              <w:ind w:left="2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w w:val="95"/>
              </w:rPr>
              <w:t>the number of shares of Common Stock outstanding at the Close of Business on the Business Day immediately</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preceding the Ex-Date for such distribution;</w:t>
            </w:r>
          </w:p>
        </w:tc>
        <w:tc>
          <w:tcPr>
            <w:tcW w:w="0" w:type="dxa"/>
            <w:vAlign w:val="bottom"/>
          </w:tcPr>
          <w:p>
            <w:pPr>
              <w:spacing w:after="0"/>
              <w:rPr>
                <w:sz w:val="1"/>
                <w:szCs w:val="1"/>
                <w:color w:val="auto"/>
              </w:rPr>
            </w:pPr>
          </w:p>
        </w:tc>
      </w:tr>
      <w:tr>
        <w:trPr>
          <w:trHeight w:val="418"/>
        </w:trPr>
        <w:tc>
          <w:tcPr>
            <w:tcW w:w="780" w:type="dxa"/>
            <w:vAlign w:val="bottom"/>
          </w:tcPr>
          <w:p>
            <w:pPr>
              <w:ind w:left="260"/>
              <w:spacing w:after="0"/>
              <w:rPr>
                <w:sz w:val="20"/>
                <w:szCs w:val="20"/>
                <w:color w:val="auto"/>
              </w:rPr>
            </w:pPr>
            <w:r>
              <w:rPr>
                <w:rFonts w:ascii="Arial" w:cs="Arial" w:eastAsia="Arial" w:hAnsi="Arial"/>
                <w:sz w:val="18"/>
                <w:szCs w:val="18"/>
                <w:color w:val="auto"/>
              </w:rPr>
              <w:t>X =</w:t>
            </w: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w w:val="93"/>
              </w:rPr>
              <w:t>the total number of additional shares of Common Stock so offered for purchase pursuant to such rights, options or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0" w:type="dxa"/>
            <w:vAlign w:val="bottom"/>
          </w:tcPr>
          <w:p>
            <w:pPr>
              <w:ind w:left="360"/>
              <w:spacing w:after="0"/>
              <w:rPr>
                <w:sz w:val="20"/>
                <w:szCs w:val="20"/>
                <w:color w:val="auto"/>
              </w:rPr>
            </w:pPr>
            <w:r>
              <w:rPr>
                <w:rFonts w:ascii="Arial" w:cs="Arial" w:eastAsia="Arial" w:hAnsi="Arial"/>
                <w:sz w:val="18"/>
                <w:szCs w:val="18"/>
                <w:color w:val="auto"/>
                <w:w w:val="93"/>
              </w:rPr>
              <w:t>warrants; and</w:t>
            </w:r>
          </w:p>
        </w:tc>
        <w:tc>
          <w:tcPr>
            <w:tcW w:w="94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ind w:left="260"/>
              <w:spacing w:after="0"/>
              <w:rPr>
                <w:sz w:val="20"/>
                <w:szCs w:val="20"/>
                <w:color w:val="auto"/>
              </w:rPr>
            </w:pPr>
            <w:r>
              <w:rPr>
                <w:rFonts w:ascii="Arial" w:cs="Arial" w:eastAsia="Arial" w:hAnsi="Arial"/>
                <w:sz w:val="18"/>
                <w:szCs w:val="18"/>
                <w:color w:val="auto"/>
              </w:rPr>
              <w:t>Y =</w:t>
            </w: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w w:val="92"/>
              </w:rPr>
              <w:t>the number of shares of Common Stock that the aggregate offering price of the total number of shares of Common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w w:val="90"/>
              </w:rPr>
              <w:t>Stock so offered would purchase at the Current Market Price of Common Stock on the first public announcement date</w:t>
            </w:r>
          </w:p>
        </w:tc>
        <w:tc>
          <w:tcPr>
            <w:tcW w:w="0" w:type="dxa"/>
            <w:vAlign w:val="bottom"/>
          </w:tcPr>
          <w:p>
            <w:pPr>
              <w:spacing w:after="0"/>
              <w:rPr>
                <w:sz w:val="1"/>
                <w:szCs w:val="1"/>
                <w:color w:val="auto"/>
              </w:rPr>
            </w:pPr>
          </w:p>
        </w:tc>
      </w:tr>
    </w:tbl>
    <w:p>
      <w:pPr>
        <w:ind w:left="1144" w:right="1160"/>
        <w:spacing w:after="0" w:line="323" w:lineRule="auto"/>
        <w:rPr>
          <w:sz w:val="20"/>
          <w:szCs w:val="20"/>
          <w:color w:val="auto"/>
        </w:rPr>
      </w:pPr>
      <w:r>
        <w:rPr>
          <w:rFonts w:ascii="Arial" w:cs="Arial" w:eastAsia="Arial" w:hAnsi="Arial"/>
          <w:sz w:val="16"/>
          <w:szCs w:val="16"/>
          <w:color w:val="auto"/>
        </w:rPr>
        <w:t>for such distribution (determined by multiplying such total number of shares of Common Stock so offered by the exercise price of such rights, options or warrants and dividing the product so obtained by such Current Market Price).</w:t>
      </w:r>
    </w:p>
    <w:p>
      <w:pPr>
        <w:spacing w:after="0" w:line="139" w:lineRule="exact"/>
        <w:rPr>
          <w:sz w:val="20"/>
          <w:szCs w:val="20"/>
          <w:color w:val="auto"/>
        </w:rPr>
      </w:pPr>
    </w:p>
    <w:p>
      <w:pPr>
        <w:ind w:left="4" w:firstLine="648"/>
        <w:spacing w:after="0" w:line="269" w:lineRule="auto"/>
        <w:rPr>
          <w:sz w:val="20"/>
          <w:szCs w:val="20"/>
          <w:color w:val="auto"/>
        </w:rPr>
      </w:pPr>
      <w:r>
        <w:rPr>
          <w:rFonts w:ascii="Arial" w:cs="Arial" w:eastAsia="Arial" w:hAnsi="Arial"/>
          <w:sz w:val="17"/>
          <w:szCs w:val="17"/>
          <w:color w:val="auto"/>
        </w:rPr>
        <w:t>Any increase made under this Section 10.07(b) shall be made successively whenever any such rights, options or warrants are issued and shall become effective immediately after the opening of business on the Ex-Date for such distribution. However, 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that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Except in connection with any readjustment expressly provided for in this clause, in no event shall the Conversion Rate be decreased pursuant to this Section 10.07(b).</w:t>
      </w:r>
    </w:p>
    <w:p>
      <w:pPr>
        <w:spacing w:after="0" w:line="180" w:lineRule="exact"/>
        <w:rPr>
          <w:sz w:val="20"/>
          <w:szCs w:val="20"/>
          <w:color w:val="auto"/>
        </w:rPr>
      </w:pPr>
    </w:p>
    <w:p>
      <w:pPr>
        <w:ind w:left="4" w:right="20" w:hanging="4"/>
        <w:spacing w:after="0" w:line="264" w:lineRule="auto"/>
        <w:tabs>
          <w:tab w:leader="none" w:pos="6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Company distributes to all holders of shares of Common Stock, any of its Capital Stock, assets (including shares of any Subsidiary of the Company or business unit of the Company) or debt securities or certain rights to purchase securities of the Company (excluding (i) any dividends or distributions described in Section 10.07(a), (ii) any rights,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options or warrants described in Section 10.07(b), (iii) any dividends or other distributions described in Section 10.07(d) and (iv) the initial distribution of rights issued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(such Capital Stock, assets, debt securities or rights to purchase securities of the Company hereinafter in this Section 10.07(c) called the “</w:t>
      </w:r>
      <w:r>
        <w:rPr>
          <w:rFonts w:ascii="Arial" w:cs="Arial" w:eastAsia="Arial" w:hAnsi="Arial"/>
          <w:sz w:val="18"/>
          <w:szCs w:val="18"/>
          <w:b w:val="1"/>
          <w:bCs w:val="1"/>
          <w:color w:val="auto"/>
        </w:rPr>
        <w:t>Distributed Assets</w:t>
      </w:r>
      <w:r>
        <w:rPr>
          <w:rFonts w:ascii="Arial" w:cs="Arial" w:eastAsia="Arial" w:hAnsi="Arial"/>
          <w:sz w:val="18"/>
          <w:szCs w:val="18"/>
          <w:color w:val="auto"/>
        </w:rPr>
        <w:t>”), the Conversion Rate shall be increased based on the following formula:</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6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360" w:type="dxa"/>
            <w:vAlign w:val="bottom"/>
            <w:gridSpan w:val="2"/>
            <w:vMerge w:val="restart"/>
          </w:tcPr>
          <w:p>
            <w:pPr>
              <w:jc w:val="center"/>
              <w:ind w:right="6080"/>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r>
              <w:rPr>
                <w:rFonts w:ascii="Arial" w:cs="Arial" w:eastAsia="Arial" w:hAnsi="Arial"/>
                <w:sz w:val="18"/>
                <w:szCs w:val="18"/>
                <w:color w:val="auto"/>
                <w:w w:val="95"/>
              </w:rPr>
              <w:t xml:space="preserve"> - FMV</w:t>
            </w: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ind w:left="2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4"/>
              </w:rPr>
              <w:t>=</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1"/>
              </w:rPr>
              <w:t>the Conversion Rate in effect immediately prior to the opening of business on the Ex-Date for such distribution;</w:t>
            </w:r>
          </w:p>
        </w:tc>
        <w:tc>
          <w:tcPr>
            <w:tcW w:w="0" w:type="dxa"/>
            <w:vAlign w:val="bottom"/>
          </w:tcPr>
          <w:p>
            <w:pPr>
              <w:spacing w:after="0"/>
              <w:rPr>
                <w:sz w:val="1"/>
                <w:szCs w:val="1"/>
                <w:color w:val="auto"/>
              </w:rPr>
            </w:pPr>
          </w:p>
        </w:tc>
      </w:tr>
      <w:tr>
        <w:trPr>
          <w:trHeight w:val="432"/>
        </w:trPr>
        <w:tc>
          <w:tcPr>
            <w:tcW w:w="580" w:type="dxa"/>
            <w:vAlign w:val="bottom"/>
          </w:tcPr>
          <w:p>
            <w:pPr>
              <w:ind w:left="2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4"/>
              </w:rPr>
              <w:t>=</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18"/>
        </w:trPr>
        <w:tc>
          <w:tcPr>
            <w:tcW w:w="1080" w:type="dxa"/>
            <w:vAlign w:val="bottom"/>
            <w:gridSpan w:val="2"/>
          </w:tcPr>
          <w:p>
            <w:pPr>
              <w:ind w:left="26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3"/>
              </w:rPr>
              <w:t>the Current Market Price of Common Stock on the business day immediately preceding the Ex-Date for such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distribution; and</w:t>
            </w:r>
          </w:p>
        </w:tc>
        <w:tc>
          <w:tcPr>
            <w:tcW w:w="0" w:type="dxa"/>
            <w:vAlign w:val="bottom"/>
          </w:tcPr>
          <w:p>
            <w:pPr>
              <w:spacing w:after="0"/>
              <w:rPr>
                <w:sz w:val="1"/>
                <w:szCs w:val="1"/>
                <w:color w:val="auto"/>
              </w:rPr>
            </w:pPr>
          </w:p>
        </w:tc>
      </w:tr>
    </w:tbl>
    <w:p>
      <w:pPr>
        <w:sectPr>
          <w:pgSz w:w="11900" w:h="16838" w:orient="portrait"/>
          <w:cols w:equalWidth="0" w:num="1">
            <w:col w:w="10764"/>
          </w:cols>
          <w:pgMar w:left="896" w:top="125" w:right="239" w:bottom="0" w:gutter="0" w:footer="0" w:header="0"/>
        </w:sectPr>
      </w:pPr>
    </w:p>
    <w:bookmarkStart w:id="90" w:name="page91"/>
    <w:bookmarkEnd w:id="90"/>
    <w:p>
      <w:pPr>
        <w:ind w:left="2000" w:right="1380" w:hanging="1079"/>
        <w:spacing w:after="0" w:line="277" w:lineRule="auto"/>
        <w:tabs>
          <w:tab w:leader="none" w:pos="198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the Board of Directors, of the portion of Distributed Assets applicable to one share of Common Stock.</w:t>
      </w:r>
    </w:p>
    <w:p>
      <w:pPr>
        <w:spacing w:after="0" w:line="170" w:lineRule="exact"/>
        <w:rPr>
          <w:sz w:val="20"/>
          <w:szCs w:val="20"/>
          <w:color w:val="auto"/>
        </w:rPr>
      </w:pPr>
    </w:p>
    <w:p>
      <w:pPr>
        <w:ind w:left="660" w:right="60" w:firstLine="648"/>
        <w:spacing w:after="0" w:line="255" w:lineRule="auto"/>
        <w:rPr>
          <w:sz w:val="20"/>
          <w:szCs w:val="20"/>
          <w:color w:val="auto"/>
        </w:rPr>
      </w:pPr>
      <w:r>
        <w:rPr>
          <w:rFonts w:ascii="Arial" w:cs="Arial" w:eastAsia="Arial" w:hAnsi="Arial"/>
          <w:sz w:val="18"/>
          <w:szCs w:val="18"/>
          <w:color w:val="auto"/>
        </w:rPr>
        <w:t xml:space="preserve">Such increase shall become effective immediately after the opening of business on the Ex-Date for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“FMV” (as defined in this Section 10.07(c)) is equal to or greater than “CMP</w:t>
      </w:r>
      <w:r>
        <w:rPr>
          <w:rFonts w:ascii="Arial" w:cs="Arial" w:eastAsia="Arial" w:hAnsi="Arial"/>
          <w:sz w:val="11"/>
          <w:szCs w:val="11"/>
          <w:color w:val="auto"/>
        </w:rPr>
        <w:t>0</w:t>
      </w:r>
      <w:r>
        <w:rPr>
          <w:rFonts w:ascii="Arial" w:cs="Arial" w:eastAsia="Arial" w:hAnsi="Arial"/>
          <w:sz w:val="18"/>
          <w:szCs w:val="18"/>
          <w:color w:val="auto"/>
        </w:rPr>
        <w:t>” (as defined in this Section 10.07(c)), in lieu of the foregoing increase, adequate provision shall be made so that each Holder shall receive on the date on which the Distributed Assets are distributed to holders of Common Stock, for each $1,000 principal amount of Notes, the amount of Distributed Assets such Holder would have received had such holder owned a number of shares of Common Stock equal to the Conversion Rate on the record date for such distribution. In the event that such distribution is not so made, the Conversion Rate shall again be adjusted to be the Conversion Rate that would then be in effect if such distribution had not been declared.</w:t>
      </w:r>
    </w:p>
    <w:p>
      <w:pPr>
        <w:spacing w:after="0" w:line="189" w:lineRule="exact"/>
        <w:rPr>
          <w:sz w:val="20"/>
          <w:szCs w:val="20"/>
          <w:color w:val="auto"/>
        </w:rPr>
      </w:pPr>
    </w:p>
    <w:p>
      <w:pPr>
        <w:ind w:left="660" w:right="80" w:firstLine="648"/>
        <w:spacing w:after="0" w:line="257"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10.07(c)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 the definition of “CMP</w:t>
      </w:r>
      <w:r>
        <w:rPr>
          <w:rFonts w:ascii="Arial" w:cs="Arial" w:eastAsia="Arial" w:hAnsi="Arial"/>
          <w:sz w:val="11"/>
          <w:szCs w:val="11"/>
          <w:color w:val="auto"/>
        </w:rPr>
        <w:t>0</w:t>
      </w:r>
      <w:r>
        <w:rPr>
          <w:rFonts w:ascii="Arial" w:cs="Arial" w:eastAsia="Arial" w:hAnsi="Arial"/>
          <w:sz w:val="18"/>
          <w:szCs w:val="18"/>
          <w:color w:val="auto"/>
        </w:rPr>
        <w:t>” in this Section 10.07(c), unless the Board of Directors determines in good faith that determining the fair market value during the Reference Period would not be in the best interest of the Holders.</w:t>
      </w:r>
    </w:p>
    <w:p>
      <w:pPr>
        <w:spacing w:after="0" w:line="188"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Notwithstanding anything to the contrary in this Section 10.07(c), if the Company distributes Capital Stock of, or similar equity interests in, any Subsidiary of the Company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20" w:type="dxa"/>
            <w:vAlign w:val="bottom"/>
            <w:vMerge w:val="restart"/>
          </w:tcPr>
          <w:p>
            <w:pPr>
              <w:ind w:left="9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1000" w:type="dxa"/>
            <w:vAlign w:val="bottom"/>
            <w:vMerge w:val="restart"/>
          </w:tcPr>
          <w:p>
            <w:pPr>
              <w:ind w:left="20"/>
              <w:spacing w:after="0"/>
              <w:rPr>
                <w:sz w:val="20"/>
                <w:szCs w:val="20"/>
                <w:color w:val="auto"/>
              </w:rPr>
            </w:pPr>
            <w:r>
              <w:rPr>
                <w:rFonts w:ascii="Arial" w:cs="Arial" w:eastAsia="Arial" w:hAnsi="Arial"/>
                <w:sz w:val="18"/>
                <w:szCs w:val="18"/>
                <w:color w:val="auto"/>
              </w:rPr>
              <w:t>=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FMV</w:t>
            </w:r>
            <w:r>
              <w:rPr>
                <w:rFonts w:ascii="Arial" w:cs="Arial" w:eastAsia="Arial" w:hAnsi="Arial"/>
                <w:sz w:val="11"/>
                <w:szCs w:val="11"/>
                <w:color w:val="auto"/>
                <w:w w:val="96"/>
              </w:rPr>
              <w:t>0</w:t>
            </w:r>
            <w:r>
              <w:rPr>
                <w:rFonts w:ascii="Arial" w:cs="Arial" w:eastAsia="Arial" w:hAnsi="Arial"/>
                <w:sz w:val="18"/>
                <w:szCs w:val="18"/>
                <w:color w:val="auto"/>
                <w:w w:val="96"/>
              </w:rPr>
              <w:t xml:space="preserve"> + MP</w:t>
            </w:r>
            <w:r>
              <w:rPr>
                <w:rFonts w:ascii="Arial" w:cs="Arial" w:eastAsia="Arial" w:hAnsi="Arial"/>
                <w:sz w:val="11"/>
                <w:szCs w:val="11"/>
                <w:color w:val="auto"/>
                <w:w w:val="96"/>
              </w:rPr>
              <w:t>0</w:t>
            </w: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20" w:type="dxa"/>
            <w:vAlign w:val="bottom"/>
            <w:gridSpan w:val="2"/>
            <w:vMerge w:val="restart"/>
          </w:tcPr>
          <w:p>
            <w:pPr>
              <w:jc w:val="center"/>
              <w:ind w:right="6700"/>
              <w:spacing w:after="0"/>
              <w:rPr>
                <w:sz w:val="20"/>
                <w:szCs w:val="20"/>
                <w:color w:val="auto"/>
              </w:rPr>
            </w:pPr>
            <w:r>
              <w:rPr>
                <w:rFonts w:ascii="Arial" w:cs="Arial" w:eastAsia="Arial" w:hAnsi="Arial"/>
                <w:sz w:val="18"/>
                <w:szCs w:val="18"/>
                <w:color w:val="auto"/>
                <w:w w:val="96"/>
              </w:rPr>
              <w:t>MP</w:t>
            </w:r>
            <w:r>
              <w:rPr>
                <w:rFonts w:ascii="Arial" w:cs="Arial" w:eastAsia="Arial" w:hAnsi="Arial"/>
                <w:sz w:val="11"/>
                <w:szCs w:val="11"/>
                <w:color w:val="auto"/>
                <w:w w:val="96"/>
              </w:rPr>
              <w:t>0</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where,</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20" w:type="dxa"/>
            <w:vAlign w:val="bottom"/>
          </w:tcPr>
          <w:p>
            <w:pPr>
              <w:ind w:left="2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w w:val="91"/>
              </w:rPr>
              <w:t>the Conversion Rate in effect immediately prior to the opening of business on the 15th Trading Day immediately following</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rPr>
              <w:t>the Ex-Date for such Spin-Off;</w:t>
            </w:r>
          </w:p>
        </w:tc>
        <w:tc>
          <w:tcPr>
            <w:tcW w:w="0" w:type="dxa"/>
            <w:vAlign w:val="bottom"/>
          </w:tcPr>
          <w:p>
            <w:pPr>
              <w:spacing w:after="0"/>
              <w:rPr>
                <w:sz w:val="1"/>
                <w:szCs w:val="1"/>
                <w:color w:val="auto"/>
              </w:rPr>
            </w:pPr>
          </w:p>
        </w:tc>
      </w:tr>
      <w:tr>
        <w:trPr>
          <w:trHeight w:val="432"/>
        </w:trPr>
        <w:tc>
          <w:tcPr>
            <w:tcW w:w="1220" w:type="dxa"/>
            <w:vAlign w:val="bottom"/>
          </w:tcPr>
          <w:p>
            <w:pPr>
              <w:ind w:left="2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rPr>
              <w:t>the Conversion Rate in effect immediately after the opening of business on the Ex-Date for such Spin-Off;</w:t>
            </w:r>
          </w:p>
        </w:tc>
        <w:tc>
          <w:tcPr>
            <w:tcW w:w="0" w:type="dxa"/>
            <w:vAlign w:val="bottom"/>
          </w:tcPr>
          <w:p>
            <w:pPr>
              <w:spacing w:after="0"/>
              <w:rPr>
                <w:sz w:val="1"/>
                <w:szCs w:val="1"/>
                <w:color w:val="auto"/>
              </w:rPr>
            </w:pPr>
          </w:p>
        </w:tc>
      </w:tr>
      <w:tr>
        <w:trPr>
          <w:trHeight w:val="418"/>
        </w:trPr>
        <w:tc>
          <w:tcPr>
            <w:tcW w:w="1220" w:type="dxa"/>
            <w:vAlign w:val="bottom"/>
          </w:tcPr>
          <w:p>
            <w:pPr>
              <w:ind w:left="260"/>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w w:val="94"/>
              </w:rPr>
              <w:t>the average of the Closing Prices of the Capital Stock or similar equity interest distributed to holders of Common Stock</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w w:val="97"/>
              </w:rPr>
              <w:t>applicable to one share of Common Stock over the ten consecutive Trading Day period immediately following, and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rPr>
              <w:t>including, the fifth Trading Day after the Ex-Date for such Spin-Off; and</w:t>
            </w:r>
          </w:p>
        </w:tc>
        <w:tc>
          <w:tcPr>
            <w:tcW w:w="0" w:type="dxa"/>
            <w:vAlign w:val="bottom"/>
          </w:tcPr>
          <w:p>
            <w:pPr>
              <w:spacing w:after="0"/>
              <w:rPr>
                <w:sz w:val="1"/>
                <w:szCs w:val="1"/>
                <w:color w:val="auto"/>
              </w:rPr>
            </w:pPr>
          </w:p>
        </w:tc>
      </w:tr>
      <w:tr>
        <w:trPr>
          <w:trHeight w:val="418"/>
        </w:trPr>
        <w:tc>
          <w:tcPr>
            <w:tcW w:w="1220" w:type="dxa"/>
            <w:vAlign w:val="bottom"/>
          </w:tcPr>
          <w:p>
            <w:pPr>
              <w:ind w:left="260"/>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w w:val="93"/>
              </w:rPr>
              <w:t>the average of the Closing Prices of Common Stock over the ten consecutive Trading Day period immediately following,</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020" w:type="dxa"/>
            <w:vAlign w:val="bottom"/>
            <w:gridSpan w:val="3"/>
          </w:tcPr>
          <w:p>
            <w:pPr>
              <w:ind w:left="140"/>
              <w:spacing w:after="0"/>
              <w:rPr>
                <w:sz w:val="20"/>
                <w:szCs w:val="20"/>
                <w:color w:val="auto"/>
              </w:rPr>
            </w:pPr>
            <w:r>
              <w:rPr>
                <w:rFonts w:ascii="Arial" w:cs="Arial" w:eastAsia="Arial" w:hAnsi="Arial"/>
                <w:sz w:val="18"/>
                <w:szCs w:val="18"/>
                <w:color w:val="auto"/>
              </w:rPr>
              <w:t>and including, the fifth Trading Day after the Ex-Date for such Spin-Off.</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color w:val="auto"/>
        </w:rPr>
        <w:t>Any adjustment pursuant to the preceding paragraph shall be determined on the last Trading Day of such ten consecutive Trading Day period but shall be given effect immediately after the opening of business on the Ex-Date for the Spin-Off. In no event shall the Conversion Rate be decreased pursuant to this Section 10.07(c).</w:t>
      </w:r>
    </w:p>
    <w:p>
      <w:pPr>
        <w:spacing w:after="0" w:line="181" w:lineRule="exact"/>
        <w:rPr>
          <w:sz w:val="20"/>
          <w:szCs w:val="20"/>
          <w:color w:val="auto"/>
        </w:rPr>
      </w:pPr>
    </w:p>
    <w:p>
      <w:pPr>
        <w:ind w:left="660" w:right="140" w:hanging="4"/>
        <w:spacing w:after="0" w:line="264" w:lineRule="auto"/>
        <w:tabs>
          <w:tab w:leader="none" w:pos="129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Company distributes dividends or makes other distributions paid entirely in Cash to all or substantially all holders of Common Stock, other than (i) distributions described in Section 10.07(e) or (ii) any dividend or distribution in connection with the Company’s liquidation, dissolution or winding up, the Conversion Rate shall be increased based on the following formula: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vMerge w:val="restart"/>
          </w:tcPr>
          <w:p>
            <w:pPr>
              <w:ind w:left="15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2"/>
              </w:rPr>
              <w:t>= CR</w:t>
            </w:r>
            <w:r>
              <w:rPr>
                <w:rFonts w:ascii="Arial" w:cs="Arial" w:eastAsia="Arial" w:hAnsi="Arial"/>
                <w:sz w:val="11"/>
                <w:szCs w:val="11"/>
                <w:color w:val="auto"/>
                <w:w w:val="92"/>
              </w:rPr>
              <w:t>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7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8580" w:type="dxa"/>
            <w:vAlign w:val="bottom"/>
            <w:gridSpan w:val="2"/>
            <w:vMerge w:val="restart"/>
          </w:tcPr>
          <w:p>
            <w:pPr>
              <w:jc w:val="center"/>
              <w:ind w:right="7540"/>
              <w:spacing w:after="0"/>
              <w:rPr>
                <w:sz w:val="20"/>
                <w:szCs w:val="20"/>
                <w:color w:val="auto"/>
              </w:rPr>
            </w:pPr>
            <w:r>
              <w:rPr>
                <w:rFonts w:ascii="Arial" w:cs="Arial" w:eastAsia="Arial" w:hAnsi="Arial"/>
                <w:sz w:val="18"/>
                <w:szCs w:val="18"/>
                <w:color w:val="auto"/>
                <w:w w:val="90"/>
              </w:rPr>
              <w:t>CMP</w:t>
            </w:r>
            <w:r>
              <w:rPr>
                <w:rFonts w:ascii="Arial" w:cs="Arial" w:eastAsia="Arial" w:hAnsi="Arial"/>
                <w:sz w:val="11"/>
                <w:szCs w:val="11"/>
                <w:color w:val="auto"/>
                <w:w w:val="90"/>
              </w:rPr>
              <w:t>0</w:t>
            </w:r>
            <w:r>
              <w:rPr>
                <w:rFonts w:ascii="Arial" w:cs="Arial" w:eastAsia="Arial" w:hAnsi="Arial"/>
                <w:sz w:val="18"/>
                <w:szCs w:val="18"/>
                <w:color w:val="auto"/>
                <w:w w:val="90"/>
              </w:rPr>
              <w:t xml:space="preserve"> - C</w:t>
            </w:r>
          </w:p>
        </w:tc>
        <w:tc>
          <w:tcPr>
            <w:tcW w:w="0" w:type="dxa"/>
            <w:vAlign w:val="bottom"/>
          </w:tcPr>
          <w:p>
            <w:pPr>
              <w:spacing w:after="0"/>
              <w:rPr>
                <w:sz w:val="1"/>
                <w:szCs w:val="1"/>
                <w:color w:val="auto"/>
              </w:rPr>
            </w:pPr>
          </w:p>
        </w:tc>
      </w:tr>
      <w:tr>
        <w:trPr>
          <w:trHeight w:val="136"/>
        </w:trPr>
        <w:tc>
          <w:tcPr>
            <w:tcW w:w="1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880" w:type="dxa"/>
            <w:vAlign w:val="bottom"/>
          </w:tcPr>
          <w:p>
            <w:pPr>
              <w:ind w:left="660"/>
              <w:spacing w:after="0"/>
              <w:rPr>
                <w:sz w:val="20"/>
                <w:szCs w:val="20"/>
                <w:color w:val="auto"/>
              </w:rPr>
            </w:pPr>
            <w:r>
              <w:rPr>
                <w:rFonts w:ascii="Arial" w:cs="Arial" w:eastAsia="Arial" w:hAnsi="Arial"/>
                <w:sz w:val="18"/>
                <w:szCs w:val="18"/>
                <w:color w:val="auto"/>
              </w:rPr>
              <w:t>where,</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880" w:type="dxa"/>
            <w:vAlign w:val="bottom"/>
          </w:tcPr>
          <w:p>
            <w:pPr>
              <w:ind w:left="98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480" w:type="dxa"/>
            <w:vAlign w:val="bottom"/>
          </w:tcPr>
          <w:p>
            <w:pPr>
              <w:spacing w:after="0"/>
              <w:rPr>
                <w:sz w:val="24"/>
                <w:szCs w:val="24"/>
                <w:color w:val="auto"/>
              </w:rPr>
            </w:pPr>
          </w:p>
        </w:tc>
        <w:tc>
          <w:tcPr>
            <w:tcW w:w="9100" w:type="dxa"/>
            <w:vAlign w:val="bottom"/>
            <w:gridSpan w:val="3"/>
          </w:tcPr>
          <w:p>
            <w:pPr>
              <w:ind w:left="20"/>
              <w:spacing w:after="0"/>
              <w:rPr>
                <w:sz w:val="20"/>
                <w:szCs w:val="20"/>
                <w:color w:val="auto"/>
              </w:rPr>
            </w:pPr>
            <w:r>
              <w:rPr>
                <w:rFonts w:ascii="Arial" w:cs="Arial" w:eastAsia="Arial" w:hAnsi="Arial"/>
                <w:sz w:val="18"/>
                <w:szCs w:val="18"/>
                <w:color w:val="auto"/>
              </w:rPr>
              <w:t>the Conversion Rate in effect immediately prior to the opening of business on the Ex-Date for such dividend or</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100" w:type="dxa"/>
            <w:vAlign w:val="bottom"/>
            <w:gridSpan w:val="3"/>
          </w:tcPr>
          <w:p>
            <w:pPr>
              <w:ind w:left="2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432"/>
        </w:trPr>
        <w:tc>
          <w:tcPr>
            <w:tcW w:w="1880" w:type="dxa"/>
            <w:vAlign w:val="bottom"/>
          </w:tcPr>
          <w:p>
            <w:pPr>
              <w:ind w:left="98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480" w:type="dxa"/>
            <w:vAlign w:val="bottom"/>
          </w:tcPr>
          <w:p>
            <w:pPr>
              <w:spacing w:after="0"/>
              <w:rPr>
                <w:sz w:val="24"/>
                <w:szCs w:val="24"/>
                <w:color w:val="auto"/>
              </w:rPr>
            </w:pPr>
          </w:p>
        </w:tc>
        <w:tc>
          <w:tcPr>
            <w:tcW w:w="9100" w:type="dxa"/>
            <w:vAlign w:val="bottom"/>
            <w:gridSpan w:val="3"/>
          </w:tcPr>
          <w:p>
            <w:pPr>
              <w:ind w:left="2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18"/>
        </w:trPr>
        <w:tc>
          <w:tcPr>
            <w:tcW w:w="1880" w:type="dxa"/>
            <w:vAlign w:val="bottom"/>
          </w:tcPr>
          <w:p>
            <w:pPr>
              <w:ind w:left="98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480" w:type="dxa"/>
            <w:vAlign w:val="bottom"/>
          </w:tcPr>
          <w:p>
            <w:pPr>
              <w:spacing w:after="0"/>
              <w:rPr>
                <w:sz w:val="24"/>
                <w:szCs w:val="24"/>
                <w:color w:val="auto"/>
              </w:rPr>
            </w:pPr>
          </w:p>
        </w:tc>
        <w:tc>
          <w:tcPr>
            <w:tcW w:w="9100" w:type="dxa"/>
            <w:vAlign w:val="bottom"/>
            <w:gridSpan w:val="3"/>
          </w:tcPr>
          <w:p>
            <w:pPr>
              <w:ind w:left="20"/>
              <w:spacing w:after="0"/>
              <w:rPr>
                <w:sz w:val="20"/>
                <w:szCs w:val="20"/>
                <w:color w:val="auto"/>
              </w:rPr>
            </w:pPr>
            <w:r>
              <w:rPr>
                <w:rFonts w:ascii="Arial" w:cs="Arial" w:eastAsia="Arial" w:hAnsi="Arial"/>
                <w:sz w:val="18"/>
                <w:szCs w:val="18"/>
                <w:color w:val="auto"/>
                <w:w w:val="94"/>
              </w:rPr>
              <w:t>the Current Market Price of Common Stock on the Business Day immediately preceding the Ex-Date for such dividend or</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100" w:type="dxa"/>
            <w:vAlign w:val="bottom"/>
            <w:gridSpan w:val="3"/>
          </w:tcPr>
          <w:p>
            <w:pPr>
              <w:ind w:left="20"/>
              <w:spacing w:after="0"/>
              <w:rPr>
                <w:sz w:val="20"/>
                <w:szCs w:val="20"/>
                <w:color w:val="auto"/>
              </w:rPr>
            </w:pPr>
            <w:r>
              <w:rPr>
                <w:rFonts w:ascii="Arial" w:cs="Arial" w:eastAsia="Arial" w:hAnsi="Arial"/>
                <w:sz w:val="18"/>
                <w:szCs w:val="18"/>
                <w:color w:val="auto"/>
              </w:rPr>
              <w:t>distribution; and</w:t>
            </w: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80" w:type="dxa"/>
            <w:vAlign w:val="bottom"/>
            <w:gridSpan w:val="2"/>
          </w:tcPr>
          <w:p>
            <w:pPr>
              <w:jc w:val="right"/>
              <w:ind w:right="56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32"/>
        </w:trPr>
        <w:tc>
          <w:tcPr>
            <w:tcW w:w="1880" w:type="dxa"/>
            <w:vAlign w:val="bottom"/>
            <w:tcBorders>
              <w:bottom w:val="single" w:sz="8" w:color="010101"/>
            </w:tcBorders>
          </w:tcPr>
          <w:p>
            <w:pPr>
              <w:spacing w:after="0"/>
              <w:rPr>
                <w:sz w:val="11"/>
                <w:szCs w:val="11"/>
                <w:color w:val="auto"/>
              </w:rPr>
            </w:pPr>
          </w:p>
        </w:tc>
        <w:tc>
          <w:tcPr>
            <w:tcW w:w="9580" w:type="dxa"/>
            <w:vAlign w:val="bottom"/>
            <w:tcBorders>
              <w:bottom w:val="single" w:sz="8" w:color="010101"/>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880" w:type="dxa"/>
            <w:vAlign w:val="bottom"/>
          </w:tcPr>
          <w:p>
            <w:pPr>
              <w:ind w:left="700"/>
              <w:spacing w:after="0"/>
              <w:rPr>
                <w:sz w:val="20"/>
                <w:szCs w:val="20"/>
                <w:color w:val="auto"/>
              </w:rPr>
            </w:pPr>
            <w:r>
              <w:rPr>
                <w:rFonts w:ascii="Arial" w:cs="Arial" w:eastAsia="Arial" w:hAnsi="Arial"/>
                <w:sz w:val="18"/>
                <w:szCs w:val="18"/>
                <w:color w:val="auto"/>
              </w:rPr>
              <w:t>C =</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the amount in Cash per share of such dividend or distribution.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60" w:firstLine="648"/>
        <w:spacing w:after="0" w:line="297"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or dividend;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 (as defined in this Section 10.07(d)) is equal to or greater than “CMP</w:t>
      </w:r>
      <w:r>
        <w:rPr>
          <w:rFonts w:ascii="Arial" w:cs="Arial" w:eastAsia="Arial" w:hAnsi="Arial"/>
          <w:sz w:val="10"/>
          <w:szCs w:val="10"/>
          <w:color w:val="auto"/>
        </w:rPr>
        <w:t>0</w:t>
      </w:r>
      <w:r>
        <w:rPr>
          <w:rFonts w:ascii="Arial" w:cs="Arial" w:eastAsia="Arial" w:hAnsi="Arial"/>
          <w:sz w:val="16"/>
          <w:szCs w:val="16"/>
          <w:color w:val="auto"/>
        </w:rPr>
        <w:t>” (as defined in this Section 10.07(d)), in lieu of the foregoing increase, adequate provision shall be made so that each Holder shall have the right to receive on the date on which the relevant Cash dividend or distribution is distributed to holders of Common Stock, for each $1,000 principal amount of Notes upon conversion, at the same time and upon the same terms as holders of shares of Common Stock, the amount of Cash such Holder would have received had such Holder owned a number of shares</w:t>
      </w:r>
    </w:p>
    <w:p>
      <w:pPr>
        <w:sectPr>
          <w:pgSz w:w="11900" w:h="16838" w:orient="portrait"/>
          <w:cols w:equalWidth="0" w:num="1">
            <w:col w:w="11460"/>
          </w:cols>
          <w:pgMar w:left="240" w:top="125" w:right="199" w:bottom="0" w:gutter="0" w:footer="0" w:header="0"/>
        </w:sectPr>
      </w:pPr>
    </w:p>
    <w:bookmarkStart w:id="91" w:name="page92"/>
    <w:bookmarkEnd w:id="91"/>
    <w:p>
      <w:pPr>
        <w:ind w:left="660" w:right="200"/>
        <w:spacing w:after="0" w:line="259" w:lineRule="auto"/>
        <w:rPr>
          <w:sz w:val="20"/>
          <w:szCs w:val="20"/>
          <w:color w:val="auto"/>
        </w:rPr>
      </w:pPr>
      <w:r>
        <w:rPr>
          <w:rFonts w:ascii="Arial" w:cs="Arial" w:eastAsia="Arial" w:hAnsi="Arial"/>
          <w:sz w:val="18"/>
          <w:szCs w:val="18"/>
          <w:color w:val="auto"/>
        </w:rPr>
        <w:t>equal to the Conversion Rate on the record date for such dividend or distribution. In the event that such distribution or dividend is not so made, the Conversion Rate shall again be adjusted to be the Conversion Rate that would then be in effect if such dividend or distribution had not been declared. Except in connection with any readjustment expressly provided for in the immediately preceding sentence, in no event shall the Conversion Rate be decreased pursuant to this Section 10.07(d).</w:t>
      </w:r>
    </w:p>
    <w:p>
      <w:pPr>
        <w:spacing w:after="0" w:line="187" w:lineRule="exact"/>
        <w:rPr>
          <w:sz w:val="20"/>
          <w:szCs w:val="20"/>
          <w:color w:val="auto"/>
        </w:rPr>
      </w:pPr>
    </w:p>
    <w:p>
      <w:pPr>
        <w:ind w:left="660" w:right="80" w:hanging="4"/>
        <w:spacing w:after="0" w:line="302" w:lineRule="auto"/>
        <w:tabs>
          <w:tab w:leader="none" w:pos="135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the Company or any of its Subsidiaries distribute Cash or other consideration in respect of a tender offer or exchange offer for Common Stock, where such Cash and the value of any such other consideration per share of Common Stock validly tendered or exchanged exceeds the Closing Price of Common Stock on the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 Conversion Rate shall be increased based on the following formula: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3"/>
          </w:tcPr>
          <w:p>
            <w:pPr>
              <w:ind w:left="98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 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8180" w:type="dxa"/>
            <w:vAlign w:val="bottom"/>
            <w:gridSpan w:val="2"/>
          </w:tcPr>
          <w:p>
            <w:pPr>
              <w:jc w:val="center"/>
              <w:ind w:right="6320"/>
              <w:spacing w:after="0"/>
              <w:rPr>
                <w:sz w:val="20"/>
                <w:szCs w:val="20"/>
                <w:color w:val="auto"/>
              </w:rPr>
            </w:pPr>
            <w:r>
              <w:rPr>
                <w:rFonts w:ascii="Arial" w:cs="Arial" w:eastAsia="Arial" w:hAnsi="Arial"/>
                <w:sz w:val="18"/>
                <w:szCs w:val="18"/>
                <w:color w:val="auto"/>
                <w:w w:val="95"/>
              </w:rPr>
              <w:t>FMV + (OS</w:t>
            </w:r>
            <w:r>
              <w:rPr>
                <w:rFonts w:ascii="Arial" w:cs="Arial" w:eastAsia="Arial" w:hAnsi="Arial"/>
                <w:sz w:val="11"/>
                <w:szCs w:val="11"/>
                <w:color w:val="auto"/>
                <w:w w:val="95"/>
              </w:rPr>
              <w:t>1</w:t>
            </w:r>
            <w:r>
              <w:rPr>
                <w:rFonts w:ascii="Arial" w:cs="Arial" w:eastAsia="Arial" w:hAnsi="Arial"/>
                <w:sz w:val="18"/>
                <w:szCs w:val="18"/>
                <w:color w:val="auto"/>
                <w:w w:val="95"/>
              </w:rPr>
              <w:t xml:space="preserve"> x CP</w:t>
            </w:r>
            <w:r>
              <w:rPr>
                <w:rFonts w:ascii="Arial" w:cs="Arial" w:eastAsia="Arial" w:hAnsi="Arial"/>
                <w:sz w:val="11"/>
                <w:szCs w:val="11"/>
                <w:color w:val="auto"/>
                <w:w w:val="95"/>
              </w:rPr>
              <w:t>1</w:t>
            </w:r>
            <w:r>
              <w:rPr>
                <w:rFonts w:ascii="Arial" w:cs="Arial" w:eastAsia="Arial" w:hAnsi="Arial"/>
                <w:sz w:val="18"/>
                <w:szCs w:val="18"/>
                <w:color w:val="auto"/>
                <w:w w:val="95"/>
              </w:rPr>
              <w:t>)</w:t>
            </w:r>
          </w:p>
        </w:tc>
      </w:tr>
      <w:tr>
        <w:trPr>
          <w:trHeight w:val="224"/>
        </w:trPr>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89"/>
              </w:rPr>
              <w:t>OS</w:t>
            </w:r>
            <w:r>
              <w:rPr>
                <w:rFonts w:ascii="Arial" w:cs="Arial" w:eastAsia="Arial" w:hAnsi="Arial"/>
                <w:sz w:val="11"/>
                <w:szCs w:val="11"/>
                <w:color w:val="auto"/>
                <w:w w:val="89"/>
              </w:rPr>
              <w:t>0</w:t>
            </w:r>
            <w:r>
              <w:rPr>
                <w:rFonts w:ascii="Arial" w:cs="Arial" w:eastAsia="Arial" w:hAnsi="Arial"/>
                <w:sz w:val="18"/>
                <w:szCs w:val="18"/>
                <w:color w:val="auto"/>
                <w:w w:val="89"/>
              </w:rPr>
              <w:t xml:space="preserve"> x CP</w:t>
            </w:r>
            <w:r>
              <w:rPr>
                <w:rFonts w:ascii="Arial" w:cs="Arial" w:eastAsia="Arial" w:hAnsi="Arial"/>
                <w:sz w:val="11"/>
                <w:szCs w:val="11"/>
                <w:color w:val="auto"/>
                <w:w w:val="89"/>
              </w:rPr>
              <w:t>1</w:t>
            </w:r>
          </w:p>
        </w:tc>
        <w:tc>
          <w:tcPr>
            <w:tcW w:w="5760" w:type="dxa"/>
            <w:vAlign w:val="bottom"/>
          </w:tcPr>
          <w:p>
            <w:pPr>
              <w:spacing w:after="0"/>
              <w:rPr>
                <w:sz w:val="19"/>
                <w:szCs w:val="19"/>
                <w:color w:val="auto"/>
              </w:rPr>
            </w:pPr>
          </w:p>
        </w:tc>
      </w:tr>
      <w:tr>
        <w:trPr>
          <w:trHeight w:val="418"/>
        </w:trPr>
        <w:tc>
          <w:tcPr>
            <w:tcW w:w="1600" w:type="dxa"/>
            <w:vAlign w:val="bottom"/>
          </w:tcPr>
          <w:p>
            <w:pPr>
              <w:ind w:left="660"/>
              <w:spacing w:after="0"/>
              <w:rPr>
                <w:sz w:val="20"/>
                <w:szCs w:val="20"/>
                <w:color w:val="auto"/>
              </w:rPr>
            </w:pPr>
            <w:r>
              <w:rPr>
                <w:rFonts w:ascii="Arial" w:cs="Arial" w:eastAsia="Arial" w:hAnsi="Arial"/>
                <w:sz w:val="18"/>
                <w:szCs w:val="18"/>
                <w:color w:val="auto"/>
              </w:rPr>
              <w:t>where,</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418"/>
        </w:trPr>
        <w:tc>
          <w:tcPr>
            <w:tcW w:w="1600" w:type="dxa"/>
            <w:vAlign w:val="bottom"/>
          </w:tcPr>
          <w:p>
            <w:pPr>
              <w:ind w:left="80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w w:val="92"/>
              </w:rPr>
              <w:t>the Conversion Rate in effect immediately prior to the opening of business on the Business Day immediately following the Trading</w:t>
            </w:r>
          </w:p>
        </w:tc>
      </w:tr>
      <w:tr>
        <w:trPr>
          <w:trHeight w:val="230"/>
        </w:trPr>
        <w:tc>
          <w:tcPr>
            <w:tcW w:w="1600" w:type="dxa"/>
            <w:vAlign w:val="bottom"/>
          </w:tcPr>
          <w:p>
            <w:pPr>
              <w:spacing w:after="0"/>
              <w:rPr>
                <w:sz w:val="20"/>
                <w:szCs w:val="20"/>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Day immediately following the Expiration Date;</w:t>
            </w:r>
          </w:p>
        </w:tc>
      </w:tr>
      <w:tr>
        <w:trPr>
          <w:trHeight w:val="418"/>
        </w:trPr>
        <w:tc>
          <w:tcPr>
            <w:tcW w:w="1600" w:type="dxa"/>
            <w:vAlign w:val="bottom"/>
          </w:tcPr>
          <w:p>
            <w:pPr>
              <w:ind w:left="78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w w:val="93"/>
              </w:rPr>
              <w:t>the Conversion Rate in effect immediately prior to the opening of business on the second Trading Day immediately following the</w:t>
            </w:r>
          </w:p>
        </w:tc>
      </w:tr>
      <w:tr>
        <w:trPr>
          <w:trHeight w:val="230"/>
        </w:trPr>
        <w:tc>
          <w:tcPr>
            <w:tcW w:w="1600" w:type="dxa"/>
            <w:vAlign w:val="bottom"/>
          </w:tcPr>
          <w:p>
            <w:pPr>
              <w:spacing w:after="0"/>
              <w:rPr>
                <w:sz w:val="20"/>
                <w:szCs w:val="20"/>
                <w:color w:val="auto"/>
              </w:rPr>
            </w:pP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Expiration Date;</w:t>
            </w:r>
          </w:p>
        </w:tc>
        <w:tc>
          <w:tcPr>
            <w:tcW w:w="24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18"/>
        </w:trPr>
        <w:tc>
          <w:tcPr>
            <w:tcW w:w="1600" w:type="dxa"/>
            <w:vAlign w:val="bottom"/>
          </w:tcPr>
          <w:p>
            <w:pPr>
              <w:ind w:left="780"/>
              <w:spacing w:after="0"/>
              <w:rPr>
                <w:sz w:val="20"/>
                <w:szCs w:val="20"/>
                <w:color w:val="auto"/>
              </w:rPr>
            </w:pPr>
            <w:r>
              <w:rPr>
                <w:rFonts w:ascii="Arial" w:cs="Arial" w:eastAsia="Arial" w:hAnsi="Arial"/>
                <w:sz w:val="18"/>
                <w:szCs w:val="18"/>
                <w:color w:val="auto"/>
              </w:rPr>
              <w:t>FMV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w w:val="93"/>
              </w:rPr>
              <w:t>the fair market value, as determined by the Board of Directors, of the aggregate consideration payable for all shares of Common</w:t>
            </w:r>
          </w:p>
        </w:tc>
      </w:tr>
      <w:tr>
        <w:trPr>
          <w:trHeight w:val="230"/>
        </w:trPr>
        <w:tc>
          <w:tcPr>
            <w:tcW w:w="1600" w:type="dxa"/>
            <w:vAlign w:val="bottom"/>
          </w:tcPr>
          <w:p>
            <w:pPr>
              <w:spacing w:after="0"/>
              <w:rPr>
                <w:sz w:val="20"/>
                <w:szCs w:val="20"/>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Stock that the Company purchases in such tender or exchange offer;</w:t>
            </w:r>
          </w:p>
        </w:tc>
      </w:tr>
      <w:tr>
        <w:trPr>
          <w:trHeight w:val="418"/>
        </w:trPr>
        <w:tc>
          <w:tcPr>
            <w:tcW w:w="1600" w:type="dxa"/>
            <w:vAlign w:val="bottom"/>
          </w:tcPr>
          <w:p>
            <w:pPr>
              <w:ind w:left="7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w w:val="94"/>
              </w:rPr>
              <w:t>the number of shares of Common Stock outstanding immediately prior to giving effect to the purchase of all shares accepted for</w:t>
            </w:r>
          </w:p>
        </w:tc>
      </w:tr>
      <w:tr>
        <w:trPr>
          <w:trHeight w:val="230"/>
        </w:trPr>
        <w:tc>
          <w:tcPr>
            <w:tcW w:w="1600" w:type="dxa"/>
            <w:vAlign w:val="bottom"/>
          </w:tcPr>
          <w:p>
            <w:pPr>
              <w:spacing w:after="0"/>
              <w:rPr>
                <w:sz w:val="20"/>
                <w:szCs w:val="20"/>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purchase or exchange in such tender offer or exchange offer;</w:t>
            </w:r>
          </w:p>
        </w:tc>
      </w:tr>
      <w:tr>
        <w:trPr>
          <w:trHeight w:val="432"/>
        </w:trPr>
        <w:tc>
          <w:tcPr>
            <w:tcW w:w="1600" w:type="dxa"/>
            <w:vAlign w:val="bottom"/>
          </w:tcPr>
          <w:p>
            <w:pPr>
              <w:ind w:left="7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the number of shares of Common Stock outstanding immediately after giving</w:t>
            </w:r>
          </w:p>
        </w:tc>
      </w:tr>
      <w:tr>
        <w:trPr>
          <w:trHeight w:val="432"/>
        </w:trPr>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80" w:type="dxa"/>
            <w:vAlign w:val="bottom"/>
            <w:gridSpan w:val="2"/>
          </w:tcPr>
          <w:p>
            <w:pPr>
              <w:jc w:val="right"/>
              <w:ind w:right="5660"/>
              <w:spacing w:after="0"/>
              <w:rPr>
                <w:sz w:val="20"/>
                <w:szCs w:val="20"/>
                <w:color w:val="auto"/>
              </w:rPr>
            </w:pPr>
            <w:r>
              <w:rPr>
                <w:rFonts w:ascii="Arial" w:cs="Arial" w:eastAsia="Arial" w:hAnsi="Arial"/>
                <w:sz w:val="18"/>
                <w:szCs w:val="18"/>
                <w:color w:val="auto"/>
              </w:rPr>
              <w:t>52</w:t>
            </w:r>
          </w:p>
        </w:tc>
      </w:tr>
      <w:tr>
        <w:trPr>
          <w:trHeight w:val="132"/>
        </w:trPr>
        <w:tc>
          <w:tcPr>
            <w:tcW w:w="1600" w:type="dxa"/>
            <w:vAlign w:val="bottom"/>
            <w:tcBorders>
              <w:bottom w:val="single" w:sz="8" w:color="010101"/>
            </w:tcBorders>
          </w:tcPr>
          <w:p>
            <w:pPr>
              <w:spacing w:after="0"/>
              <w:rPr>
                <w:sz w:val="11"/>
                <w:szCs w:val="11"/>
                <w:color w:val="auto"/>
              </w:rPr>
            </w:pPr>
          </w:p>
        </w:tc>
        <w:tc>
          <w:tcPr>
            <w:tcW w:w="9860" w:type="dxa"/>
            <w:vAlign w:val="bottom"/>
            <w:tcBorders>
              <w:bottom w:val="single" w:sz="8" w:color="010101"/>
            </w:tcBorders>
            <w:gridSpan w:val="4"/>
          </w:tcPr>
          <w:p>
            <w:pPr>
              <w:spacing w:after="0"/>
              <w:rPr>
                <w:sz w:val="11"/>
                <w:szCs w:val="11"/>
                <w:color w:val="auto"/>
              </w:rPr>
            </w:pPr>
          </w:p>
        </w:tc>
      </w:tr>
      <w:tr>
        <w:trPr>
          <w:trHeight w:val="780"/>
        </w:trPr>
        <w:tc>
          <w:tcPr>
            <w:tcW w:w="160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effect to the purchase of all shares accepted for purchase or exchange in such tender offer or exchange offer; and</w:t>
            </w:r>
          </w:p>
        </w:tc>
      </w:tr>
      <w:tr>
        <w:trPr>
          <w:trHeight w:val="432"/>
        </w:trPr>
        <w:tc>
          <w:tcPr>
            <w:tcW w:w="1600" w:type="dxa"/>
            <w:vAlign w:val="bottom"/>
          </w:tcPr>
          <w:p>
            <w:pPr>
              <w:ind w:left="78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the Closing Price of Common Stock on the Trading Day immediately following the Expiration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An adjustment, if any, to the Conversion Rate pursuant to this Section 10.07(e) shall become effective immediately prior to the opening of business on the second Trading Day immediately following the Expiration Date. 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offer or exchange offer had not been made. Except as provided in the immediately preceding sentence, if the application of this Section 10.07(e) to any tender offer or exchange offer would result in a decrease in the Conversion Rate, no adjustment shall be made for such tender offer or exchange offer under this Section 10.07(e).</w:t>
      </w:r>
    </w:p>
    <w:p>
      <w:pPr>
        <w:spacing w:after="0" w:line="17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i w:val="1"/>
          <w:iCs w:val="1"/>
          <w:color w:val="auto"/>
        </w:rPr>
        <w:t>Section 10.08. Provisions Governing Adjustment to Conversion Rate</w:t>
      </w:r>
      <w:r>
        <w:rPr>
          <w:rFonts w:ascii="Arial" w:cs="Arial" w:eastAsia="Arial" w:hAnsi="Arial"/>
          <w:sz w:val="16"/>
          <w:szCs w:val="16"/>
          <w:color w:val="auto"/>
        </w:rPr>
        <w:t>. Rights, options or warrants distributed by the Company to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Section 10.07 (and no adjustment to the Conversion Rate under Section 10.07 will be required) until the occurrence of the earliest Trigger Event, whereupon such rights, options and warrants shall be deemed to have been distributed and an appropriate adjustment (if any is required) to the Conversion Rate shall be made under Section 10.07(c), and, if applicable, Section 10.20.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10.20. In addition, except as set forth in Section 10.20,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10.07 was made (including any adjustment contemplated in Section 10.20),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10.09.</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120" w:firstLine="1305"/>
        <w:spacing w:after="0" w:line="277" w:lineRule="auto"/>
        <w:tabs>
          <w:tab w:leader="none" w:pos="19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ectPr>
          <w:pgSz w:w="11900" w:h="16838" w:orient="portrait"/>
          <w:cols w:equalWidth="0" w:num="1">
            <w:col w:w="11460"/>
          </w:cols>
          <w:pgMar w:left="240" w:top="125" w:right="199" w:bottom="0" w:gutter="0" w:footer="0" w:header="0"/>
        </w:sectPr>
      </w:pPr>
    </w:p>
    <w:bookmarkStart w:id="92" w:name="page93"/>
    <w:bookmarkEnd w:id="92"/>
    <w:p>
      <w:pPr>
        <w:ind w:left="1960" w:hanging="655"/>
        <w:spacing w:after="0"/>
        <w:tabs>
          <w:tab w:leader="none" w:pos="1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each case as a result of which Common Stock would be converted into, or exchanged for, or would constitute solely the right to receive, stock, other securities or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xml:space="preserve">”), then, at the effective time of such Merger Event, the Company, or such successor, purchaser or transferee Person, as the case may be, shall execute and deliver to the Trustee a supplemental indenture permitted under Section 9.02(b) to provide that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before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xml:space="preserve">) upon such Merger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w:t>
      </w:r>
    </w:p>
    <w:p>
      <w:pPr>
        <w:spacing w:after="0" w:line="3" w:lineRule="exact"/>
        <w:rPr>
          <w:sz w:val="20"/>
          <w:szCs w:val="20"/>
          <w:color w:val="auto"/>
        </w:rPr>
      </w:pPr>
    </w:p>
    <w:p>
      <w:pPr>
        <w:ind w:firstLine="8"/>
        <w:spacing w:after="0" w:line="290" w:lineRule="auto"/>
        <w:tabs>
          <w:tab w:leader="none" w:pos="21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amount otherwise payable in Cash upon conversion of the Notes as set forth under Section 10.03 above shall continue to be payable in Cash, (ii) the Company shall continue to have the right to determine the form of consideration to be paid or delivered, as the case may be, in respect of the remainder, if any, of its Conversion Obligation in excess of the aggregate principal portion of the Notes being converted, as set forth under Section 10.03, (iii) each share of Common Stock that would otherwise have been required to be delivered upon a conversion of the Notes as set forth under Section 10.03 shall instead be deliverable in the amount and type of Reference Property that a holder of one share of Common Stock would have been entitled to receive in such Merger Event (a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and (iv) the Daily VWAP shall be calculated based on the value of one unit of Reference Property.</w:t>
      </w:r>
    </w:p>
    <w:p>
      <w:pPr>
        <w:spacing w:after="0" w:line="16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the Merger Event causes the Common Stock to be converted into, or exchanged for, or constitute solely the right to receive more than a single type of consideration (determined based in part upon any form of stockholder election), then (x) the Reference Property into which the Notes will be convertible or used to calculate the Daily VWAP, as the case may be, shall be deemed to be the weighted average of the types and amounts of consideration received by the holders of Common Stock that affirmatively make such an election and (y) the unit of Reference Property for purposes of the immediately preceding paragraph shall refer to the consideration referred to in clause (x) attributable to one share of Common Stock. The Company shall notify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Holders, the Trustee and the Conversion Agent (if other than the Trustee) of such weighted average as soon as practicable after such determination is made.</w:t>
      </w:r>
    </w:p>
    <w:p>
      <w:pPr>
        <w:spacing w:after="0" w:line="2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10.09,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provided for in this Indenture, within 20 days after execution thereof. Failure to deliver such notice shall not affect the legality or validity of such supplemental indenture. The Company shall not become a party to any such Merger Event unless its terms are consistent with this Section 10.09.</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10.10. Adjustment to Conversion Rate Upon a Make-Whole Change in Control; Discretionary Adjustment</w:t>
      </w:r>
      <w:r>
        <w:rPr>
          <w:rFonts w:ascii="Arial" w:cs="Arial" w:eastAsia="Arial" w:hAnsi="Arial"/>
          <w:sz w:val="17"/>
          <w:szCs w:val="17"/>
          <w:color w:val="auto"/>
        </w:rPr>
        <w:t>. (a) If, after the date hereof,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10.10.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220" w:firstLine="1305"/>
        <w:spacing w:after="0" w:line="277" w:lineRule="auto"/>
        <w:tabs>
          <w:tab w:leader="none" w:pos="19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number of Make-Whole Shares will be determined by reference to the table below and is based on the date that such Make-Whole Change in Control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7"/>
          <w:szCs w:val="17"/>
          <w:b w:val="1"/>
          <w:bCs w:val="1"/>
          <w:color w:val="auto"/>
        </w:rPr>
        <w:t>Stock Price</w:t>
      </w:r>
      <w:r>
        <w:rPr>
          <w:rFonts w:ascii="Arial" w:cs="Arial" w:eastAsia="Arial" w:hAnsi="Arial"/>
          <w:sz w:val="17"/>
          <w:szCs w:val="17"/>
          <w:color w:val="auto"/>
        </w:rPr>
        <w:t>”).</w:t>
      </w:r>
    </w:p>
    <w:p>
      <w:pPr>
        <w:spacing w:after="0" w:line="169" w:lineRule="exact"/>
        <w:rPr>
          <w:sz w:val="20"/>
          <w:szCs w:val="20"/>
          <w:color w:val="auto"/>
        </w:rPr>
      </w:pPr>
    </w:p>
    <w:p>
      <w:pPr>
        <w:ind w:firstLine="1305"/>
        <w:spacing w:after="0" w:line="257" w:lineRule="auto"/>
        <w:tabs>
          <w:tab w:leader="none" w:pos="199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first row of the table below will be adjusted as of any date on which the Applicable Conversion Rate is adjusted. The adjusted Stock Prices will equal the Stock Prices immediately prior to such adjustment,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10.07.</w:t>
      </w:r>
    </w:p>
    <w:p>
      <w:pPr>
        <w:sectPr>
          <w:pgSz w:w="11900" w:h="16838" w:orient="portrait"/>
          <w:cols w:equalWidth="0" w:num="1">
            <w:col w:w="11400"/>
          </w:cols>
          <w:pgMar w:left="240" w:top="125" w:right="259" w:bottom="0" w:gutter="0" w:footer="0" w:header="0"/>
        </w:sectPr>
      </w:pPr>
    </w:p>
    <w:bookmarkStart w:id="93" w:name="page94"/>
    <w:bookmarkEnd w:id="93"/>
    <w:p>
      <w:pPr>
        <w:spacing w:after="0" w:line="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Stock Price, Effective Date and number of Make-Whole Shares to be added to the Conversion Rate per $1,000 principal amount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Effective</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9"/>
              </w:rPr>
              <w:t>Stock Price</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w:t>
            </w:r>
          </w:p>
        </w:tc>
        <w:tc>
          <w:tcPr>
            <w:tcW w:w="9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7.60</w:t>
            </w:r>
          </w:p>
        </w:tc>
        <w:tc>
          <w:tcPr>
            <w:tcW w:w="30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10.00</w:t>
            </w:r>
          </w:p>
        </w:tc>
        <w:tc>
          <w:tcPr>
            <w:tcW w:w="3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12.50</w:t>
            </w:r>
          </w:p>
        </w:tc>
        <w:tc>
          <w:tcPr>
            <w:tcW w:w="280" w:type="dxa"/>
            <w:vAlign w:val="bottom"/>
          </w:tcPr>
          <w:p>
            <w:pPr>
              <w:spacing w:after="0"/>
              <w:rPr>
                <w:sz w:val="12"/>
                <w:szCs w:val="12"/>
                <w:color w:val="auto"/>
              </w:rPr>
            </w:pPr>
          </w:p>
        </w:tc>
        <w:tc>
          <w:tcPr>
            <w:tcW w:w="9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15.00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17.50</w:t>
            </w:r>
          </w:p>
        </w:tc>
        <w:tc>
          <w:tcPr>
            <w:tcW w:w="28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25.00</w:t>
            </w:r>
          </w:p>
        </w:tc>
        <w:tc>
          <w:tcPr>
            <w:tcW w:w="30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30.00</w:t>
            </w:r>
          </w:p>
        </w:tc>
        <w:tc>
          <w:tcPr>
            <w:tcW w:w="100" w:type="dxa"/>
            <w:vAlign w:val="bottom"/>
          </w:tcPr>
          <w:p>
            <w:pPr>
              <w:spacing w:after="0"/>
              <w:rPr>
                <w:sz w:val="12"/>
                <w:szCs w:val="12"/>
                <w:color w:val="auto"/>
              </w:rPr>
            </w:pPr>
          </w:p>
        </w:tc>
      </w:tr>
      <w:tr>
        <w:trPr>
          <w:trHeight w:val="210"/>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7/21/2011</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26.3157</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15.0697</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9.4960</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4.7876</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3.6744</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8/1/2012</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26.3157</w:t>
            </w:r>
          </w:p>
        </w:tc>
        <w:tc>
          <w:tcPr>
            <w:tcW w:w="960" w:type="dxa"/>
            <w:vAlign w:val="bottom"/>
          </w:tcPr>
          <w:p>
            <w:pPr>
              <w:jc w:val="right"/>
              <w:spacing w:after="0"/>
              <w:rPr>
                <w:sz w:val="20"/>
                <w:szCs w:val="20"/>
                <w:color w:val="auto"/>
              </w:rPr>
            </w:pPr>
            <w:r>
              <w:rPr>
                <w:rFonts w:ascii="Arial" w:cs="Arial" w:eastAsia="Arial" w:hAnsi="Arial"/>
                <w:sz w:val="18"/>
                <w:szCs w:val="18"/>
                <w:color w:val="auto"/>
              </w:rPr>
              <w:t>14.1501</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8.4953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5.6317</w:t>
            </w:r>
          </w:p>
        </w:tc>
        <w:tc>
          <w:tcPr>
            <w:tcW w:w="2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4.0248</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3.0431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1.9397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1.3493</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26.3157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12.8175</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4.5045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3.1154</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2.3129</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1.4651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8/1/2014</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26.3157</w:t>
            </w:r>
          </w:p>
        </w:tc>
        <w:tc>
          <w:tcPr>
            <w:tcW w:w="960" w:type="dxa"/>
            <w:vAlign w:val="bottom"/>
          </w:tcPr>
          <w:p>
            <w:pPr>
              <w:jc w:val="right"/>
              <w:spacing w:after="0"/>
              <w:rPr>
                <w:sz w:val="20"/>
                <w:szCs w:val="20"/>
                <w:color w:val="auto"/>
              </w:rPr>
            </w:pPr>
            <w:r>
              <w:rPr>
                <w:rFonts w:ascii="Arial" w:cs="Arial" w:eastAsia="Arial" w:hAnsi="Arial"/>
                <w:sz w:val="18"/>
                <w:szCs w:val="18"/>
                <w:color w:val="auto"/>
              </w:rPr>
              <w:t>10.8262</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5.3490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3.0844</w:t>
            </w:r>
          </w:p>
        </w:tc>
        <w:tc>
          <w:tcPr>
            <w:tcW w:w="2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2.0421</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1.4997</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0.9653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0.6921</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7.6263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2.8181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0.9050</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0.6965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0.3575</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8/1/2016</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8/1/2017</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8/1/2018</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8/1/2020</w:t>
            </w:r>
          </w:p>
        </w:tc>
        <w:tc>
          <w:tcPr>
            <w:tcW w:w="3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26.3157</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1305"/>
        <w:spacing w:after="0" w:line="293" w:lineRule="auto"/>
        <w:tabs>
          <w:tab w:leader="none" w:pos="200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$30.00 per share of Common Stock (subject to adjustment as set forth in Section 10.10(c)), no Make-Whole Shares will be issued upon conversion of the Notes; and (iii) if the Stock Price is less than $7.60 per share of Common Stock (subject to adjustment as set forth in Section 10.10(c)), no Make-Whole Shares will be issued upon conversion of the Notes.</w:t>
      </w:r>
    </w:p>
    <w:p>
      <w:pPr>
        <w:spacing w:after="0" w:line="164" w:lineRule="exact"/>
        <w:rPr>
          <w:rFonts w:ascii="Arial" w:cs="Arial" w:eastAsia="Arial" w:hAnsi="Arial"/>
          <w:sz w:val="16"/>
          <w:szCs w:val="16"/>
          <w:color w:val="auto"/>
        </w:rPr>
      </w:pPr>
    </w:p>
    <w:p>
      <w:pPr>
        <w:ind w:right="240" w:firstLine="1305"/>
        <w:spacing w:after="0" w:line="277" w:lineRule="auto"/>
        <w:tabs>
          <w:tab w:leader="none" w:pos="199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listing rules of The NASDAQ Global Select Market, the Company may make such increases in the Conversion Rate, in addition to those required by Section 10.07, as the Board of Directors considers to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70" w:lineRule="exact"/>
        <w:rPr>
          <w:sz w:val="20"/>
          <w:szCs w:val="20"/>
          <w:color w:val="auto"/>
        </w:rPr>
      </w:pPr>
    </w:p>
    <w:p>
      <w:pPr>
        <w:ind w:right="100" w:firstLine="1305"/>
        <w:spacing w:after="0" w:line="293" w:lineRule="auto"/>
        <w:tabs>
          <w:tab w:leader="none" w:pos="196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To the extent permitted by applicable law and the listing rules of The NASDAQ Global Select Market, the Company from time to time may increase the Conversion Rate by any amount for any period of time if the period is at least twenty (20) Business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provide written notice to the Holders of the Notes a notice of the increase at least fifteen (15) days prior to the date the increased Conversion Rate takes effect, and such notice shall state the increased Conversion Rate and the period during which it will be in effect.</w:t>
      </w:r>
    </w:p>
    <w:p>
      <w:pPr>
        <w:spacing w:after="0" w:line="164" w:lineRule="exact"/>
        <w:rPr>
          <w:rFonts w:ascii="Arial" w:cs="Arial" w:eastAsia="Arial" w:hAnsi="Arial"/>
          <w:sz w:val="16"/>
          <w:szCs w:val="16"/>
          <w:color w:val="auto"/>
        </w:rPr>
      </w:pPr>
    </w:p>
    <w:p>
      <w:pPr>
        <w:ind w:right="80" w:firstLine="1305"/>
        <w:spacing w:after="0" w:line="255" w:lineRule="auto"/>
        <w:tabs>
          <w:tab w:leader="none" w:pos="19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in the event of any increase in the Conversion Rate that which would result in the Notes, in the aggregate and taken together with the 2031A Notes (as defined in the Offering Memorandum), becoming convertible into shares of Common Stock in excess of the share issuance limitations of the listing standards of The NASDAQ Global Select Market or the principal U.S. securities exchange on which the Common Stock is then listed, the Company shall, at its option, either obtain stockholder approval of such issuances or deliver Cash in lieu of any shares otherwise deliverable upon conversions in excess of such limitations (calculated based on the Daily VWAP on the last Trading Day of the applicable Observation Period).</w:t>
      </w:r>
    </w:p>
    <w:p>
      <w:pPr>
        <w:spacing w:after="0" w:line="19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i w:val="1"/>
          <w:iCs w:val="1"/>
          <w:color w:val="auto"/>
        </w:rPr>
        <w:t>Section 10.11. When Adjustment May Be Deferred</w:t>
      </w:r>
      <w:r>
        <w:rPr>
          <w:rFonts w:ascii="Arial" w:cs="Arial" w:eastAsia="Arial" w:hAnsi="Arial"/>
          <w:sz w:val="17"/>
          <w:szCs w:val="17"/>
          <w:color w:val="auto"/>
        </w:rPr>
        <w:t>. No adjustment in the Conversion Rate need be made unless the adjustment would require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Section 10.12. When No Adjustment Required</w:t>
      </w:r>
      <w:r>
        <w:rPr>
          <w:rFonts w:ascii="Arial" w:cs="Arial" w:eastAsia="Arial" w:hAnsi="Arial"/>
          <w:sz w:val="17"/>
          <w:szCs w:val="17"/>
          <w:color w:val="auto"/>
        </w:rPr>
        <w:t>. (a) No adjustment need be made for a transaction referred to in Section 10.07 if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Holders, at such time, held a number of shares of Common Stock equal to the Applicable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 without having to convert their Notes.</w:t>
      </w:r>
    </w:p>
    <w:p>
      <w:pPr>
        <w:spacing w:after="0" w:line="173" w:lineRule="exact"/>
        <w:rPr>
          <w:sz w:val="20"/>
          <w:szCs w:val="20"/>
          <w:color w:val="auto"/>
        </w:rPr>
      </w:pPr>
    </w:p>
    <w:p>
      <w:pPr>
        <w:ind w:right="240" w:firstLine="1305"/>
        <w:spacing w:after="0" w:line="277" w:lineRule="auto"/>
        <w:tabs>
          <w:tab w:leader="none" w:pos="19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1960" w:hanging="655"/>
        <w:spacing w:after="0"/>
        <w:tabs>
          <w:tab w:leader="none" w:pos="19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solely into Cash, no adjustment need be made thereafter as to the Cash. Interest will not accrue on the Cash.</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10.13. Notice of Adjustment</w:t>
      </w:r>
      <w:r>
        <w:rPr>
          <w:rFonts w:ascii="Arial" w:cs="Arial" w:eastAsia="Arial" w:hAnsi="Arial"/>
          <w:sz w:val="16"/>
          <w:szCs w:val="16"/>
          <w:color w:val="auto"/>
        </w:rPr>
        <w:t>. Whenever the Conversion Rate is adjusted, the Company shall promptly send to Holders a written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adjustment. The Company shall file with the Trustee and the Conversion Agent such notice and a certificate from the Company’s independent public</w:t>
      </w:r>
    </w:p>
    <w:p>
      <w:pPr>
        <w:sectPr>
          <w:pgSz w:w="11900" w:h="16867" w:orient="portrait"/>
          <w:cols w:equalWidth="0" w:num="1">
            <w:col w:w="11420"/>
          </w:cols>
          <w:pgMar w:left="240" w:top="125" w:right="239" w:bottom="0" w:gutter="0" w:footer="0" w:header="0"/>
        </w:sectPr>
      </w:pPr>
    </w:p>
    <w:bookmarkStart w:id="94" w:name="page95"/>
    <w:bookmarkEnd w:id="94"/>
    <w:p>
      <w:pPr>
        <w:ind w:right="40"/>
        <w:spacing w:after="0" w:line="264" w:lineRule="auto"/>
        <w:rPr>
          <w:sz w:val="20"/>
          <w:szCs w:val="20"/>
          <w:color w:val="auto"/>
        </w:rPr>
      </w:pPr>
      <w:r>
        <w:rPr>
          <w:rFonts w:ascii="Arial" w:cs="Arial" w:eastAsia="Arial" w:hAnsi="Arial"/>
          <w:sz w:val="18"/>
          <w:szCs w:val="18"/>
          <w:color w:val="auto"/>
        </w:rPr>
        <w:t>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Section 10.14. Notice of Certain Transactions</w:t>
      </w:r>
      <w:r>
        <w:rPr>
          <w:rFonts w:ascii="Arial" w:cs="Arial" w:eastAsia="Arial" w:hAnsi="Arial"/>
          <w:sz w:val="17"/>
          <w:szCs w:val="17"/>
          <w:color w:val="auto"/>
        </w:rPr>
        <w:t>. If (a) the Company takes any action that would require an adjustment in the Conversion Rate</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Section 10.07 (unless no adjustment is to occur pursuant to Section 10.11 or Section 10.12), (b) the Company takes any action that would require a supplemental indenture pursuant to Section 10.09, or (c) there is a liquidation or dissolution of the Company, then the Company shall send to Holders and file with the Trustee and the Conversion Agent a written notice stating the proposed Ex-Date for a issuance,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Section 10.15. Right of Holders to Convert</w:t>
      </w:r>
      <w:r>
        <w:rPr>
          <w:rFonts w:ascii="Arial" w:cs="Arial" w:eastAsia="Arial" w:hAnsi="Arial"/>
          <w:sz w:val="18"/>
          <w:szCs w:val="18"/>
          <w:color w:val="auto"/>
        </w:rPr>
        <w:t>. Notwithstanding any other provision in this Indenture, the Holder of any Note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Section 10.16. Company Determination Final</w:t>
      </w:r>
      <w:r>
        <w:rPr>
          <w:rFonts w:ascii="Arial" w:cs="Arial" w:eastAsia="Arial" w:hAnsi="Arial"/>
          <w:sz w:val="18"/>
          <w:szCs w:val="18"/>
          <w:color w:val="auto"/>
        </w:rPr>
        <w:t>. The Company shall be responsible for making all calculations called for hereunder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Company shall make all these calculations using commercially reasonable means and, absent manifest error, the Company’s calculations will be final and binding on Holders. The Company shall provide a schedule of the Company’s calculations to the Trustee, and the Trustee is entitled to rely upon the accuracy of the Company’s calculations without independent verification.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10.17. Trustee’s Adjustment Disclaimer</w:t>
      </w:r>
      <w:r>
        <w:rPr>
          <w:rFonts w:ascii="Arial" w:cs="Arial" w:eastAsia="Arial" w:hAnsi="Arial"/>
          <w:sz w:val="16"/>
          <w:szCs w:val="16"/>
          <w:color w:val="auto"/>
        </w:rPr>
        <w:t>. The Trustee has no duty to determine when an adjustment under this Article 10 should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 value of any securities or assets issued upon conversion of Notes. The Trustee shall not be responsible for the Company’s failure to comply with this Article 10. Each Conversion Agent shall have the same protection under this Section 10.17 as the Trustee.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Section 10.18. Simultaneous Adjustments</w:t>
      </w:r>
      <w:r>
        <w:rPr>
          <w:rFonts w:ascii="Arial" w:cs="Arial" w:eastAsia="Arial" w:hAnsi="Arial"/>
          <w:sz w:val="18"/>
          <w:szCs w:val="18"/>
          <w:color w:val="auto"/>
        </w:rPr>
        <w:t>. For purposes of Sections 10.07(a), 10.07(b) and 10.07(c), any dividend or distribution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10.07(c)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10.07(c) with respect to such dividend or distribution shall then be made) immediately followed by (2) a dividend or distribution of such shares of Common Stock or such rights (and any further Conversion Rate adjustment required by Sections 10.07(a) and 10.07(b)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10.07(a).</w:t>
      </w:r>
    </w:p>
    <w:p>
      <w:pPr>
        <w:spacing w:after="0" w:line="19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Section 10.19. Successive Adjustments</w:t>
      </w:r>
      <w:r>
        <w:rPr>
          <w:rFonts w:ascii="Arial" w:cs="Arial" w:eastAsia="Arial" w:hAnsi="Arial"/>
          <w:sz w:val="18"/>
          <w:szCs w:val="18"/>
          <w:color w:val="auto"/>
        </w:rPr>
        <w:t>. After an adjustment to the Conversion Rate under this Article 10, any subsequent event requiring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under this Article 10 shall cause an adjustment to the Conversion Rate as so adjusted.</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Section 10.20. Rights Issued in Respect of Common Stock Issued Upon Conversion</w:t>
      </w:r>
      <w:r>
        <w:rPr>
          <w:rFonts w:ascii="Arial" w:cs="Arial" w:eastAsia="Arial" w:hAnsi="Arial"/>
          <w:sz w:val="17"/>
          <w:szCs w:val="17"/>
          <w:color w:val="auto"/>
        </w:rPr>
        <w:t>. Each share of Common Stock issued upon conversion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from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10.07(c), and further adjusted in the event of certain events affecting such Rights following any separation from the Common Stock and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8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Section 10.21. Withholding Taxes for Adjustments in Conversion Rate</w:t>
      </w:r>
      <w:r>
        <w:rPr>
          <w:rFonts w:ascii="Arial" w:cs="Arial" w:eastAsia="Arial" w:hAnsi="Arial"/>
          <w:sz w:val="18"/>
          <w:szCs w:val="18"/>
          <w:color w:val="auto"/>
        </w:rPr>
        <w:t>. The Company may, at its option, set-off withholding taxes due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11.01.</w:t>
      </w:r>
      <w:r>
        <w:rPr>
          <w:sz w:val="20"/>
          <w:szCs w:val="20"/>
          <w:color w:val="auto"/>
        </w:rPr>
        <w:tab/>
      </w:r>
      <w:r>
        <w:rPr>
          <w:rFonts w:ascii="Arial" w:cs="Arial" w:eastAsia="Arial" w:hAnsi="Arial"/>
          <w:sz w:val="16"/>
          <w:szCs w:val="16"/>
          <w:i w:val="1"/>
          <w:iCs w:val="1"/>
          <w:color w:val="auto"/>
        </w:rPr>
        <w:t>Right to Redeem; Notices to Trustee.</w:t>
      </w:r>
    </w:p>
    <w:p>
      <w:pPr>
        <w:spacing w:after="0" w:line="225" w:lineRule="exact"/>
        <w:rPr>
          <w:sz w:val="20"/>
          <w:szCs w:val="20"/>
          <w:color w:val="auto"/>
        </w:rPr>
      </w:pPr>
    </w:p>
    <w:p>
      <w:pPr>
        <w:ind w:right="40" w:firstLine="1305"/>
        <w:spacing w:after="0" w:line="259" w:lineRule="auto"/>
        <w:tabs>
          <w:tab w:leader="none" w:pos="19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as provided below, the Notes are not redeemable by the Company prior to August 5, 2014. On or after August 5, 2014, the Notes may be redeemed for Cash in whole or in part at the option of the Company if the Closing Price of the Company’s Common Stock has been greater than or equal to 130% of the Conversion Price then in effect for at least 20 Trading Days during any 30 consecutive Trading Day period ending within five Trading Days prior to the date on which the Company provides notice of redemption.</w:t>
      </w:r>
    </w:p>
    <w:p>
      <w:pPr>
        <w:sectPr>
          <w:pgSz w:w="11900" w:h="16838" w:orient="portrait"/>
          <w:cols w:equalWidth="0" w:num="1">
            <w:col w:w="11400"/>
          </w:cols>
          <w:pgMar w:left="240" w:top="125" w:right="259" w:bottom="0" w:gutter="0" w:footer="0" w:header="0"/>
        </w:sectPr>
      </w:pPr>
    </w:p>
    <w:bookmarkStart w:id="95" w:name="page96"/>
    <w:bookmarkEnd w:id="95"/>
    <w:p>
      <w:pPr>
        <w:spacing w:after="0" w:line="79" w:lineRule="exact"/>
        <w:rPr>
          <w:sz w:val="20"/>
          <w:szCs w:val="20"/>
          <w:color w:val="auto"/>
        </w:rPr>
      </w:pPr>
    </w:p>
    <w:p>
      <w:pPr>
        <w:ind w:left="1960" w:hanging="655"/>
        <w:spacing w:after="0"/>
        <w:tabs>
          <w:tab w:leader="none" w:pos="19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pursuant to Section 11.01(a) shall be equal to</w:t>
      </w:r>
    </w:p>
    <w:p>
      <w:pPr>
        <w:spacing w:after="0" w:line="50" w:lineRule="exact"/>
        <w:rPr>
          <w:rFonts w:ascii="Arial" w:cs="Arial" w:eastAsia="Arial" w:hAnsi="Arial"/>
          <w:sz w:val="16"/>
          <w:szCs w:val="16"/>
          <w:color w:val="auto"/>
        </w:rPr>
      </w:pPr>
    </w:p>
    <w:p>
      <w:pPr>
        <w:ind w:left="220" w:hanging="212"/>
        <w:spacing w:after="0"/>
        <w:tabs>
          <w:tab w:leader="none" w:pos="22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100% of the principal of Notes to be redeemed, plus (ii) accrued and unpaid interest (including Additional Interest), if any, to, but excluding, the</w:t>
      </w:r>
    </w:p>
    <w:p>
      <w:pPr>
        <w:spacing w:after="0" w:line="20"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Redemption Date, plus (iii) the Make-Whole Premium;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 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84" w:lineRule="exact"/>
        <w:rPr>
          <w:rFonts w:ascii="Arial" w:cs="Arial" w:eastAsia="Arial" w:hAnsi="Arial"/>
          <w:sz w:val="17"/>
          <w:szCs w:val="17"/>
          <w:color w:val="auto"/>
        </w:rPr>
      </w:pPr>
    </w:p>
    <w:p>
      <w:pPr>
        <w:ind w:right="60" w:firstLine="1305"/>
        <w:spacing w:after="0" w:line="273" w:lineRule="auto"/>
        <w:tabs>
          <w:tab w:leader="none" w:pos="1955"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Upon any redemption prior to August 5, 2016, the Company shall pay the Make-Whole Premium with respect to the Notes called for redemption to Holders in Cash, including with respect to Notes converted into Common Stock pursuant to the terms of the Indenture after the date of the notice of redemption sent pursuant to Section 11.03 of this Indenture and prior to such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78" w:lineRule="exact"/>
        <w:rPr>
          <w:rFonts w:ascii="Arial" w:cs="Arial" w:eastAsia="Arial" w:hAnsi="Arial"/>
          <w:sz w:val="17"/>
          <w:szCs w:val="17"/>
          <w:color w:val="auto"/>
        </w:rPr>
      </w:pPr>
    </w:p>
    <w:p>
      <w:pPr>
        <w:ind w:firstLine="1305"/>
        <w:spacing w:after="0" w:line="297" w:lineRule="auto"/>
        <w:tabs>
          <w:tab w:leader="none" w:pos="195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On or after August 5, 2016, the Company may redeem for Cash all or part of the Notes. The Redemption Price will equal the sum of 100% of the principal amount of the Notes to be redeemed, plus accrued and unpaid interest, including Additional Interest, if any,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9" w:lineRule="auto"/>
        <w:tabs>
          <w:tab w:leader="none" w:pos="199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shall not redeem any Notes or deliver to any Holder a notice of redemption pursuant to Section 11.03 at any time when there exists any accrued and unpaid Defaulted Interest.</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Section 11.02. Selection of Notes to be Redeemed</w:t>
      </w:r>
      <w:r>
        <w:rPr>
          <w:rFonts w:ascii="Arial" w:cs="Arial" w:eastAsia="Arial" w:hAnsi="Arial"/>
          <w:sz w:val="16"/>
          <w:szCs w:val="16"/>
          <w:color w:val="auto"/>
        </w:rPr>
        <w:t>. If less than all the Notes are to be redeemed, the Trustee shall select the Notes to be redeemed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5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Section 11.03. Notice of Redemption</w:t>
      </w:r>
      <w:r>
        <w:rPr>
          <w:rFonts w:ascii="Arial" w:cs="Arial" w:eastAsia="Arial" w:hAnsi="Arial"/>
          <w:sz w:val="17"/>
          <w:szCs w:val="17"/>
          <w:color w:val="auto"/>
        </w:rPr>
        <w:t>. At least 30 days but not more than 60 days before a Redemption Date, the Company shall mail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deliver any such notice to any Holder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660" w:hanging="707"/>
        <w:spacing w:after="0"/>
        <w:tabs>
          <w:tab w:leader="none" w:pos="2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560" w:firstLine="1953"/>
        <w:spacing w:after="0" w:line="277" w:lineRule="auto"/>
        <w:tabs>
          <w:tab w:leader="none" w:pos="265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Section 11.04. Effect of Notice of Redemption</w:t>
      </w:r>
      <w:r>
        <w:rPr>
          <w:rFonts w:ascii="Arial" w:cs="Arial" w:eastAsia="Arial" w:hAnsi="Arial"/>
          <w:sz w:val="18"/>
          <w:szCs w:val="18"/>
          <w:color w:val="auto"/>
        </w:rPr>
        <w:t>. Once notice of redemption is given, Notes called for redemption become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and at the Redemption Price stated in the notice except for Notes that are converted in accordance with the terms of this Indenture. Upon surrender to the Paying Agent, such Notes shall be paid at the Redemption Price stated in the notice.</w:t>
      </w:r>
    </w:p>
    <w:p>
      <w:pPr>
        <w:sectPr>
          <w:pgSz w:w="11900" w:h="16918" w:orient="portrait"/>
          <w:cols w:equalWidth="0" w:num="1">
            <w:col w:w="11340"/>
          </w:cols>
          <w:pgMar w:left="240" w:top="121" w:right="319" w:bottom="0" w:gutter="0" w:footer="0" w:header="0"/>
        </w:sectPr>
      </w:pPr>
    </w:p>
    <w:bookmarkStart w:id="96" w:name="page97"/>
    <w:bookmarkEnd w:id="96"/>
    <w:p>
      <w:pPr>
        <w:spacing w:after="0" w:line="3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Section 11.05. Deposit of Redemption Price</w:t>
      </w:r>
      <w:r>
        <w:rPr>
          <w:rFonts w:ascii="Arial" w:cs="Arial" w:eastAsia="Arial" w:hAnsi="Arial"/>
          <w:sz w:val="16"/>
          <w:szCs w:val="16"/>
          <w:color w:val="auto"/>
        </w:rPr>
        <w:t>. Prior to 12:00 p.m., New York City time, on or prior to the Redemption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11.06. Notes Redeemed in Part</w:t>
      </w:r>
      <w:r>
        <w:rPr>
          <w:rFonts w:ascii="Arial" w:cs="Arial" w:eastAsia="Arial" w:hAnsi="Arial"/>
          <w:sz w:val="17"/>
          <w:szCs w:val="17"/>
          <w:color w:val="auto"/>
        </w:rPr>
        <w:t>. Any Note which is to be redeemed only in part shall be surrendered at the office of the Paying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issue, register the transfer of or exchange any Notes during a period beginning immediately prior to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Section 12.01. Interest Payments</w:t>
      </w:r>
      <w:r>
        <w:rPr>
          <w:rFonts w:ascii="Arial" w:cs="Arial" w:eastAsia="Arial" w:hAnsi="Arial"/>
          <w:sz w:val="17"/>
          <w:szCs w:val="17"/>
          <w:color w:val="auto"/>
        </w:rPr>
        <w:t>. Interest (including any Additional Interest) on any Note that is payable, and is punctually paid or duly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Section 12.02. Defaulted Interest</w:t>
      </w:r>
      <w:r>
        <w:rPr>
          <w:rFonts w:ascii="Arial" w:cs="Arial" w:eastAsia="Arial" w:hAnsi="Arial"/>
          <w:sz w:val="17"/>
          <w:szCs w:val="17"/>
          <w:color w:val="auto"/>
        </w:rPr>
        <w:t>. Any interest (including any Additional Interest) on any Note that is payable, but is not punctually paid or duly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firstLine="1305"/>
        <w:spacing w:after="0" w:line="287" w:lineRule="auto"/>
        <w:tabs>
          <w:tab w:leader="none" w:pos="199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its address as it appears on the list of Holders maintained pursuant to Section 2.05 not less than 25 days prior to such Special Record Date. Notice of the proposed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81" w:lineRule="exact"/>
        <w:rPr>
          <w:sz w:val="20"/>
          <w:szCs w:val="20"/>
          <w:color w:val="auto"/>
        </w:rPr>
      </w:pPr>
    </w:p>
    <w:p>
      <w:pPr>
        <w:ind w:right="60" w:firstLine="1305"/>
        <w:spacing w:after="0" w:line="312" w:lineRule="auto"/>
        <w:tabs>
          <w:tab w:leader="none" w:pos="20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Section 12.03. Interest Rights Preserved</w:t>
      </w:r>
      <w:r>
        <w:rPr>
          <w:rFonts w:ascii="Arial" w:cs="Arial" w:eastAsia="Arial" w:hAnsi="Arial"/>
          <w:sz w:val="18"/>
          <w:szCs w:val="18"/>
          <w:color w:val="auto"/>
        </w:rPr>
        <w:t>. Subject to the foregoing provisions of this Article 12 and Section 2.06, each Note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ectPr>
          <w:pgSz w:w="11900" w:h="16870" w:orient="portrait"/>
          <w:cols w:equalWidth="0" w:num="1">
            <w:col w:w="11400"/>
          </w:cols>
          <w:pgMar w:left="240" w:top="341" w:right="259" w:bottom="0" w:gutter="0" w:footer="0" w:header="0"/>
        </w:sectPr>
      </w:pPr>
    </w:p>
    <w:bookmarkStart w:id="97" w:name="page98"/>
    <w:bookmarkEnd w:id="97"/>
    <w:p>
      <w:pPr>
        <w:ind w:right="220" w:firstLine="648"/>
        <w:spacing w:after="0" w:line="259" w:lineRule="auto"/>
        <w:rPr>
          <w:sz w:val="20"/>
          <w:szCs w:val="20"/>
          <w:color w:val="auto"/>
        </w:rPr>
      </w:pPr>
      <w:r>
        <w:rPr>
          <w:rFonts w:ascii="Arial" w:cs="Arial" w:eastAsia="Arial" w:hAnsi="Arial"/>
          <w:sz w:val="18"/>
          <w:szCs w:val="18"/>
          <w:i w:val="1"/>
          <w:iCs w:val="1"/>
          <w:color w:val="auto"/>
        </w:rPr>
        <w:t>Section 13.01. Holder Communications; Holder Actions</w:t>
      </w:r>
      <w:r>
        <w:rPr>
          <w:rFonts w:ascii="Arial" w:cs="Arial" w:eastAsia="Arial" w:hAnsi="Arial"/>
          <w:sz w:val="18"/>
          <w:szCs w:val="18"/>
          <w:color w:val="auto"/>
        </w:rPr>
        <w:t>. (a) The rights of Holders to communicate with other Holders with respect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firstLine="1305"/>
        <w:spacing w:after="0" w:line="253" w:lineRule="auto"/>
        <w:tabs>
          <w:tab w:leader="none" w:pos="20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Any request, demand, authorization, direction, notice, consent to amendment, supplement or waiver or other action provided by this Indenture to be given or taken by a Holder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Holders.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1305"/>
        <w:spacing w:after="0" w:line="312" w:lineRule="auto"/>
        <w:tabs>
          <w:tab w:leader="none" w:pos="199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46" w:lineRule="exact"/>
        <w:rPr>
          <w:rFonts w:ascii="Arial" w:cs="Arial" w:eastAsia="Arial" w:hAnsi="Arial"/>
          <w:sz w:val="16"/>
          <w:szCs w:val="16"/>
          <w:color w:val="auto"/>
        </w:rPr>
      </w:pPr>
    </w:p>
    <w:p>
      <w:pPr>
        <w:ind w:firstLine="1305"/>
        <w:spacing w:after="0" w:line="255" w:lineRule="auto"/>
        <w:tabs>
          <w:tab w:leader="none" w:pos="20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13.02.</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480" w:firstLine="8"/>
        <w:spacing w:after="0" w:line="261" w:lineRule="auto"/>
        <w:tabs>
          <w:tab w:leader="none" w:pos="2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2011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213.615.6043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213.615.6197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80" w:firstLine="1305"/>
        <w:spacing w:after="0" w:line="312" w:lineRule="auto"/>
        <w:tabs>
          <w:tab w:leader="none" w:pos="200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w:t>
      </w:r>
    </w:p>
    <w:p>
      <w:pPr>
        <w:sectPr>
          <w:pgSz w:w="11900" w:h="16838" w:orient="portrait"/>
          <w:cols w:equalWidth="0" w:num="1">
            <w:col w:w="11400"/>
          </w:cols>
          <w:pgMar w:left="240" w:top="341" w:right="259" w:bottom="0" w:gutter="0" w:footer="0" w:header="0"/>
        </w:sectPr>
      </w:pPr>
    </w:p>
    <w:bookmarkStart w:id="98" w:name="page99"/>
    <w:bookmarkEnd w:id="98"/>
    <w:p>
      <w:pPr>
        <w:ind w:right="840"/>
        <w:spacing w:after="0" w:line="277" w:lineRule="auto"/>
        <w:rPr>
          <w:sz w:val="20"/>
          <w:szCs w:val="20"/>
          <w:color w:val="auto"/>
        </w:rPr>
      </w:pPr>
      <w:r>
        <w:rPr>
          <w:rFonts w:ascii="Arial" w:cs="Arial" w:eastAsia="Arial" w:hAnsi="Arial"/>
          <w:sz w:val="18"/>
          <w:szCs w:val="18"/>
          <w:color w:val="auto"/>
        </w:rPr>
        <w:t>Company, will be sent to the Trustee at the same time. Any defect in sending a notice or communication to any particular Holder will not affect its sufficiency with respect to other Holders.</w:t>
      </w:r>
    </w:p>
    <w:p>
      <w:pPr>
        <w:spacing w:after="0" w:line="170" w:lineRule="exact"/>
        <w:rPr>
          <w:sz w:val="20"/>
          <w:szCs w:val="20"/>
          <w:color w:val="auto"/>
        </w:rPr>
      </w:pPr>
    </w:p>
    <w:p>
      <w:pPr>
        <w:ind w:right="100" w:firstLine="1305"/>
        <w:spacing w:after="0" w:line="264" w:lineRule="auto"/>
        <w:tabs>
          <w:tab w:leader="none" w:pos="19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13.03. Communication by Holders with Other Holders</w:t>
      </w:r>
      <w:r>
        <w:rPr>
          <w:rFonts w:ascii="Arial" w:cs="Arial" w:eastAsia="Arial" w:hAnsi="Arial"/>
          <w:sz w:val="18"/>
          <w:szCs w:val="18"/>
          <w:color w:val="auto"/>
        </w:rPr>
        <w:t>. Holders may communicate pursuant to Section 312(b)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Section 13.04. Certificate and Opinion as to Conditions Precedent</w:t>
      </w:r>
      <w:r>
        <w:rPr>
          <w:rFonts w:ascii="Arial" w:cs="Arial" w:eastAsia="Arial" w:hAnsi="Arial"/>
          <w:sz w:val="18"/>
          <w:szCs w:val="18"/>
          <w:color w:val="auto"/>
        </w:rPr>
        <w:t>. Upon any request or application by the Company to the Trustee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Indenture, the Company shall furnish to the Trustee:</w:t>
      </w:r>
    </w:p>
    <w:p>
      <w:pPr>
        <w:spacing w:after="0" w:line="170" w:lineRule="exact"/>
        <w:rPr>
          <w:sz w:val="20"/>
          <w:szCs w:val="20"/>
          <w:color w:val="auto"/>
        </w:rPr>
      </w:pPr>
    </w:p>
    <w:p>
      <w:pPr>
        <w:ind w:right="380" w:firstLine="1953"/>
        <w:spacing w:after="0" w:line="277" w:lineRule="auto"/>
        <w:tabs>
          <w:tab w:leader="none" w:pos="265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Section 13.05. Statements Required in Certificate or Opinion</w:t>
      </w:r>
      <w:r>
        <w:rPr>
          <w:rFonts w:ascii="Arial" w:cs="Arial" w:eastAsia="Arial" w:hAnsi="Arial"/>
          <w:sz w:val="18"/>
          <w:szCs w:val="18"/>
          <w:color w:val="auto"/>
        </w:rPr>
        <w:t>. Each certificate or opinion with respect to compliance with a condition or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this Indenture must include:</w:t>
      </w:r>
    </w:p>
    <w:p>
      <w:pPr>
        <w:spacing w:after="0" w:line="170" w:lineRule="exact"/>
        <w:rPr>
          <w:sz w:val="20"/>
          <w:szCs w:val="20"/>
          <w:color w:val="auto"/>
        </w:rPr>
      </w:pPr>
    </w:p>
    <w:p>
      <w:pPr>
        <w:ind w:left="2660" w:hanging="707"/>
        <w:spacing w:after="0"/>
        <w:tabs>
          <w:tab w:leader="none" w:pos="26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20" w:firstLine="1953"/>
        <w:spacing w:after="0" w:line="277" w:lineRule="auto"/>
        <w:tabs>
          <w:tab w:leader="none" w:pos="265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20" w:firstLine="1953"/>
        <w:spacing w:after="0" w:line="342" w:lineRule="auto"/>
        <w:tabs>
          <w:tab w:leader="none" w:pos="265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right="80" w:firstLine="1953"/>
        <w:spacing w:after="0" w:line="308" w:lineRule="auto"/>
        <w:tabs>
          <w:tab w:leader="none" w:pos="265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i w:val="1"/>
          <w:iCs w:val="1"/>
          <w:color w:val="auto"/>
        </w:rPr>
        <w:t>Section 13.06. 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w:t>
      </w:r>
      <w:r>
        <w:rPr>
          <w:rFonts w:ascii="Arial" w:cs="Arial" w:eastAsia="Arial" w:hAnsi="Arial"/>
          <w:sz w:val="18"/>
          <w:szCs w:val="18"/>
          <w:i w:val="1"/>
          <w:iCs w:val="1"/>
          <w:color w:val="auto"/>
        </w:rPr>
        <w:t xml:space="preserve"> </w:t>
      </w:r>
      <w:r>
        <w:rPr>
          <w:rFonts w:ascii="Arial" w:cs="Arial" w:eastAsia="Arial" w:hAnsi="Arial"/>
          <w:sz w:val="18"/>
          <w:szCs w:val="18"/>
          <w:color w:val="auto"/>
        </w:rPr>
        <w:t>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8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Section 13.07. Rules by Trustee, Paying Agent, Conversion Agent and Registrar</w:t>
      </w:r>
      <w:r>
        <w:rPr>
          <w:rFonts w:ascii="Arial" w:cs="Arial" w:eastAsia="Arial" w:hAnsi="Arial"/>
          <w:sz w:val="18"/>
          <w:szCs w:val="18"/>
          <w:color w:val="auto"/>
        </w:rPr>
        <w:t>. The Trustee may make reasonable rules for action by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Holders. The Registrar, Conversion Agent and the Paying Agent may make reasonable rules for their functions.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Section 13.08. Governing Law</w:t>
      </w:r>
      <w:r>
        <w:rPr>
          <w:rFonts w:ascii="Arial" w:cs="Arial" w:eastAsia="Arial" w:hAnsi="Arial"/>
          <w:sz w:val="18"/>
          <w:szCs w:val="18"/>
          <w:color w:val="auto"/>
        </w:rPr>
        <w:t>. 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AND FOR ALL PURPOSES SHALL BE CONSTRUED IN ACCORDANCE WITH THE LAWS OF THE STATE OF NEW YORK.</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Section 13.09. No Adverse Interpretation of Other Agreements</w:t>
      </w:r>
      <w:r>
        <w:rPr>
          <w:rFonts w:ascii="Arial" w:cs="Arial" w:eastAsia="Arial" w:hAnsi="Arial"/>
          <w:sz w:val="16"/>
          <w:szCs w:val="16"/>
          <w:color w:val="auto"/>
        </w:rPr>
        <w:t>. This Indenture may not be used to interpret another indenture or loan or debt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the Company or any Subsidiary of the Company, and no such indenture or loan or debt agreement may be used to interpret this Indenture.</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13.10. Successors</w:t>
      </w:r>
      <w:r>
        <w:rPr>
          <w:rFonts w:ascii="Arial" w:cs="Arial" w:eastAsia="Arial" w:hAnsi="Arial"/>
          <w:sz w:val="18"/>
          <w:szCs w:val="18"/>
          <w:color w:val="auto"/>
        </w:rPr>
        <w:t>. All agreements of the Company in this Indenture and the Notes will bind its successors. All agreements of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will bind its successor.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Section 13.11. Counterparts</w:t>
      </w:r>
      <w:r>
        <w:rPr>
          <w:rFonts w:ascii="Arial" w:cs="Arial" w:eastAsia="Arial" w:hAnsi="Arial"/>
          <w:sz w:val="18"/>
          <w:szCs w:val="18"/>
          <w:color w:val="auto"/>
        </w:rPr>
        <w:t>. The parties may sign any number of copies of this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Section 13.12. Severability</w:t>
      </w:r>
      <w:r>
        <w:rPr>
          <w:rFonts w:ascii="Arial" w:cs="Arial" w:eastAsia="Arial" w:hAnsi="Arial"/>
          <w:sz w:val="18"/>
          <w:szCs w:val="18"/>
          <w:color w:val="auto"/>
        </w:rPr>
        <w:t>. In case any provision in this Indenture or in the Notes is invalid, illegal or unenforceable, the validity, legality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the remaining provisions will not in any way be affected or impaired thereby.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Section 13.13. Table of Contents and Headings</w:t>
      </w:r>
      <w:r>
        <w:rPr>
          <w:rFonts w:ascii="Arial" w:cs="Arial" w:eastAsia="Arial" w:hAnsi="Arial"/>
          <w:sz w:val="18"/>
          <w:szCs w:val="18"/>
          <w:color w:val="auto"/>
        </w:rPr>
        <w:t>. The Table of Contents, Cross-Reference Table and headings of the Articles and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13.14. No Liability of Directors, Officers, Employees, Incorporators, Members and Stockholders</w:t>
      </w:r>
      <w:r>
        <w:rPr>
          <w:rFonts w:ascii="Arial" w:cs="Arial" w:eastAsia="Arial" w:hAnsi="Arial"/>
          <w:sz w:val="16"/>
          <w:szCs w:val="16"/>
          <w:color w:val="auto"/>
        </w:rPr>
        <w:t>. No director, officer,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incorporator, member or stockholder of the Company, as such, will have any liability for any obligations of the Company under the Notes or this Indenture or</w:t>
      </w:r>
    </w:p>
    <w:p>
      <w:pPr>
        <w:sectPr>
          <w:pgSz w:w="11900" w:h="16838" w:orient="portrait"/>
          <w:cols w:equalWidth="0" w:num="1">
            <w:col w:w="11420"/>
          </w:cols>
          <w:pgMar w:left="240" w:top="125" w:right="239" w:bottom="0" w:gutter="0" w:footer="0" w:header="0"/>
        </w:sectPr>
      </w:pPr>
    </w:p>
    <w:bookmarkStart w:id="99" w:name="page100"/>
    <w:bookmarkEnd w:id="99"/>
    <w:p>
      <w:pPr>
        <w:ind w:right="220"/>
        <w:spacing w:after="0" w:line="277" w:lineRule="auto"/>
        <w:rPr>
          <w:sz w:val="20"/>
          <w:szCs w:val="20"/>
          <w:color w:val="auto"/>
        </w:rPr>
      </w:pPr>
      <w:r>
        <w:rPr>
          <w:rFonts w:ascii="Arial" w:cs="Arial" w:eastAsia="Arial" w:hAnsi="Arial"/>
          <w:sz w:val="18"/>
          <w:szCs w:val="18"/>
          <w:color w:val="auto"/>
        </w:rPr>
        <w:t>for any claim based on, in respect of, or by reason of, such obligations. Each Holder by accepting a Note waives and releases all such liability. The waiver and release are part of the consideration for issuance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Ronald C. Foster</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of Finance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U.S. BANK NATIONAL ASSOCIATION, as Trustee</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Paula Oswald</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DTC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TRANSFER RESTRICTED NOTE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 due 2031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[B-1]</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ISIN</w:t>
      </w:r>
    </w:p>
    <w:p>
      <w:pPr>
        <w:spacing w:after="0" w:line="22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under the Indenture hereinafter referred to), for value received, promises to pay to Cede &amp; Co. or its registered assigns, the principal sum of Dollars ($ ) [(which principal amount may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be increased or decreased to such other principal amounts (which, taken together with the principal amounts of all other outstanding Notes,</w:t>
      </w:r>
    </w:p>
    <w:p>
      <w:pPr>
        <w:spacing w:after="0" w:line="32"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shall not exceed $[</w:t>
      </w:r>
      <w:r>
        <w:rPr>
          <w:sz w:val="20"/>
          <w:szCs w:val="20"/>
          <w:color w:val="auto"/>
        </w:rPr>
        <w:tab/>
      </w:r>
      <w:r>
        <w:rPr>
          <w:rFonts w:ascii="Arial" w:cs="Arial" w:eastAsia="Arial" w:hAnsi="Arial"/>
          <w:sz w:val="16"/>
          <w:szCs w:val="16"/>
          <w:color w:val="auto"/>
        </w:rPr>
        <w:t>]) by adjustments made by the Trustee as set forth on Schedule I hereto)]* on August 1, 2031.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1.875%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 and August 1, commencing February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January 15 and July 15.</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680" w:hanging="348"/>
        <w:spacing w:after="0"/>
        <w:tabs>
          <w:tab w:leader="none" w:pos="6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1.875% Convertible Senior Notes due 2031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1.875% Convertible Senior Note due 2031</w:t>
      </w:r>
    </w:p>
    <w:p>
      <w:pPr>
        <w:spacing w:after="0" w:line="225" w:lineRule="exact"/>
        <w:rPr>
          <w:sz w:val="20"/>
          <w:szCs w:val="20"/>
          <w:color w:val="auto"/>
        </w:rPr>
      </w:pPr>
    </w:p>
    <w:p>
      <w:pPr>
        <w:ind w:left="1020" w:hanging="364"/>
        <w:spacing w:after="0"/>
        <w:tabs>
          <w:tab w:leader="none" w:pos="102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August 1, 2031.</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1.875% per annum.</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Business Day immediately preceding the Interest Payment Date) on each Interest Payment Date, commencing February 1, 2012.</w:t>
      </w:r>
    </w:p>
    <w:p>
      <w:pPr>
        <w:spacing w:after="0" w:line="170"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Interest on this Note will accrue from the most recent date to which interest has been paid or provided for on this Note or the Note surrendered in exchange for this Note or, if no interest has been paid, from July 26, 2011, through the day before each Interest Payment Date. Interest will be computed in the basis of a 360-day year of twelve 30-day months. Interest will cease to accrue on this Note upon its maturity, conversion, redemption or repurchase by the Company, including repurchase by the Company at the option of a holder upon a Change in Control or Termination of Trading.</w:t>
      </w:r>
    </w:p>
    <w:p>
      <w:pPr>
        <w:spacing w:after="0" w:line="15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the Company elects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1.875%. Defaulted Interest shall be paid to the Persons that are Holders on a Special Record Date, which will established as set forth in the Indenture.</w:t>
      </w:r>
    </w:p>
    <w:p>
      <w:pPr>
        <w:spacing w:after="0" w:line="181" w:lineRule="exact"/>
        <w:rPr>
          <w:sz w:val="20"/>
          <w:szCs w:val="20"/>
          <w:color w:val="auto"/>
        </w:rPr>
      </w:pPr>
    </w:p>
    <w:p>
      <w:pPr>
        <w:ind w:left="1020" w:hanging="364"/>
        <w:spacing w:after="0"/>
        <w:tabs>
          <w:tab w:leader="none" w:pos="1020"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47" w:lineRule="exact"/>
        <w:rPr>
          <w:sz w:val="20"/>
          <w:szCs w:val="20"/>
          <w:color w:val="auto"/>
        </w:rPr>
      </w:pPr>
    </w:p>
    <w:p>
      <w:pPr>
        <w:ind w:left="1020" w:hanging="364"/>
        <w:spacing w:after="0"/>
        <w:tabs>
          <w:tab w:leader="none" w:pos="102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 co-registrar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181" w:lineRule="exact"/>
        <w:rPr>
          <w:sz w:val="20"/>
          <w:szCs w:val="20"/>
          <w:color w:val="auto"/>
        </w:rPr>
      </w:pPr>
    </w:p>
    <w:p>
      <w:pPr>
        <w:ind w:left="1020" w:hanging="364"/>
        <w:spacing w:after="0"/>
        <w:tabs>
          <w:tab w:leader="none" w:pos="1020"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July 26, 2011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1020" w:hanging="364"/>
        <w:spacing w:after="0"/>
        <w:tabs>
          <w:tab w:leader="none" w:pos="102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On August 1, 2020 and 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ectPr>
          <w:pgSz w:w="11900" w:h="16838" w:orient="portrait"/>
          <w:cols w:equalWidth="0" w:num="1">
            <w:col w:w="11420"/>
          </w:cols>
          <w:pgMar w:left="240" w:top="341" w:right="239" w:bottom="0" w:gutter="0" w:footer="0" w:header="0"/>
        </w:sectPr>
      </w:pPr>
    </w:p>
    <w:bookmarkStart w:id="101" w:name="page102"/>
    <w:bookmarkEnd w:id="101"/>
    <w:p>
      <w:pPr>
        <w:ind w:left="1020" w:hanging="364"/>
        <w:spacing w:after="0"/>
        <w:tabs>
          <w:tab w:leader="none" w:pos="102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No sinking fund is provided for the Notes. The Notes are redeemable as a whole, or from time to time in part, at any time commencing on August 5, 2014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(i) 100% of the Principal Amount of Notes to be redeemed, plus (ii) accrued and unpaid interest (including Additional Interest), if any, to, but excluding, the Redemption Date, plus (iii) if applicable, the Make-Whole Premium.</w:t>
      </w:r>
    </w:p>
    <w:p>
      <w:pPr>
        <w:spacing w:after="0" w:line="193" w:lineRule="exact"/>
        <w:rPr>
          <w:sz w:val="20"/>
          <w:szCs w:val="20"/>
          <w:color w:val="auto"/>
        </w:rPr>
      </w:pPr>
    </w:p>
    <w:p>
      <w:pPr>
        <w:ind w:left="1020" w:hanging="364"/>
        <w:spacing w:after="0"/>
        <w:tabs>
          <w:tab w:leader="none" w:pos="1020"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the consideration specified in the Indenture, as adjusted from time to time as provided in the Indenture.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89" w:lineRule="exact"/>
        <w:rPr>
          <w:sz w:val="20"/>
          <w:szCs w:val="20"/>
          <w:color w:val="auto"/>
        </w:rPr>
      </w:pPr>
    </w:p>
    <w:p>
      <w:pPr>
        <w:ind w:left="1020" w:hanging="364"/>
        <w:spacing w:after="0"/>
        <w:tabs>
          <w:tab w:leader="none" w:pos="102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1020" w:hanging="364"/>
        <w:spacing w:after="0"/>
        <w:tabs>
          <w:tab w:leader="none" w:pos="102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1020" w:hanging="364"/>
        <w:spacing w:after="0"/>
        <w:tabs>
          <w:tab w:leader="none" w:pos="102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ind w:left="1020" w:hanging="364"/>
        <w:spacing w:after="0"/>
        <w:tabs>
          <w:tab w:leader="none" w:pos="102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1020" w:hanging="364"/>
        <w:spacing w:after="0"/>
        <w:tabs>
          <w:tab w:leader="none" w:pos="102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1020" w:hanging="364"/>
        <w:spacing w:after="0"/>
        <w:tabs>
          <w:tab w:leader="none" w:pos="1020"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ectPr>
          <w:pgSz w:w="11900" w:h="16838" w:orient="portrait"/>
          <w:cols w:equalWidth="0" w:num="1">
            <w:col w:w="11380"/>
          </w:cols>
          <w:pgMar w:left="240" w:top="125" w:right="279" w:bottom="0" w:gutter="0" w:footer="0" w:header="0"/>
        </w:sectPr>
      </w:pPr>
    </w:p>
    <w:bookmarkStart w:id="102" w:name="page103"/>
    <w:bookmarkEnd w:id="102"/>
    <w:p>
      <w:pPr>
        <w:ind w:left="1020" w:hanging="364"/>
        <w:spacing w:after="0"/>
        <w:tabs>
          <w:tab w:leader="none" w:pos="102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1020" w:hanging="364"/>
        <w:spacing w:after="0"/>
        <w:tabs>
          <w:tab w:leader="none" w:pos="102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firstLine="332"/>
        <w:spacing w:after="0" w:line="264" w:lineRule="auto"/>
        <w:tabs>
          <w:tab w:leader="none" w:pos="64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Paula Oswald (Micron 2011 Indenture)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(213) 615-6197</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w:t>
      </w:r>
    </w:p>
    <w:p>
      <w:pPr>
        <w:spacing w:after="0" w:line="46"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ectPr>
          <w:pgSz w:w="11900" w:h="16838" w:orient="portrait"/>
          <w:cols w:equalWidth="0" w:num="1">
            <w:col w:w="11280"/>
          </w:cols>
          <w:pgMar w:left="240" w:top="125" w:right="379" w:bottom="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826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firstLine="332"/>
        <w:spacing w:after="0" w:line="264" w:lineRule="auto"/>
        <w:tabs>
          <w:tab w:leader="none" w:pos="64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[B-1]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principal amount of this Global Note is $345,000,000.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Principal Amount of this</w:t>
            </w:r>
          </w:p>
        </w:tc>
        <w:tc>
          <w:tcPr>
            <w:tcW w:w="2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Notation Explaining</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2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 Principal</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Global Note</w:t>
            </w:r>
          </w:p>
        </w:tc>
        <w:tc>
          <w:tcPr>
            <w:tcW w:w="2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ectPr>
          <w:pgSz w:w="11900" w:h="16838" w:orient="portrait"/>
          <w:cols w:equalWidth="0" w:num="1">
            <w:col w:w="11420"/>
          </w:cols>
          <w:pgMar w:left="240" w:top="341" w:right="239" w:bottom="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RESTRICTED NOTE LEGEND</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SALE OF THIS SECURITY HAS NOT BEEN REGISTERED UNDER THE UNITED STATES SECURITIES ACT OF 1933, AS AMENDED (THE ‘‘SECURITIES ACT’’), AND ACCORDINGLY, THIS SECURITY MAY NOT BE OFFERED OR SOLD EXCEPT AS SET FORTH IN THE FOLLOWING SENTENCE. BY ITS ACQUISITION HEREOF, THE HOLDER AGREES (1) THAT IT WILL NOT WITHIN THE LATER OF (X) ONE YEAR AFTER THE LATEST ISSUE DATE OF THIS SECURITY AND (Y) THREE MONTHS AFTER IT CEASES TO BE AN AFFILIATE (WITHIN THE MEANING OF RULE 144 UNDER THE SECURITIES ACT) OF THE ISSUER, OFFER, RESELL, PLEDGE OR OTHERWISE TRANSFER THE SECURITY EVIDENCED HEREBY OR THE COMMON STOCK ISSUABLE UPON CONVERSION OF SUCH SECURITY, EXCEPT (A) TO THE ISSUER;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WITHIN THE LATER OF (X) SIX MONTHS (OR, IF THE ISSUER HAS NOT SATISFIED THE CURRENT PUBLIC INFORMATION REQUIREMENTS OF RULE 144, ONE YEAR) AFTER THE LAST DATE OF ORIGINAL ISSUANCE OF NOTES (INCLUDING THROUGH THE EXERCISE OF THE OPTION TO PURCHASE ADDITIONAL NOTES) AND (Y) THREE MONTHS AFTER IT CEASES TO BE AN AFFILIATE (WITHIN THE MEANING OF RULE 144 UNDER THE SECURITIES ACT) OF THE ISSUER, FURNISH TO THE TRUSTEE AND THE ISSUER SUCH CERTIFICATIONS, LEGAL OPINIONS OR OTHER INFORMATION AS MAY BE REQUIRED PURSUANT TO THE INDENTURE TO CONFIRM WITH SUCH TRANSFER IS BEING MADE PURSUANT TO AN EXEMPTION FROM, OR IN A TRANSACTION NOT SUBJECT TO, THE REGISTRATION REQUIREMENTS OF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TO BE DELIVERED UPON EXCHANGE OR REGISTRATION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TRANSFER OF TRANSFER RESTRICTED NOTES</w:t>
      </w:r>
    </w:p>
    <w:p>
      <w:pPr>
        <w:sectPr>
          <w:pgSz w:w="11900" w:h="16838" w:orient="portrait"/>
          <w:cols w:equalWidth="0" w:num="1">
            <w:col w:w="11420"/>
          </w:cols>
          <w:pgMar w:left="240" w:top="341" w:right="239" w:bottom="137"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1.875% Convertible Senior Notes due 2031 (the “</w:t>
      </w:r>
      <w:r>
        <w:rPr>
          <w:rFonts w:ascii="Arial" w:cs="Arial" w:eastAsia="Arial" w:hAnsi="Arial"/>
          <w:sz w:val="16"/>
          <w:szCs w:val="16"/>
          <w:b w:val="1"/>
          <w:bCs w:val="1"/>
          <w:color w:val="auto"/>
        </w:rPr>
        <w:t>Notes</w:t>
      </w:r>
      <w:r>
        <w:rPr>
          <w:rFonts w:ascii="Arial" w:cs="Arial" w:eastAsia="Arial" w:hAnsi="Arial"/>
          <w:sz w:val="16"/>
          <w:szCs w:val="16"/>
          <w:color w:val="auto"/>
        </w:rPr>
        <w:t>”) of Micron Technology, Inc.</w:t>
      </w:r>
    </w:p>
    <w:p>
      <w:pPr>
        <w:spacing w:after="0" w:line="204" w:lineRule="exact"/>
        <w:rPr>
          <w:sz w:val="20"/>
          <w:szCs w:val="20"/>
          <w:color w:val="auto"/>
        </w:rPr>
      </w:pPr>
    </w:p>
    <w:p>
      <w:pPr>
        <w:sectPr>
          <w:pgSz w:w="11900" w:h="16838" w:orient="portrait"/>
          <w:cols w:equalWidth="0" w:num="2">
            <w:col w:w="260" w:space="380"/>
            <w:col w:w="10780"/>
          </w:cols>
          <w:pgMar w:left="240" w:top="341" w:right="239" w:bottom="137"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relates to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Notes owned in (check applicable box)</w:t>
      </w:r>
    </w:p>
    <w:p>
      <w:pPr>
        <w:spacing w:after="0" w:line="200" w:lineRule="exact"/>
        <w:rPr>
          <w:sz w:val="20"/>
          <w:szCs w:val="20"/>
          <w:color w:val="auto"/>
        </w:rPr>
      </w:pPr>
    </w:p>
    <w:p>
      <w:pPr>
        <w:sectPr>
          <w:pgSz w:w="11900" w:h="16838" w:orient="portrait"/>
          <w:cols w:equalWidth="0" w:num="2">
            <w:col w:w="3300" w:space="720"/>
            <w:col w:w="7400"/>
          </w:cols>
          <w:pgMar w:left="240" w:top="341" w:right="239" w:bottom="137"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  book-entry 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  definitive form by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3">
            <w:col w:w="1860" w:space="140"/>
            <w:col w:w="3300" w:space="720"/>
            <w:col w:w="5400"/>
          </w:cols>
          <w:pgMar w:left="240" w:top="341" w:right="239" w:bottom="137"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Transferor has requested a Registrar or the Trustee to exchange or register the transfer of such Notes.</w:t>
      </w:r>
    </w:p>
    <w:p>
      <w:pPr>
        <w:sectPr>
          <w:pgSz w:w="11900" w:h="16838" w:orient="portrait"/>
          <w:cols w:equalWidth="0" w:num="1">
            <w:col w:w="11420"/>
          </w:cols>
          <w:pgMar w:left="240" w:top="341" w:right="239" w:bottom="137" w:gutter="0" w:footer="0" w:header="0"/>
          <w:type w:val="continuous"/>
        </w:sectPr>
      </w:pPr>
    </w:p>
    <w:p>
      <w:pPr>
        <w:spacing w:after="0" w:line="248" w:lineRule="exact"/>
        <w:rPr>
          <w:sz w:val="20"/>
          <w:szCs w:val="20"/>
          <w:color w:val="auto"/>
        </w:rPr>
      </w:pPr>
    </w:p>
    <w:p>
      <w:pPr>
        <w:jc w:val="both"/>
        <w:ind w:right="440" w:firstLine="648"/>
        <w:spacing w:after="0" w:line="276" w:lineRule="auto"/>
        <w:rPr>
          <w:sz w:val="20"/>
          <w:szCs w:val="20"/>
          <w:color w:val="auto"/>
        </w:rPr>
      </w:pPr>
      <w:r>
        <w:rPr>
          <w:rFonts w:ascii="Arial" w:cs="Arial" w:eastAsia="Arial" w:hAnsi="Arial"/>
          <w:sz w:val="17"/>
          <w:szCs w:val="17"/>
          <w:color w:val="auto"/>
        </w:rPr>
        <w:t>In connection with such request and in respect of each such Note, the Transferor does hereby certify that the Transferor is familiar with transfer restrictions relating to the Notes as provided in Section 2.13 of the Indenture dated as of July 26, 2011 between Micron Technology, Inc.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and the transfer of such Note is being made pursuant to an effective registration statement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(check applicable box) or the transfer or exchange, as the case may be, of such Note does not require registration under the Securities Act because (check applicable box):</w:t>
      </w:r>
    </w:p>
    <w:p>
      <w:pPr>
        <w:spacing w:after="0" w:line="173" w:lineRule="exact"/>
        <w:rPr>
          <w:sz w:val="20"/>
          <w:szCs w:val="20"/>
          <w:color w:val="auto"/>
        </w:rPr>
      </w:pPr>
    </w:p>
    <w:p>
      <w:pPr>
        <w:ind w:left="1200" w:hanging="544"/>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Note is being transferred pursuant to an effective registration statement under the Securities Act.</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Note is being acquired for the Transferor’s own account, without transfer.</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Note is being transferred to the Company or a Subsidiary (as defined in the Indenture) of the Company.</w:t>
      </w:r>
    </w:p>
    <w:p>
      <w:pPr>
        <w:spacing w:after="0" w:line="225" w:lineRule="exact"/>
        <w:rPr>
          <w:rFonts w:ascii="Arial" w:cs="Arial" w:eastAsia="Arial" w:hAnsi="Arial"/>
          <w:sz w:val="18"/>
          <w:szCs w:val="18"/>
          <w:color w:val="auto"/>
        </w:rPr>
      </w:pPr>
    </w:p>
    <w:p>
      <w:pPr>
        <w:ind w:left="1300" w:right="120" w:hanging="644"/>
        <w:spacing w:after="0" w:line="259" w:lineRule="auto"/>
        <w:tabs>
          <w:tab w:leader="none" w:pos="120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Note is being transferred to a person the Transferor reasonably believes is a “qualified institutional buyer” (as defined in Rule 144A or any successor provision thereto (“</w:t>
      </w:r>
      <w:r>
        <w:rPr>
          <w:rFonts w:ascii="Arial" w:cs="Arial" w:eastAsia="Arial" w:hAnsi="Arial"/>
          <w:sz w:val="18"/>
          <w:szCs w:val="18"/>
          <w:b w:val="1"/>
          <w:bCs w:val="1"/>
          <w:color w:val="auto"/>
        </w:rPr>
        <w:t>Rule 144A</w:t>
      </w:r>
      <w:r>
        <w:rPr>
          <w:rFonts w:ascii="Arial" w:cs="Arial" w:eastAsia="Arial" w:hAnsi="Arial"/>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hanging="644"/>
        <w:spacing w:after="0" w:line="277" w:lineRule="auto"/>
        <w:tabs>
          <w:tab w:leader="none" w:pos="12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8"/>
          <w:szCs w:val="18"/>
          <w:b w:val="1"/>
          <w:bCs w:val="1"/>
          <w:color w:val="auto"/>
        </w:rPr>
        <w:t>Rule 144</w:t>
      </w:r>
      <w:r>
        <w:rPr>
          <w:rFonts w:ascii="Arial" w:cs="Arial" w:eastAsia="Arial" w:hAnsi="Arial"/>
          <w:sz w:val="18"/>
          <w:szCs w:val="18"/>
          <w:color w:val="auto"/>
        </w:rPr>
        <w:t>”) under the Securities Act.</w:t>
      </w:r>
    </w:p>
    <w:p>
      <w:pPr>
        <w:spacing w:after="0" w:line="170" w:lineRule="exact"/>
        <w:rPr>
          <w:rFonts w:ascii="Arial" w:cs="Arial" w:eastAsia="Arial" w:hAnsi="Arial"/>
          <w:sz w:val="18"/>
          <w:szCs w:val="18"/>
          <w:color w:val="auto"/>
        </w:rPr>
      </w:pPr>
    </w:p>
    <w:p>
      <w:pPr>
        <w:ind w:left="1300" w:right="220" w:hanging="644"/>
        <w:spacing w:after="0" w:line="264" w:lineRule="auto"/>
        <w:tabs>
          <w:tab w:leader="none" w:pos="12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ectPr>
          <w:pgSz w:w="11900" w:h="16838" w:orient="portrait"/>
          <w:cols w:equalWidth="0" w:num="1">
            <w:col w:w="11420"/>
          </w:cols>
          <w:pgMar w:left="240" w:top="341" w:right="239" w:bottom="137"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8694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o"/>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1."/>
      <w:numFmt w:val="decimal"/>
      <w:start w:val="1"/>
    </w:lvl>
    <w:lvl w:ilvl="1">
      <w:lvlJc w:val="left"/>
      <w:lvlText w:val="(%2)"/>
      <w:numFmt w:val="lowerLetter"/>
      <w:start w:val="1"/>
    </w:lvl>
  </w:abstractNum>
  <w:abstractNum w:abstractNumId="3">
    <w:nsid w:val="7DFF9D09"/>
    <w:multiLevelType w:val="hybridMultilevel"/>
    <w:lvl w:ilvl="0">
      <w:lvlJc w:val="left"/>
      <w:lvlText w:val="(%1)"/>
      <w:numFmt w:val="lowerLetter"/>
      <w:start w:val="2"/>
    </w:lvl>
  </w:abstractNum>
  <w:abstractNum w:abstractNumId="4">
    <w:nsid w:val="754342"/>
    <w:multiLevelType w:val="hybridMultilevel"/>
    <w:lvl w:ilvl="0">
      <w:lvlJc w:val="left"/>
      <w:lvlText w:val="(%1)"/>
      <w:numFmt w:val="lowerLetter"/>
      <w:start w:val="8"/>
    </w:lvl>
  </w:abstractNum>
  <w:abstractNum w:abstractNumId="5">
    <w:nsid w:val="69E7F3E5"/>
    <w:multiLevelType w:val="hybridMultilevel"/>
    <w:lvl w:ilvl="0">
      <w:lvlJc w:val="left"/>
      <w:lvlText w:val="(%1)"/>
      <w:numFmt w:val="lowerLetter"/>
      <w:start w:val="12"/>
    </w:lvl>
  </w:abstractNum>
  <w:abstractNum w:abstractNumId="6">
    <w:nsid w:val="2A6DE806"/>
    <w:multiLevelType w:val="hybridMultilevel"/>
    <w:lvl w:ilvl="0">
      <w:lvlJc w:val="left"/>
      <w:lvlText w:val="(%1)"/>
      <w:numFmt w:val="lowerLetter"/>
      <w:start w:val="16"/>
    </w:lvl>
  </w:abstractNum>
  <w:abstractNum w:abstractNumId="7">
    <w:nsid w:val="1816F8C4"/>
    <w:multiLevelType w:val="hybridMultilevel"/>
    <w:lvl w:ilvl="0">
      <w:lvlJc w:val="left"/>
      <w:lvlText w:val="(%1)"/>
      <w:numFmt w:val="lowerLetter"/>
      <w:start w:val="22"/>
    </w:lvl>
  </w:abstractNum>
  <w:abstractNum w:abstractNumId="8">
    <w:nsid w:val="37DF2233"/>
    <w:multiLevelType w:val="hybridMultilevel"/>
    <w:lvl w:ilvl="0">
      <w:lvlJc w:val="left"/>
      <w:lvlText w:val="(%1)"/>
      <w:numFmt w:val="lowerRoman"/>
      <w:start w:val="10"/>
    </w:lvl>
    <w:lvl w:ilvl="1">
      <w:lvlJc w:val="left"/>
      <w:lvlText w:val="(%2)"/>
      <w:numFmt w:val="upperLetter"/>
      <w:start w:val="1"/>
    </w:lvl>
  </w:abstractNum>
  <w:abstractNum w:abstractNumId="9">
    <w:nsid w:val="7AB49DA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0">
    <w:nsid w:val="759F82CD"/>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1">
    <w:nsid w:val="61E74EA3"/>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2">
    <w:nsid w:val="597B4D84"/>
    <w:multiLevelType w:val="hybridMultilevel"/>
    <w:lvl w:ilvl="0">
      <w:lvlJc w:val="left"/>
      <w:lvlText w:val="%1."/>
      <w:numFmt w:val="decimal"/>
      <w:start w:val="3"/>
    </w:lvl>
  </w:abstractNum>
  <w:abstractNum w:abstractNumId="13">
    <w:nsid w:val="F819E7F"/>
    <w:multiLevelType w:val="hybridMultilevel"/>
    <w:lvl w:ilvl="0">
      <w:lvlJc w:val="left"/>
      <w:lvlText w:val="%1."/>
      <w:numFmt w:val="decimal"/>
      <w:start w:val="5"/>
    </w:lvl>
  </w:abstractNum>
  <w:abstractNum w:abstractNumId="14">
    <w:nsid w:val="57C7D42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
    <w:nsid w:val="312167AD"/>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6">
    <w:nsid w:val="631B64D4"/>
    <w:multiLevelType w:val="hybridMultilevel"/>
    <w:lvl w:ilvl="0">
      <w:lvlJc w:val="left"/>
      <w:lvlText w:val="(%1)"/>
      <w:numFmt w:val="lowerLetter"/>
      <w:start w:val="3"/>
    </w:lvl>
  </w:abstractNum>
  <w:abstractNum w:abstractNumId="17">
    <w:nsid w:val="78B5E776"/>
    <w:multiLevelType w:val="hybridMultilevel"/>
    <w:lvl w:ilvl="0">
      <w:lvlJc w:val="left"/>
      <w:lvlText w:val="(%1)"/>
      <w:numFmt w:val="lowerLetter"/>
      <w:start w:val="4"/>
    </w:lvl>
  </w:abstractNum>
  <w:abstractNum w:abstractNumId="18">
    <w:nsid w:val="75486E47"/>
    <w:multiLevelType w:val="hybridMultilevel"/>
    <w:lvl w:ilvl="0">
      <w:lvlJc w:val="left"/>
      <w:lvlText w:val="%1."/>
      <w:numFmt w:val="decimal"/>
      <w:start w:val="6"/>
    </w:lvl>
    <w:lvl w:ilvl="1">
      <w:lvlJc w:val="left"/>
      <w:lvlText w:val="(%2)"/>
      <w:numFmt w:val="lowerLetter"/>
      <w:start w:val="1"/>
    </w:lvl>
  </w:abstractNum>
  <w:abstractNum w:abstractNumId="19">
    <w:nsid w:val="6E534CDE"/>
    <w:multiLevelType w:val="hybridMultilevel"/>
    <w:lvl w:ilvl="0">
      <w:lvlJc w:val="left"/>
      <w:lvlText w:val="(%1)"/>
      <w:numFmt w:val="lowerLetter"/>
      <w:start w:val="6"/>
    </w:lvl>
  </w:abstractNum>
  <w:abstractNum w:abstractNumId="20">
    <w:nsid w:val="1A0DDE32"/>
    <w:multiLevelType w:val="hybridMultilevel"/>
    <w:lvl w:ilvl="0">
      <w:lvlJc w:val="left"/>
      <w:lvlText w:val="(%1)"/>
      <w:numFmt w:val="lowerLetter"/>
      <w:start w:val="8"/>
    </w:lvl>
  </w:abstractNum>
  <w:abstractNum w:abstractNumId="21">
    <w:nsid w:val="65968C1C"/>
    <w:multiLevelType w:val="hybridMultilevel"/>
    <w:lvl w:ilvl="0">
      <w:lvlJc w:val="left"/>
      <w:lvlText w:val="(%1)"/>
      <w:numFmt w:val="lowerLetter"/>
      <w:start w:val="9"/>
    </w:lvl>
  </w:abstractNum>
  <w:abstractNum w:abstractNumId="22">
    <w:nsid w:val="46263DEC"/>
    <w:multiLevelType w:val="hybridMultilevel"/>
    <w:lvl w:ilvl="0">
      <w:lvlJc w:val="left"/>
      <w:lvlText w:val="(%1)"/>
      <w:numFmt w:val="lowerLetter"/>
      <w:start w:val="13"/>
    </w:lvl>
  </w:abstractNum>
  <w:abstractNum w:abstractNumId="23">
    <w:nsid w:val="260D8C4A"/>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9"/>
    </w:lvl>
  </w:abstractNum>
  <w:abstractNum w:abstractNumId="24">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
    <w:nsid w:val="746F2E3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
    <w:nsid w:val="6FDE8AF6"/>
    <w:multiLevelType w:val="hybridMultilevel"/>
    <w:lvl w:ilvl="0">
      <w:lvlJc w:val="left"/>
      <w:lvlText w:val="%1."/>
      <w:numFmt w:val="decimal"/>
      <w:start w:val="8"/>
    </w:lvl>
    <w:lvl w:ilvl="1">
      <w:lvlJc w:val="left"/>
      <w:lvlText w:val="(%2)"/>
      <w:numFmt w:val="lowerLetter"/>
      <w:start w:val="2"/>
    </w:lvl>
    <w:lvl w:ilvl="2">
      <w:lvlJc w:val="left"/>
      <w:lvlText w:val="%3"/>
      <w:numFmt w:val="lowerRoman"/>
      <w:start w:val="1"/>
    </w:lvl>
  </w:abstractNum>
  <w:abstractNum w:abstractNumId="27">
    <w:nsid w:val="3FC32E20"/>
    <w:multiLevelType w:val="hybridMultilevel"/>
    <w:lvl w:ilvl="0">
      <w:lvlJc w:val="left"/>
      <w:lvlText w:val="%1"/>
      <w:numFmt w:val="lowerLetter"/>
      <w:start w:val="1"/>
    </w:lvl>
    <w:lvl w:ilvl="1">
      <w:lvlJc w:val="left"/>
      <w:lvlText w:val="(%2)"/>
      <w:numFmt w:val="lowerLetter"/>
      <w:start w:val="3"/>
    </w:lvl>
  </w:abstractNum>
  <w:abstractNum w:abstractNumId="28">
    <w:nsid w:val="49C0E823"/>
    <w:multiLevelType w:val="hybridMultilevel"/>
    <w:lvl w:ilvl="0">
      <w:lvlJc w:val="left"/>
      <w:lvlText w:val="(%1)"/>
      <w:numFmt w:val="lowerLetter"/>
      <w:start w:val="61"/>
    </w:lvl>
    <w:lvl w:ilvl="1">
      <w:lvlJc w:val="left"/>
      <w:lvlText w:val="%2"/>
      <w:numFmt w:val="lowerLetter"/>
      <w:start w:val="1"/>
    </w:lvl>
  </w:abstractNum>
  <w:abstractNum w:abstractNumId="29">
    <w:nsid w:val="14D53685"/>
    <w:multiLevelType w:val="hybridMultilevel"/>
    <w:lvl w:ilvl="0">
      <w:lvlJc w:val="left"/>
      <w:lvlText w:val="(%1)"/>
      <w:numFmt w:val="lowerLetter"/>
      <w:start w:val="4"/>
    </w:lvl>
  </w:abstractNum>
  <w:abstractNum w:abstractNumId="30">
    <w:nsid w:val="230F856C"/>
    <w:multiLevelType w:val="hybridMultilevel"/>
    <w:lvl w:ilvl="0">
      <w:lvlJc w:val="left"/>
      <w:lvlText w:val="(%1)"/>
      <w:numFmt w:val="lowerLetter"/>
      <w:start w:val="5"/>
    </w:lvl>
  </w:abstractNum>
  <w:abstractNum w:abstractNumId="31">
    <w:nsid w:val="6EAA85FB"/>
    <w:multiLevelType w:val="hybridMultilevel"/>
    <w:lvl w:ilvl="0">
      <w:lvlJc w:val="left"/>
      <w:lvlText w:val="%1"/>
      <w:numFmt w:val="lowerLetter"/>
      <w:start w:val="1"/>
    </w:lvl>
    <w:lvl w:ilvl="1">
      <w:lvlJc w:val="left"/>
      <w:lvlText w:val="(%2)"/>
      <w:numFmt w:val="lowerLetter"/>
      <w:start w:val="6"/>
    </w:lvl>
  </w:abstractNum>
  <w:abstractNum w:abstractNumId="32">
    <w:nsid w:val="3F06ECB2"/>
    <w:multiLevelType w:val="hybridMultilevel"/>
    <w:lvl w:ilvl="0">
      <w:lvlJc w:val="left"/>
      <w:lvlText w:val="(%1)"/>
      <w:numFmt w:val="lowerLetter"/>
      <w:start w:val="35"/>
    </w:lvl>
    <w:lvl w:ilvl="1">
      <w:lvlJc w:val="left"/>
      <w:lvlText w:val="%2"/>
      <w:numFmt w:val="lowerLetter"/>
      <w:start w:val="1"/>
    </w:lvl>
  </w:abstractNum>
  <w:abstractNum w:abstractNumId="33">
    <w:nsid w:val="3B594807"/>
    <w:multiLevelType w:val="hybridMultilevel"/>
    <w:lvl w:ilvl="0">
      <w:lvlJc w:val="left"/>
      <w:lvlText w:val="%1."/>
      <w:numFmt w:val="decimal"/>
      <w:start w:val="9"/>
    </w:lvl>
  </w:abstractNum>
  <w:abstractNum w:abstractNumId="34">
    <w:nsid w:val="6CAA2304"/>
    <w:multiLevelType w:val="hybridMultilevel"/>
    <w:lvl w:ilvl="0">
      <w:lvlJc w:val="left"/>
      <w:lvlText w:val="%1."/>
      <w:numFmt w:val="decimal"/>
      <w:start w:val="10"/>
    </w:lvl>
  </w:abstractNum>
  <w:abstractNum w:abstractNumId="35">
    <w:nsid w:val="3F7C2FF4"/>
    <w:multiLevelType w:val="hybridMultilevel"/>
    <w:lvl w:ilvl="0">
      <w:lvlJc w:val="left"/>
      <w:lvlText w:val="%1."/>
      <w:numFmt w:val="decimal"/>
      <w:start w:val="11"/>
    </w:lvl>
    <w:lvl w:ilvl="1">
      <w:lvlJc w:val="left"/>
      <w:lvlText w:val="(%2)"/>
      <w:numFmt w:val="lowerLetter"/>
      <w:start w:val="2"/>
    </w:lvl>
  </w:abstractNum>
  <w:abstractNum w:abstractNumId="36">
    <w:nsid w:val="25413BEC"/>
    <w:multiLevelType w:val="hybridMultilevel"/>
    <w:lvl w:ilvl="0">
      <w:lvlJc w:val="left"/>
      <w:lvlText w:val="%1."/>
      <w:numFmt w:val="decimal"/>
      <w:start w:val="1"/>
    </w:lvl>
  </w:abstractNum>
  <w:abstractNum w:abstractNumId="37">
    <w:nsid w:val="17180B0B"/>
    <w:multiLevelType w:val="hybridMultilevel"/>
    <w:lvl w:ilvl="0">
      <w:lvlJc w:val="left"/>
      <w:lvlText w:val="%1."/>
      <w:numFmt w:val="decimal"/>
      <w:start w:val="1"/>
    </w:lvl>
  </w:abstractNum>
  <w:abstractNum w:abstractNumId="38">
    <w:nsid w:val="579328B9"/>
    <w:multiLevelType w:val="hybridMultilevel"/>
    <w:lvl w:ilvl="0">
      <w:lvlJc w:val="left"/>
      <w:lvlText w:val="%1."/>
      <w:numFmt w:val="decimal"/>
      <w:start w:val="8"/>
    </w:lvl>
  </w:abstractNum>
  <w:abstractNum w:abstractNumId="39">
    <w:nsid w:val="5D205E20"/>
    <w:multiLevelType w:val="hybridMultilevel"/>
    <w:lvl w:ilvl="0">
      <w:lvlJc w:val="left"/>
      <w:lvlText w:val="(%1)"/>
      <w:numFmt w:val="lowerRoman"/>
      <w:start w:val="1"/>
    </w:lvl>
  </w:abstractNum>
  <w:abstractNum w:abstractNumId="40">
    <w:nsid w:val="11CCA8BA"/>
    <w:multiLevelType w:val="hybridMultilevel"/>
    <w:lvl w:ilvl="0">
      <w:lvlJc w:val="left"/>
      <w:lvlText w:val="%1."/>
      <w:numFmt w:val="decimal"/>
      <w:start w:val="1"/>
    </w:lvl>
  </w:abstractNum>
  <w:abstractNum w:abstractNumId="41">
    <w:nsid w:val="4D32AB86"/>
    <w:multiLevelType w:val="hybridMultilevel"/>
    <w:lvl w:ilvl="0">
      <w:lvlJc w:val="left"/>
      <w:lvlText w:val="(%1)"/>
      <w:numFmt w:val="lowerLetter"/>
      <w:start w:val="24"/>
    </w:lvl>
  </w:abstractNum>
  <w:abstractNum w:abstractNumId="42">
    <w:nsid w:val="3F07ACC3"/>
    <w:multiLevelType w:val="hybridMultilevel"/>
    <w:lvl w:ilvl="0">
      <w:lvlJc w:val="left"/>
      <w:lvlText w:val="(%1)"/>
      <w:numFmt w:val="lowerLetter"/>
      <w:start w:val="1"/>
    </w:lvl>
  </w:abstractNum>
  <w:abstractNum w:abstractNumId="43">
    <w:nsid w:val="6B47F63E"/>
    <w:multiLevelType w:val="hybridMultilevel"/>
    <w:lvl w:ilvl="0">
      <w:lvlJc w:val="left"/>
      <w:lvlText w:val="(%1)"/>
      <w:numFmt w:val="lowerLetter"/>
      <w:start w:val="4"/>
    </w:lvl>
  </w:abstractNum>
  <w:abstractNum w:abstractNumId="44">
    <w:nsid w:val="5CB44A05"/>
    <w:multiLevelType w:val="hybridMultilevel"/>
    <w:lvl w:ilvl="0">
      <w:lvlJc w:val="left"/>
      <w:lvlText w:val="(%1)"/>
      <w:numFmt w:val="lowerLetter"/>
      <w:start w:val="5"/>
    </w:lvl>
  </w:abstractNum>
  <w:abstractNum w:abstractNumId="45">
    <w:nsid w:val="16CF80F1"/>
    <w:multiLevelType w:val="hybridMultilevel"/>
    <w:lvl w:ilvl="0">
      <w:lvlJc w:val="left"/>
      <w:lvlText w:val="(%1)"/>
      <w:numFmt w:val="lowerLetter"/>
      <w:start w:val="1"/>
    </w:lvl>
  </w:abstractNum>
  <w:abstractNum w:abstractNumId="46">
    <w:nsid w:val="1C695DEC"/>
    <w:multiLevelType w:val="hybridMultilevel"/>
    <w:lvl w:ilvl="0">
      <w:lvlJc w:val="left"/>
      <w:lvlText w:val="(%1)"/>
      <w:numFmt w:val="lowerLetter"/>
      <w:start w:val="9"/>
    </w:lvl>
    <w:lvl w:ilvl="1">
      <w:lvlJc w:val="left"/>
      <w:lvlText w:val="(%2)"/>
      <w:numFmt w:val="lowerLetter"/>
      <w:start w:val="3"/>
    </w:lvl>
  </w:abstractNum>
  <w:abstractNum w:abstractNumId="47">
    <w:nsid w:val="3FCFAED9"/>
    <w:multiLevelType w:val="hybridMultilevel"/>
    <w:lvl w:ilvl="0">
      <w:lvlJc w:val="left"/>
      <w:lvlText w:val="(%1)"/>
      <w:numFmt w:val="lowerLetter"/>
      <w:start w:val="2"/>
    </w:lvl>
    <w:lvl w:ilvl="1">
      <w:lvlJc w:val="left"/>
      <w:lvlText w:val="(%2)"/>
      <w:numFmt w:val="lowerRoman"/>
      <w:start w:val="1"/>
    </w:lvl>
  </w:abstractNum>
  <w:abstractNum w:abstractNumId="48">
    <w:nsid w:val="F856867"/>
    <w:multiLevelType w:val="hybridMultilevel"/>
    <w:lvl w:ilvl="0">
      <w:lvlJc w:val="left"/>
      <w:lvlText w:val="%1"/>
      <w:numFmt w:val="lowerLetter"/>
      <w:start w:val="1"/>
    </w:lvl>
    <w:lvl w:ilvl="1">
      <w:lvlJc w:val="left"/>
      <w:lvlText w:val="(%2)"/>
      <w:numFmt w:val="lowerRoman"/>
      <w:start w:val="3"/>
    </w:lvl>
  </w:abstractNum>
  <w:abstractNum w:abstractNumId="49">
    <w:nsid w:val="11B1CC33"/>
    <w:multiLevelType w:val="hybridMultilevel"/>
    <w:lvl w:ilvl="0">
      <w:lvlJc w:val="left"/>
      <w:lvlText w:val="(%1)"/>
      <w:numFmt w:val="lowerLetter"/>
      <w:start w:val="4"/>
    </w:lvl>
    <w:lvl w:ilvl="1">
      <w:lvlJc w:val="left"/>
      <w:lvlText w:val="(%2)"/>
      <w:numFmt w:val="lowerRoman"/>
      <w:start w:val="1"/>
    </w:lvl>
  </w:abstractNum>
  <w:abstractNum w:abstractNumId="50">
    <w:nsid w:val="2E22FBB7"/>
    <w:multiLevelType w:val="hybridMultilevel"/>
    <w:lvl w:ilvl="0">
      <w:lvlJc w:val="left"/>
      <w:lvlText w:val="(%1)"/>
      <w:numFmt w:val="lowerRoman"/>
      <w:start w:val="2"/>
    </w:lvl>
  </w:abstractNum>
  <w:abstractNum w:abstractNumId="51">
    <w:nsid w:val="29934699"/>
    <w:multiLevelType w:val="hybridMultilevel"/>
    <w:lvl w:ilvl="0">
      <w:lvlJc w:val="left"/>
      <w:lvlText w:val="(%1)"/>
      <w:numFmt w:val="lowerRoman"/>
      <w:start w:val="1"/>
    </w:lvl>
  </w:abstractNum>
  <w:abstractNum w:abstractNumId="52">
    <w:nsid w:val="77485850"/>
    <w:multiLevelType w:val="hybridMultilevel"/>
    <w:lvl w:ilvl="0">
      <w:lvlJc w:val="left"/>
      <w:lvlText w:val="(%1)"/>
      <w:numFmt w:val="lowerRoman"/>
      <w:start w:val="3"/>
    </w:lvl>
  </w:abstractNum>
  <w:abstractNum w:abstractNumId="53">
    <w:nsid w:val="744939A3"/>
    <w:multiLevelType w:val="hybridMultilevel"/>
    <w:lvl w:ilvl="0">
      <w:lvlJc w:val="left"/>
      <w:lvlText w:val="(%1)"/>
      <w:numFmt w:val="upperLetter"/>
      <w:start w:val="1"/>
    </w:lvl>
  </w:abstractNum>
  <w:abstractNum w:abstractNumId="54">
    <w:nsid w:val="4FA0D2E3"/>
    <w:multiLevelType w:val="hybridMultilevel"/>
    <w:lvl w:ilvl="0">
      <w:lvlJc w:val="left"/>
      <w:lvlText w:val="(%1)"/>
      <w:numFmt w:val="upperLetter"/>
      <w:start w:val="2"/>
    </w:lvl>
  </w:abstractNum>
  <w:abstractNum w:abstractNumId="55">
    <w:nsid w:val="6B1D2C14"/>
    <w:multiLevelType w:val="hybridMultilevel"/>
    <w:lvl w:ilvl="0">
      <w:lvlJc w:val="left"/>
      <w:lvlText w:val="(%1)"/>
      <w:numFmt w:val="lowerLetter"/>
      <w:start w:val="2"/>
    </w:lvl>
    <w:lvl w:ilvl="1">
      <w:lvlJc w:val="left"/>
      <w:lvlText w:val="(%2)"/>
      <w:numFmt w:val="lowerRoman"/>
      <w:start w:val="1"/>
    </w:lvl>
  </w:abstractNum>
  <w:abstractNum w:abstractNumId="56">
    <w:nsid w:val="68B867D3"/>
    <w:multiLevelType w:val="hybridMultilevel"/>
    <w:lvl w:ilvl="0">
      <w:lvlJc w:val="left"/>
      <w:lvlText w:val="%1"/>
      <w:numFmt w:val="lowerLetter"/>
      <w:start w:val="1"/>
    </w:lvl>
    <w:lvl w:ilvl="1">
      <w:lvlJc w:val="left"/>
      <w:lvlText w:val="(%2)"/>
      <w:numFmt w:val="lowerRoman"/>
      <w:start w:val="7"/>
    </w:lvl>
  </w:abstractNum>
  <w:abstractNum w:abstractNumId="57">
    <w:nsid w:val="3F7F5DD9"/>
    <w:multiLevelType w:val="hybridMultilevel"/>
    <w:lvl w:ilvl="0">
      <w:lvlJc w:val="left"/>
      <w:lvlText w:val="(%1)"/>
      <w:numFmt w:val="lowerLetter"/>
      <w:start w:val="3"/>
    </w:lvl>
    <w:lvl w:ilvl="1">
      <w:lvlJc w:val="left"/>
      <w:lvlText w:val="(%2)"/>
      <w:numFmt w:val="lowerRoman"/>
      <w:start w:val="1"/>
    </w:lvl>
  </w:abstractNum>
  <w:abstractNum w:abstractNumId="58">
    <w:nsid w:val="2AE05A34"/>
    <w:multiLevelType w:val="hybridMultilevel"/>
    <w:lvl w:ilvl="0">
      <w:lvlJc w:val="left"/>
      <w:lvlText w:val="(%1)"/>
      <w:numFmt w:val="lowerLetter"/>
      <w:start w:val="1"/>
    </w:lvl>
  </w:abstractNum>
  <w:abstractNum w:abstractNumId="59">
    <w:nsid w:val="32794FF7"/>
    <w:multiLevelType w:val="hybridMultilevel"/>
    <w:lvl w:ilvl="0">
      <w:lvlJc w:val="left"/>
      <w:lvlText w:val="(%1)"/>
      <w:numFmt w:val="lowerRoman"/>
      <w:start w:val="1"/>
    </w:lvl>
  </w:abstractNum>
  <w:abstractNum w:abstractNumId="60">
    <w:nsid w:val="5454945E"/>
    <w:multiLevelType w:val="hybridMultilevel"/>
    <w:lvl w:ilvl="0">
      <w:lvlJc w:val="left"/>
      <w:lvlText w:val="%1"/>
      <w:numFmt w:val="lowerLetter"/>
      <w:start w:val="1"/>
    </w:lvl>
    <w:lvl w:ilvl="1">
      <w:lvlJc w:val="left"/>
      <w:lvlText w:val="(%2)"/>
      <w:numFmt w:val="lowerLetter"/>
      <w:start w:val="61"/>
    </w:lvl>
  </w:abstractNum>
  <w:abstractNum w:abstractNumId="61">
    <w:nsid w:val="4DEFDFA0"/>
    <w:multiLevelType w:val="hybridMultilevel"/>
    <w:lvl w:ilvl="0">
      <w:lvlJc w:val="left"/>
      <w:lvlText w:val="(%1)"/>
      <w:numFmt w:val="lowerLetter"/>
      <w:start w:val="4"/>
    </w:lvl>
    <w:lvl w:ilvl="1">
      <w:lvlJc w:val="left"/>
      <w:lvlText w:val="%2"/>
      <w:numFmt w:val="lowerLetter"/>
      <w:start w:val="1"/>
    </w:lvl>
  </w:abstractNum>
  <w:abstractNum w:abstractNumId="62">
    <w:nsid w:val="2123D5F2"/>
    <w:multiLevelType w:val="hybridMultilevel"/>
    <w:lvl w:ilvl="0">
      <w:lvlJc w:val="left"/>
      <w:lvlText w:val="(%1)"/>
      <w:numFmt w:val="lowerLetter"/>
      <w:start w:val="2"/>
    </w:lvl>
    <w:lvl w:ilvl="1">
      <w:lvlJc w:val="left"/>
      <w:lvlText w:val="(%2)"/>
      <w:numFmt w:val="lowerRoman"/>
      <w:start w:val="1"/>
    </w:lvl>
  </w:abstractNum>
  <w:abstractNum w:abstractNumId="63">
    <w:nsid w:val="135B8110"/>
    <w:multiLevelType w:val="hybridMultilevel"/>
    <w:lvl w:ilvl="0">
      <w:lvlJc w:val="left"/>
      <w:lvlText w:val="(%1)"/>
      <w:numFmt w:val="lowerLetter"/>
      <w:start w:val="1"/>
    </w:lvl>
  </w:abstractNum>
  <w:abstractNum w:abstractNumId="64">
    <w:nsid w:val="94927A8"/>
    <w:multiLevelType w:val="hybridMultilevel"/>
    <w:lvl w:ilvl="0">
      <w:lvlJc w:val="left"/>
      <w:lvlText w:val="(%1)"/>
      <w:numFmt w:val="lowerLetter"/>
      <w:start w:val="2"/>
    </w:lvl>
  </w:abstractNum>
  <w:abstractNum w:abstractNumId="65">
    <w:nsid w:val="DCDF8F6"/>
    <w:multiLevelType w:val="hybridMultilevel"/>
    <w:lvl w:ilvl="0">
      <w:lvlJc w:val="left"/>
      <w:lvlText w:val="(%1)"/>
      <w:numFmt w:val="lowerLetter"/>
      <w:start w:val="2"/>
    </w:lvl>
  </w:abstractNum>
  <w:abstractNum w:abstractNumId="66">
    <w:nsid w:val="52D7B105"/>
    <w:multiLevelType w:val="hybridMultilevel"/>
    <w:lvl w:ilvl="0">
      <w:lvlJc w:val="left"/>
      <w:lvlText w:val="(%1)"/>
      <w:numFmt w:val="lowerLetter"/>
      <w:start w:val="2"/>
    </w:lvl>
  </w:abstractNum>
  <w:abstractNum w:abstractNumId="67">
    <w:nsid w:val="2E8A6394"/>
    <w:multiLevelType w:val="hybridMultilevel"/>
    <w:lvl w:ilvl="0">
      <w:lvlJc w:val="left"/>
      <w:lvlText w:val="(%1)"/>
      <w:numFmt w:val="lowerLetter"/>
      <w:start w:val="1"/>
    </w:lvl>
  </w:abstractNum>
  <w:abstractNum w:abstractNumId="68">
    <w:nsid w:val="24E60401"/>
    <w:multiLevelType w:val="hybridMultilevel"/>
    <w:lvl w:ilvl="0">
      <w:lvlJc w:val="left"/>
      <w:lvlText w:val="(%1)"/>
      <w:numFmt w:val="lowerLetter"/>
      <w:start w:val="2"/>
    </w:lvl>
  </w:abstractNum>
  <w:abstractNum w:abstractNumId="69">
    <w:nsid w:val="2A6AD9BE"/>
    <w:multiLevelType w:val="hybridMultilevel"/>
    <w:lvl w:ilvl="0">
      <w:lvlJc w:val="left"/>
      <w:lvlText w:val="(%1)"/>
      <w:numFmt w:val="lowerRoman"/>
      <w:start w:val="1"/>
    </w:lvl>
  </w:abstractNum>
  <w:abstractNum w:abstractNumId="70">
    <w:nsid w:val="BAAC1B4"/>
    <w:multiLevelType w:val="hybridMultilevel"/>
    <w:lvl w:ilvl="0">
      <w:lvlJc w:val="left"/>
      <w:lvlText w:val="(%1)"/>
      <w:numFmt w:val="lowerLetter"/>
      <w:start w:val="2"/>
    </w:lvl>
  </w:abstractNum>
  <w:abstractNum w:abstractNumId="71">
    <w:nsid w:val="36B2ACBC"/>
    <w:multiLevelType w:val="hybridMultilevel"/>
    <w:lvl w:ilvl="0">
      <w:lvlJc w:val="left"/>
      <w:lvlText w:val="%1"/>
      <w:numFmt w:val="lowerLetter"/>
      <w:start w:val="1"/>
    </w:lvl>
    <w:lvl w:ilvl="1">
      <w:lvlJc w:val="left"/>
      <w:lvlText w:val="(%2)"/>
      <w:numFmt w:val="lowerLetter"/>
      <w:start w:val="1"/>
    </w:lvl>
  </w:abstractNum>
  <w:abstractNum w:abstractNumId="72">
    <w:nsid w:val="779D8544"/>
    <w:multiLevelType w:val="hybridMultilevel"/>
    <w:lvl w:ilvl="0">
      <w:lvlJc w:val="left"/>
      <w:lvlText w:val="(%1)"/>
      <w:numFmt w:val="lowerLetter"/>
      <w:start w:val="35"/>
    </w:lvl>
    <w:lvl w:ilvl="1">
      <w:lvlJc w:val="left"/>
      <w:lvlText w:val="%2"/>
      <w:numFmt w:val="lowerLetter"/>
      <w:start w:val="1"/>
    </w:lvl>
  </w:abstractNum>
  <w:abstractNum w:abstractNumId="73">
    <w:nsid w:val="4AB26E78"/>
    <w:multiLevelType w:val="hybridMultilevel"/>
    <w:lvl w:ilvl="0">
      <w:lvlJc w:val="left"/>
      <w:lvlText w:val="(%1)"/>
      <w:numFmt w:val="lowerLetter"/>
      <w:start w:val="8"/>
    </w:lvl>
  </w:abstractNum>
  <w:abstractNum w:abstractNumId="74">
    <w:nsid w:val="21FAA2FA"/>
    <w:multiLevelType w:val="hybridMultilevel"/>
    <w:lvl w:ilvl="0">
      <w:lvlJc w:val="left"/>
      <w:lvlText w:val="(%1)"/>
      <w:numFmt w:val="lowerRoman"/>
      <w:start w:val="1"/>
    </w:lvl>
  </w:abstractNum>
  <w:abstractNum w:abstractNumId="75">
    <w:nsid w:val="5451CF49"/>
    <w:multiLevelType w:val="hybridMultilevel"/>
    <w:lvl w:ilvl="0">
      <w:lvlJc w:val="left"/>
      <w:lvlText w:val="(%1)"/>
      <w:numFmt w:val="lowerRoman"/>
      <w:start w:val="1"/>
    </w:lvl>
  </w:abstractNum>
  <w:abstractNum w:abstractNumId="76">
    <w:nsid w:val="6181EF69"/>
    <w:multiLevelType w:val="hybridMultilevel"/>
    <w:lvl w:ilvl="0">
      <w:lvlJc w:val="left"/>
      <w:lvlText w:val="(%1)"/>
      <w:numFmt w:val="lowerLetter"/>
      <w:start w:val="23"/>
    </w:lvl>
  </w:abstractNum>
  <w:abstractNum w:abstractNumId="77">
    <w:nsid w:val="3E6400E6"/>
    <w:multiLevelType w:val="hybridMultilevel"/>
    <w:lvl w:ilvl="0">
      <w:lvlJc w:val="left"/>
      <w:lvlText w:val="(%1)"/>
      <w:numFmt w:val="lowerLetter"/>
      <w:start w:val="2"/>
    </w:lvl>
  </w:abstractNum>
  <w:abstractNum w:abstractNumId="78">
    <w:nsid w:val="14217E23"/>
    <w:multiLevelType w:val="hybridMultilevel"/>
    <w:lvl w:ilvl="0">
      <w:lvlJc w:val="left"/>
      <w:lvlText w:val="(%1)"/>
      <w:numFmt w:val="lowerLetter"/>
      <w:start w:val="5"/>
    </w:lvl>
  </w:abstractNum>
  <w:abstractNum w:abstractNumId="79">
    <w:nsid w:val="710757D0"/>
    <w:multiLevelType w:val="hybridMultilevel"/>
    <w:lvl w:ilvl="0">
      <w:lvlJc w:val="left"/>
      <w:lvlText w:val="(%1)"/>
      <w:numFmt w:val="lowerLetter"/>
      <w:start w:val="2"/>
    </w:lvl>
  </w:abstractNum>
  <w:abstractNum w:abstractNumId="80">
    <w:nsid w:val="5015CD1A"/>
    <w:multiLevelType w:val="hybridMultilevel"/>
    <w:lvl w:ilvl="0">
      <w:lvlJc w:val="left"/>
      <w:lvlText w:val="(%1)"/>
      <w:numFmt w:val="lowerLetter"/>
      <w:start w:val="1"/>
    </w:lvl>
  </w:abstractNum>
  <w:abstractNum w:abstractNumId="81">
    <w:nsid w:val="424479DA"/>
    <w:multiLevelType w:val="hybridMultilevel"/>
    <w:lvl w:ilvl="0">
      <w:lvlJc w:val="left"/>
      <w:lvlText w:val="(%1)"/>
      <w:numFmt w:val="lowerLetter"/>
      <w:start w:val="2"/>
    </w:lvl>
  </w:abstractNum>
  <w:abstractNum w:abstractNumId="82">
    <w:nsid w:val="1A9A9E69"/>
    <w:multiLevelType w:val="hybridMultilevel"/>
    <w:lvl w:ilvl="0">
      <w:lvlJc w:val="left"/>
      <w:lvlText w:val="(%1)"/>
      <w:numFmt w:val="lowerLetter"/>
      <w:start w:val="10"/>
    </w:lvl>
  </w:abstractNum>
  <w:abstractNum w:abstractNumId="83">
    <w:nsid w:val="475E256A"/>
    <w:multiLevelType w:val="hybridMultilevel"/>
    <w:lvl w:ilvl="0">
      <w:lvlJc w:val="left"/>
      <w:lvlText w:val="(%1)"/>
      <w:numFmt w:val="lowerLetter"/>
      <w:start w:val="2"/>
    </w:lvl>
  </w:abstractNum>
  <w:abstractNum w:abstractNumId="84">
    <w:nsid w:val="368DB37E"/>
    <w:multiLevelType w:val="hybridMultilevel"/>
    <w:lvl w:ilvl="0">
      <w:lvlJc w:val="left"/>
      <w:lvlText w:val="(%1)"/>
      <w:numFmt w:val="lowerRoman"/>
      <w:start w:val="2"/>
    </w:lvl>
  </w:abstractNum>
  <w:abstractNum w:abstractNumId="85">
    <w:nsid w:val="6A3B714C"/>
    <w:multiLevelType w:val="hybridMultilevel"/>
    <w:lvl w:ilvl="0">
      <w:lvlJc w:val="left"/>
      <w:lvlText w:val="(%1)"/>
      <w:numFmt w:val="lowerRoman"/>
      <w:start w:val="3"/>
    </w:lvl>
  </w:abstractNum>
  <w:abstractNum w:abstractNumId="86">
    <w:nsid w:val="327B517E"/>
    <w:multiLevelType w:val="hybridMultilevel"/>
    <w:lvl w:ilvl="0">
      <w:lvlJc w:val="left"/>
      <w:lvlText w:val="%1"/>
      <w:numFmt w:val="lowerLetter"/>
      <w:start w:val="1"/>
    </w:lvl>
    <w:lvl w:ilvl="1">
      <w:lvlJc w:val="left"/>
      <w:lvlText w:val="(%2)"/>
      <w:numFmt w:val="lowerLetter"/>
      <w:start w:val="2"/>
    </w:lvl>
  </w:abstractNum>
  <w:abstractNum w:abstractNumId="87">
    <w:nsid w:val="1F461B51"/>
    <w:multiLevelType w:val="hybridMultilevel"/>
    <w:lvl w:ilvl="0">
      <w:lvlJc w:val="left"/>
      <w:lvlText w:val="(%1)"/>
      <w:numFmt w:val="lowerLetter"/>
      <w:start w:val="9"/>
    </w:lvl>
    <w:lvl w:ilvl="1">
      <w:lvlJc w:val="left"/>
      <w:lvlText w:val="%2"/>
      <w:numFmt w:val="lowerLetter"/>
      <w:start w:val="1"/>
    </w:lvl>
  </w:abstractNum>
  <w:abstractNum w:abstractNumId="88">
    <w:nsid w:val="29BACF25"/>
    <w:multiLevelType w:val="hybridMultilevel"/>
    <w:lvl w:ilvl="0">
      <w:lvlJc w:val="left"/>
      <w:lvlText w:val="(%1)"/>
      <w:numFmt w:val="lowerLetter"/>
      <w:start w:val="4"/>
    </w:lvl>
  </w:abstractNum>
  <w:abstractNum w:abstractNumId="89">
    <w:nsid w:val="5D5BABB3"/>
    <w:multiLevelType w:val="hybridMultilevel"/>
    <w:lvl w:ilvl="0">
      <w:lvlJc w:val="left"/>
      <w:lvlText w:val="(%1)"/>
      <w:numFmt w:val="lowerLetter"/>
      <w:start w:val="2"/>
    </w:lvl>
    <w:lvl w:ilvl="1">
      <w:lvlJc w:val="left"/>
      <w:lvlText w:val="(%2)"/>
      <w:numFmt w:val="lowerRoman"/>
      <w:start w:val="1"/>
    </w:lvl>
  </w:abstractNum>
  <w:abstractNum w:abstractNumId="90">
    <w:nsid w:val="51BF6B48"/>
    <w:multiLevelType w:val="hybridMultilevel"/>
    <w:lvl w:ilvl="0">
      <w:lvlJc w:val="left"/>
      <w:lvlText w:val="(%1)"/>
      <w:numFmt w:val="lowerLetter"/>
      <w:start w:val="1"/>
    </w:lvl>
  </w:abstractNum>
  <w:abstractNum w:abstractNumId="91">
    <w:nsid w:val="7E0F6384"/>
    <w:multiLevelType w:val="hybridMultilevel"/>
    <w:lvl w:ilvl="0">
      <w:lvlJc w:val="left"/>
      <w:lvlText w:val="(%1)"/>
      <w:numFmt w:val="lowerLetter"/>
      <w:start w:val="2"/>
    </w:lvl>
    <w:lvl w:ilvl="1">
      <w:lvlJc w:val="left"/>
      <w:lvlText w:val="(%2)"/>
      <w:numFmt w:val="lowerRoman"/>
      <w:start w:val="1"/>
    </w:lvl>
  </w:abstractNum>
  <w:abstractNum w:abstractNumId="92">
    <w:nsid w:val="2B4B8B53"/>
    <w:multiLevelType w:val="hybridMultilevel"/>
    <w:lvl w:ilvl="0">
      <w:lvlJc w:val="left"/>
      <w:lvlText w:val="(%1)"/>
      <w:numFmt w:val="lowerLetter"/>
      <w:start w:val="3"/>
    </w:lvl>
  </w:abstractNum>
  <w:abstractNum w:abstractNumId="93">
    <w:nsid w:val="72E3413A"/>
    <w:multiLevelType w:val="hybridMultilevel"/>
    <w:lvl w:ilvl="0">
      <w:lvlJc w:val="left"/>
      <w:lvlText w:val="(%1)"/>
      <w:numFmt w:val="lowerLetter"/>
      <w:start w:val="2"/>
    </w:lvl>
  </w:abstractNum>
  <w:abstractNum w:abstractNumId="94">
    <w:nsid w:val="116AE494"/>
    <w:multiLevelType w:val="hybridMultilevel"/>
    <w:lvl w:ilvl="0">
      <w:lvlJc w:val="left"/>
      <w:lvlText w:val="%1"/>
      <w:numFmt w:val="lowerRoman"/>
      <w:start w:val="1"/>
    </w:lvl>
    <w:lvl w:ilvl="1">
      <w:lvlJc w:val="left"/>
      <w:lvlText w:val="(%2)"/>
      <w:numFmt w:val="lowerLetter"/>
      <w:start w:val="1"/>
    </w:lvl>
  </w:abstractNum>
  <w:abstractNum w:abstractNumId="95">
    <w:nsid w:val="3494B2FB"/>
    <w:multiLevelType w:val="hybridMultilevel"/>
    <w:lvl w:ilvl="0">
      <w:lvlJc w:val="left"/>
      <w:lvlText w:val="(%1)"/>
      <w:numFmt w:val="lowerRoman"/>
      <w:start w:val="7"/>
    </w:lvl>
    <w:lvl w:ilvl="1">
      <w:lvlJc w:val="left"/>
      <w:lvlText w:val="%2"/>
      <w:numFmt w:val="lowerLetter"/>
      <w:start w:val="1"/>
    </w:lvl>
  </w:abstractNum>
  <w:abstractNum w:abstractNumId="96">
    <w:nsid w:val="B13A31"/>
    <w:multiLevelType w:val="hybridMultilevel"/>
    <w:lvl w:ilvl="0">
      <w:lvlJc w:val="left"/>
      <w:lvlText w:val="(%1)"/>
      <w:numFmt w:val="lowerLetter"/>
      <w:start w:val="2"/>
    </w:lvl>
    <w:lvl w:ilvl="1">
      <w:lvlJc w:val="left"/>
      <w:lvlText w:val="(%2)"/>
      <w:numFmt w:val="lowerRoman"/>
      <w:start w:val="1"/>
    </w:lvl>
  </w:abstractNum>
  <w:abstractNum w:abstractNumId="97">
    <w:nsid w:val="64429599"/>
    <w:multiLevelType w:val="hybridMultilevel"/>
    <w:lvl w:ilvl="0">
      <w:lvlJc w:val="left"/>
      <w:lvlText w:val="(%1)"/>
      <w:numFmt w:val="lowerRoman"/>
      <w:start w:val="4"/>
    </w:lvl>
  </w:abstractNum>
  <w:abstractNum w:abstractNumId="98">
    <w:nsid w:val="631F1690"/>
    <w:multiLevelType w:val="hybridMultilevel"/>
    <w:lvl w:ilvl="0">
      <w:lvlJc w:val="left"/>
      <w:lvlText w:val="(%1)"/>
      <w:numFmt w:val="lowerRoman"/>
      <w:start w:val="7"/>
    </w:lvl>
  </w:abstractNum>
  <w:abstractNum w:abstractNumId="99">
    <w:nsid w:val="25973E32"/>
    <w:multiLevelType w:val="hybridMultilevel"/>
    <w:lvl w:ilvl="0">
      <w:lvlJc w:val="left"/>
      <w:lvlText w:val="(%1)"/>
      <w:numFmt w:val="lowerLetter"/>
      <w:start w:val="3"/>
    </w:lvl>
  </w:abstractNum>
  <w:abstractNum w:abstractNumId="100">
    <w:nsid w:val="EAD6F57"/>
    <w:multiLevelType w:val="hybridMultilevel"/>
    <w:lvl w:ilvl="0">
      <w:lvlJc w:val="left"/>
      <w:lvlText w:val="(%1)"/>
      <w:numFmt w:val="lowerLetter"/>
      <w:start w:val="5"/>
    </w:lvl>
  </w:abstractNum>
  <w:abstractNum w:abstractNumId="101">
    <w:nsid w:val="6EC9D844"/>
    <w:multiLevelType w:val="hybridMultilevel"/>
    <w:lvl w:ilvl="0">
      <w:lvlJc w:val="left"/>
      <w:lvlText w:val="(%1)"/>
      <w:numFmt w:val="lowerLetter"/>
      <w:start w:val="1"/>
    </w:lvl>
  </w:abstractNum>
  <w:abstractNum w:abstractNumId="102">
    <w:nsid w:val="5C49EAEE"/>
    <w:multiLevelType w:val="hybridMultilevel"/>
    <w:lvl w:ilvl="0">
      <w:lvlJc w:val="left"/>
      <w:lvlText w:val="(%1)"/>
      <w:numFmt w:val="lowerLetter"/>
      <w:start w:val="2"/>
    </w:lvl>
  </w:abstractNum>
  <w:abstractNum w:abstractNumId="103">
    <w:nsid w:val="64AF49B"/>
    <w:multiLevelType w:val="hybridMultilevel"/>
    <w:lvl w:ilvl="0">
      <w:lvlJc w:val="left"/>
      <w:lvlText w:val="(%1)"/>
      <w:numFmt w:val="lowerLetter"/>
      <w:start w:val="6"/>
    </w:lvl>
  </w:abstractNum>
  <w:abstractNum w:abstractNumId="104">
    <w:nsid w:val="397C46BC"/>
    <w:multiLevelType w:val="hybridMultilevel"/>
    <w:lvl w:ilvl="0">
      <w:lvlJc w:val="left"/>
      <w:lvlText w:val="(%1)"/>
      <w:numFmt w:val="lowerLetter"/>
      <w:start w:val="1"/>
    </w:lvl>
  </w:abstractNum>
  <w:abstractNum w:abstractNumId="105">
    <w:nsid w:val="7E448DE9"/>
    <w:multiLevelType w:val="hybridMultilevel"/>
    <w:lvl w:ilvl="0">
      <w:lvlJc w:val="left"/>
      <w:lvlText w:val="(%1)"/>
      <w:numFmt w:val="lowerLetter"/>
      <w:start w:val="5"/>
    </w:lvl>
  </w:abstractNum>
  <w:abstractNum w:abstractNumId="106">
    <w:nsid w:val="5A9CC3E5"/>
    <w:multiLevelType w:val="hybridMultilevel"/>
    <w:lvl w:ilvl="0">
      <w:lvlJc w:val="left"/>
      <w:lvlText w:val="(%1)"/>
      <w:numFmt w:val="lowerLetter"/>
      <w:start w:val="1"/>
    </w:lvl>
  </w:abstractNum>
  <w:abstractNum w:abstractNumId="107">
    <w:nsid w:val="1AFE3625"/>
    <w:multiLevelType w:val="hybridMultilevel"/>
    <w:lvl w:ilvl="0">
      <w:lvlJc w:val="left"/>
      <w:lvlText w:val="(%1)"/>
      <w:numFmt w:val="lowerLetter"/>
      <w:start w:val="2"/>
    </w:lvl>
  </w:abstractNum>
  <w:abstractNum w:abstractNumId="108">
    <w:nsid w:val="3CA88ECF"/>
    <w:multiLevelType w:val="hybridMultilevel"/>
    <w:lvl w:ilvl="0">
      <w:lvlJc w:val="left"/>
      <w:lvlText w:val="(%1)"/>
      <w:numFmt w:val="lowerLetter"/>
      <w:start w:val="3"/>
    </w:lvl>
  </w:abstractNum>
  <w:abstractNum w:abstractNumId="109">
    <w:nsid w:val="6EBE4208"/>
    <w:multiLevelType w:val="hybridMultilevel"/>
    <w:lvl w:ilvl="0">
      <w:lvlJc w:val="left"/>
      <w:lvlText w:val="(%1)"/>
      <w:numFmt w:val="lowerLetter"/>
      <w:start w:val="4"/>
    </w:lvl>
  </w:abstractNum>
  <w:abstractNum w:abstractNumId="110">
    <w:nsid w:val="C058DF5"/>
    <w:multiLevelType w:val="hybridMultilevel"/>
    <w:lvl w:ilvl="0">
      <w:lvlJc w:val="left"/>
      <w:lvlText w:val="(%1)"/>
      <w:numFmt w:val="lowerLetter"/>
      <w:start w:val="5"/>
    </w:lvl>
  </w:abstractNum>
  <w:abstractNum w:abstractNumId="111">
    <w:nsid w:val="CBE5BE9"/>
    <w:multiLevelType w:val="hybridMultilevel"/>
    <w:lvl w:ilvl="0">
      <w:lvlJc w:val="left"/>
      <w:lvlText w:val="(%1)"/>
      <w:numFmt w:val="lowerLetter"/>
      <w:start w:val="1"/>
    </w:lvl>
  </w:abstractNum>
  <w:abstractNum w:abstractNumId="112">
    <w:nsid w:val="3102BBE2"/>
    <w:multiLevelType w:val="hybridMultilevel"/>
    <w:lvl w:ilvl="0">
      <w:lvlJc w:val="left"/>
      <w:lvlText w:val="(%1)"/>
      <w:numFmt w:val="lowerRoman"/>
      <w:start w:val="1"/>
    </w:lvl>
  </w:abstractNum>
  <w:abstractNum w:abstractNumId="113">
    <w:nsid w:val="26A02C5E"/>
    <w:multiLevelType w:val="hybridMultilevel"/>
    <w:lvl w:ilvl="0">
      <w:lvlJc w:val="left"/>
      <w:lvlText w:val="(%1)"/>
      <w:numFmt w:val="lowerLetter"/>
      <w:start w:val="2"/>
    </w:lvl>
  </w:abstractNum>
  <w:abstractNum w:abstractNumId="114">
    <w:nsid w:val="541C8153"/>
    <w:multiLevelType w:val="hybridMultilevel"/>
    <w:lvl w:ilvl="0">
      <w:lvlJc w:val="left"/>
      <w:lvlText w:val="(%1)"/>
      <w:numFmt w:val="lowerLetter"/>
      <w:start w:val="3"/>
    </w:lvl>
  </w:abstractNum>
  <w:abstractNum w:abstractNumId="115">
    <w:nsid w:val="67906F60"/>
    <w:multiLevelType w:val="hybridMultilevel"/>
    <w:lvl w:ilvl="0">
      <w:lvlJc w:val="left"/>
      <w:lvlText w:val="(%1)"/>
      <w:numFmt w:val="lowerLetter"/>
      <w:start w:val="4"/>
    </w:lvl>
  </w:abstractNum>
  <w:abstractNum w:abstractNumId="116">
    <w:nsid w:val="10DB9DAA"/>
    <w:multiLevelType w:val="hybridMultilevel"/>
    <w:lvl w:ilvl="0">
      <w:lvlJc w:val="left"/>
      <w:lvlText w:val="(%1)"/>
      <w:numFmt w:val="lowerLetter"/>
      <w:start w:val="6"/>
    </w:lvl>
  </w:abstractNum>
  <w:abstractNum w:abstractNumId="117">
    <w:nsid w:val="697D2D2"/>
    <w:multiLevelType w:val="hybridMultilevel"/>
    <w:lvl w:ilvl="0">
      <w:lvlJc w:val="left"/>
      <w:lvlText w:val="(%1)"/>
      <w:numFmt w:val="lowerLetter"/>
      <w:start w:val="2"/>
    </w:lvl>
  </w:abstractNum>
  <w:abstractNum w:abstractNumId="118">
    <w:nsid w:val="6D68AB2"/>
    <w:multiLevelType w:val="hybridMultilevel"/>
    <w:lvl w:ilvl="0">
      <w:lvlJc w:val="left"/>
      <w:lvlText w:val="(%1)"/>
      <w:numFmt w:val="lowerLetter"/>
      <w:start w:val="3"/>
    </w:lvl>
  </w:abstractNum>
  <w:abstractNum w:abstractNumId="119">
    <w:nsid w:val="3A966CD0"/>
    <w:multiLevelType w:val="hybridMultilevel"/>
    <w:lvl w:ilvl="0">
      <w:lvlJc w:val="left"/>
      <w:lvlText w:val="(%1)"/>
      <w:numFmt w:val="lowerLetter"/>
      <w:start w:val="4"/>
    </w:lvl>
  </w:abstractNum>
  <w:abstractNum w:abstractNumId="120">
    <w:nsid w:val="63F37E85"/>
    <w:multiLevelType w:val="hybridMultilevel"/>
    <w:lvl w:ilvl="0">
      <w:lvlJc w:val="left"/>
      <w:lvlText w:val="%1"/>
      <w:numFmt w:val="lowerLetter"/>
      <w:start w:val="1"/>
    </w:lvl>
    <w:lvl w:ilvl="1">
      <w:lvlJc w:val="left"/>
      <w:lvlText w:val="(%2)"/>
      <w:numFmt w:val="lowerLetter"/>
      <w:start w:val="1"/>
    </w:lvl>
  </w:abstractNum>
  <w:abstractNum w:abstractNumId="121">
    <w:nsid w:val="5895F5FA"/>
    <w:multiLevelType w:val="hybridMultilevel"/>
    <w:lvl w:ilvl="0">
      <w:lvlJc w:val="left"/>
      <w:lvlText w:val="(%1)"/>
      <w:numFmt w:val="lowerLetter"/>
      <w:start w:val="9"/>
    </w:lvl>
    <w:lvl w:ilvl="1">
      <w:lvlJc w:val="left"/>
      <w:lvlText w:val="%2"/>
      <w:numFmt w:val="lowerLetter"/>
      <w:start w:val="1"/>
    </w:lvl>
  </w:abstractNum>
  <w:abstractNum w:abstractNumId="122">
    <w:nsid w:val="38A5D054"/>
    <w:multiLevelType w:val="hybridMultilevel"/>
    <w:lvl w:ilvl="0">
      <w:lvlJc w:val="left"/>
      <w:lvlText w:val="(%1)"/>
      <w:numFmt w:val="lowerLetter"/>
      <w:start w:val="3"/>
    </w:lvl>
  </w:abstractNum>
  <w:abstractNum w:abstractNumId="123">
    <w:nsid w:val="F3F09D8"/>
    <w:multiLevelType w:val="hybridMultilevel"/>
    <w:lvl w:ilvl="0">
      <w:lvlJc w:val="left"/>
      <w:lvlText w:val="(%1)"/>
      <w:numFmt w:val="lowerLetter"/>
      <w:start w:val="5"/>
    </w:lvl>
  </w:abstractNum>
  <w:abstractNum w:abstractNumId="124">
    <w:nsid w:val="4B793735"/>
    <w:multiLevelType w:val="hybridMultilevel"/>
    <w:lvl w:ilvl="0">
      <w:lvlJc w:val="left"/>
      <w:lvlText w:val="(%1)"/>
      <w:numFmt w:val="lowerRoman"/>
      <w:start w:val="1"/>
    </w:lvl>
  </w:abstractNum>
  <w:abstractNum w:abstractNumId="125">
    <w:nsid w:val="4A10B4E8"/>
    <w:multiLevelType w:val="hybridMultilevel"/>
    <w:lvl w:ilvl="0">
      <w:lvlJc w:val="left"/>
      <w:lvlText w:val="(%1)"/>
      <w:numFmt w:val="lowerRoman"/>
      <w:start w:val="6"/>
    </w:lvl>
  </w:abstractNum>
  <w:abstractNum w:abstractNumId="126">
    <w:nsid w:val="43D3BCD4"/>
    <w:multiLevelType w:val="hybridMultilevel"/>
    <w:lvl w:ilvl="0">
      <w:lvlJc w:val="left"/>
      <w:lvlText w:val="(%1)"/>
      <w:numFmt w:val="lowerLetter"/>
      <w:start w:val="1"/>
    </w:lvl>
  </w:abstractNum>
  <w:abstractNum w:abstractNumId="127">
    <w:nsid w:val="4C2A7166"/>
    <w:multiLevelType w:val="hybridMultilevel"/>
    <w:lvl w:ilvl="0">
      <w:lvlJc w:val="left"/>
      <w:lvlText w:val="(%1)"/>
      <w:numFmt w:val="lowerLetter"/>
      <w:start w:val="2"/>
    </w:lvl>
  </w:abstractNum>
  <w:abstractNum w:abstractNumId="128">
    <w:nsid w:val="2E534A82"/>
    <w:multiLevelType w:val="hybridMultilevel"/>
    <w:lvl w:ilvl="0">
      <w:lvlJc w:val="left"/>
      <w:lvlText w:val="(%1)"/>
      <w:numFmt w:val="lowerLetter"/>
      <w:start w:val="2"/>
    </w:lvl>
    <w:lvl w:ilvl="1">
      <w:lvlJc w:val="left"/>
      <w:lvlText w:val="(%2)"/>
      <w:numFmt w:val="lowerLetter"/>
      <w:start w:val="35"/>
    </w:lvl>
  </w:abstractNum>
  <w:abstractNum w:abstractNumId="129">
    <w:nsid w:val="26F2D364"/>
    <w:multiLevelType w:val="hybridMultilevel"/>
    <w:lvl w:ilvl="0">
      <w:lvlJc w:val="left"/>
      <w:lvlText w:val="(%1)"/>
      <w:numFmt w:val="lowerLetter"/>
      <w:start w:val="3"/>
    </w:lvl>
  </w:abstractNum>
  <w:abstractNum w:abstractNumId="130">
    <w:nsid w:val="71C1AF98"/>
    <w:multiLevelType w:val="hybridMultilevel"/>
    <w:lvl w:ilvl="0">
      <w:lvlJc w:val="left"/>
      <w:lvlText w:val="(%1)"/>
      <w:numFmt w:val="lowerRoman"/>
      <w:start w:val="2"/>
    </w:lvl>
  </w:abstractNum>
  <w:abstractNum w:abstractNumId="131">
    <w:nsid w:val="3D00B9D9"/>
    <w:multiLevelType w:val="hybridMultilevel"/>
    <w:lvl w:ilvl="0">
      <w:lvlJc w:val="left"/>
      <w:lvlText w:val="(%1)"/>
      <w:numFmt w:val="lowerLetter"/>
      <w:start w:val="2"/>
    </w:lvl>
  </w:abstractNum>
  <w:abstractNum w:abstractNumId="132">
    <w:nsid w:val="15BCABA8"/>
    <w:multiLevelType w:val="hybridMultilevel"/>
    <w:lvl w:ilvl="0">
      <w:lvlJc w:val="left"/>
      <w:lvlText w:val="(%1)"/>
      <w:numFmt w:val="decimal"/>
      <w:start w:val="1"/>
    </w:lvl>
  </w:abstractNum>
  <w:abstractNum w:abstractNumId="133">
    <w:nsid w:val="4E0B9A87"/>
    <w:multiLevelType w:val="hybridMultilevel"/>
    <w:lvl w:ilvl="0">
      <w:lvlJc w:val="left"/>
      <w:lvlText w:val="(%1)"/>
      <w:numFmt w:val="decimal"/>
      <w:start w:val="1"/>
    </w:lvl>
  </w:abstractNum>
  <w:abstractNum w:abstractNumId="134">
    <w:nsid w:val="434BAE75"/>
    <w:multiLevelType w:val="hybridMultilevel"/>
    <w:lvl w:ilvl="0">
      <w:lvlJc w:val="left"/>
      <w:lvlText w:val="(%1)"/>
      <w:numFmt w:val="decimal"/>
      <w:start w:val="2"/>
    </w:lvl>
  </w:abstractNum>
  <w:abstractNum w:abstractNumId="135">
    <w:nsid w:val="4F38F265"/>
    <w:multiLevelType w:val="hybridMultilevel"/>
    <w:lvl w:ilvl="0">
      <w:lvlJc w:val="left"/>
      <w:lvlText w:val="*"/>
      <w:numFmt w:val="bullet"/>
      <w:start w:val="1"/>
    </w:lvl>
  </w:abstractNum>
  <w:abstractNum w:abstractNumId="136">
    <w:nsid w:val="4C502870"/>
    <w:multiLevelType w:val="hybridMultilevel"/>
    <w:lvl w:ilvl="0">
      <w:lvlJc w:val="left"/>
      <w:lvlText w:val="%1."/>
      <w:numFmt w:val="decimal"/>
      <w:start w:val="1"/>
    </w:lvl>
  </w:abstractNum>
  <w:abstractNum w:abstractNumId="137">
    <w:nsid w:val="1DE8725A"/>
    <w:multiLevelType w:val="hybridMultilevel"/>
    <w:lvl w:ilvl="0">
      <w:lvlJc w:val="left"/>
      <w:lvlText w:val="%1."/>
      <w:numFmt w:val="decimal"/>
      <w:start w:val="2"/>
    </w:lvl>
  </w:abstractNum>
  <w:abstractNum w:abstractNumId="138">
    <w:nsid w:val="6A37288A"/>
    <w:multiLevelType w:val="hybridMultilevel"/>
    <w:lvl w:ilvl="0">
      <w:lvlJc w:val="left"/>
      <w:lvlText w:val="%1."/>
      <w:numFmt w:val="decimal"/>
      <w:start w:val="3"/>
    </w:lvl>
  </w:abstractNum>
  <w:abstractNum w:abstractNumId="139">
    <w:nsid w:val="8F8B73F"/>
    <w:multiLevelType w:val="hybridMultilevel"/>
    <w:lvl w:ilvl="0">
      <w:lvlJc w:val="left"/>
      <w:lvlText w:val="%1."/>
      <w:numFmt w:val="decimal"/>
      <w:start w:val="4"/>
    </w:lvl>
  </w:abstractNum>
  <w:abstractNum w:abstractNumId="140">
    <w:nsid w:val="CA6B462"/>
    <w:multiLevelType w:val="hybridMultilevel"/>
    <w:lvl w:ilvl="0">
      <w:lvlJc w:val="left"/>
      <w:lvlText w:val="%1."/>
      <w:numFmt w:val="decimal"/>
      <w:start w:val="5"/>
    </w:lvl>
  </w:abstractNum>
  <w:abstractNum w:abstractNumId="141">
    <w:nsid w:val="763CB680"/>
    <w:multiLevelType w:val="hybridMultilevel"/>
    <w:lvl w:ilvl="0">
      <w:lvlJc w:val="left"/>
      <w:lvlText w:val="%1."/>
      <w:numFmt w:val="decimal"/>
      <w:start w:val="6"/>
    </w:lvl>
  </w:abstractNum>
  <w:abstractNum w:abstractNumId="142">
    <w:nsid w:val="15B71329"/>
    <w:multiLevelType w:val="hybridMultilevel"/>
    <w:lvl w:ilvl="0">
      <w:lvlJc w:val="left"/>
      <w:lvlText w:val="%1."/>
      <w:numFmt w:val="decimal"/>
      <w:start w:val="7"/>
    </w:lvl>
  </w:abstractNum>
  <w:abstractNum w:abstractNumId="143">
    <w:nsid w:val="3DA97044"/>
    <w:multiLevelType w:val="hybridMultilevel"/>
    <w:lvl w:ilvl="0">
      <w:lvlJc w:val="left"/>
      <w:lvlText w:val="%1."/>
      <w:numFmt w:val="decimal"/>
      <w:start w:val="8"/>
    </w:lvl>
  </w:abstractNum>
  <w:abstractNum w:abstractNumId="144">
    <w:nsid w:val="1CDCE2DE"/>
    <w:multiLevelType w:val="hybridMultilevel"/>
    <w:lvl w:ilvl="0">
      <w:lvlJc w:val="left"/>
      <w:lvlText w:val="%1."/>
      <w:numFmt w:val="decimal"/>
      <w:start w:val="9"/>
    </w:lvl>
  </w:abstractNum>
  <w:abstractNum w:abstractNumId="145">
    <w:nsid w:val="69D3947C"/>
    <w:multiLevelType w:val="hybridMultilevel"/>
    <w:lvl w:ilvl="0">
      <w:lvlJc w:val="left"/>
      <w:lvlText w:val="%1."/>
      <w:numFmt w:val="decimal"/>
      <w:start w:val="10"/>
    </w:lvl>
  </w:abstractNum>
  <w:abstractNum w:abstractNumId="146">
    <w:nsid w:val="2539DFA5"/>
    <w:multiLevelType w:val="hybridMultilevel"/>
    <w:lvl w:ilvl="0">
      <w:lvlJc w:val="left"/>
      <w:lvlText w:val="%1."/>
      <w:numFmt w:val="decimal"/>
      <w:start w:val="11"/>
    </w:lvl>
  </w:abstractNum>
  <w:abstractNum w:abstractNumId="147">
    <w:nsid w:val="2DB88089"/>
    <w:multiLevelType w:val="hybridMultilevel"/>
    <w:lvl w:ilvl="0">
      <w:lvlJc w:val="left"/>
      <w:lvlText w:val="%1."/>
      <w:numFmt w:val="decimal"/>
      <w:start w:val="12"/>
    </w:lvl>
  </w:abstractNum>
  <w:abstractNum w:abstractNumId="148">
    <w:nsid w:val="706B674E"/>
    <w:multiLevelType w:val="hybridMultilevel"/>
    <w:lvl w:ilvl="0">
      <w:lvlJc w:val="left"/>
      <w:lvlText w:val="%1."/>
      <w:numFmt w:val="decimal"/>
      <w:start w:val="13"/>
    </w:lvl>
  </w:abstractNum>
  <w:abstractNum w:abstractNumId="149">
    <w:nsid w:val="2C106A57"/>
    <w:multiLevelType w:val="hybridMultilevel"/>
    <w:lvl w:ilvl="0">
      <w:lvlJc w:val="left"/>
      <w:lvlText w:val="%1."/>
      <w:numFmt w:val="decimal"/>
      <w:start w:val="14"/>
    </w:lvl>
  </w:abstractNum>
  <w:abstractNum w:abstractNumId="150">
    <w:nsid w:val="684EED59"/>
    <w:multiLevelType w:val="hybridMultilevel"/>
    <w:lvl w:ilvl="0">
      <w:lvlJc w:val="left"/>
      <w:lvlText w:val="%1."/>
      <w:numFmt w:val="decimal"/>
      <w:start w:val="15"/>
    </w:lvl>
  </w:abstractNum>
  <w:abstractNum w:abstractNumId="151">
    <w:nsid w:val="545EE5D3"/>
    <w:multiLevelType w:val="hybridMultilevel"/>
    <w:lvl w:ilvl="0">
      <w:lvlJc w:val="left"/>
      <w:lvlText w:val="%1."/>
      <w:numFmt w:val="decimal"/>
      <w:start w:val="16"/>
    </w:lvl>
  </w:abstractNum>
  <w:abstractNum w:abstractNumId="152">
    <w:nsid w:val="4A66051"/>
    <w:multiLevelType w:val="hybridMultilevel"/>
    <w:lvl w:ilvl="0">
      <w:lvlJc w:val="left"/>
      <w:lvlText w:val="%1."/>
      <w:numFmt w:val="decimal"/>
      <w:start w:val="17"/>
    </w:lvl>
  </w:abstractNum>
  <w:abstractNum w:abstractNumId="153">
    <w:nsid w:val="20F4BDAD"/>
    <w:multiLevelType w:val="hybridMultilevel"/>
    <w:lvl w:ilvl="0">
      <w:lvlJc w:val="left"/>
      <w:lvlText w:val="*"/>
      <w:numFmt w:val="bullet"/>
      <w:start w:val="1"/>
    </w:lvl>
  </w:abstractNum>
  <w:abstractNum w:abstractNumId="154">
    <w:nsid w:val="639DEFAC"/>
    <w:multiLevelType w:val="hybridMultilevel"/>
    <w:lvl w:ilvl="0">
      <w:lvlJc w:val="left"/>
      <w:lvlText w:val="*"/>
      <w:numFmt w:val="bullet"/>
      <w:start w:val="1"/>
    </w:lvl>
  </w:abstractNum>
  <w:abstractNum w:abstractNumId="155">
    <w:nsid w:val="501F9786"/>
    <w:multiLevelType w:val="hybridMultilevel"/>
    <w:lvl w:ilvl="0">
      <w:lvlJc w:val="left"/>
      <w:lvlText w:val="*"/>
      <w:numFmt w:val="bullet"/>
      <w:start w:val="1"/>
    </w:lvl>
  </w:abstractNum>
  <w:abstractNum w:abstractNumId="156">
    <w:nsid w:val="6B057295"/>
    <w:multiLevelType w:val="hybridMultilevel"/>
    <w:lvl w:ilvl="0">
      <w:lvlJc w:val="left"/>
      <w:lvlText w:val="o"/>
      <w:numFmt w:val="bullet"/>
      <w:start w:val="1"/>
    </w:lvl>
  </w:abstractNum>
  <w:abstractNum w:abstractNumId="157">
    <w:nsid w:val="2771AC80"/>
    <w:multiLevelType w:val="hybridMultilevel"/>
    <w:lvl w:ilvl="0">
      <w:lvlJc w:val="left"/>
      <w:lvlText w:val="o"/>
      <w:numFmt w:val="bullet"/>
      <w:start w:val="1"/>
    </w:lvl>
  </w:abstractNum>
  <w:abstractNum w:abstractNumId="158">
    <w:nsid w:val="1C4A08EC"/>
    <w:multiLevelType w:val="hybridMultilevel"/>
    <w:lvl w:ilvl="0">
      <w:lvlJc w:val="left"/>
      <w:lvlText w:val="(%1)"/>
      <w:numFmt w:val="lowerLetter"/>
      <w:start w:val="24"/>
    </w:lvl>
  </w:abstractNum>
  <w:abstractNum w:abstractNumId="159">
    <w:nsid w:val="1958BD17"/>
    <w:multiLevelType w:val="hybridMultilevel"/>
    <w:lvl w:ilvl="0">
      <w:lvlJc w:val="left"/>
      <w:lvlText w:val="(%1)"/>
      <w:numFmt w:val="lowerLetter"/>
      <w:start w:val="1"/>
    </w:lvl>
  </w:abstractNum>
  <w:abstractNum w:abstractNumId="160">
    <w:nsid w:val="4E647FE4"/>
    <w:multiLevelType w:val="hybridMultilevel"/>
    <w:lvl w:ilvl="0">
      <w:lvlJc w:val="left"/>
      <w:lvlText w:val="(%1)"/>
      <w:numFmt w:val="lowerLetter"/>
      <w:start w:val="4"/>
    </w:lvl>
  </w:abstractNum>
  <w:abstractNum w:abstractNumId="161">
    <w:nsid w:val="E0BB885"/>
    <w:multiLevelType w:val="hybridMultilevel"/>
    <w:lvl w:ilvl="0">
      <w:lvlJc w:val="left"/>
      <w:lvlText w:val="(%1)"/>
      <w:numFmt w:val="lowerLetter"/>
      <w:start w:val="5"/>
    </w:lvl>
  </w:abstractNum>
  <w:abstractNum w:abstractNumId="162">
    <w:nsid w:val="565976F1"/>
    <w:multiLevelType w:val="hybridMultilevel"/>
    <w:lvl w:ilvl="0">
      <w:lvlJc w:val="left"/>
      <w:lvlText w:val="(%1)"/>
      <w:numFmt w:val="lowerLetter"/>
      <w:start w:val="1"/>
    </w:lvl>
  </w:abstractNum>
  <w:abstractNum w:abstractNumId="163">
    <w:nsid w:val="64212B8C"/>
    <w:multiLevelType w:val="hybridMultilevel"/>
    <w:lvl w:ilvl="0">
      <w:lvlJc w:val="left"/>
      <w:lvlText w:val="(%1)"/>
      <w:numFmt w:val="lowerLetter"/>
      <w:start w:val="9"/>
    </w:lvl>
    <w:lvl w:ilvl="1">
      <w:lvlJc w:val="left"/>
      <w:lvlText w:val="(%2)"/>
      <w:numFmt w:val="lowerLetter"/>
      <w:start w:val="3"/>
    </w:lvl>
  </w:abstractNum>
  <w:abstractNum w:abstractNumId="164">
    <w:nsid w:val="5C17530C"/>
    <w:multiLevelType w:val="hybridMultilevel"/>
    <w:lvl w:ilvl="0">
      <w:lvlJc w:val="left"/>
      <w:lvlText w:val="(%1)"/>
      <w:numFmt w:val="lowerLetter"/>
      <w:start w:val="1"/>
    </w:lvl>
    <w:lvl w:ilvl="1">
      <w:lvlJc w:val="left"/>
      <w:lvlText w:val="(%2)"/>
      <w:numFmt w:val="lowerRoman"/>
      <w:start w:val="1"/>
    </w:lvl>
  </w:abstractNum>
  <w:abstractNum w:abstractNumId="165">
    <w:nsid w:val="19A52566"/>
    <w:multiLevelType w:val="hybridMultilevel"/>
    <w:lvl w:ilvl="0">
      <w:lvlJc w:val="left"/>
      <w:lvlText w:val="%1"/>
      <w:numFmt w:val="lowerLetter"/>
      <w:start w:val="1"/>
    </w:lvl>
    <w:lvl w:ilvl="1">
      <w:lvlJc w:val="left"/>
      <w:lvlText w:val="(%2)"/>
      <w:numFmt w:val="lowerRoman"/>
      <w:start w:val="3"/>
    </w:lvl>
  </w:abstractNum>
  <w:abstractNum w:abstractNumId="166">
    <w:nsid w:val="335A1DF1"/>
    <w:multiLevelType w:val="hybridMultilevel"/>
    <w:lvl w:ilvl="0">
      <w:lvlJc w:val="left"/>
      <w:lvlText w:val="(%1)"/>
      <w:numFmt w:val="lowerLetter"/>
      <w:start w:val="4"/>
    </w:lvl>
    <w:lvl w:ilvl="1">
      <w:lvlJc w:val="left"/>
      <w:lvlText w:val="(%2)"/>
      <w:numFmt w:val="lowerRoman"/>
      <w:start w:val="1"/>
    </w:lvl>
  </w:abstractNum>
  <w:abstractNum w:abstractNumId="167">
    <w:nsid w:val="28677B7C"/>
    <w:multiLevelType w:val="hybridMultilevel"/>
    <w:lvl w:ilvl="0">
      <w:lvlJc w:val="left"/>
      <w:lvlText w:val="(%1)"/>
      <w:numFmt w:val="lowerRoman"/>
      <w:start w:val="2"/>
    </w:lvl>
  </w:abstractNum>
  <w:abstractNum w:abstractNumId="168">
    <w:nsid w:val="378D97C0"/>
    <w:multiLevelType w:val="hybridMultilevel"/>
    <w:lvl w:ilvl="0">
      <w:lvlJc w:val="left"/>
      <w:lvlText w:val="(%1)"/>
      <w:numFmt w:val="lowerRoman"/>
      <w:start w:val="1"/>
    </w:lvl>
  </w:abstractNum>
  <w:abstractNum w:abstractNumId="169">
    <w:nsid w:val="1D91467C"/>
    <w:multiLevelType w:val="hybridMultilevel"/>
    <w:lvl w:ilvl="0">
      <w:lvlJc w:val="left"/>
      <w:lvlText w:val="(%1)"/>
      <w:numFmt w:val="lowerRoman"/>
      <w:start w:val="3"/>
    </w:lvl>
  </w:abstractNum>
  <w:abstractNum w:abstractNumId="170">
    <w:nsid w:val="316032BB"/>
    <w:multiLevelType w:val="hybridMultilevel"/>
    <w:lvl w:ilvl="0">
      <w:lvlJc w:val="left"/>
      <w:lvlText w:val="(%1)"/>
      <w:numFmt w:val="upperLetter"/>
      <w:start w:val="1"/>
    </w:lvl>
  </w:abstractNum>
  <w:abstractNum w:abstractNumId="171">
    <w:nsid w:val="44344C22"/>
    <w:multiLevelType w:val="hybridMultilevel"/>
    <w:lvl w:ilvl="0">
      <w:lvlJc w:val="left"/>
      <w:lvlText w:val="(%1)"/>
      <w:numFmt w:val="upperLetter"/>
      <w:start w:val="2"/>
    </w:lvl>
  </w:abstractNum>
  <w:abstractNum w:abstractNumId="172">
    <w:nsid w:val="13CDFCFC"/>
    <w:multiLevelType w:val="hybridMultilevel"/>
    <w:lvl w:ilvl="0">
      <w:lvlJc w:val="left"/>
      <w:lvlText w:val="(%1)"/>
      <w:numFmt w:val="lowerLetter"/>
      <w:start w:val="2"/>
    </w:lvl>
    <w:lvl w:ilvl="1">
      <w:lvlJc w:val="left"/>
      <w:lvlText w:val="(%2)"/>
      <w:numFmt w:val="lowerRoman"/>
      <w:start w:val="1"/>
    </w:lvl>
  </w:abstractNum>
  <w:abstractNum w:abstractNumId="173">
    <w:nsid w:val="471745E4"/>
    <w:multiLevelType w:val="hybridMultilevel"/>
    <w:lvl w:ilvl="0">
      <w:lvlJc w:val="left"/>
      <w:lvlText w:val="%1"/>
      <w:numFmt w:val="lowerLetter"/>
      <w:start w:val="1"/>
    </w:lvl>
    <w:lvl w:ilvl="1">
      <w:lvlJc w:val="left"/>
      <w:lvlText w:val="(%2)"/>
      <w:numFmt w:val="lowerRoman"/>
      <w:start w:val="7"/>
    </w:lvl>
  </w:abstractNum>
  <w:abstractNum w:abstractNumId="174">
    <w:nsid w:val="1DDBC66"/>
    <w:multiLevelType w:val="hybridMultilevel"/>
    <w:lvl w:ilvl="0">
      <w:lvlJc w:val="left"/>
      <w:lvlText w:val="(%1)"/>
      <w:numFmt w:val="lowerLetter"/>
      <w:start w:val="3"/>
    </w:lvl>
    <w:lvl w:ilvl="1">
      <w:lvlJc w:val="left"/>
      <w:lvlText w:val="(%2)"/>
      <w:numFmt w:val="lowerRoman"/>
      <w:start w:val="1"/>
    </w:lvl>
  </w:abstractNum>
  <w:abstractNum w:abstractNumId="175">
    <w:nsid w:val="30AADFDA"/>
    <w:multiLevelType w:val="hybridMultilevel"/>
    <w:lvl w:ilvl="0">
      <w:lvlJc w:val="left"/>
      <w:lvlText w:val="(%1)"/>
      <w:numFmt w:val="lowerLetter"/>
      <w:start w:val="1"/>
    </w:lvl>
  </w:abstractNum>
  <w:abstractNum w:abstractNumId="176">
    <w:nsid w:val="30EADA61"/>
    <w:multiLevelType w:val="hybridMultilevel"/>
    <w:lvl w:ilvl="0">
      <w:lvlJc w:val="left"/>
      <w:lvlText w:val="(%1)"/>
      <w:numFmt w:val="lowerRoman"/>
      <w:start w:val="1"/>
    </w:lvl>
  </w:abstractNum>
  <w:abstractNum w:abstractNumId="177">
    <w:nsid w:val="27179C0B"/>
    <w:multiLevelType w:val="hybridMultilevel"/>
    <w:lvl w:ilvl="0">
      <w:lvlJc w:val="left"/>
      <w:lvlText w:val="%1"/>
      <w:numFmt w:val="lowerLetter"/>
      <w:start w:val="1"/>
    </w:lvl>
    <w:lvl w:ilvl="1">
      <w:lvlJc w:val="left"/>
      <w:lvlText w:val="(%2)"/>
      <w:numFmt w:val="lowerLetter"/>
      <w:start w:val="61"/>
    </w:lvl>
  </w:abstractNum>
  <w:abstractNum w:abstractNumId="178">
    <w:nsid w:val="5E636063"/>
    <w:multiLevelType w:val="hybridMultilevel"/>
    <w:lvl w:ilvl="0">
      <w:lvlJc w:val="left"/>
      <w:lvlText w:val="(%1)"/>
      <w:numFmt w:val="lowerLetter"/>
      <w:start w:val="4"/>
    </w:lvl>
    <w:lvl w:ilvl="1">
      <w:lvlJc w:val="left"/>
      <w:lvlText w:val="%2"/>
      <w:numFmt w:val="lowerLetter"/>
      <w:start w:val="1"/>
    </w:lvl>
  </w:abstractNum>
  <w:abstractNum w:abstractNumId="179">
    <w:nsid w:val="215641AF"/>
    <w:multiLevelType w:val="hybridMultilevel"/>
    <w:lvl w:ilvl="0">
      <w:lvlJc w:val="left"/>
      <w:lvlText w:val="(%1)"/>
      <w:numFmt w:val="lowerLetter"/>
      <w:start w:val="2"/>
    </w:lvl>
    <w:lvl w:ilvl="1">
      <w:lvlJc w:val="left"/>
      <w:lvlText w:val="(%2)"/>
      <w:numFmt w:val="lowerRoman"/>
      <w:start w:val="1"/>
    </w:lvl>
  </w:abstractNum>
  <w:abstractNum w:abstractNumId="180">
    <w:nsid w:val="53280662"/>
    <w:multiLevelType w:val="hybridMultilevel"/>
    <w:lvl w:ilvl="0">
      <w:lvlJc w:val="left"/>
      <w:lvlText w:val="(%1)"/>
      <w:numFmt w:val="lowerLetter"/>
      <w:start w:val="1"/>
    </w:lvl>
  </w:abstractNum>
  <w:abstractNum w:abstractNumId="181">
    <w:nsid w:val="46B24DBC"/>
    <w:multiLevelType w:val="hybridMultilevel"/>
    <w:lvl w:ilvl="0">
      <w:lvlJc w:val="left"/>
      <w:lvlText w:val="(%1)"/>
      <w:numFmt w:val="lowerLetter"/>
      <w:start w:val="2"/>
    </w:lvl>
  </w:abstractNum>
  <w:abstractNum w:abstractNumId="182">
    <w:nsid w:val="75B52783"/>
    <w:multiLevelType w:val="hybridMultilevel"/>
    <w:lvl w:ilvl="0">
      <w:lvlJc w:val="left"/>
      <w:lvlText w:val="(%1)"/>
      <w:numFmt w:val="lowerLetter"/>
      <w:start w:val="2"/>
    </w:lvl>
  </w:abstractNum>
  <w:abstractNum w:abstractNumId="183">
    <w:nsid w:val="57CE66B4"/>
    <w:multiLevelType w:val="hybridMultilevel"/>
    <w:lvl w:ilvl="0">
      <w:lvlJc w:val="left"/>
      <w:lvlText w:val="(%1)"/>
      <w:numFmt w:val="lowerLetter"/>
      <w:start w:val="2"/>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1)"/>
      <w:numFmt w:val="lowerLetter"/>
      <w:start w:val="2"/>
    </w:lvl>
  </w:abstractNum>
  <w:abstractNum w:abstractNumId="186">
    <w:nsid w:val="27EDFE3A"/>
    <w:multiLevelType w:val="hybridMultilevel"/>
    <w:lvl w:ilvl="0">
      <w:lvlJc w:val="left"/>
      <w:lvlText w:val="(%1)"/>
      <w:numFmt w:val="lowerRoman"/>
      <w:start w:val="1"/>
    </w:lvl>
  </w:abstractNum>
  <w:abstractNum w:abstractNumId="187">
    <w:nsid w:val="52AC7DFF"/>
    <w:multiLevelType w:val="hybridMultilevel"/>
    <w:lvl w:ilvl="0">
      <w:lvlJc w:val="left"/>
      <w:lvlText w:val="(%1)"/>
      <w:numFmt w:val="lowerLetter"/>
      <w:start w:val="2"/>
    </w:lvl>
  </w:abstractNum>
  <w:abstractNum w:abstractNumId="188">
    <w:nsid w:val="C4C3AF"/>
    <w:multiLevelType w:val="hybridMultilevel"/>
    <w:lvl w:ilvl="0">
      <w:lvlJc w:val="left"/>
      <w:lvlText w:val="%1"/>
      <w:numFmt w:val="decimal"/>
      <w:start w:val="1"/>
    </w:lvl>
    <w:lvl w:ilvl="1">
      <w:lvlJc w:val="left"/>
      <w:lvlText w:val="(%2)"/>
      <w:numFmt w:val="lowerLetter"/>
      <w:start w:val="1"/>
    </w:lvl>
  </w:abstractNum>
  <w:abstractNum w:abstractNumId="189">
    <w:nsid w:val="44380727"/>
    <w:multiLevelType w:val="hybridMultilevel"/>
    <w:lvl w:ilvl="0">
      <w:lvlJc w:val="left"/>
      <w:lvlText w:val="(%1)"/>
      <w:numFmt w:val="decimal"/>
      <w:start w:val="2"/>
    </w:lvl>
    <w:lvl w:ilvl="1">
      <w:lvlJc w:val="left"/>
      <w:lvlText w:val="(%2)"/>
      <w:numFmt w:val="lowerLetter"/>
      <w:start w:val="7"/>
    </w:lvl>
  </w:abstractNum>
  <w:abstractNum w:abstractNumId="190">
    <w:nsid w:val="6C053B16"/>
    <w:multiLevelType w:val="hybridMultilevel"/>
    <w:lvl w:ilvl="0">
      <w:lvlJc w:val="left"/>
      <w:lvlText w:val="(%1)"/>
      <w:numFmt w:val="lowerLetter"/>
      <w:start w:val="8"/>
    </w:lvl>
  </w:abstractNum>
  <w:abstractNum w:abstractNumId="191">
    <w:nsid w:val="4F294393"/>
    <w:multiLevelType w:val="hybridMultilevel"/>
    <w:lvl w:ilvl="0">
      <w:lvlJc w:val="left"/>
      <w:lvlText w:val="(%1)"/>
      <w:numFmt w:val="lowerRoman"/>
      <w:start w:val="1"/>
    </w:lvl>
  </w:abstractNum>
  <w:abstractNum w:abstractNumId="192">
    <w:nsid w:val="5243BFAC"/>
    <w:multiLevelType w:val="hybridMultilevel"/>
    <w:lvl w:ilvl="0">
      <w:lvlJc w:val="left"/>
      <w:lvlText w:val="(%1)"/>
      <w:numFmt w:val="lowerRoman"/>
      <w:start w:val="1"/>
    </w:lvl>
  </w:abstractNum>
  <w:abstractNum w:abstractNumId="193">
    <w:nsid w:val="425EB207"/>
    <w:multiLevelType w:val="hybridMultilevel"/>
    <w:lvl w:ilvl="0">
      <w:lvlJc w:val="left"/>
      <w:lvlText w:val="(%1)"/>
      <w:numFmt w:val="lowerLetter"/>
      <w:start w:val="23"/>
    </w:lvl>
  </w:abstractNum>
  <w:abstractNum w:abstractNumId="194">
    <w:nsid w:val="334A6F1F"/>
    <w:multiLevelType w:val="hybridMultilevel"/>
    <w:lvl w:ilvl="0">
      <w:lvlJc w:val="left"/>
      <w:lvlText w:val="(%1)"/>
      <w:numFmt w:val="lowerLetter"/>
      <w:start w:val="2"/>
    </w:lvl>
  </w:abstractNum>
  <w:abstractNum w:abstractNumId="195">
    <w:nsid w:val="2E5B12B8"/>
    <w:multiLevelType w:val="hybridMultilevel"/>
    <w:lvl w:ilvl="0">
      <w:lvlJc w:val="left"/>
      <w:lvlText w:val="(%1)"/>
      <w:numFmt w:val="lowerLetter"/>
      <w:start w:val="5"/>
    </w:lvl>
  </w:abstractNum>
  <w:abstractNum w:abstractNumId="196">
    <w:nsid w:val="5C03D76D"/>
    <w:multiLevelType w:val="hybridMultilevel"/>
    <w:lvl w:ilvl="0">
      <w:lvlJc w:val="left"/>
      <w:lvlText w:val="(%1)"/>
      <w:numFmt w:val="lowerLetter"/>
      <w:start w:val="2"/>
    </w:lvl>
  </w:abstractNum>
  <w:abstractNum w:abstractNumId="197">
    <w:nsid w:val="66A48D11"/>
    <w:multiLevelType w:val="hybridMultilevel"/>
    <w:lvl w:ilvl="0">
      <w:lvlJc w:val="left"/>
      <w:lvlText w:val="(%1)"/>
      <w:numFmt w:val="lowerLetter"/>
      <w:start w:val="1"/>
    </w:lvl>
  </w:abstractNum>
  <w:abstractNum w:abstractNumId="198">
    <w:nsid w:val="56C28E34"/>
    <w:multiLevelType w:val="hybridMultilevel"/>
    <w:lvl w:ilvl="0">
      <w:lvlJc w:val="left"/>
      <w:lvlText w:val="(%1)"/>
      <w:numFmt w:val="lowerLetter"/>
      <w:start w:val="2"/>
    </w:lvl>
  </w:abstractNum>
  <w:abstractNum w:abstractNumId="199">
    <w:nsid w:val="13916F2D"/>
    <w:multiLevelType w:val="hybridMultilevel"/>
    <w:lvl w:ilvl="0">
      <w:lvlJc w:val="left"/>
      <w:lvlText w:val="(%1)"/>
      <w:numFmt w:val="lowerLetter"/>
      <w:start w:val="10"/>
    </w:lvl>
  </w:abstractNum>
  <w:abstractNum w:abstractNumId="200">
    <w:nsid w:val="435D38D"/>
    <w:multiLevelType w:val="hybridMultilevel"/>
    <w:lvl w:ilvl="0">
      <w:lvlJc w:val="left"/>
      <w:lvlText w:val="(%1)"/>
      <w:numFmt w:val="lowerLetter"/>
      <w:start w:val="2"/>
    </w:lvl>
  </w:abstractNum>
  <w:abstractNum w:abstractNumId="201">
    <w:nsid w:val="822C0EF"/>
    <w:multiLevelType w:val="hybridMultilevel"/>
    <w:lvl w:ilvl="0">
      <w:lvlJc w:val="left"/>
      <w:lvlText w:val="(%1)"/>
      <w:numFmt w:val="lowerRoman"/>
      <w:start w:val="2"/>
    </w:lvl>
  </w:abstractNum>
  <w:abstractNum w:abstractNumId="202">
    <w:nsid w:val="57C5BB4F"/>
    <w:multiLevelType w:val="hybridMultilevel"/>
    <w:lvl w:ilvl="0">
      <w:lvlJc w:val="left"/>
      <w:lvlText w:val="(%1)"/>
      <w:numFmt w:val="lowerRoman"/>
      <w:start w:val="3"/>
    </w:lvl>
  </w:abstractNum>
  <w:abstractNum w:abstractNumId="203">
    <w:nsid w:val="1803D089"/>
    <w:multiLevelType w:val="hybridMultilevel"/>
    <w:lvl w:ilvl="0">
      <w:lvlJc w:val="left"/>
      <w:lvlText w:val="%1"/>
      <w:numFmt w:val="lowerLetter"/>
      <w:start w:val="1"/>
    </w:lvl>
    <w:lvl w:ilvl="1">
      <w:lvlJc w:val="left"/>
      <w:lvlText w:val="(%2)"/>
      <w:numFmt w:val="lowerLetter"/>
      <w:start w:val="2"/>
    </w:lvl>
  </w:abstractNum>
  <w:abstractNum w:abstractNumId="204">
    <w:nsid w:val="4F3A06D4"/>
    <w:multiLevelType w:val="hybridMultilevel"/>
    <w:lvl w:ilvl="0">
      <w:lvlJc w:val="left"/>
      <w:lvlText w:val="(%1)"/>
      <w:numFmt w:val="lowerLetter"/>
      <w:start w:val="9"/>
    </w:lvl>
    <w:lvl w:ilvl="1">
      <w:lvlJc w:val="left"/>
      <w:lvlText w:val="%2"/>
      <w:numFmt w:val="lowerLetter"/>
      <w:start w:val="1"/>
    </w:lvl>
  </w:abstractNum>
  <w:abstractNum w:abstractNumId="205">
    <w:nsid w:val="59A377B6"/>
    <w:multiLevelType w:val="hybridMultilevel"/>
    <w:lvl w:ilvl="0">
      <w:lvlJc w:val="left"/>
      <w:lvlText w:val="(%1)"/>
      <w:numFmt w:val="lowerLetter"/>
      <w:start w:val="4"/>
    </w:lvl>
  </w:abstractNum>
  <w:abstractNum w:abstractNumId="206">
    <w:nsid w:val="48AEB063"/>
    <w:multiLevelType w:val="hybridMultilevel"/>
    <w:lvl w:ilvl="0">
      <w:lvlJc w:val="left"/>
      <w:lvlText w:val="(%1)"/>
      <w:numFmt w:val="lowerLetter"/>
      <w:start w:val="2"/>
    </w:lvl>
    <w:lvl w:ilvl="1">
      <w:lvlJc w:val="left"/>
      <w:lvlText w:val="(%2)"/>
      <w:numFmt w:val="lowerRoman"/>
      <w:start w:val="1"/>
    </w:lvl>
  </w:abstractNum>
  <w:abstractNum w:abstractNumId="207">
    <w:nsid w:val="24E135"/>
    <w:multiLevelType w:val="hybridMultilevel"/>
    <w:lvl w:ilvl="0">
      <w:lvlJc w:val="left"/>
      <w:lvlText w:val="(%1)"/>
      <w:numFmt w:val="lowerLetter"/>
      <w:start w:val="1"/>
    </w:lvl>
  </w:abstractNum>
  <w:abstractNum w:abstractNumId="208">
    <w:nsid w:val="BB13C1"/>
    <w:multiLevelType w:val="hybridMultilevel"/>
    <w:lvl w:ilvl="0">
      <w:lvlJc w:val="left"/>
      <w:lvlText w:val="(%1)"/>
      <w:numFmt w:val="lowerLetter"/>
      <w:start w:val="2"/>
    </w:lvl>
    <w:lvl w:ilvl="1">
      <w:lvlJc w:val="left"/>
      <w:lvlText w:val="(%2)"/>
      <w:numFmt w:val="lowerRoman"/>
      <w:start w:val="1"/>
    </w:lvl>
  </w:abstractNum>
  <w:abstractNum w:abstractNumId="209">
    <w:nsid w:val="271210C7"/>
    <w:multiLevelType w:val="hybridMultilevel"/>
    <w:lvl w:ilvl="0">
      <w:lvlJc w:val="left"/>
      <w:lvlText w:val="(%1)"/>
      <w:numFmt w:val="lowerLetter"/>
      <w:start w:val="3"/>
    </w:lvl>
  </w:abstractNum>
  <w:abstractNum w:abstractNumId="210">
    <w:nsid w:val="217B22E4"/>
    <w:multiLevelType w:val="hybridMultilevel"/>
    <w:lvl w:ilvl="0">
      <w:lvlJc w:val="left"/>
      <w:lvlText w:val="(%1)"/>
      <w:numFmt w:val="lowerLetter"/>
      <w:start w:val="2"/>
    </w:lvl>
  </w:abstractNum>
  <w:abstractNum w:abstractNumId="211">
    <w:nsid w:val="53E31A24"/>
    <w:multiLevelType w:val="hybridMultilevel"/>
    <w:lvl w:ilvl="0">
      <w:lvlJc w:val="left"/>
      <w:lvlText w:val="%1"/>
      <w:numFmt w:val="lowerRoman"/>
      <w:start w:val="1"/>
    </w:lvl>
    <w:lvl w:ilvl="1">
      <w:lvlJc w:val="left"/>
      <w:lvlText w:val="(%2)"/>
      <w:numFmt w:val="lowerLetter"/>
      <w:start w:val="1"/>
    </w:lvl>
  </w:abstractNum>
  <w:abstractNum w:abstractNumId="212">
    <w:nsid w:val="6DC45E83"/>
    <w:multiLevelType w:val="hybridMultilevel"/>
    <w:lvl w:ilvl="0">
      <w:lvlJc w:val="left"/>
      <w:lvlText w:val="(%1)"/>
      <w:numFmt w:val="lowerRoman"/>
      <w:start w:val="7"/>
    </w:lvl>
    <w:lvl w:ilvl="1">
      <w:lvlJc w:val="left"/>
      <w:lvlText w:val="%2"/>
      <w:numFmt w:val="lowerLetter"/>
      <w:start w:val="1"/>
    </w:lvl>
  </w:abstractNum>
  <w:abstractNum w:abstractNumId="213">
    <w:nsid w:val="17304A67"/>
    <w:multiLevelType w:val="hybridMultilevel"/>
    <w:lvl w:ilvl="0">
      <w:lvlJc w:val="left"/>
      <w:lvlText w:val="(%1)"/>
      <w:numFmt w:val="lowerLetter"/>
      <w:start w:val="2"/>
    </w:lvl>
    <w:lvl w:ilvl="1">
      <w:lvlJc w:val="left"/>
      <w:lvlText w:val="(%2)"/>
      <w:numFmt w:val="lowerRoman"/>
      <w:start w:val="1"/>
    </w:lvl>
  </w:abstractNum>
  <w:abstractNum w:abstractNumId="214">
    <w:nsid w:val="2BB180D8"/>
    <w:multiLevelType w:val="hybridMultilevel"/>
    <w:lvl w:ilvl="0">
      <w:lvlJc w:val="left"/>
      <w:lvlText w:val="(%1)"/>
      <w:numFmt w:val="lowerRoman"/>
      <w:start w:val="4"/>
    </w:lvl>
  </w:abstractNum>
  <w:abstractNum w:abstractNumId="215">
    <w:nsid w:val="556B69ED"/>
    <w:multiLevelType w:val="hybridMultilevel"/>
    <w:lvl w:ilvl="0">
      <w:lvlJc w:val="left"/>
      <w:lvlText w:val="(%1)"/>
      <w:numFmt w:val="lowerRoman"/>
      <w:start w:val="7"/>
    </w:lvl>
  </w:abstractNum>
  <w:abstractNum w:abstractNumId="216">
    <w:nsid w:val="70836196"/>
    <w:multiLevelType w:val="hybridMultilevel"/>
    <w:lvl w:ilvl="0">
      <w:lvlJc w:val="left"/>
      <w:lvlText w:val="(%1)"/>
      <w:numFmt w:val="lowerLetter"/>
      <w:start w:val="3"/>
    </w:lvl>
  </w:abstractNum>
  <w:abstractNum w:abstractNumId="217">
    <w:nsid w:val="539F7F12"/>
    <w:multiLevelType w:val="hybridMultilevel"/>
    <w:lvl w:ilvl="0">
      <w:lvlJc w:val="left"/>
      <w:lvlText w:val="(%1)"/>
      <w:numFmt w:val="lowerLetter"/>
      <w:start w:val="5"/>
    </w:lvl>
  </w:abstractNum>
  <w:abstractNum w:abstractNumId="218">
    <w:nsid w:val="2817E7EC"/>
    <w:multiLevelType w:val="hybridMultilevel"/>
    <w:lvl w:ilvl="0">
      <w:lvlJc w:val="left"/>
      <w:lvlText w:val="(%1)"/>
      <w:numFmt w:val="lowerLetter"/>
      <w:start w:val="1"/>
    </w:lvl>
  </w:abstractNum>
  <w:abstractNum w:abstractNumId="219">
    <w:nsid w:val="71482545"/>
    <w:multiLevelType w:val="hybridMultilevel"/>
    <w:lvl w:ilvl="0">
      <w:lvlJc w:val="left"/>
      <w:lvlText w:val="(%1)"/>
      <w:numFmt w:val="lowerLetter"/>
      <w:start w:val="2"/>
    </w:lvl>
  </w:abstractNum>
  <w:abstractNum w:abstractNumId="220">
    <w:nsid w:val="17D78639"/>
    <w:multiLevelType w:val="hybridMultilevel"/>
    <w:lvl w:ilvl="0">
      <w:lvlJc w:val="left"/>
      <w:lvlText w:val="(%1)"/>
      <w:numFmt w:val="lowerLetter"/>
      <w:start w:val="6"/>
    </w:lvl>
  </w:abstractNum>
  <w:abstractNum w:abstractNumId="221">
    <w:nsid w:val="141D2302"/>
    <w:multiLevelType w:val="hybridMultilevel"/>
    <w:lvl w:ilvl="0">
      <w:lvlJc w:val="left"/>
      <w:lvlText w:val="(%1)"/>
      <w:numFmt w:val="lowerLetter"/>
      <w:start w:val="1"/>
    </w:lvl>
  </w:abstractNum>
  <w:abstractNum w:abstractNumId="222">
    <w:nsid w:val="407168D8"/>
    <w:multiLevelType w:val="hybridMultilevel"/>
    <w:lvl w:ilvl="0">
      <w:lvlJc w:val="left"/>
      <w:lvlText w:val="(%1)"/>
      <w:numFmt w:val="lowerLetter"/>
      <w:start w:val="5"/>
    </w:lvl>
  </w:abstractNum>
  <w:abstractNum w:abstractNumId="223">
    <w:nsid w:val="6A1B45E5"/>
    <w:multiLevelType w:val="hybridMultilevel"/>
    <w:lvl w:ilvl="0">
      <w:lvlJc w:val="left"/>
      <w:lvlText w:val="(%1)"/>
      <w:numFmt w:val="lowerLetter"/>
      <w:start w:val="1"/>
    </w:lvl>
  </w:abstractNum>
  <w:abstractNum w:abstractNumId="224">
    <w:nsid w:val="567BD50A"/>
    <w:multiLevelType w:val="hybridMultilevel"/>
    <w:lvl w:ilvl="0">
      <w:lvlJc w:val="left"/>
      <w:lvlText w:val="(%1)"/>
      <w:numFmt w:val="lowerLetter"/>
      <w:start w:val="2"/>
    </w:lvl>
  </w:abstractNum>
  <w:abstractNum w:abstractNumId="225">
    <w:nsid w:val="73BBD7F8"/>
    <w:multiLevelType w:val="hybridMultilevel"/>
    <w:lvl w:ilvl="0">
      <w:lvlJc w:val="left"/>
      <w:lvlText w:val="(%1)"/>
      <w:numFmt w:val="lowerLetter"/>
      <w:start w:val="3"/>
    </w:lvl>
  </w:abstractNum>
  <w:abstractNum w:abstractNumId="226">
    <w:nsid w:val="1876589D"/>
    <w:multiLevelType w:val="hybridMultilevel"/>
    <w:lvl w:ilvl="0">
      <w:lvlJc w:val="left"/>
      <w:lvlText w:val="(%1)"/>
      <w:numFmt w:val="lowerLetter"/>
      <w:start w:val="4"/>
    </w:lvl>
  </w:abstractNum>
  <w:abstractNum w:abstractNumId="227">
    <w:nsid w:val="327FAC77"/>
    <w:multiLevelType w:val="hybridMultilevel"/>
    <w:lvl w:ilvl="0">
      <w:lvlJc w:val="left"/>
      <w:lvlText w:val="(%1)"/>
      <w:numFmt w:val="lowerLetter"/>
      <w:start w:val="5"/>
    </w:lvl>
  </w:abstractNum>
  <w:abstractNum w:abstractNumId="228">
    <w:nsid w:val="5A606509"/>
    <w:multiLevelType w:val="hybridMultilevel"/>
    <w:lvl w:ilvl="0">
      <w:lvlJc w:val="left"/>
      <w:lvlText w:val="(%1)"/>
      <w:numFmt w:val="lowerLetter"/>
      <w:start w:val="1"/>
    </w:lvl>
  </w:abstractNum>
  <w:abstractNum w:abstractNumId="229">
    <w:nsid w:val="6F38E6D1"/>
    <w:multiLevelType w:val="hybridMultilevel"/>
    <w:lvl w:ilvl="0">
      <w:lvlJc w:val="left"/>
      <w:lvlText w:val="(%1)"/>
      <w:numFmt w:val="lowerLetter"/>
      <w:start w:val="2"/>
    </w:lvl>
  </w:abstractNum>
  <w:abstractNum w:abstractNumId="230">
    <w:nsid w:val="46111BA5"/>
    <w:multiLevelType w:val="hybridMultilevel"/>
    <w:lvl w:ilvl="0">
      <w:lvlJc w:val="left"/>
      <w:lvlText w:val="(%1)"/>
      <w:numFmt w:val="lowerRoman"/>
      <w:start w:val="1"/>
    </w:lvl>
  </w:abstractNum>
  <w:abstractNum w:abstractNumId="231">
    <w:nsid w:val="5E963896"/>
    <w:multiLevelType w:val="hybridMultilevel"/>
    <w:lvl w:ilvl="0">
      <w:lvlJc w:val="left"/>
      <w:lvlText w:val="(%1)"/>
      <w:numFmt w:val="lowerLetter"/>
      <w:start w:val="2"/>
    </w:lvl>
  </w:abstractNum>
  <w:abstractNum w:abstractNumId="232">
    <w:nsid w:val="775BA7C1"/>
    <w:multiLevelType w:val="hybridMultilevel"/>
    <w:lvl w:ilvl="0">
      <w:lvlJc w:val="left"/>
      <w:lvlText w:val="(%1)"/>
      <w:numFmt w:val="lowerLetter"/>
      <w:start w:val="3"/>
    </w:lvl>
  </w:abstractNum>
  <w:abstractNum w:abstractNumId="233">
    <w:nsid w:val="1DD6D6F4"/>
    <w:multiLevelType w:val="hybridMultilevel"/>
    <w:lvl w:ilvl="0">
      <w:lvlJc w:val="left"/>
      <w:lvlText w:val="(%1)"/>
      <w:numFmt w:val="lowerLetter"/>
      <w:start w:val="4"/>
    </w:lvl>
  </w:abstractNum>
  <w:abstractNum w:abstractNumId="234">
    <w:nsid w:val="769A091F"/>
    <w:multiLevelType w:val="hybridMultilevel"/>
    <w:lvl w:ilvl="0">
      <w:lvlJc w:val="left"/>
      <w:lvlText w:val="(%1)"/>
      <w:numFmt w:val="lowerLetter"/>
      <w:start w:val="6"/>
    </w:lvl>
  </w:abstractNum>
  <w:abstractNum w:abstractNumId="235">
    <w:nsid w:val="4695AE95"/>
    <w:multiLevelType w:val="hybridMultilevel"/>
    <w:lvl w:ilvl="0">
      <w:lvlJc w:val="left"/>
      <w:lvlText w:val="(%1)"/>
      <w:numFmt w:val="lowerLetter"/>
      <w:start w:val="2"/>
    </w:lvl>
  </w:abstractNum>
  <w:abstractNum w:abstractNumId="236">
    <w:nsid w:val="777A4EAA"/>
    <w:multiLevelType w:val="hybridMultilevel"/>
    <w:lvl w:ilvl="0">
      <w:lvlJc w:val="left"/>
      <w:lvlText w:val="(%1)"/>
      <w:numFmt w:val="lowerLetter"/>
      <w:start w:val="3"/>
    </w:lvl>
  </w:abstractNum>
  <w:abstractNum w:abstractNumId="237">
    <w:nsid w:val="3F48B982"/>
    <w:multiLevelType w:val="hybridMultilevel"/>
    <w:lvl w:ilvl="0">
      <w:lvlJc w:val="left"/>
      <w:lvlText w:val="(%1)"/>
      <w:numFmt w:val="lowerLetter"/>
      <w:start w:val="4"/>
    </w:lvl>
  </w:abstractNum>
  <w:abstractNum w:abstractNumId="238">
    <w:nsid w:val="46BA8FCA"/>
    <w:multiLevelType w:val="hybridMultilevel"/>
    <w:lvl w:ilvl="0">
      <w:lvlJc w:val="left"/>
      <w:lvlText w:val="(%1)"/>
      <w:numFmt w:val="lowerLetter"/>
      <w:start w:val="1"/>
    </w:lvl>
  </w:abstractNum>
  <w:abstractNum w:abstractNumId="239">
    <w:nsid w:val="7835626C"/>
    <w:multiLevelType w:val="hybridMultilevel"/>
    <w:lvl w:ilvl="0">
      <w:lvlJc w:val="left"/>
      <w:lvlText w:val="%1"/>
      <w:numFmt w:val="lowerLetter"/>
      <w:start w:val="1"/>
    </w:lvl>
    <w:lvl w:ilvl="1">
      <w:lvlJc w:val="left"/>
      <w:lvlText w:val="(%2)"/>
      <w:numFmt w:val="lowerLetter"/>
      <w:start w:val="2"/>
    </w:lvl>
  </w:abstractNum>
  <w:abstractNum w:abstractNumId="240">
    <w:nsid w:val="665ACA49"/>
    <w:multiLevelType w:val="hybridMultilevel"/>
    <w:lvl w:ilvl="0">
      <w:lvlJc w:val="left"/>
      <w:lvlText w:val="(%1)"/>
      <w:numFmt w:val="lowerLetter"/>
      <w:start w:val="9"/>
    </w:lvl>
    <w:lvl w:ilvl="1">
      <w:lvlJc w:val="left"/>
      <w:lvlText w:val="(%2)"/>
      <w:numFmt w:val="lowerLetter"/>
      <w:start w:val="3"/>
    </w:lvl>
  </w:abstractNum>
  <w:abstractNum w:abstractNumId="241">
    <w:nsid w:val="6835B2AE"/>
    <w:multiLevelType w:val="hybridMultilevel"/>
    <w:lvl w:ilvl="0">
      <w:lvlJc w:val="left"/>
      <w:lvlText w:val="(%1)"/>
      <w:numFmt w:val="lowerLetter"/>
      <w:start w:val="5"/>
    </w:lvl>
  </w:abstractNum>
  <w:abstractNum w:abstractNumId="242">
    <w:nsid w:val="4C187C90"/>
    <w:multiLevelType w:val="hybridMultilevel"/>
    <w:lvl w:ilvl="0">
      <w:lvlJc w:val="left"/>
      <w:lvlText w:val="(%1)"/>
      <w:numFmt w:val="lowerRoman"/>
      <w:start w:val="1"/>
    </w:lvl>
  </w:abstractNum>
  <w:abstractNum w:abstractNumId="243">
    <w:nsid w:val="541F28CD"/>
    <w:multiLevelType w:val="hybridMultilevel"/>
    <w:lvl w:ilvl="0">
      <w:lvlJc w:val="left"/>
      <w:lvlText w:val="(%1)"/>
      <w:numFmt w:val="lowerRoman"/>
      <w:start w:val="6"/>
    </w:lvl>
  </w:abstractNum>
  <w:abstractNum w:abstractNumId="244">
    <w:nsid w:val="7F65FD16"/>
    <w:multiLevelType w:val="hybridMultilevel"/>
    <w:lvl w:ilvl="0">
      <w:lvlJc w:val="left"/>
      <w:lvlText w:val="(%1)"/>
      <w:numFmt w:val="lowerLetter"/>
      <w:start w:val="1"/>
    </w:lvl>
  </w:abstractNum>
  <w:abstractNum w:abstractNumId="245">
    <w:nsid w:val="77C9FD68"/>
    <w:multiLevelType w:val="hybridMultilevel"/>
    <w:lvl w:ilvl="0">
      <w:lvlJc w:val="left"/>
      <w:lvlText w:val="(%1)"/>
      <w:numFmt w:val="lowerLetter"/>
      <w:start w:val="2"/>
    </w:lvl>
  </w:abstractNum>
  <w:abstractNum w:abstractNumId="246">
    <w:nsid w:val="298A92BA"/>
    <w:multiLevelType w:val="hybridMultilevel"/>
    <w:lvl w:ilvl="0">
      <w:lvlJc w:val="left"/>
      <w:lvlText w:val="(%1)"/>
      <w:numFmt w:val="lowerLetter"/>
      <w:start w:val="2"/>
    </w:lvl>
    <w:lvl w:ilvl="1">
      <w:lvlJc w:val="left"/>
      <w:lvlText w:val="(%2)"/>
      <w:numFmt w:val="lowerLetter"/>
      <w:start w:val="35"/>
    </w:lvl>
  </w:abstractNum>
  <w:abstractNum w:abstractNumId="247">
    <w:nsid w:val="6FE95EAC"/>
    <w:multiLevelType w:val="hybridMultilevel"/>
    <w:lvl w:ilvl="0">
      <w:lvlJc w:val="left"/>
      <w:lvlText w:val="(%1)"/>
      <w:numFmt w:val="lowerLetter"/>
      <w:start w:val="3"/>
    </w:lvl>
  </w:abstractNum>
  <w:abstractNum w:abstractNumId="248">
    <w:nsid w:val="4B697C7A"/>
    <w:multiLevelType w:val="hybridMultilevel"/>
    <w:lvl w:ilvl="0">
      <w:lvlJc w:val="left"/>
      <w:lvlText w:val="(%1)"/>
      <w:numFmt w:val="lowerRoman"/>
      <w:start w:val="2"/>
    </w:lvl>
  </w:abstractNum>
  <w:abstractNum w:abstractNumId="249">
    <w:nsid w:val="51A27AA6"/>
    <w:multiLevelType w:val="hybridMultilevel"/>
    <w:lvl w:ilvl="0">
      <w:lvlJc w:val="left"/>
      <w:lvlText w:val="(%1)"/>
      <w:numFmt w:val="lowerLetter"/>
      <w:start w:val="2"/>
    </w:lvl>
  </w:abstractNum>
  <w:abstractNum w:abstractNumId="250">
    <w:nsid w:val="613183F2"/>
    <w:multiLevelType w:val="hybridMultilevel"/>
    <w:lvl w:ilvl="0">
      <w:lvlJc w:val="left"/>
      <w:lvlText w:val="(%1)"/>
      <w:numFmt w:val="lowerLetter"/>
      <w:start w:val="3"/>
    </w:lvl>
  </w:abstractNum>
  <w:abstractNum w:abstractNumId="251">
    <w:nsid w:val="634102B4"/>
    <w:multiLevelType w:val="hybridMultilevel"/>
    <w:lvl w:ilvl="0">
      <w:lvlJc w:val="left"/>
      <w:lvlText w:val="(%1)"/>
      <w:numFmt w:val="decimal"/>
      <w:start w:val="1"/>
    </w:lvl>
  </w:abstractNum>
  <w:abstractNum w:abstractNumId="252">
    <w:nsid w:val="65BF9DA8"/>
    <w:multiLevelType w:val="hybridMultilevel"/>
    <w:lvl w:ilvl="0">
      <w:lvlJc w:val="left"/>
      <w:lvlText w:val="(%1)"/>
      <w:numFmt w:val="decimal"/>
      <w:start w:val="1"/>
    </w:lvl>
  </w:abstractNum>
  <w:abstractNum w:abstractNumId="253">
    <w:nsid w:val="21A2ECCA"/>
    <w:multiLevelType w:val="hybridMultilevel"/>
    <w:lvl w:ilvl="0">
      <w:lvlJc w:val="left"/>
      <w:lvlText w:val="(%1)"/>
      <w:numFmt w:val="decimal"/>
      <w:start w:val="2"/>
    </w:lvl>
  </w:abstractNum>
  <w:abstractNum w:abstractNumId="254">
    <w:nsid w:val="4D5C4899"/>
    <w:multiLevelType w:val="hybridMultilevel"/>
    <w:lvl w:ilvl="0">
      <w:lvlJc w:val="left"/>
      <w:lvlText w:val="*"/>
      <w:numFmt w:val="bullet"/>
      <w:start w:val="1"/>
    </w:lvl>
  </w:abstractNum>
  <w:abstractNum w:abstractNumId="255">
    <w:nsid w:val="3C3B72B2"/>
    <w:multiLevelType w:val="hybridMultilevel"/>
    <w:lvl w:ilvl="0">
      <w:lvlJc w:val="left"/>
      <w:lvlText w:val="%1."/>
      <w:numFmt w:val="decimal"/>
      <w:start w:val="1"/>
    </w:lvl>
  </w:abstractNum>
  <w:abstractNum w:abstractNumId="256">
    <w:nsid w:val="155EC4C2"/>
    <w:multiLevelType w:val="hybridMultilevel"/>
    <w:lvl w:ilvl="0">
      <w:lvlJc w:val="left"/>
      <w:lvlText w:val="%1."/>
      <w:numFmt w:val="decimal"/>
      <w:start w:val="2"/>
    </w:lvl>
  </w:abstractNum>
  <w:abstractNum w:abstractNumId="257">
    <w:nsid w:val="65D2A137"/>
    <w:multiLevelType w:val="hybridMultilevel"/>
    <w:lvl w:ilvl="0">
      <w:lvlJc w:val="left"/>
      <w:lvlText w:val="%1."/>
      <w:numFmt w:val="decimal"/>
      <w:start w:val="3"/>
    </w:lvl>
  </w:abstractNum>
  <w:abstractNum w:abstractNumId="258">
    <w:nsid w:val="6EBB1F2A"/>
    <w:multiLevelType w:val="hybridMultilevel"/>
    <w:lvl w:ilvl="0">
      <w:lvlJc w:val="left"/>
      <w:lvlText w:val="%1."/>
      <w:numFmt w:val="decimal"/>
      <w:start w:val="4"/>
    </w:lvl>
  </w:abstractNum>
  <w:abstractNum w:abstractNumId="259">
    <w:nsid w:val="6FBF29CB"/>
    <w:multiLevelType w:val="hybridMultilevel"/>
    <w:lvl w:ilvl="0">
      <w:lvlJc w:val="left"/>
      <w:lvlText w:val="%1."/>
      <w:numFmt w:val="decimal"/>
      <w:start w:val="5"/>
    </w:lvl>
  </w:abstractNum>
  <w:abstractNum w:abstractNumId="260">
    <w:nsid w:val="550B8808"/>
    <w:multiLevelType w:val="hybridMultilevel"/>
    <w:lvl w:ilvl="0">
      <w:lvlJc w:val="left"/>
      <w:lvlText w:val="%1."/>
      <w:numFmt w:val="decimal"/>
      <w:start w:val="6"/>
    </w:lvl>
  </w:abstractNum>
  <w:abstractNum w:abstractNumId="261">
    <w:nsid w:val="34CC3ACF"/>
    <w:multiLevelType w:val="hybridMultilevel"/>
    <w:lvl w:ilvl="0">
      <w:lvlJc w:val="left"/>
      <w:lvlText w:val="%1."/>
      <w:numFmt w:val="decimal"/>
      <w:start w:val="7"/>
    </w:lvl>
  </w:abstractNum>
  <w:abstractNum w:abstractNumId="262">
    <w:nsid w:val="4E556261"/>
    <w:multiLevelType w:val="hybridMultilevel"/>
    <w:lvl w:ilvl="0">
      <w:lvlJc w:val="left"/>
      <w:lvlText w:val="%1."/>
      <w:numFmt w:val="decimal"/>
      <w:start w:val="8"/>
    </w:lvl>
  </w:abstractNum>
  <w:abstractNum w:abstractNumId="263">
    <w:nsid w:val="4C672FC9"/>
    <w:multiLevelType w:val="hybridMultilevel"/>
    <w:lvl w:ilvl="0">
      <w:lvlJc w:val="left"/>
      <w:lvlText w:val="%1."/>
      <w:numFmt w:val="decimal"/>
      <w:start w:val="9"/>
    </w:lvl>
  </w:abstractNum>
  <w:abstractNum w:abstractNumId="264">
    <w:nsid w:val="52A311C3"/>
    <w:multiLevelType w:val="hybridMultilevel"/>
    <w:lvl w:ilvl="0">
      <w:lvlJc w:val="left"/>
      <w:lvlText w:val="%1."/>
      <w:numFmt w:val="decimal"/>
      <w:start w:val="10"/>
    </w:lvl>
  </w:abstractNum>
  <w:abstractNum w:abstractNumId="265">
    <w:nsid w:val="44EF6B80"/>
    <w:multiLevelType w:val="hybridMultilevel"/>
    <w:lvl w:ilvl="0">
      <w:lvlJc w:val="left"/>
      <w:lvlText w:val="%1."/>
      <w:numFmt w:val="decimal"/>
      <w:start w:val="11"/>
    </w:lvl>
  </w:abstractNum>
  <w:abstractNum w:abstractNumId="266">
    <w:nsid w:val="12FCDE5E"/>
    <w:multiLevelType w:val="hybridMultilevel"/>
    <w:lvl w:ilvl="0">
      <w:lvlJc w:val="left"/>
      <w:lvlText w:val="%1."/>
      <w:numFmt w:val="decimal"/>
      <w:start w:val="12"/>
    </w:lvl>
  </w:abstractNum>
  <w:abstractNum w:abstractNumId="267">
    <w:nsid w:val="4A1D606E"/>
    <w:multiLevelType w:val="hybridMultilevel"/>
    <w:lvl w:ilvl="0">
      <w:lvlJc w:val="left"/>
      <w:lvlText w:val="%1."/>
      <w:numFmt w:val="decimal"/>
      <w:start w:val="13"/>
    </w:lvl>
  </w:abstractNum>
  <w:abstractNum w:abstractNumId="268">
    <w:nsid w:val="4382503"/>
    <w:multiLevelType w:val="hybridMultilevel"/>
    <w:lvl w:ilvl="0">
      <w:lvlJc w:val="left"/>
      <w:lvlText w:val="%1."/>
      <w:numFmt w:val="decimal"/>
      <w:start w:val="14"/>
    </w:lvl>
  </w:abstractNum>
  <w:abstractNum w:abstractNumId="269">
    <w:nsid w:val="59B76E28"/>
    <w:multiLevelType w:val="hybridMultilevel"/>
    <w:lvl w:ilvl="0">
      <w:lvlJc w:val="left"/>
      <w:lvlText w:val="%1."/>
      <w:numFmt w:val="decimal"/>
      <w:start w:val="15"/>
    </w:lvl>
  </w:abstractNum>
  <w:abstractNum w:abstractNumId="270">
    <w:nsid w:val="4252C2DA"/>
    <w:multiLevelType w:val="hybridMultilevel"/>
    <w:lvl w:ilvl="0">
      <w:lvlJc w:val="left"/>
      <w:lvlText w:val="%1."/>
      <w:numFmt w:val="decimal"/>
      <w:start w:val="16"/>
    </w:lvl>
  </w:abstractNum>
  <w:abstractNum w:abstractNumId="271">
    <w:nsid w:val="6A92EF4C"/>
    <w:multiLevelType w:val="hybridMultilevel"/>
    <w:lvl w:ilvl="0">
      <w:lvlJc w:val="left"/>
      <w:lvlText w:val="%1."/>
      <w:numFmt w:val="decimal"/>
      <w:start w:val="17"/>
    </w:lvl>
  </w:abstractNum>
  <w:abstractNum w:abstractNumId="272">
    <w:nsid w:val="41ED20D7"/>
    <w:multiLevelType w:val="hybridMultilevel"/>
    <w:lvl w:ilvl="0">
      <w:lvlJc w:val="left"/>
      <w:lvlText w:val="*"/>
      <w:numFmt w:val="bullet"/>
      <w:start w:val="1"/>
    </w:lvl>
  </w:abstractNum>
  <w:abstractNum w:abstractNumId="273">
    <w:nsid w:val="E6B3F6A"/>
    <w:multiLevelType w:val="hybridMultilevel"/>
    <w:lvl w:ilvl="0">
      <w:lvlJc w:val="left"/>
      <w:lvlText w:val="*"/>
      <w:numFmt w:val="bullet"/>
      <w:start w:val="1"/>
    </w:lvl>
  </w:abstractNum>
  <w:abstractNum w:abstractNumId="274">
    <w:nsid w:val="3EB21819"/>
    <w:multiLevelType w:val="hybridMultilevel"/>
    <w:lvl w:ilvl="0">
      <w:lvlJc w:val="left"/>
      <w:lvlText w:val="*"/>
      <w:numFmt w:val="bullet"/>
      <w:start w:val="1"/>
    </w:lvl>
  </w:abstractNum>
  <w:abstractNum w:abstractNumId="275">
    <w:nsid w:val="41531DED"/>
    <w:multiLevelType w:val="hybridMultilevel"/>
    <w:lvl w:ilvl="0">
      <w:lvlJc w:val="left"/>
      <w:lvlText w:val="o"/>
      <w:numFmt w:val="bullet"/>
      <w:start w:val="1"/>
    </w:lvl>
  </w:abstractNum>
  <w:abstractNum w:abstractNumId="276">
    <w:nsid w:val="6353CD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2019-12-10T06:25:24Z</dcterms:created>
  <dcterms:modified xsi:type="dcterms:W3CDTF">2019-12-10T06:25:24Z</dcterms:modified>
</cp:coreProperties>
</file>