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10,908,385</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89,231,159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89,231,159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14.747%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89,231,159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89,231,159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14.747%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89,231,159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89,231,159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14.747%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 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89,231,159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14.747%</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10,908,385</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89,231,159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Micron Technology Incorporated at December 31, 2002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10,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/s/Lena G. Goldberg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Lena G. Goldberg</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January 3, 2003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77,275,354 shares or 12.771%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Micron Technology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77,275,354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7,195,959 shares or 1.189%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7,195,959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6,122,359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1,073,600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425 shares, or 0.000%, of the Common Stock stock outstanding of Micron Technology Incorporated, beneficially owned through Strategic Advisers, Inc.</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37,791</w:t>
      </w:r>
    </w:p>
    <w:p>
      <w:pPr>
        <w:spacing w:after="0" w:line="237" w:lineRule="auto"/>
        <w:rPr>
          <w:sz w:val="20"/>
          <w:szCs w:val="20"/>
          <w:color w:val="auto"/>
        </w:rPr>
      </w:pPr>
      <w:r>
        <w:rPr>
          <w:rFonts w:ascii="Courier New" w:cs="Courier New" w:eastAsia="Courier New" w:hAnsi="Courier New"/>
          <w:sz w:val="18"/>
          <w:szCs w:val="18"/>
          <w:color w:val="auto"/>
        </w:rPr>
        <w:t>shares or 0.006%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tabs>
          <w:tab w:leader="none" w:pos="2300" w:val="left"/>
        </w:tabs>
        <w:rPr>
          <w:sz w:val="20"/>
          <w:szCs w:val="20"/>
          <w:color w:val="auto"/>
        </w:rPr>
      </w:pPr>
      <w:r>
        <w:rPr>
          <w:rFonts w:ascii="Courier New" w:cs="Courier New" w:eastAsia="Courier New" w:hAnsi="Courier New"/>
          <w:sz w:val="18"/>
          <w:szCs w:val="18"/>
          <w:color w:val="auto"/>
        </w:rPr>
        <w:t>limited partnership.</w:t>
      </w:r>
      <w:r>
        <w:rPr>
          <w:sz w:val="20"/>
          <w:szCs w:val="20"/>
          <w:color w:val="auto"/>
        </w:rPr>
        <w:tab/>
      </w:r>
      <w:r>
        <w:rPr>
          <w:rFonts w:ascii="Courier New" w:cs="Courier New" w:eastAsia="Courier New" w:hAnsi="Courier New"/>
          <w:sz w:val="16"/>
          <w:szCs w:val="16"/>
          <w:color w:val="auto"/>
        </w:rPr>
        <w:t>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7" w:lineRule="auto"/>
        <w:rPr>
          <w:sz w:val="20"/>
          <w:szCs w:val="20"/>
          <w:color w:val="auto"/>
        </w:rPr>
      </w:pPr>
      <w:r>
        <w:rPr>
          <w:rFonts w:ascii="Courier New" w:cs="Courier New" w:eastAsia="Courier New" w:hAnsi="Courier New"/>
          <w:sz w:val="18"/>
          <w:szCs w:val="18"/>
          <w:color w:val="auto"/>
        </w:rPr>
        <w:t>of 1940. 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pacing w:after="0" w:line="237" w:lineRule="auto"/>
        <w:rPr>
          <w:sz w:val="20"/>
          <w:szCs w:val="20"/>
          <w:color w:val="auto"/>
        </w:rPr>
      </w:pPr>
      <w:r>
        <w:rPr>
          <w:rFonts w:ascii="Courier New" w:cs="Courier New" w:eastAsia="Courier New" w:hAnsi="Courier New"/>
          <w:sz w:val="18"/>
          <w:szCs w:val="18"/>
          <w:color w:val="auto"/>
        </w:rPr>
        <w:t>and investment manager of FILP III, and is an investment</w:t>
      </w:r>
    </w:p>
    <w:p>
      <w:pPr>
        <w:spacing w:after="0" w:line="238" w:lineRule="auto"/>
        <w:rPr>
          <w:sz w:val="20"/>
          <w:szCs w:val="20"/>
          <w:color w:val="auto"/>
        </w:rPr>
      </w:pPr>
      <w:r>
        <w:rPr>
          <w:rFonts w:ascii="Courier New" w:cs="Courier New" w:eastAsia="Courier New" w:hAnsi="Courier New"/>
          <w:sz w:val="18"/>
          <w:szCs w:val="18"/>
          <w:color w:val="auto"/>
        </w:rPr>
        <w:t>manager registered under Section 203 of the Investment</w:t>
      </w:r>
    </w:p>
    <w:p>
      <w:pPr>
        <w:spacing w:after="0"/>
        <w:rPr>
          <w:sz w:val="20"/>
          <w:szCs w:val="20"/>
          <w:color w:val="auto"/>
        </w:rPr>
      </w:pPr>
      <w:r>
        <w:rPr>
          <w:rFonts w:ascii="Courier New" w:cs="Courier New" w:eastAsia="Courier New" w:hAnsi="Courier New"/>
          <w:sz w:val="18"/>
          <w:szCs w:val="18"/>
          <w:color w:val="auto"/>
        </w:rPr>
        <w:t>Advisers Act of 1940. The managers of Geode LLC, the</w:t>
      </w:r>
    </w:p>
    <w:p>
      <w:pPr>
        <w:spacing w:after="0" w:line="237" w:lineRule="auto"/>
        <w:rPr>
          <w:sz w:val="20"/>
          <w:szCs w:val="20"/>
          <w:color w:val="auto"/>
        </w:rPr>
      </w:pPr>
      <w:r>
        <w:rPr>
          <w:rFonts w:ascii="Courier New" w:cs="Courier New" w:eastAsia="Courier New" w:hAnsi="Courier New"/>
          <w:sz w:val="18"/>
          <w:szCs w:val="18"/>
          <w:color w:val="auto"/>
        </w:rPr>
        <w:t>members of FIML and the limited partners of FILP III are</w:t>
      </w:r>
    </w:p>
    <w:p>
      <w:pPr>
        <w:spacing w:after="0"/>
        <w:rPr>
          <w:sz w:val="20"/>
          <w:szCs w:val="20"/>
          <w:color w:val="auto"/>
        </w:rPr>
      </w:pPr>
      <w:r>
        <w:rPr>
          <w:rFonts w:ascii="Courier New" w:cs="Courier New" w:eastAsia="Courier New" w:hAnsi="Courier New"/>
          <w:sz w:val="18"/>
          <w:szCs w:val="18"/>
          <w:color w:val="auto"/>
        </w:rPr>
        <w:t>certain shareholders and employees of FMR Corp.</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Members of the Edward C. Johnson 3d family are the</w:t>
      </w:r>
    </w:p>
    <w:p>
      <w:pPr>
        <w:sectPr>
          <w:pgSz w:w="11900" w:h="16838" w:orient="portrait"/>
          <w:cols w:equalWidth="0" w:num="1">
            <w:col w:w="10219"/>
          </w:cols>
          <w:pgMar w:left="240" w:top="136" w:right="1440" w:bottom="0" w:gutter="0" w:footer="0" w:header="0"/>
        </w:sectPr>
      </w:pPr>
    </w:p>
    <w:bookmarkStart w:id="3" w:name="page4"/>
    <w:bookmarkEnd w:id="3"/>
    <w:p>
      <w:pPr>
        <w:ind w:right="4199"/>
        <w:spacing w:after="0" w:line="238" w:lineRule="auto"/>
        <w:rPr>
          <w:sz w:val="20"/>
          <w:szCs w:val="20"/>
          <w:color w:val="auto"/>
        </w:rPr>
      </w:pPr>
      <w:r>
        <w:rPr>
          <w:rFonts w:ascii="Courier New" w:cs="Courier New" w:eastAsia="Courier New" w:hAnsi="Courier New"/>
          <w:sz w:val="18"/>
          <w:szCs w:val="18"/>
          <w:color w:val="auto"/>
        </w:rPr>
        <w:t>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4,721,630 shares or 0.780%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4,721,630 shares or 0.780% of the Common Stock outstanding of Micron Technology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679" w:firstLine="843"/>
        <w:spacing w:after="0" w:line="290" w:lineRule="auto"/>
        <w:rPr>
          <w:sz w:val="20"/>
          <w:szCs w:val="20"/>
          <w:color w:val="auto"/>
        </w:rPr>
      </w:pPr>
      <w:r>
        <w:rPr>
          <w:rFonts w:ascii="Courier New" w:cs="Courier New" w:eastAsia="Courier New" w:hAnsi="Courier New"/>
          <w:sz w:val="16"/>
          <w:szCs w:val="16"/>
          <w:color w:val="auto"/>
        </w:rPr>
        <w:t>FIL may continue to have the International Funds or other accounts purchase shares subject to a number of factors,</w:t>
      </w:r>
    </w:p>
    <w:p>
      <w:pPr>
        <w:sectPr>
          <w:pgSz w:w="11900" w:h="16838" w:orient="portrait"/>
          <w:cols w:equalWidth="0" w:num="1">
            <w:col w:w="10219"/>
          </w:cols>
          <w:pgMar w:left="240" w:top="142" w:right="1440" w:bottom="0" w:gutter="0" w:footer="0" w:header="0"/>
        </w:sectPr>
      </w:pPr>
    </w:p>
    <w:bookmarkStart w:id="4" w:name="page5"/>
    <w:bookmarkEnd w:id="4"/>
    <w:p>
      <w:pPr>
        <w:ind w:right="3579"/>
        <w:spacing w:after="0" w:line="237" w:lineRule="auto"/>
        <w:rPr>
          <w:sz w:val="20"/>
          <w:szCs w:val="20"/>
          <w:color w:val="auto"/>
        </w:rPr>
      </w:pPr>
      <w:r>
        <w:rPr>
          <w:rFonts w:ascii="Courier New" w:cs="Courier New" w:eastAsia="Courier New" w:hAnsi="Courier New"/>
          <w:sz w:val="18"/>
          <w:szCs w:val="18"/>
          <w:color w:val="auto"/>
        </w:rPr>
        <w:t>including, among others, the availability of shares for sale at what FIL considers to be reasonable prices and other investment opportunities that may be available to the International Funds.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4,721,630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January 10, 2003,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Micron Technology Incorporated at</w:t>
      </w:r>
    </w:p>
    <w:p>
      <w:pPr>
        <w:spacing w:after="0"/>
        <w:rPr>
          <w:sz w:val="20"/>
          <w:szCs w:val="20"/>
          <w:color w:val="auto"/>
        </w:rPr>
      </w:pPr>
      <w:r>
        <w:rPr>
          <w:rFonts w:ascii="Courier New" w:cs="Courier New" w:eastAsia="Courier New" w:hAnsi="Courier New"/>
          <w:sz w:val="18"/>
          <w:szCs w:val="18"/>
          <w:color w:val="auto"/>
        </w:rPr>
        <w:t>December 31, 2002.</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Lena G. Goldberg</w:t>
      </w:r>
    </w:p>
    <w:p>
      <w:pPr>
        <w:ind w:left="860"/>
        <w:spacing w:after="0" w:line="238" w:lineRule="auto"/>
        <w:rPr>
          <w:sz w:val="20"/>
          <w:szCs w:val="20"/>
          <w:color w:val="auto"/>
        </w:rPr>
      </w:pPr>
      <w:r>
        <w:rPr>
          <w:rFonts w:ascii="Courier New" w:cs="Courier New" w:eastAsia="Courier New" w:hAnsi="Courier New"/>
          <w:sz w:val="18"/>
          <w:szCs w:val="18"/>
          <w:color w:val="auto"/>
        </w:rPr>
        <w:t>Lena G. Goldberg</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January 3, 2003,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Lena G. Goldberg</w:t>
      </w:r>
    </w:p>
    <w:p>
      <w:pPr>
        <w:ind w:left="860"/>
        <w:spacing w:after="0" w:line="238" w:lineRule="auto"/>
        <w:rPr>
          <w:sz w:val="20"/>
          <w:szCs w:val="20"/>
          <w:color w:val="auto"/>
        </w:rPr>
      </w:pPr>
      <w:r>
        <w:rPr>
          <w:rFonts w:ascii="Courier New" w:cs="Courier New" w:eastAsia="Courier New" w:hAnsi="Courier New"/>
          <w:sz w:val="18"/>
          <w:szCs w:val="18"/>
          <w:color w:val="auto"/>
        </w:rPr>
        <w:t>Lena G. Goldberg</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January 3, 2003,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Lena G. Goldberg</w:t>
      </w:r>
    </w:p>
    <w:p>
      <w:pPr>
        <w:ind w:left="860"/>
        <w:spacing w:after="0" w:line="238" w:lineRule="auto"/>
        <w:rPr>
          <w:sz w:val="20"/>
          <w:szCs w:val="20"/>
          <w:color w:val="auto"/>
        </w:rPr>
      </w:pPr>
      <w:r>
        <w:rPr>
          <w:rFonts w:ascii="Courier New" w:cs="Courier New" w:eastAsia="Courier New" w:hAnsi="Courier New"/>
          <w:sz w:val="18"/>
          <w:szCs w:val="18"/>
          <w:color w:val="auto"/>
        </w:rPr>
        <w:t>Lena G. Goldberg</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January 3, 2003,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Lena G. Goldberg</w:t>
      </w:r>
    </w:p>
    <w:p>
      <w:pPr>
        <w:ind w:left="860"/>
        <w:spacing w:after="0" w:line="238" w:lineRule="auto"/>
        <w:rPr>
          <w:sz w:val="20"/>
          <w:szCs w:val="20"/>
          <w:color w:val="auto"/>
        </w:rPr>
      </w:pPr>
      <w:r>
        <w:rPr>
          <w:rFonts w:ascii="Courier New" w:cs="Courier New" w:eastAsia="Courier New" w:hAnsi="Courier New"/>
          <w:sz w:val="18"/>
          <w:szCs w:val="18"/>
          <w:color w:val="auto"/>
        </w:rPr>
        <w:t>Lena G. Goldberg</w:t>
      </w:r>
    </w:p>
    <w:p>
      <w:pPr>
        <w:ind w:left="860"/>
        <w:spacing w:after="0"/>
        <w:rPr>
          <w:sz w:val="20"/>
          <w:szCs w:val="20"/>
          <w:color w:val="auto"/>
        </w:rPr>
      </w:pPr>
      <w:r>
        <w:rPr>
          <w:rFonts w:ascii="Courier New" w:cs="Courier New" w:eastAsia="Courier New" w:hAnsi="Courier New"/>
          <w:sz w:val="18"/>
          <w:szCs w:val="18"/>
          <w:color w:val="auto"/>
        </w:rPr>
        <w:t>Senior V.P. and General Counsel. FMR Corp.</w:t>
      </w:r>
    </w:p>
    <w:p>
      <w:pPr>
        <w:sectPr>
          <w:pgSz w:w="11900" w:h="16838" w:orient="portrait"/>
          <w:cols w:equalWidth="0" w:num="1">
            <w:col w:w="10219"/>
          </w:cols>
          <w:pgMar w:left="240" w:top="142" w:right="1440" w:bottom="114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2019-12-12T10:55:02Z</dcterms:created>
  <dcterms:modified xsi:type="dcterms:W3CDTF">2019-12-12T10:55:02Z</dcterms:modified>
</cp:coreProperties>
</file>