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27, 2023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94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2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12"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4"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1"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7"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56"/>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00" w:type="dxa"/>
            <w:vAlign w:val="bottom"/>
          </w:tcPr>
          <w:p>
            <w:pPr>
              <w:spacing w:after="0"/>
              <w:rPr>
                <w:sz w:val="22"/>
                <w:szCs w:val="2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2"/>
                <w:szCs w:val="22"/>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Common Stock, par value $0.10 per share</w:t>
            </w:r>
          </w:p>
        </w:tc>
        <w:tc>
          <w:tcPr>
            <w:tcW w:w="1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82"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3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On September 27, 2023, we announced the financial results for our fourth quarter and full year of fiscal 2023 ended August 31, 2023. The full text of the press release issued in connection with the announcement is attached as Exhibit 99.1 to this Current Report on Form 8-K.</w:t>
      </w:r>
    </w:p>
    <w:p>
      <w:pPr>
        <w:spacing w:after="0" w:line="29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4"/>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5"/>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183"/>
        </w:trPr>
        <w:tc>
          <w:tcPr>
            <w:tcW w:w="1340" w:type="dxa"/>
            <w:vAlign w:val="bottom"/>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3"/>
          </w:tcPr>
          <w:p>
            <w:pPr>
              <w:spacing w:after="0" w:line="182" w:lineRule="exact"/>
              <w:rPr>
                <w:sz w:val="20"/>
                <w:szCs w:val="20"/>
                <w:color w:val="auto"/>
              </w:rPr>
            </w:pPr>
            <w:r>
              <w:rPr>
                <w:rFonts w:ascii="Arial" w:cs="Arial" w:eastAsia="Arial" w:hAnsi="Arial"/>
                <w:sz w:val="18"/>
                <w:szCs w:val="18"/>
                <w:color w:val="BD03F7"/>
              </w:rPr>
              <w:t>Press Release issued on September 27, 2023</w:t>
            </w:r>
          </w:p>
        </w:tc>
      </w:tr>
      <w:tr>
        <w:trPr>
          <w:trHeight w:val="20"/>
        </w:trPr>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shd w:val="clear" w:color="auto" w:fill="BD03F7"/>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r>
      <w:tr>
        <w:trPr>
          <w:trHeight w:val="250"/>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5"/>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5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920" w:type="dxa"/>
            <w:vAlign w:val="bottom"/>
          </w:tcPr>
          <w:p>
            <w:pPr>
              <w:spacing w:after="0"/>
              <w:rPr>
                <w:sz w:val="21"/>
                <w:szCs w:val="21"/>
                <w:color w:val="auto"/>
              </w:rPr>
            </w:pPr>
          </w:p>
        </w:tc>
        <w:tc>
          <w:tcPr>
            <w:tcW w:w="73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20" w:type="dxa"/>
            <w:vAlign w:val="bottom"/>
          </w:tcPr>
          <w:p>
            <w:pPr>
              <w:spacing w:after="0"/>
              <w:rPr>
                <w:sz w:val="20"/>
                <w:szCs w:val="20"/>
                <w:color w:val="auto"/>
              </w:rPr>
            </w:pPr>
            <w:r>
              <w:rPr>
                <w:rFonts w:ascii="Arial" w:cs="Arial" w:eastAsia="Arial" w:hAnsi="Arial"/>
                <w:sz w:val="18"/>
                <w:szCs w:val="18"/>
                <w:color w:val="auto"/>
              </w:rPr>
              <w:t>Date:   September 27, 2023</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23"/>
        </w:trPr>
        <w:tc>
          <w:tcPr>
            <w:tcW w:w="392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29"/>
        </w:trPr>
        <w:tc>
          <w:tcPr>
            <w:tcW w:w="3920" w:type="dxa"/>
            <w:vAlign w:val="bottom"/>
          </w:tcPr>
          <w:p>
            <w:pPr>
              <w:spacing w:after="0"/>
              <w:rPr>
                <w:sz w:val="19"/>
                <w:szCs w:val="19"/>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4" w:lineRule="exact"/>
        <w:rPr>
          <w:sz w:val="20"/>
          <w:szCs w:val="20"/>
          <w:color w:val="auto"/>
        </w:rPr>
      </w:pPr>
    </w:p>
    <w:tbl>
      <w:tblPr>
        <w:tblLayout w:type="fixed"/>
        <w:tblInd w:w="260" w:type="dxa"/>
        <w:tblCellMar>
          <w:top w:w="0" w:type="dxa"/>
          <w:left w:w="0" w:type="dxa"/>
          <w:bottom w:w="0" w:type="dxa"/>
          <w:right w:w="0" w:type="dxa"/>
        </w:tblCellMar>
      </w:tblP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Samir Patodia</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189"/>
        </w:trPr>
        <w:tc>
          <w:tcPr>
            <w:tcW w:w="1500" w:type="dxa"/>
            <w:vAlign w:val="bottom"/>
          </w:tcPr>
          <w:p>
            <w:pPr>
              <w:spacing w:after="0"/>
              <w:rPr>
                <w:sz w:val="16"/>
                <w:szCs w:val="16"/>
                <w:color w:val="auto"/>
              </w:rPr>
            </w:pPr>
          </w:p>
        </w:tc>
        <w:tc>
          <w:tcPr>
            <w:tcW w:w="3100" w:type="dxa"/>
            <w:vAlign w:val="bottom"/>
            <w:gridSpan w:val="2"/>
          </w:tcPr>
          <w:p>
            <w:pPr>
              <w:spacing w:after="0" w:line="189" w:lineRule="exact"/>
              <w:rPr>
                <w:sz w:val="20"/>
                <w:szCs w:val="20"/>
                <w:color w:val="auto"/>
              </w:rPr>
            </w:pPr>
            <w:r>
              <w:rPr>
                <w:rFonts w:ascii="Arial" w:cs="Arial" w:eastAsia="Arial" w:hAnsi="Arial"/>
                <w:sz w:val="18"/>
                <w:szCs w:val="18"/>
                <w:color w:val="BD03F7"/>
              </w:rPr>
              <w:t>spatodia@micron.com</w:t>
            </w:r>
          </w:p>
        </w:tc>
        <w:tc>
          <w:tcPr>
            <w:tcW w:w="2000" w:type="dxa"/>
            <w:vAlign w:val="bottom"/>
            <w:gridSpan w:val="2"/>
          </w:tcPr>
          <w:p>
            <w:pPr>
              <w:spacing w:after="0" w:line="189" w:lineRule="exact"/>
              <w:rPr>
                <w:sz w:val="20"/>
                <w:szCs w:val="20"/>
                <w:color w:val="auto"/>
              </w:rPr>
            </w:pPr>
            <w:r>
              <w:rPr>
                <w:rFonts w:ascii="Arial" w:cs="Arial" w:eastAsia="Arial" w:hAnsi="Arial"/>
                <w:sz w:val="18"/>
                <w:szCs w:val="18"/>
                <w:color w:val="BD03F7"/>
              </w:rPr>
              <w:t>epompen@micron.com</w:t>
            </w:r>
          </w:p>
        </w:tc>
      </w:tr>
      <w:tr>
        <w:trPr>
          <w:trHeight w:val="250"/>
        </w:trPr>
        <w:tc>
          <w:tcPr>
            <w:tcW w:w="1500" w:type="dxa"/>
            <w:vAlign w:val="bottom"/>
          </w:tcPr>
          <w:p>
            <w:pPr>
              <w:spacing w:after="0"/>
              <w:rPr>
                <w:sz w:val="21"/>
                <w:szCs w:val="21"/>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834-1947</w:t>
            </w:r>
          </w:p>
        </w:tc>
        <w:tc>
          <w:tcPr>
            <w:tcW w:w="1320" w:type="dxa"/>
            <w:vAlign w:val="bottom"/>
          </w:tcPr>
          <w:p>
            <w:pPr>
              <w:spacing w:after="0"/>
              <w:rPr>
                <w:sz w:val="21"/>
                <w:szCs w:val="21"/>
                <w:color w:val="auto"/>
              </w:rPr>
            </w:pPr>
          </w:p>
        </w:tc>
        <w:tc>
          <w:tcPr>
            <w:tcW w:w="186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AND FULL YEAR OF FISCAL 2023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Increasing demand and disciplined supply improving industry outlook</w:t>
      </w:r>
    </w:p>
    <w:p>
      <w:pPr>
        <w:spacing w:after="0" w:line="24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September 27, 2023 – Micron Technology, Inc. (Nasdaq: MU) today announced results for its fourth quarter and full year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2023, which ended August 31, 2023.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Q4 2023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$4.01 billion versus $3.75 billion for the prior quarter and $6.64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of $1.43 billion, or $1.31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of $1.18 billion, or $1.07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$249 million versus $24 million for the prior quarter and $3.78 billion for the same period last year</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Fiscal 2023 highlights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$15.54 billion versus $30.76 billion for the prior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of $5.83 billion, or $5.34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of $4.86 billion, or $4.45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$1.56 billion versus $15.18 billion for the prior year</w:t>
      </w:r>
    </w:p>
    <w:p>
      <w:pPr>
        <w:spacing w:after="0" w:line="24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“During fiscal 2023, amid a challenging environment for the memory and storage industry, Micron sustained technology leadership, launched a significant number of leading-edge products, and took decisive actions on supply and cost,” said Micron Technology President and CEO Sanjay Mehrotra. “Our 2023 performance positions us well as a market recovery takes shape in 2024, driven by increasing demand and disciplined supply. We look forward to record industry TAM revenue in 2025 as AI proliferates from the data center to the edge.”</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GAAP</w:t>
            </w:r>
            <w:r>
              <w:rPr>
                <w:rFonts w:ascii="Arial" w:cs="Arial" w:eastAsia="Arial" w:hAnsi="Arial"/>
                <w:sz w:val="23"/>
                <w:szCs w:val="23"/>
                <w:b w:val="1"/>
                <w:bCs w:val="1"/>
                <w:color w:val="auto"/>
                <w:w w:val="98"/>
                <w:vertAlign w:val="superscript"/>
              </w:rPr>
              <w:t>(1)</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FQ4-23</w:t>
            </w:r>
          </w:p>
        </w:tc>
        <w:tc>
          <w:tcPr>
            <w:tcW w:w="180" w:type="dxa"/>
            <w:vAlign w:val="bottom"/>
          </w:tcPr>
          <w:p>
            <w:pPr>
              <w:spacing w:after="0"/>
              <w:rPr>
                <w:sz w:val="21"/>
                <w:szCs w:val="21"/>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FQ3-23</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FQ4-22</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FQ4-23</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FQ3-23</w:t>
            </w:r>
          </w:p>
        </w:tc>
        <w:tc>
          <w:tcPr>
            <w:tcW w:w="20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FQ4-22</w:t>
            </w:r>
          </w:p>
        </w:tc>
      </w:tr>
      <w:tr>
        <w:trPr>
          <w:trHeight w:val="34"/>
        </w:trPr>
        <w:tc>
          <w:tcPr>
            <w:tcW w:w="4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29"/>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4,010</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3,752</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6,643</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4,010</w:t>
            </w:r>
          </w:p>
        </w:tc>
        <w:tc>
          <w:tcPr>
            <w:tcW w:w="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3,752</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6,643</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2,676</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(10.8 %)</w:t>
            </w: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(17.8 %)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39.5 %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(9.1 %)</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(16.1 %)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40.3 %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1,093</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1,014</w:t>
            </w:r>
          </w:p>
        </w:tc>
      </w:tr>
      <w:tr>
        <w:trPr>
          <w:trHeight w:val="229"/>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(1,472)</w:t>
            </w: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(1,761)</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(1,208)</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(1,469)</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1,662</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(36.7 %)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(46.9 %)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(30.1 %)</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(39.2 %)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r>
      <w:tr>
        <w:trPr>
          <w:trHeight w:val="230"/>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(1,430)</w:t>
            </w:r>
          </w:p>
        </w:tc>
        <w:tc>
          <w:tcPr>
            <w:tcW w:w="18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(1,896)</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1,621</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9"/>
                <w:szCs w:val="19"/>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Annual Financial Results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8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FY 23</w:t>
            </w:r>
          </w:p>
        </w:tc>
        <w:tc>
          <w:tcPr>
            <w:tcW w:w="34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FY 22</w:t>
            </w: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23</w:t>
            </w:r>
          </w:p>
        </w:tc>
        <w:tc>
          <w:tcPr>
            <w:tcW w:w="120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22</w:t>
            </w:r>
          </w:p>
        </w:tc>
      </w:tr>
      <w:tr>
        <w:trPr>
          <w:trHeight w:val="34"/>
        </w:trPr>
        <w:tc>
          <w:tcPr>
            <w:tcW w:w="62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r>
      <w:tr>
        <w:trPr>
          <w:trHeight w:val="229"/>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24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   15,540</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30,758</w:t>
            </w:r>
          </w:p>
        </w:tc>
        <w:tc>
          <w:tcPr>
            <w:tcW w:w="8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   15,540</w:t>
            </w: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30,758</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(1,416)</w:t>
            </w:r>
          </w:p>
        </w:tc>
        <w:tc>
          <w:tcPr>
            <w:tcW w:w="34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13,898</w:t>
            </w:r>
          </w:p>
        </w:tc>
        <w:tc>
          <w:tcPr>
            <w:tcW w:w="8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(1,196)</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14,113</w:t>
            </w:r>
          </w:p>
        </w:tc>
      </w:tr>
      <w:tr>
        <w:trPr>
          <w:trHeight w:val="229"/>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(9.1 %)</w:t>
            </w:r>
          </w:p>
        </w:tc>
        <w:tc>
          <w:tcPr>
            <w:tcW w:w="34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45.2 %</w:t>
            </w:r>
          </w:p>
        </w:tc>
        <w:tc>
          <w:tcPr>
            <w:tcW w:w="80" w:type="dxa"/>
            <w:vAlign w:val="bottom"/>
            <w:shd w:val="clear" w:color="auto" w:fill="DDDDDD"/>
          </w:tcPr>
          <w:p>
            <w:pPr>
              <w:spacing w:after="0"/>
              <w:rPr>
                <w:sz w:val="19"/>
                <w:szCs w:val="19"/>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(7.7 %)</w:t>
            </w:r>
          </w:p>
        </w:tc>
        <w:tc>
          <w:tcPr>
            <w:tcW w:w="12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45.9 %</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4,329</w:t>
            </w:r>
          </w:p>
        </w:tc>
        <w:tc>
          <w:tcPr>
            <w:tcW w:w="34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4,196</w:t>
            </w:r>
          </w:p>
        </w:tc>
        <w:tc>
          <w:tcPr>
            <w:tcW w:w="80" w:type="dxa"/>
            <w:vAlign w:val="bottom"/>
          </w:tcPr>
          <w:p>
            <w:pPr>
              <w:spacing w:after="0"/>
              <w:rPr>
                <w:sz w:val="19"/>
                <w:szCs w:val="19"/>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3,623</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3,832</w:t>
            </w:r>
          </w:p>
        </w:tc>
      </w:tr>
      <w:tr>
        <w:trPr>
          <w:trHeight w:val="230"/>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12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(5,745)</w:t>
            </w:r>
          </w:p>
        </w:tc>
        <w:tc>
          <w:tcPr>
            <w:tcW w:w="340" w:type="dxa"/>
            <w:vAlign w:val="bottom"/>
            <w:shd w:val="clear" w:color="auto" w:fill="DDDDDD"/>
          </w:tcPr>
          <w:p>
            <w:pPr>
              <w:spacing w:after="0"/>
              <w:rPr>
                <w:sz w:val="19"/>
                <w:szCs w:val="19"/>
                <w:color w:val="auto"/>
              </w:rPr>
            </w:pPr>
          </w:p>
        </w:tc>
        <w:tc>
          <w:tcPr>
            <w:tcW w:w="8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9,702</w:t>
            </w:r>
          </w:p>
        </w:tc>
        <w:tc>
          <w:tcPr>
            <w:tcW w:w="8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(4,819)</w:t>
            </w: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10,281</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(37.0 %)</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31.5 %</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(31.0 %)</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33.4 %</w:t>
            </w:r>
          </w:p>
        </w:tc>
      </w:tr>
      <w:tr>
        <w:trPr>
          <w:trHeight w:val="230"/>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(5,833)</w:t>
            </w:r>
          </w:p>
        </w:tc>
        <w:tc>
          <w:tcPr>
            <w:tcW w:w="340" w:type="dxa"/>
            <w:vAlign w:val="bottom"/>
            <w:shd w:val="clear" w:color="auto" w:fill="DDDDDD"/>
          </w:tcPr>
          <w:p>
            <w:pPr>
              <w:spacing w:after="0"/>
              <w:rPr>
                <w:sz w:val="19"/>
                <w:szCs w:val="19"/>
                <w:color w:val="auto"/>
              </w:rPr>
            </w:pPr>
          </w:p>
        </w:tc>
        <w:tc>
          <w:tcPr>
            <w:tcW w:w="8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8,687</w:t>
            </w:r>
          </w:p>
        </w:tc>
        <w:tc>
          <w:tcPr>
            <w:tcW w:w="8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(4,862)</w:t>
            </w:r>
          </w:p>
        </w:tc>
        <w:tc>
          <w:tcPr>
            <w:tcW w:w="12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9,475</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9"/>
                <w:szCs w:val="19"/>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(4.45)</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8.35</w:t>
            </w:r>
          </w:p>
        </w:tc>
      </w:tr>
    </w:tbl>
    <w:p>
      <w:pPr>
        <w:spacing w:after="0" w:line="318"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$ 1.01 billion for the fourth quarter of 2023 and $ 7.01 billion for the full year of 2023,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negative $758 million for the fourth quarter of 2023 and negative $5.45 billion for the full year of 2023. Micron ended the year with cash, marketable investments, and restricted cash of $10.52 billion. On September 27, 2023, Micron’s Board of Directors declared a quarterly dividend of $0.115 per share, payable in cash on October 25, 2023, to shareholders of record as of the close of business on October 10,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38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47"/>
        </w:trPr>
        <w:tc>
          <w:tcPr>
            <w:tcW w:w="638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first quarter of 2024:</w:t>
            </w:r>
          </w:p>
        </w:tc>
        <w:tc>
          <w:tcPr>
            <w:tcW w:w="26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FQ1-24</w:t>
            </w:r>
          </w:p>
        </w:tc>
        <w:tc>
          <w:tcPr>
            <w:tcW w:w="262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spacing w:after="0" w:line="256"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3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$4.40 billion ± $200 million</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20" w:type="dxa"/>
            <w:vAlign w:val="bottom"/>
          </w:tcPr>
          <w:p>
            <w:pPr>
              <w:jc w:val="right"/>
              <w:spacing w:after="0"/>
              <w:rPr>
                <w:sz w:val="20"/>
                <w:szCs w:val="20"/>
                <w:color w:val="auto"/>
              </w:rPr>
            </w:pPr>
            <w:r>
              <w:rPr>
                <w:rFonts w:ascii="Arial" w:cs="Arial" w:eastAsia="Arial" w:hAnsi="Arial"/>
                <w:sz w:val="18"/>
                <w:szCs w:val="18"/>
                <w:color w:val="auto"/>
              </w:rPr>
              <w:t>(6.0%) ± 2.0%</w:t>
            </w:r>
          </w:p>
        </w:tc>
        <w:tc>
          <w:tcPr>
            <w:tcW w:w="2240" w:type="dxa"/>
            <w:vAlign w:val="bottom"/>
          </w:tcPr>
          <w:p>
            <w:pPr>
              <w:jc w:val="right"/>
              <w:spacing w:after="0"/>
              <w:rPr>
                <w:sz w:val="20"/>
                <w:szCs w:val="20"/>
                <w:color w:val="auto"/>
              </w:rPr>
            </w:pPr>
            <w:r>
              <w:rPr>
                <w:rFonts w:ascii="Arial" w:cs="Arial" w:eastAsia="Arial" w:hAnsi="Arial"/>
                <w:sz w:val="18"/>
                <w:szCs w:val="18"/>
                <w:color w:val="auto"/>
              </w:rPr>
              <w:t>(4.0%) ± 2.0%</w:t>
            </w:r>
          </w:p>
        </w:tc>
      </w:tr>
      <w:tr>
        <w:trPr>
          <w:trHeight w:val="230"/>
        </w:trPr>
        <w:tc>
          <w:tcPr>
            <w:tcW w:w="63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$1.01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$900 million ± $15 million</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20" w:type="dxa"/>
            <w:vAlign w:val="bottom"/>
          </w:tcPr>
          <w:p>
            <w:pPr>
              <w:jc w:val="right"/>
              <w:spacing w:after="0"/>
              <w:rPr>
                <w:sz w:val="20"/>
                <w:szCs w:val="20"/>
                <w:color w:val="auto"/>
              </w:rPr>
            </w:pPr>
            <w:r>
              <w:rPr>
                <w:rFonts w:ascii="Arial" w:cs="Arial" w:eastAsia="Arial" w:hAnsi="Arial"/>
                <w:sz w:val="18"/>
                <w:szCs w:val="18"/>
                <w:color w:val="auto"/>
              </w:rPr>
              <w:t>($1.24) ± $0.07</w:t>
            </w:r>
          </w:p>
        </w:tc>
        <w:tc>
          <w:tcPr>
            <w:tcW w:w="2240" w:type="dxa"/>
            <w:vAlign w:val="bottom"/>
          </w:tcPr>
          <w:p>
            <w:pPr>
              <w:jc w:val="right"/>
              <w:spacing w:after="0"/>
              <w:rPr>
                <w:sz w:val="20"/>
                <w:szCs w:val="20"/>
                <w:color w:val="auto"/>
              </w:rPr>
            </w:pPr>
            <w:r>
              <w:rPr>
                <w:rFonts w:ascii="Arial" w:cs="Arial" w:eastAsia="Arial" w:hAnsi="Arial"/>
                <w:sz w:val="18"/>
                <w:szCs w:val="18"/>
                <w:color w:val="auto"/>
              </w:rPr>
              <w:t>($1.07) ± $0.07</w:t>
            </w:r>
          </w:p>
        </w:tc>
      </w:tr>
    </w:tbl>
    <w:p>
      <w:pPr>
        <w:spacing w:after="0" w:line="311"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6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 xml:space="preserve">Micron will host a conference call on Wednesday, September 27, 2023 at 2:30 p.m. Mountain Time to discuss its fourth quarter financial results and provide forward-looking guidance for its first quarter. A live webcast of the call will be available online at </w:t>
      </w:r>
      <w:r>
        <w:rPr>
          <w:rFonts w:ascii="Arial" w:cs="Arial" w:eastAsia="Arial" w:hAnsi="Arial"/>
          <w:sz w:val="18"/>
          <w:szCs w:val="18"/>
          <w:u w:val="single" w:color="auto"/>
          <w:color w:val="BD03F7"/>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BD03F7"/>
        </w:rPr>
        <w:t>twitter.com/MicronTech</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07" w:lineRule="exact"/>
        <w:rPr>
          <w:sz w:val="20"/>
          <w:szCs w:val="20"/>
          <w:color w:val="auto"/>
        </w:rPr>
      </w:pPr>
    </w:p>
    <w:p>
      <w:pPr>
        <w:ind w:right="520" w:firstLine="8"/>
        <w:spacing w:after="0" w:line="282"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2023 Micron Technology, Inc. All rights reserved. Micron, the Micron logo, and all other Micron trademarks are the property of Micron Technology, Inc. All other trademarks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This press release contains forward-looking statements regarding our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7"/>
          <w:szCs w:val="17"/>
          <w:u w:val="single" w:color="auto"/>
          <w:color w:val="BD03F7"/>
        </w:rPr>
        <w:t>micron.com/certainfactors</w:t>
      </w:r>
      <w:r>
        <w:rPr>
          <w:rFonts w:ascii="Arial" w:cs="Arial" w:eastAsia="Arial" w:hAnsi="Arial"/>
          <w:sz w:val="17"/>
          <w:szCs w:val="17"/>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29"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4th Qtr.</w:t>
            </w:r>
          </w:p>
        </w:tc>
        <w:tc>
          <w:tcPr>
            <w:tcW w:w="180" w:type="dxa"/>
            <w:vAlign w:val="bottom"/>
          </w:tcPr>
          <w:p>
            <w:pPr>
              <w:spacing w:after="0"/>
              <w:rPr>
                <w:sz w:val="19"/>
                <w:szCs w:val="19"/>
                <w:color w:val="auto"/>
              </w:rPr>
            </w:pPr>
          </w:p>
        </w:tc>
        <w:tc>
          <w:tcPr>
            <w:tcW w:w="25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Year Ended</w:t>
            </w:r>
          </w:p>
        </w:tc>
      </w:tr>
      <w:tr>
        <w:trPr>
          <w:trHeight w:val="185"/>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70"/>
              <w:spacing w:after="0" w:line="185" w:lineRule="exact"/>
              <w:rPr>
                <w:sz w:val="20"/>
                <w:szCs w:val="20"/>
                <w:color w:val="auto"/>
              </w:rPr>
            </w:pPr>
            <w:r>
              <w:rPr>
                <w:rFonts w:ascii="Arial" w:cs="Arial" w:eastAsia="Arial" w:hAnsi="Arial"/>
                <w:sz w:val="18"/>
                <w:szCs w:val="18"/>
                <w:b w:val="1"/>
                <w:bCs w:val="1"/>
                <w:color w:val="auto"/>
                <w:w w:val="99"/>
              </w:rPr>
              <w:t>August 31,</w:t>
            </w:r>
          </w:p>
        </w:tc>
        <w:tc>
          <w:tcPr>
            <w:tcW w:w="24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1,</w:t>
            </w:r>
          </w:p>
        </w:tc>
        <w:tc>
          <w:tcPr>
            <w:tcW w:w="134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w w:val="99"/>
              </w:rPr>
              <w:t>September 1,</w:t>
            </w:r>
          </w:p>
        </w:tc>
        <w:tc>
          <w:tcPr>
            <w:tcW w:w="180" w:type="dxa"/>
            <w:vAlign w:val="bottom"/>
          </w:tcPr>
          <w:p>
            <w:pPr>
              <w:spacing w:after="0"/>
              <w:rPr>
                <w:sz w:val="16"/>
                <w:szCs w:val="16"/>
                <w:color w:val="auto"/>
              </w:rPr>
            </w:pPr>
          </w:p>
        </w:tc>
        <w:tc>
          <w:tcPr>
            <w:tcW w:w="1160" w:type="dxa"/>
            <w:vAlign w:val="bottom"/>
          </w:tcPr>
          <w:p>
            <w:pPr>
              <w:jc w:val="right"/>
              <w:ind w:right="110"/>
              <w:spacing w:after="0" w:line="185" w:lineRule="exact"/>
              <w:rPr>
                <w:sz w:val="20"/>
                <w:szCs w:val="20"/>
                <w:color w:val="auto"/>
              </w:rPr>
            </w:pPr>
            <w:r>
              <w:rPr>
                <w:rFonts w:ascii="Arial" w:cs="Arial" w:eastAsia="Arial" w:hAnsi="Arial"/>
                <w:sz w:val="18"/>
                <w:szCs w:val="18"/>
                <w:b w:val="1"/>
                <w:bCs w:val="1"/>
                <w:color w:val="auto"/>
              </w:rPr>
              <w:t>August 31,</w:t>
            </w:r>
          </w:p>
        </w:tc>
        <w:tc>
          <w:tcPr>
            <w:tcW w:w="134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1,</w:t>
            </w:r>
          </w:p>
        </w:tc>
      </w:tr>
      <w:tr>
        <w:trPr>
          <w:trHeight w:val="243"/>
        </w:trPr>
        <w:tc>
          <w:tcPr>
            <w:tcW w:w="4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3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4,010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3,752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6,643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15,540</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2,622</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r>
      <w:tr>
        <w:trPr>
          <w:trHeight w:val="257"/>
        </w:trPr>
        <w:tc>
          <w:tcPr>
            <w:tcW w:w="4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839</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920</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45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(1,472)</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(1,761)</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1,521</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(5,745)</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9,702</w:t>
            </w:r>
          </w:p>
        </w:tc>
      </w:tr>
      <w:tr>
        <w:trPr>
          <w:trHeight w:val="256"/>
        </w:trPr>
        <w:tc>
          <w:tcPr>
            <w:tcW w:w="4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(5,658)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9,571</w:t>
            </w:r>
          </w:p>
        </w:tc>
      </w:tr>
      <w:tr>
        <w:trPr>
          <w:trHeight w:val="257"/>
        </w:trPr>
        <w:tc>
          <w:tcPr>
            <w:tcW w:w="45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8,687</w:t>
            </w:r>
          </w:p>
        </w:tc>
      </w:tr>
      <w:tr>
        <w:trPr>
          <w:trHeight w:val="20"/>
        </w:trPr>
        <w:tc>
          <w:tcPr>
            <w:tcW w:w="458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45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7.75</w:t>
            </w:r>
          </w:p>
        </w:tc>
      </w:tr>
      <w:tr>
        <w:trPr>
          <w:trHeight w:val="257"/>
        </w:trPr>
        <w:tc>
          <w:tcPr>
            <w:tcW w:w="458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0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0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58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1,095</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1,097</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6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31,</w:t>
            </w:r>
          </w:p>
        </w:tc>
        <w:tc>
          <w:tcPr>
            <w:tcW w:w="24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June 1,</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72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7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8,577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9,298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2,443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8,387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8,238</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21,244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21,734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9"/>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37,928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38,727</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708</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1,252</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65,680</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3,958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4,177</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3"/>
        </w:trPr>
        <w:tc>
          <w:tcPr>
            <w:tcW w:w="72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13,052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12,986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603</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20,134</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196"/>
        </w:trPr>
        <w:tc>
          <w:tcPr>
            <w:tcW w:w="724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4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30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0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2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11,036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10,782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40,824</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42,391</w:t>
            </w:r>
          </w:p>
        </w:tc>
        <w:tc>
          <w:tcPr>
            <w:tcW w:w="30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(7,552)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(7,552)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72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45,405</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64,254</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65,680</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724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Pr>
          <w:p>
            <w:pPr>
              <w:spacing w:after="0"/>
              <w:rPr>
                <w:sz w:val="17"/>
                <w:szCs w:val="17"/>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August 31,</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Provision to write down inventories to net realizable value</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Goodwill impairment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Loss on debt repurchases and conversions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(2,104)</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15,181</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(7,676)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(6,191)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(11,585)</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6,716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12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the third and second quarters of 2023, we recorded charges of $401 million and $1.43 billion, respectively, to cost of goods sold to write down the carrying value of work in process and finished goods inventories to their estimated net realizable values (“NRV”). The impact of inventory NRV write-downs for each period reflects (1) inventory write-downs in that period, offset by (2) lower costs in that period on the sale of inventory written down in prior periods. The impacts of inventory NRV write-downs are summarized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4th Qtr.</w:t>
            </w:r>
          </w:p>
        </w:tc>
        <w:tc>
          <w:tcPr>
            <w:tcW w:w="260" w:type="dxa"/>
            <w:vAlign w:val="bottom"/>
          </w:tcPr>
          <w:p>
            <w:pPr>
              <w:spacing w:after="0"/>
              <w:rPr>
                <w:sz w:val="19"/>
                <w:szCs w:val="19"/>
                <w:color w:val="auto"/>
              </w:rPr>
            </w:pPr>
          </w:p>
        </w:tc>
        <w:tc>
          <w:tcPr>
            <w:tcW w:w="1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128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4th Qtr.</w:t>
            </w:r>
          </w:p>
        </w:tc>
        <w:tc>
          <w:tcPr>
            <w:tcW w:w="21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19"/>
                <w:szCs w:val="19"/>
                <w:color w:val="auto"/>
              </w:rPr>
            </w:pPr>
          </w:p>
        </w:tc>
      </w:tr>
      <w:tr>
        <w:trPr>
          <w:trHeight w:val="185"/>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w w:val="99"/>
              </w:rPr>
              <w:t>August 31,</w:t>
            </w:r>
          </w:p>
        </w:tc>
        <w:tc>
          <w:tcPr>
            <w:tcW w:w="26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1,</w:t>
            </w:r>
          </w:p>
        </w:tc>
        <w:tc>
          <w:tcPr>
            <w:tcW w:w="1520" w:type="dxa"/>
            <w:vAlign w:val="bottom"/>
            <w:gridSpan w:val="2"/>
          </w:tcPr>
          <w:p>
            <w:pPr>
              <w:jc w:val="center"/>
              <w:ind w:right="70"/>
              <w:spacing w:after="0" w:line="185" w:lineRule="exact"/>
              <w:rPr>
                <w:sz w:val="20"/>
                <w:szCs w:val="20"/>
                <w:color w:val="auto"/>
              </w:rPr>
            </w:pPr>
            <w:r>
              <w:rPr>
                <w:rFonts w:ascii="Arial" w:cs="Arial" w:eastAsia="Arial" w:hAnsi="Arial"/>
                <w:sz w:val="18"/>
                <w:szCs w:val="18"/>
                <w:b w:val="1"/>
                <w:bCs w:val="1"/>
                <w:color w:val="auto"/>
                <w:w w:val="99"/>
              </w:rPr>
              <w:t>September 1,</w:t>
            </w:r>
          </w:p>
        </w:tc>
        <w:tc>
          <w:tcPr>
            <w:tcW w:w="1160" w:type="dxa"/>
            <w:vAlign w:val="bottom"/>
          </w:tcPr>
          <w:p>
            <w:pPr>
              <w:jc w:val="right"/>
              <w:ind w:right="110"/>
              <w:spacing w:after="0" w:line="185" w:lineRule="exact"/>
              <w:rPr>
                <w:sz w:val="20"/>
                <w:szCs w:val="20"/>
                <w:color w:val="auto"/>
              </w:rPr>
            </w:pPr>
            <w:r>
              <w:rPr>
                <w:rFonts w:ascii="Arial" w:cs="Arial" w:eastAsia="Arial" w:hAnsi="Arial"/>
                <w:sz w:val="18"/>
                <w:szCs w:val="18"/>
                <w:b w:val="1"/>
                <w:bCs w:val="1"/>
                <w:color w:val="auto"/>
              </w:rPr>
              <w:t>August 31,</w:t>
            </w:r>
          </w:p>
        </w:tc>
        <w:tc>
          <w:tcPr>
            <w:tcW w:w="134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September 1,</w:t>
            </w:r>
          </w:p>
        </w:tc>
      </w:tr>
      <w:tr>
        <w:trPr>
          <w:trHeight w:val="243"/>
        </w:trPr>
        <w:tc>
          <w:tcPr>
            <w:tcW w:w="45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2022</w:t>
            </w: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21"/>
                <w:szCs w:val="21"/>
                <w:color w:val="auto"/>
              </w:rPr>
            </w:pPr>
          </w:p>
        </w:tc>
      </w:tr>
      <w:tr>
        <w:trPr>
          <w:trHeight w:val="3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9"/>
        </w:trPr>
        <w:tc>
          <w:tcPr>
            <w:tcW w:w="45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to write down inventory to NRV</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DBDBDB"/>
          </w:tcPr>
          <w:p>
            <w:pPr>
              <w:jc w:val="right"/>
              <w:ind w:right="3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DBDBDB"/>
          </w:tcPr>
          <w:p>
            <w:pPr>
              <w:jc w:val="center"/>
              <w:ind w:left="530"/>
              <w:spacing w:after="0"/>
              <w:rPr>
                <w:sz w:val="20"/>
                <w:szCs w:val="20"/>
                <w:color w:val="auto"/>
              </w:rPr>
            </w:pPr>
            <w:r>
              <w:rPr>
                <w:rFonts w:ascii="Arial" w:cs="Arial" w:eastAsia="Arial" w:hAnsi="Arial"/>
                <w:sz w:val="18"/>
                <w:szCs w:val="18"/>
                <w:color w:val="auto"/>
                <w:w w:val="99"/>
              </w:rPr>
              <w:t>(401)</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ind w:left="86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(1,831)</w:t>
            </w:r>
          </w:p>
        </w:tc>
        <w:tc>
          <w:tcPr>
            <w:tcW w:w="980" w:type="dxa"/>
            <w:vAlign w:val="bottom"/>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w:t>
            </w:r>
          </w:p>
        </w:tc>
      </w:tr>
      <w:tr>
        <w:trPr>
          <w:trHeight w:val="176"/>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rPr>
              <w:t>Lower costs from sale of inventory written down in prior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2"/>
        </w:trPr>
        <w:tc>
          <w:tcPr>
            <w:tcW w:w="45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periods</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9"/>
              </w:rPr>
              <w:t>281</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48"/>
        </w:trPr>
        <w:tc>
          <w:tcPr>
            <w:tcW w:w="45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563</w:t>
            </w:r>
          </w:p>
        </w:tc>
        <w:tc>
          <w:tcPr>
            <w:tcW w:w="26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BDBDB"/>
          </w:tcPr>
          <w:p>
            <w:pPr>
              <w:jc w:val="center"/>
              <w:ind w:left="530"/>
              <w:spacing w:after="0"/>
              <w:rPr>
                <w:sz w:val="20"/>
                <w:szCs w:val="20"/>
                <w:color w:val="auto"/>
              </w:rPr>
            </w:pPr>
            <w:r>
              <w:rPr>
                <w:rFonts w:ascii="Arial" w:cs="Arial" w:eastAsia="Arial" w:hAnsi="Arial"/>
                <w:sz w:val="18"/>
                <w:szCs w:val="18"/>
                <w:color w:val="auto"/>
                <w:w w:val="99"/>
              </w:rPr>
              <w:t>(120)</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ind w:left="86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(987)</w:t>
            </w:r>
          </w:p>
        </w:tc>
        <w:tc>
          <w:tcPr>
            <w:tcW w:w="980" w:type="dxa"/>
            <w:vAlign w:val="bottom"/>
            <w:tcBorders>
              <w:bottom w:val="single" w:sz="8" w:color="auto"/>
            </w:tcBorders>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DBDBDB"/>
          </w:tcPr>
          <w:p>
            <w:pPr>
              <w:ind w:left="10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6" w:right="339" w:bottom="1440" w:gutter="0" w:footer="0" w:header="0"/>
        </w:sectPr>
      </w:pPr>
    </w:p>
    <w:bookmarkStart w:id="10" w:name="page11"/>
    <w:bookmarkEnd w:id="10"/>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22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4th Qtr.</w:t>
            </w:r>
          </w:p>
        </w:tc>
        <w:tc>
          <w:tcPr>
            <w:tcW w:w="160" w:type="dxa"/>
            <w:vAlign w:val="bottom"/>
          </w:tcPr>
          <w:p>
            <w:pPr>
              <w:spacing w:after="0"/>
              <w:rPr>
                <w:sz w:val="19"/>
                <w:szCs w:val="19"/>
                <w:color w:val="auto"/>
              </w:rPr>
            </w:pPr>
          </w:p>
        </w:tc>
        <w:tc>
          <w:tcPr>
            <w:tcW w:w="24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50"/>
              <w:spacing w:after="0" w:line="185" w:lineRule="exact"/>
              <w:rPr>
                <w:sz w:val="20"/>
                <w:szCs w:val="20"/>
                <w:color w:val="auto"/>
              </w:rPr>
            </w:pPr>
            <w:r>
              <w:rPr>
                <w:rFonts w:ascii="Arial" w:cs="Arial" w:eastAsia="Arial" w:hAnsi="Arial"/>
                <w:sz w:val="18"/>
                <w:szCs w:val="18"/>
                <w:b w:val="1"/>
                <w:bCs w:val="1"/>
                <w:color w:val="auto"/>
                <w:w w:val="99"/>
              </w:rPr>
              <w:t>August 31,</w:t>
            </w:r>
          </w:p>
        </w:tc>
        <w:tc>
          <w:tcPr>
            <w:tcW w:w="220" w:type="dxa"/>
            <w:vAlign w:val="bottom"/>
          </w:tcPr>
          <w:p>
            <w:pPr>
              <w:spacing w:after="0"/>
              <w:rPr>
                <w:sz w:val="16"/>
                <w:szCs w:val="16"/>
                <w:color w:val="auto"/>
              </w:rPr>
            </w:pPr>
          </w:p>
        </w:tc>
        <w:tc>
          <w:tcPr>
            <w:tcW w:w="1080" w:type="dxa"/>
            <w:vAlign w:val="bottom"/>
          </w:tcPr>
          <w:p>
            <w:pPr>
              <w:jc w:val="center"/>
              <w:ind w:right="130"/>
              <w:spacing w:after="0" w:line="185" w:lineRule="exact"/>
              <w:rPr>
                <w:sz w:val="20"/>
                <w:szCs w:val="20"/>
                <w:color w:val="auto"/>
              </w:rPr>
            </w:pPr>
            <w:r>
              <w:rPr>
                <w:rFonts w:ascii="Arial" w:cs="Arial" w:eastAsia="Arial" w:hAnsi="Arial"/>
                <w:sz w:val="18"/>
                <w:szCs w:val="18"/>
                <w:b w:val="1"/>
                <w:bCs w:val="1"/>
                <w:color w:val="auto"/>
                <w:w w:val="99"/>
              </w:rPr>
              <w:t>June 1,</w:t>
            </w:r>
          </w:p>
        </w:tc>
        <w:tc>
          <w:tcPr>
            <w:tcW w:w="13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rPr>
              <w:t>September 1,</w:t>
            </w:r>
          </w:p>
        </w:tc>
        <w:tc>
          <w:tcPr>
            <w:tcW w:w="160" w:type="dxa"/>
            <w:vAlign w:val="bottom"/>
          </w:tcPr>
          <w:p>
            <w:pPr>
              <w:spacing w:after="0"/>
              <w:rPr>
                <w:sz w:val="16"/>
                <w:szCs w:val="16"/>
                <w:color w:val="auto"/>
              </w:rPr>
            </w:pPr>
          </w:p>
        </w:tc>
        <w:tc>
          <w:tcPr>
            <w:tcW w:w="1140" w:type="dxa"/>
            <w:vAlign w:val="bottom"/>
          </w:tcPr>
          <w:p>
            <w:pPr>
              <w:jc w:val="right"/>
              <w:ind w:right="90"/>
              <w:spacing w:after="0" w:line="185" w:lineRule="exact"/>
              <w:rPr>
                <w:sz w:val="20"/>
                <w:szCs w:val="20"/>
                <w:color w:val="auto"/>
              </w:rPr>
            </w:pPr>
            <w:r>
              <w:rPr>
                <w:rFonts w:ascii="Arial" w:cs="Arial" w:eastAsia="Arial" w:hAnsi="Arial"/>
                <w:sz w:val="18"/>
                <w:szCs w:val="18"/>
                <w:b w:val="1"/>
                <w:bCs w:val="1"/>
                <w:color w:val="auto"/>
              </w:rPr>
              <w:t>August 31,</w:t>
            </w:r>
          </w:p>
        </w:tc>
        <w:tc>
          <w:tcPr>
            <w:tcW w:w="132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2023</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2,622</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(1,416)</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4,329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Non-GAAP operating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operating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Non-GAAP 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D1D2D4"/>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GAAP 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(5,833)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Loss on debt repurchases and conversions</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Impact of Idaho income tax reform</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Estimated tax effects of above and other tax adjustments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net income (loss)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(1,565)</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1,621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(4,862)</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0"/>
        </w:trPr>
        <w:tc>
          <w:tcPr>
            <w:tcW w:w="47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b w:val="1"/>
                <w:bCs w:val="1"/>
                <w:color w:val="auto"/>
              </w:rPr>
              <w:t>GAAP weighted-average common shares outstanding</w:t>
            </w:r>
          </w:p>
        </w:tc>
        <w:tc>
          <w:tcPr>
            <w:tcW w:w="160" w:type="dxa"/>
            <w:vAlign w:val="bottom"/>
            <w:shd w:val="clear" w:color="auto" w:fill="D1D2D4"/>
          </w:tcPr>
          <w:p>
            <w:pPr>
              <w:spacing w:after="0"/>
              <w:rPr>
                <w:sz w:val="15"/>
                <w:szCs w:val="15"/>
                <w:color w:val="auto"/>
              </w:rPr>
            </w:pPr>
          </w:p>
        </w:tc>
        <w:tc>
          <w:tcPr>
            <w:tcW w:w="1140" w:type="dxa"/>
            <w:vAlign w:val="bottom"/>
            <w:shd w:val="clear" w:color="auto" w:fill="D1D2D4"/>
          </w:tcPr>
          <w:p>
            <w:pPr>
              <w:spacing w:after="0"/>
              <w:rPr>
                <w:sz w:val="15"/>
                <w:szCs w:val="15"/>
                <w:color w:val="auto"/>
              </w:rPr>
            </w:pPr>
          </w:p>
        </w:tc>
        <w:tc>
          <w:tcPr>
            <w:tcW w:w="22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1140" w:type="dxa"/>
            <w:vAlign w:val="bottom"/>
            <w:shd w:val="clear" w:color="auto" w:fill="D1D2D4"/>
          </w:tcPr>
          <w:p>
            <w:pPr>
              <w:spacing w:after="0"/>
              <w:rPr>
                <w:sz w:val="15"/>
                <w:szCs w:val="15"/>
                <w:color w:val="auto"/>
              </w:rPr>
            </w:pPr>
          </w:p>
        </w:tc>
        <w:tc>
          <w:tcPr>
            <w:tcW w:w="30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D1D2D4"/>
          </w:tcPr>
          <w:p>
            <w:pPr>
              <w:ind w:left="180"/>
              <w:spacing w:after="0"/>
              <w:rPr>
                <w:sz w:val="20"/>
                <w:szCs w:val="20"/>
                <w:color w:val="auto"/>
              </w:rPr>
            </w:pPr>
            <w:r>
              <w:rPr>
                <w:rFonts w:ascii="Arial" w:cs="Arial" w:eastAsia="Arial" w:hAnsi="Arial"/>
                <w:sz w:val="18"/>
                <w:szCs w:val="18"/>
                <w:b w:val="1"/>
                <w:bCs w:val="1"/>
                <w:color w:val="auto"/>
              </w:rPr>
              <w:t>- Diluted</w:t>
            </w:r>
          </w:p>
        </w:tc>
        <w:tc>
          <w:tcPr>
            <w:tcW w:w="160" w:type="dxa"/>
            <w:vAlign w:val="bottom"/>
            <w:shd w:val="clear" w:color="auto" w:fill="D1D2D4"/>
          </w:tcPr>
          <w:p>
            <w:pPr>
              <w:spacing w:after="0"/>
              <w:rPr>
                <w:sz w:val="21"/>
                <w:szCs w:val="21"/>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D1D2D4"/>
          </w:tcPr>
          <w:p>
            <w:pPr>
              <w:spacing w:after="0"/>
              <w:rPr>
                <w:sz w:val="21"/>
                <w:szCs w:val="21"/>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D1D2D4"/>
          </w:tcPr>
          <w:p>
            <w:pPr>
              <w:spacing w:after="0"/>
              <w:rPr>
                <w:sz w:val="21"/>
                <w:szCs w:val="21"/>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D1D2D4"/>
          </w:tcPr>
          <w:p>
            <w:pPr>
              <w:spacing w:after="0"/>
              <w:rPr>
                <w:sz w:val="21"/>
                <w:szCs w:val="21"/>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Adjustment for stock-based compensation</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5"/>
        </w:trPr>
        <w:tc>
          <w:tcPr>
            <w:tcW w:w="4700" w:type="dxa"/>
            <w:vAlign w:val="bottom"/>
            <w:shd w:val="clear" w:color="auto" w:fill="D1D2D4"/>
          </w:tcPr>
          <w:p>
            <w:pPr>
              <w:ind w:left="20"/>
              <w:spacing w:after="0" w:line="156" w:lineRule="exact"/>
              <w:rPr>
                <w:sz w:val="20"/>
                <w:szCs w:val="20"/>
                <w:color w:val="auto"/>
              </w:rPr>
            </w:pPr>
            <w:r>
              <w:rPr>
                <w:rFonts w:ascii="Arial" w:cs="Arial" w:eastAsia="Arial" w:hAnsi="Arial"/>
                <w:sz w:val="18"/>
                <w:szCs w:val="18"/>
                <w:b w:val="1"/>
                <w:bCs w:val="1"/>
                <w:color w:val="auto"/>
              </w:rPr>
              <w:t>Non-GAAP weighted-average common shares</w:t>
            </w:r>
          </w:p>
        </w:tc>
        <w:tc>
          <w:tcPr>
            <w:tcW w:w="160" w:type="dxa"/>
            <w:vAlign w:val="bottom"/>
            <w:shd w:val="clear" w:color="auto" w:fill="D1D2D4"/>
          </w:tcPr>
          <w:p>
            <w:pPr>
              <w:spacing w:after="0"/>
              <w:rPr>
                <w:sz w:val="13"/>
                <w:szCs w:val="13"/>
                <w:color w:val="auto"/>
              </w:rPr>
            </w:pPr>
          </w:p>
        </w:tc>
        <w:tc>
          <w:tcPr>
            <w:tcW w:w="1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D1D2D4"/>
          </w:tcPr>
          <w:p>
            <w:pPr>
              <w:spacing w:after="0"/>
              <w:rPr>
                <w:sz w:val="13"/>
                <w:szCs w:val="13"/>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D1D2D4"/>
          </w:tcPr>
          <w:p>
            <w:pPr>
              <w:spacing w:after="0"/>
              <w:rPr>
                <w:sz w:val="13"/>
                <w:szCs w:val="13"/>
                <w:color w:val="auto"/>
              </w:rPr>
            </w:pPr>
          </w:p>
        </w:tc>
        <w:tc>
          <w:tcPr>
            <w:tcW w:w="10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1,121</w:t>
            </w:r>
          </w:p>
        </w:tc>
        <w:tc>
          <w:tcPr>
            <w:tcW w:w="160" w:type="dxa"/>
            <w:vAlign w:val="bottom"/>
            <w:shd w:val="clear" w:color="auto" w:fill="D1D2D4"/>
          </w:tcPr>
          <w:p>
            <w:pPr>
              <w:spacing w:after="0"/>
              <w:rPr>
                <w:sz w:val="13"/>
                <w:szCs w:val="13"/>
                <w:color w:val="auto"/>
              </w:rPr>
            </w:pPr>
          </w:p>
        </w:tc>
        <w:tc>
          <w:tcPr>
            <w:tcW w:w="1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D1D2D4"/>
          </w:tcPr>
          <w:p>
            <w:pPr>
              <w:spacing w:after="0"/>
              <w:rPr>
                <w:sz w:val="13"/>
                <w:szCs w:val="13"/>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D1D2D4"/>
            </w:tcBorders>
            <w:shd w:val="clear" w:color="auto" w:fill="D1D2D4"/>
          </w:tcPr>
          <w:p>
            <w:pPr>
              <w:ind w:left="180"/>
              <w:spacing w:after="0"/>
              <w:rPr>
                <w:sz w:val="20"/>
                <w:szCs w:val="20"/>
                <w:color w:val="auto"/>
              </w:rPr>
            </w:pPr>
            <w:r>
              <w:rPr>
                <w:rFonts w:ascii="Arial" w:cs="Arial" w:eastAsia="Arial" w:hAnsi="Arial"/>
                <w:sz w:val="18"/>
                <w:szCs w:val="18"/>
                <w:b w:val="1"/>
                <w:bCs w:val="1"/>
                <w:color w:val="auto"/>
              </w:rPr>
              <w:t>outstanding - Diluted</w:t>
            </w:r>
          </w:p>
        </w:tc>
        <w:tc>
          <w:tcPr>
            <w:tcW w:w="160" w:type="dxa"/>
            <w:vAlign w:val="bottom"/>
            <w:tcBorders>
              <w:bottom w:val="single" w:sz="8" w:color="auto"/>
            </w:tcBorders>
            <w:shd w:val="clear" w:color="auto" w:fill="D1D2D4"/>
          </w:tcPr>
          <w:p>
            <w:pPr>
              <w:spacing w:after="0"/>
              <w:rPr>
                <w:sz w:val="20"/>
                <w:szCs w:val="20"/>
                <w:color w:val="auto"/>
              </w:rPr>
            </w:pPr>
          </w:p>
        </w:tc>
        <w:tc>
          <w:tcPr>
            <w:tcW w:w="1140" w:type="dxa"/>
            <w:vAlign w:val="bottom"/>
            <w:tcBorders>
              <w:bottom w:val="single" w:sz="8" w:color="auto"/>
            </w:tcBorders>
            <w:vMerge w:val="continue"/>
            <w:shd w:val="clear" w:color="auto" w:fill="D1D2D4"/>
          </w:tcPr>
          <w:p>
            <w:pPr>
              <w:spacing w:after="0"/>
              <w:rPr>
                <w:sz w:val="20"/>
                <w:szCs w:val="20"/>
                <w:color w:val="auto"/>
              </w:rPr>
            </w:pPr>
          </w:p>
        </w:tc>
        <w:tc>
          <w:tcPr>
            <w:tcW w:w="220" w:type="dxa"/>
            <w:vAlign w:val="bottom"/>
            <w:tcBorders>
              <w:bottom w:val="single" w:sz="8" w:color="auto"/>
            </w:tcBorders>
            <w:shd w:val="clear" w:color="auto" w:fill="D1D2D4"/>
          </w:tcPr>
          <w:p>
            <w:pPr>
              <w:spacing w:after="0"/>
              <w:rPr>
                <w:sz w:val="20"/>
                <w:szCs w:val="20"/>
                <w:color w:val="auto"/>
              </w:rPr>
            </w:pPr>
          </w:p>
        </w:tc>
        <w:tc>
          <w:tcPr>
            <w:tcW w:w="1080" w:type="dxa"/>
            <w:vAlign w:val="bottom"/>
            <w:tcBorders>
              <w:bottom w:val="single" w:sz="8" w:color="auto"/>
            </w:tcBorders>
            <w:vMerge w:val="continue"/>
            <w:shd w:val="clear" w:color="auto" w:fill="D1D2D4"/>
          </w:tcPr>
          <w:p>
            <w:pPr>
              <w:spacing w:after="0"/>
              <w:rPr>
                <w:sz w:val="20"/>
                <w:szCs w:val="20"/>
                <w:color w:val="auto"/>
              </w:rPr>
            </w:pPr>
          </w:p>
        </w:tc>
        <w:tc>
          <w:tcPr>
            <w:tcW w:w="240" w:type="dxa"/>
            <w:vAlign w:val="bottom"/>
            <w:tcBorders>
              <w:bottom w:val="single" w:sz="8" w:color="auto"/>
            </w:tcBorders>
            <w:shd w:val="clear" w:color="auto" w:fill="D1D2D4"/>
          </w:tcPr>
          <w:p>
            <w:pPr>
              <w:spacing w:after="0"/>
              <w:rPr>
                <w:sz w:val="20"/>
                <w:szCs w:val="20"/>
                <w:color w:val="auto"/>
              </w:rPr>
            </w:pPr>
          </w:p>
        </w:tc>
        <w:tc>
          <w:tcPr>
            <w:tcW w:w="1080" w:type="dxa"/>
            <w:vAlign w:val="bottom"/>
            <w:tcBorders>
              <w:bottom w:val="single" w:sz="8" w:color="auto"/>
            </w:tcBorders>
            <w:vMerge w:val="continue"/>
            <w:shd w:val="clear" w:color="auto" w:fill="D1D2D4"/>
          </w:tcPr>
          <w:p>
            <w:pPr>
              <w:spacing w:after="0"/>
              <w:rPr>
                <w:sz w:val="20"/>
                <w:szCs w:val="20"/>
                <w:color w:val="auto"/>
              </w:rPr>
            </w:pPr>
          </w:p>
        </w:tc>
        <w:tc>
          <w:tcPr>
            <w:tcW w:w="160" w:type="dxa"/>
            <w:vAlign w:val="bottom"/>
            <w:tcBorders>
              <w:bottom w:val="single" w:sz="8" w:color="auto"/>
            </w:tcBorders>
            <w:shd w:val="clear" w:color="auto" w:fill="D1D2D4"/>
          </w:tcPr>
          <w:p>
            <w:pPr>
              <w:spacing w:after="0"/>
              <w:rPr>
                <w:sz w:val="20"/>
                <w:szCs w:val="20"/>
                <w:color w:val="auto"/>
              </w:rPr>
            </w:pPr>
          </w:p>
        </w:tc>
        <w:tc>
          <w:tcPr>
            <w:tcW w:w="1140" w:type="dxa"/>
            <w:vAlign w:val="bottom"/>
            <w:tcBorders>
              <w:bottom w:val="single" w:sz="8" w:color="auto"/>
            </w:tcBorders>
            <w:vMerge w:val="continue"/>
            <w:shd w:val="clear" w:color="auto" w:fill="D1D2D4"/>
          </w:tcPr>
          <w:p>
            <w:pPr>
              <w:spacing w:after="0"/>
              <w:rPr>
                <w:sz w:val="20"/>
                <w:szCs w:val="20"/>
                <w:color w:val="auto"/>
              </w:rPr>
            </w:pPr>
          </w:p>
        </w:tc>
        <w:tc>
          <w:tcPr>
            <w:tcW w:w="300" w:type="dxa"/>
            <w:vAlign w:val="bottom"/>
            <w:tcBorders>
              <w:bottom w:val="single" w:sz="8" w:color="auto"/>
            </w:tcBorders>
            <w:shd w:val="clear" w:color="auto" w:fill="D1D2D4"/>
          </w:tcPr>
          <w:p>
            <w:pPr>
              <w:spacing w:after="0"/>
              <w:rPr>
                <w:sz w:val="20"/>
                <w:szCs w:val="20"/>
                <w:color w:val="auto"/>
              </w:rPr>
            </w:pPr>
          </w:p>
        </w:tc>
        <w:tc>
          <w:tcPr>
            <w:tcW w:w="1020" w:type="dxa"/>
            <w:vAlign w:val="bottom"/>
            <w:tcBorders>
              <w:bottom w:val="single" w:sz="8" w:color="auto"/>
            </w:tcBorders>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diluted earnings (loss) per share</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(5.34)</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Effects of the above adjustments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diluted earnings (loss) per share</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(4.45)</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
        </w:trPr>
        <w:tc>
          <w:tcPr>
            <w:tcW w:w="47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6" w:right="339" w:bottom="1440" w:gutter="0" w:footer="0" w:header="0"/>
        </w:sectPr>
      </w:pPr>
    </w:p>
    <w:bookmarkStart w:id="11" w:name="page12"/>
    <w:bookmarkEnd w:id="11"/>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51"/>
        </w:trPr>
        <w:tc>
          <w:tcPr>
            <w:tcW w:w="8580" w:type="dxa"/>
            <w:vAlign w:val="bottom"/>
            <w:gridSpan w:val="8"/>
          </w:tcPr>
          <w:p>
            <w:pPr>
              <w:ind w:left="2780"/>
              <w:spacing w:after="0"/>
              <w:rPr>
                <w:sz w:val="20"/>
                <w:szCs w:val="20"/>
                <w:color w:val="auto"/>
              </w:rPr>
            </w:pPr>
            <w:r>
              <w:rPr>
                <w:rFonts w:ascii="Arial" w:cs="Arial" w:eastAsia="Arial" w:hAnsi="Arial"/>
                <w:sz w:val="18"/>
                <w:szCs w:val="18"/>
                <w:b w:val="1"/>
                <w:bCs w:val="1"/>
                <w:color w:val="auto"/>
                <w:w w:val="99"/>
              </w:rPr>
              <w:t>RECONCILIATION OF GAAP TO NON-GAAP MEASURES, Continued</w:t>
            </w: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478"/>
        </w:trPr>
        <w:tc>
          <w:tcPr>
            <w:tcW w:w="4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24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4th Qtr.</w:t>
            </w:r>
          </w:p>
        </w:tc>
        <w:tc>
          <w:tcPr>
            <w:tcW w:w="180" w:type="dxa"/>
            <w:vAlign w:val="bottom"/>
          </w:tcPr>
          <w:p>
            <w:pPr>
              <w:spacing w:after="0"/>
              <w:rPr>
                <w:sz w:val="24"/>
                <w:szCs w:val="24"/>
                <w:color w:val="auto"/>
              </w:rPr>
            </w:pPr>
          </w:p>
        </w:tc>
        <w:tc>
          <w:tcPr>
            <w:tcW w:w="24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Year Ended</w:t>
            </w:r>
          </w:p>
        </w:tc>
      </w:tr>
      <w:tr>
        <w:trPr>
          <w:trHeight w:val="185"/>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0"/>
              <w:spacing w:after="0" w:line="185" w:lineRule="exact"/>
              <w:rPr>
                <w:sz w:val="20"/>
                <w:szCs w:val="20"/>
                <w:color w:val="auto"/>
              </w:rPr>
            </w:pPr>
            <w:r>
              <w:rPr>
                <w:rFonts w:ascii="Arial" w:cs="Arial" w:eastAsia="Arial" w:hAnsi="Arial"/>
                <w:sz w:val="18"/>
                <w:szCs w:val="18"/>
                <w:b w:val="1"/>
                <w:bCs w:val="1"/>
                <w:color w:val="auto"/>
                <w:w w:val="99"/>
              </w:rPr>
              <w:t>August 31,</w:t>
            </w:r>
          </w:p>
        </w:tc>
        <w:tc>
          <w:tcPr>
            <w:tcW w:w="240" w:type="dxa"/>
            <w:vAlign w:val="bottom"/>
          </w:tcPr>
          <w:p>
            <w:pPr>
              <w:spacing w:after="0"/>
              <w:rPr>
                <w:sz w:val="16"/>
                <w:szCs w:val="16"/>
                <w:color w:val="auto"/>
              </w:rPr>
            </w:pPr>
          </w:p>
        </w:tc>
        <w:tc>
          <w:tcPr>
            <w:tcW w:w="1060" w:type="dxa"/>
            <w:vAlign w:val="bottom"/>
          </w:tcPr>
          <w:p>
            <w:pPr>
              <w:jc w:val="center"/>
              <w:ind w:right="110"/>
              <w:spacing w:after="0" w:line="185" w:lineRule="exact"/>
              <w:rPr>
                <w:sz w:val="20"/>
                <w:szCs w:val="20"/>
                <w:color w:val="auto"/>
              </w:rPr>
            </w:pPr>
            <w:r>
              <w:rPr>
                <w:rFonts w:ascii="Arial" w:cs="Arial" w:eastAsia="Arial" w:hAnsi="Arial"/>
                <w:sz w:val="18"/>
                <w:szCs w:val="18"/>
                <w:b w:val="1"/>
                <w:bCs w:val="1"/>
                <w:color w:val="auto"/>
                <w:w w:val="99"/>
              </w:rPr>
              <w:t>June 1,</w:t>
            </w:r>
          </w:p>
        </w:tc>
        <w:tc>
          <w:tcPr>
            <w:tcW w:w="132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rPr>
              <w:t>September 1,</w:t>
            </w:r>
          </w:p>
        </w:tc>
        <w:tc>
          <w:tcPr>
            <w:tcW w:w="180" w:type="dxa"/>
            <w:vAlign w:val="bottom"/>
          </w:tcPr>
          <w:p>
            <w:pPr>
              <w:spacing w:after="0"/>
              <w:rPr>
                <w:sz w:val="16"/>
                <w:szCs w:val="16"/>
                <w:color w:val="auto"/>
              </w:rPr>
            </w:pPr>
          </w:p>
        </w:tc>
        <w:tc>
          <w:tcPr>
            <w:tcW w:w="1120" w:type="dxa"/>
            <w:vAlign w:val="bottom"/>
          </w:tcPr>
          <w:p>
            <w:pPr>
              <w:jc w:val="right"/>
              <w:ind w:right="90"/>
              <w:spacing w:after="0" w:line="185" w:lineRule="exact"/>
              <w:rPr>
                <w:sz w:val="20"/>
                <w:szCs w:val="20"/>
                <w:color w:val="auto"/>
              </w:rPr>
            </w:pPr>
            <w:r>
              <w:rPr>
                <w:rFonts w:ascii="Arial" w:cs="Arial" w:eastAsia="Arial" w:hAnsi="Arial"/>
                <w:sz w:val="18"/>
                <w:szCs w:val="18"/>
                <w:b w:val="1"/>
                <w:bCs w:val="1"/>
                <w:color w:val="auto"/>
                <w:w w:val="99"/>
              </w:rPr>
              <w:t>August 31,</w:t>
            </w:r>
          </w:p>
        </w:tc>
        <w:tc>
          <w:tcPr>
            <w:tcW w:w="1320" w:type="dxa"/>
            <w:vAlign w:val="bottom"/>
            <w:gridSpan w:val="2"/>
          </w:tcPr>
          <w:p>
            <w:pPr>
              <w:jc w:val="right"/>
              <w:ind w:right="10"/>
              <w:spacing w:after="0" w:line="185" w:lineRule="exact"/>
              <w:rPr>
                <w:sz w:val="20"/>
                <w:szCs w:val="20"/>
                <w:color w:val="auto"/>
              </w:rPr>
            </w:pPr>
            <w:r>
              <w:rPr>
                <w:rFonts w:ascii="Arial" w:cs="Arial" w:eastAsia="Arial" w:hAnsi="Arial"/>
                <w:sz w:val="18"/>
                <w:szCs w:val="18"/>
                <w:b w:val="1"/>
                <w:bCs w:val="1"/>
                <w:color w:val="auto"/>
              </w:rPr>
              <w:t>September 1,</w:t>
            </w:r>
          </w:p>
        </w:tc>
      </w:tr>
      <w:tr>
        <w:trPr>
          <w:trHeight w:val="243"/>
        </w:trPr>
        <w:tc>
          <w:tcPr>
            <w:tcW w:w="45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2022</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34"/>
        </w:trPr>
        <w:tc>
          <w:tcPr>
            <w:tcW w:w="4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4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w:t>
            </w:r>
          </w:p>
        </w:tc>
        <w:tc>
          <w:tcPr>
            <w:tcW w:w="2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3,777</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1,559</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15,181</w:t>
            </w:r>
          </w:p>
        </w:tc>
      </w:tr>
      <w:tr>
        <w:trPr>
          <w:trHeight w:val="256"/>
        </w:trPr>
        <w:tc>
          <w:tcPr>
            <w:tcW w:w="4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4500" w:type="dxa"/>
            <w:vAlign w:val="bottom"/>
            <w:shd w:val="clear" w:color="auto" w:fill="DBDBDB"/>
          </w:tcPr>
          <w:p>
            <w:pPr>
              <w:spacing w:after="0"/>
              <w:rPr>
                <w:sz w:val="20"/>
                <w:szCs w:val="20"/>
                <w:color w:val="auto"/>
              </w:rPr>
            </w:pPr>
            <w:r>
              <w:rPr>
                <w:rFonts w:ascii="Arial" w:cs="Arial" w:eastAsia="Arial" w:hAnsi="Arial"/>
                <w:sz w:val="18"/>
                <w:szCs w:val="18"/>
                <w:color w:val="auto"/>
              </w:rPr>
              <w:t>Expenditures for property, plant, and equipment</w:t>
            </w:r>
          </w:p>
        </w:tc>
        <w:tc>
          <w:tcPr>
            <w:tcW w:w="1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(1,561)</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(3,613)</w:t>
            </w:r>
          </w:p>
        </w:tc>
        <w:tc>
          <w:tcPr>
            <w:tcW w:w="1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(7,676)</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(12,067)</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4500" w:type="dxa"/>
            <w:vAlign w:val="bottom"/>
            <w:shd w:val="clear" w:color="auto" w:fill="DBDBDB"/>
          </w:tcPr>
          <w:p>
            <w:pPr>
              <w:spacing w:after="0"/>
              <w:rPr>
                <w:sz w:val="20"/>
                <w:szCs w:val="20"/>
                <w:color w:val="auto"/>
              </w:rPr>
            </w:pPr>
            <w:r>
              <w:rPr>
                <w:rFonts w:ascii="Arial" w:cs="Arial" w:eastAsia="Arial" w:hAnsi="Arial"/>
                <w:sz w:val="18"/>
                <w:szCs w:val="18"/>
                <w:color w:val="auto"/>
              </w:rPr>
              <w:t>Payments on equipment purchase contracts</w:t>
            </w:r>
          </w:p>
        </w:tc>
        <w:tc>
          <w:tcPr>
            <w:tcW w:w="16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4500" w:type="dxa"/>
            <w:vAlign w:val="bottom"/>
            <w:tcBorders>
              <w:bottom w:val="single" w:sz="8" w:color="DBDBDB"/>
            </w:tcBorders>
          </w:tcPr>
          <w:p>
            <w:pPr>
              <w:spacing w:after="0"/>
              <w:rPr>
                <w:sz w:val="20"/>
                <w:szCs w:val="20"/>
                <w:color w:val="auto"/>
              </w:rPr>
            </w:pPr>
            <w:r>
              <w:rPr>
                <w:rFonts w:ascii="Arial" w:cs="Arial" w:eastAsia="Arial" w:hAnsi="Arial"/>
                <w:sz w:val="18"/>
                <w:szCs w:val="18"/>
                <w:color w:val="auto"/>
              </w:rPr>
              <w:t>Amounts funded by partners</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450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Investments in capital expenditures, net</w:t>
            </w:r>
          </w:p>
        </w:tc>
        <w:tc>
          <w:tcPr>
            <w:tcW w:w="16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(1,007)</w:t>
            </w:r>
          </w:p>
        </w:tc>
        <w:tc>
          <w:tcPr>
            <w:tcW w:w="24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(1,379)</w:t>
            </w:r>
          </w:p>
        </w:tc>
        <w:tc>
          <w:tcPr>
            <w:tcW w:w="2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(3,581)</w:t>
            </w:r>
          </w:p>
        </w:tc>
        <w:tc>
          <w:tcPr>
            <w:tcW w:w="1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(7,012)</w:t>
            </w: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(11,976)</w:t>
            </w:r>
          </w:p>
        </w:tc>
      </w:tr>
      <w:tr>
        <w:trPr>
          <w:trHeight w:val="223"/>
        </w:trPr>
        <w:tc>
          <w:tcPr>
            <w:tcW w:w="450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r>
      <w:tr>
        <w:trPr>
          <w:trHeight w:val="21"/>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2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 and</w:t>
      </w:r>
    </w:p>
    <w:p>
      <w:pPr>
        <w:spacing w:after="0" w:line="9" w:lineRule="exact"/>
        <w:rPr>
          <w:rFonts w:ascii="Arial" w:cs="Arial" w:eastAsia="Arial" w:hAnsi="Arial"/>
          <w:sz w:val="18"/>
          <w:szCs w:val="18"/>
          <w:color w:val="auto"/>
        </w:rPr>
      </w:pPr>
    </w:p>
    <w:p>
      <w:pPr>
        <w:ind w:left="660" w:right="50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w:t>
      </w:r>
    </w:p>
    <w:p>
      <w:pPr>
        <w:spacing w:after="0" w:line="21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r>
              <w:rPr>
                <w:rFonts w:ascii="Arial" w:cs="Arial" w:eastAsia="Arial" w:hAnsi="Arial"/>
                <w:sz w:val="18"/>
                <w:szCs w:val="18"/>
                <w:b w:val="1"/>
                <w:bCs w:val="1"/>
                <w:color w:val="auto"/>
              </w:rPr>
              <w:t>FQ1-24</w:t>
            </w:r>
          </w:p>
        </w:tc>
        <w:tc>
          <w:tcPr>
            <w:tcW w:w="2360" w:type="dxa"/>
            <w:vAlign w:val="bottom"/>
            <w:gridSpan w:val="2"/>
          </w:tcPr>
          <w:p>
            <w:pPr>
              <w:ind w:left="50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4040" w:type="dxa"/>
            <w:vAlign w:val="bottom"/>
            <w:tcBorders>
              <w:top w:val="single" w:sz="8" w:color="auto"/>
            </w:tcBorders>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4040" w:type="dxa"/>
            <w:vAlign w:val="bottom"/>
            <w:shd w:val="clear" w:color="auto" w:fill="D1D2D4"/>
          </w:tcPr>
          <w:p>
            <w:pPr>
              <w:spacing w:after="0"/>
              <w:rPr>
                <w:sz w:val="20"/>
                <w:szCs w:val="20"/>
                <w:color w:val="auto"/>
              </w:rPr>
            </w:pPr>
            <w:r>
              <w:rPr>
                <w:rFonts w:ascii="Arial" w:cs="Arial" w:eastAsia="Arial" w:hAnsi="Arial"/>
                <w:sz w:val="18"/>
                <w:szCs w:val="18"/>
                <w:color w:val="auto"/>
              </w:rPr>
              <w:t>Revenue</w:t>
            </w:r>
          </w:p>
        </w:tc>
        <w:tc>
          <w:tcPr>
            <w:tcW w:w="23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$4.40 billion ± $200 million</w:t>
            </w:r>
          </w:p>
        </w:tc>
        <w:tc>
          <w:tcPr>
            <w:tcW w:w="2380" w:type="dxa"/>
            <w:vAlign w:val="bottom"/>
            <w:gridSpan w:val="2"/>
            <w:shd w:val="clear" w:color="auto" w:fill="CBCBCB"/>
          </w:tcPr>
          <w:p>
            <w:pPr>
              <w:jc w:val="center"/>
              <w:ind w:right="16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$4.40 billion ± $200 million</w:t>
            </w: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Gross margin</w:t>
            </w:r>
          </w:p>
        </w:tc>
        <w:tc>
          <w:tcPr>
            <w:tcW w:w="2240" w:type="dxa"/>
            <w:vAlign w:val="bottom"/>
          </w:tcPr>
          <w:p>
            <w:pPr>
              <w:jc w:val="right"/>
              <w:spacing w:after="0"/>
              <w:rPr>
                <w:sz w:val="20"/>
                <w:szCs w:val="20"/>
                <w:color w:val="auto"/>
              </w:rPr>
            </w:pPr>
            <w:r>
              <w:rPr>
                <w:rFonts w:ascii="Arial" w:cs="Arial" w:eastAsia="Arial" w:hAnsi="Arial"/>
                <w:sz w:val="18"/>
                <w:szCs w:val="18"/>
                <w:color w:val="auto"/>
              </w:rPr>
              <w:t>(6.0%) ± 2.0%</w:t>
            </w:r>
          </w:p>
        </w:tc>
        <w:tc>
          <w:tcPr>
            <w:tcW w:w="120" w:type="dxa"/>
            <w:vAlign w:val="bottom"/>
          </w:tcPr>
          <w:p>
            <w:pPr>
              <w:spacing w:after="0"/>
              <w:rPr>
                <w:sz w:val="19"/>
                <w:szCs w:val="19"/>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2.0% A</w:t>
            </w:r>
          </w:p>
        </w:tc>
        <w:tc>
          <w:tcPr>
            <w:tcW w:w="2240" w:type="dxa"/>
            <w:vAlign w:val="bottom"/>
          </w:tcPr>
          <w:p>
            <w:pPr>
              <w:jc w:val="right"/>
              <w:spacing w:after="0"/>
              <w:rPr>
                <w:sz w:val="20"/>
                <w:szCs w:val="20"/>
                <w:color w:val="auto"/>
              </w:rPr>
            </w:pPr>
            <w:r>
              <w:rPr>
                <w:rFonts w:ascii="Arial" w:cs="Arial" w:eastAsia="Arial" w:hAnsi="Arial"/>
                <w:sz w:val="18"/>
                <w:szCs w:val="18"/>
                <w:color w:val="auto"/>
              </w:rPr>
              <w:t>(4.0%) ± 2.0%</w:t>
            </w:r>
          </w:p>
        </w:tc>
      </w:tr>
      <w:tr>
        <w:trPr>
          <w:trHeight w:val="230"/>
        </w:trPr>
        <w:tc>
          <w:tcPr>
            <w:tcW w:w="4040" w:type="dxa"/>
            <w:vAlign w:val="bottom"/>
            <w:shd w:val="clear" w:color="auto" w:fill="D1D2D4"/>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gridSpan w:val="2"/>
            <w:shd w:val="clear" w:color="auto" w:fill="CBCBCB"/>
          </w:tcPr>
          <w:p>
            <w:pPr>
              <w:jc w:val="right"/>
              <w:ind w:right="140"/>
              <w:spacing w:after="0"/>
              <w:rPr>
                <w:sz w:val="20"/>
                <w:szCs w:val="20"/>
                <w:color w:val="auto"/>
              </w:rPr>
            </w:pPr>
            <w:r>
              <w:rPr>
                <w:rFonts w:ascii="Arial" w:cs="Arial" w:eastAsia="Arial" w:hAnsi="Arial"/>
                <w:sz w:val="18"/>
                <w:szCs w:val="18"/>
                <w:color w:val="auto"/>
              </w:rPr>
              <w:t>$1.01 billion ± $15 million</w:t>
            </w:r>
          </w:p>
        </w:tc>
        <w:tc>
          <w:tcPr>
            <w:tcW w:w="2380" w:type="dxa"/>
            <w:vAlign w:val="bottom"/>
            <w:gridSpan w:val="2"/>
            <w:shd w:val="clear" w:color="auto" w:fill="CBCBCB"/>
          </w:tcPr>
          <w:p>
            <w:pPr>
              <w:ind w:left="320"/>
              <w:spacing w:after="0"/>
              <w:rPr>
                <w:sz w:val="20"/>
                <w:szCs w:val="20"/>
                <w:color w:val="auto"/>
              </w:rPr>
            </w:pPr>
            <w:r>
              <w:rPr>
                <w:rFonts w:ascii="Arial" w:cs="Arial" w:eastAsia="Arial" w:hAnsi="Arial"/>
                <w:sz w:val="18"/>
                <w:szCs w:val="18"/>
                <w:color w:val="auto"/>
              </w:rPr>
              <w:t>$113 million B</w:t>
            </w:r>
          </w:p>
        </w:tc>
        <w:tc>
          <w:tcPr>
            <w:tcW w:w="2240" w:type="dxa"/>
            <w:vAlign w:val="bottom"/>
            <w:shd w:val="clear" w:color="auto" w:fill="CBCBCB"/>
          </w:tcPr>
          <w:p>
            <w:pPr>
              <w:jc w:val="right"/>
              <w:spacing w:after="0"/>
              <w:rPr>
                <w:sz w:val="20"/>
                <w:szCs w:val="20"/>
                <w:color w:val="auto"/>
              </w:rPr>
            </w:pPr>
            <w:r>
              <w:rPr>
                <w:rFonts w:ascii="Arial" w:cs="Arial" w:eastAsia="Arial" w:hAnsi="Arial"/>
                <w:sz w:val="18"/>
                <w:szCs w:val="18"/>
                <w:color w:val="auto"/>
              </w:rPr>
              <w:t>$900 million ± $15 million</w:t>
            </w:r>
          </w:p>
        </w:tc>
      </w:tr>
      <w:tr>
        <w:trPr>
          <w:trHeight w:val="307"/>
        </w:trPr>
        <w:tc>
          <w:tcPr>
            <w:tcW w:w="4040" w:type="dxa"/>
            <w:vAlign w:val="bottom"/>
          </w:tcPr>
          <w:p>
            <w:pPr>
              <w:spacing w:after="0"/>
              <w:rPr>
                <w:sz w:val="20"/>
                <w:szCs w:val="20"/>
                <w:color w:val="auto"/>
              </w:rPr>
            </w:pPr>
            <w:r>
              <w:rPr>
                <w:rFonts w:ascii="Arial" w:cs="Arial" w:eastAsia="Arial" w:hAnsi="Arial"/>
                <w:sz w:val="18"/>
                <w:szCs w:val="18"/>
                <w:color w:val="auto"/>
              </w:rPr>
              <w:t>Diluted earnings (loss) per share</w:t>
            </w:r>
            <w:r>
              <w:rPr>
                <w:rFonts w:ascii="Arial" w:cs="Arial" w:eastAsia="Arial" w:hAnsi="Arial"/>
                <w:sz w:val="23"/>
                <w:szCs w:val="23"/>
                <w:color w:val="auto"/>
                <w:vertAlign w:val="superscript"/>
              </w:rPr>
              <w:t>(1)</w:t>
            </w:r>
          </w:p>
        </w:tc>
        <w:tc>
          <w:tcPr>
            <w:tcW w:w="2240" w:type="dxa"/>
            <w:vAlign w:val="bottom"/>
          </w:tcPr>
          <w:p>
            <w:pPr>
              <w:jc w:val="right"/>
              <w:spacing w:after="0"/>
              <w:rPr>
                <w:sz w:val="20"/>
                <w:szCs w:val="20"/>
                <w:color w:val="auto"/>
              </w:rPr>
            </w:pPr>
            <w:r>
              <w:rPr>
                <w:rFonts w:ascii="Arial" w:cs="Arial" w:eastAsia="Arial" w:hAnsi="Arial"/>
                <w:sz w:val="18"/>
                <w:szCs w:val="18"/>
                <w:color w:val="auto"/>
              </w:rPr>
              <w:t>($1.24) ± $0.07</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$0.17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($1.07) ± $0.07</w:t>
            </w: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Adjustments</w:t>
      </w:r>
    </w:p>
    <w:p>
      <w:pPr>
        <w:ind w:left="12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003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A  Stock-based compensation – cost of goods sold</w:t>
            </w:r>
          </w:p>
        </w:tc>
        <w:tc>
          <w:tcPr>
            <w:tcW w:w="98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A  Other – cost of goods sold</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B  Stock-based compensation – research and development</w:t>
            </w:r>
          </w:p>
        </w:tc>
        <w:tc>
          <w:tcPr>
            <w:tcW w:w="98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B  Stock-based compensation – sales, general, and administrative</w:t>
            </w:r>
          </w:p>
        </w:tc>
        <w:tc>
          <w:tcPr>
            <w:tcW w:w="9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8780" w:type="dxa"/>
            <w:vAlign w:val="bottom"/>
            <w:shd w:val="clear" w:color="auto" w:fill="D1D2D4"/>
          </w:tcPr>
          <w:p>
            <w:pPr>
              <w:spacing w:after="0"/>
              <w:rPr>
                <w:sz w:val="20"/>
                <w:szCs w:val="20"/>
                <w:color w:val="auto"/>
              </w:rPr>
            </w:pPr>
            <w:r>
              <w:rPr>
                <w:rFonts w:ascii="Arial" w:cs="Arial" w:eastAsia="Arial" w:hAnsi="Arial"/>
                <w:sz w:val="18"/>
                <w:szCs w:val="18"/>
                <w:color w:val="auto"/>
              </w:rPr>
              <w:t>C  Tax effects of the above items and other tax adjustments</w:t>
            </w:r>
          </w:p>
        </w:tc>
        <w:tc>
          <w:tcPr>
            <w:tcW w:w="9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78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1"/>
        </w:trPr>
        <w:tc>
          <w:tcPr>
            <w:tcW w:w="8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and non-GAAP earnings (loss) per share based on approximately 1.10 billion diluted shares.</w:t>
      </w:r>
    </w:p>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2023-09-27T15:30:54Z</dcterms:created>
  <dcterms:modified xsi:type="dcterms:W3CDTF">2023-09-27T15:30:54Z</dcterms:modified>
</cp:coreProperties>
</file>