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November 19, 2004</w:t>
      </w:r>
    </w:p>
    <w:p>
      <w:pPr>
        <w:spacing w:after="0" w:line="23" w:lineRule="exact"/>
        <w:rPr>
          <w:sz w:val="24"/>
          <w:szCs w:val="24"/>
          <w:color w:val="auto"/>
        </w:rPr>
      </w:pPr>
    </w:p>
    <w:p>
      <w:pPr>
        <w:ind w:left="928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75-1618004</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3"/>
              </w:rPr>
              <w:t>(State or other jurisdiction of incorporation)</w:t>
            </w:r>
          </w:p>
        </w:tc>
        <w:tc>
          <w:tcPr>
            <w:tcW w:w="392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8000 South Federal Way, P.O. Box 6, Boise, Idaho</w:t>
            </w:r>
          </w:p>
        </w:tc>
        <w:tc>
          <w:tcPr>
            <w:tcW w:w="392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83707-0006</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197485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 2004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 1989 Employee Stock Purchase Plan</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 G. Stover,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of Finance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Proposed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Proposed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maximum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 to be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maximum</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aggregate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securities to be registered</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registered (1)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 (2)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$.10 par value per share, to be issued pursuant to the</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Micron Technology, Inc. 2004 Equity Incentive Plan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166,040,000</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$.10 par value per share, to be issued pursuant to the</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Micron Technology, Inc. 1989 Employee Stock Purchase Plan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47,440,000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6,010.65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213,480,000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4"/>
          <w:szCs w:val="24"/>
          <w:color w:val="auto"/>
        </w:rPr>
      </w:pPr>
    </w:p>
    <w:p>
      <w:pPr>
        <w:ind w:left="340" w:right="18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65" w:lineRule="exact"/>
        <w:rPr>
          <w:rFonts w:ascii="Arial" w:cs="Arial" w:eastAsia="Arial" w:hAnsi="Arial"/>
          <w:sz w:val="17"/>
          <w:szCs w:val="17"/>
          <w:color w:val="auto"/>
        </w:rPr>
      </w:pPr>
    </w:p>
    <w:p>
      <w:pPr>
        <w:ind w:left="340" w:right="20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 of calculating the registration fee on the basis of $11.86 per share, which is the average of the high and low price of the Company’s Common Stock as reported on the New York Stock Exchange on November 12, 2004.</w:t>
      </w:r>
    </w:p>
    <w:p>
      <w:pPr>
        <w:sectPr>
          <w:pgSz w:w="11900" w:h="16838" w:orient="portrait"/>
          <w:cols w:equalWidth="0" w:num="1">
            <w:col w:w="11420"/>
          </w:cols>
          <w:pgMar w:left="240" w:top="233" w:right="239" w:bottom="125" w:gutter="0" w:footer="0" w:header="0"/>
        </w:sectPr>
      </w:pP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25" w:gutter="0" w:footer="0" w:header="0"/>
          <w:type w:val="continuous"/>
        </w:sectPr>
      </w:pPr>
    </w:p>
    <w:bookmarkStart w:id="1" w:name="page2"/>
    <w:bookmarkEnd w:id="1"/>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documents containing the information specified in Part I of Form S-8 are not required to be filed with the Securities and Exchange Commission (the “Commission”) either as part of this Registration Statement or as prospectuses or prospectus supplements pursuant to the Note to Part I of Form S-8 and Rule 424 under the Securities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Company with the Securities and Exchange Commission are incorporated by reference in this Registration Statement:</w:t>
      </w:r>
    </w:p>
    <w:p>
      <w:pPr>
        <w:spacing w:after="0" w:line="170" w:lineRule="exact"/>
        <w:rPr>
          <w:sz w:val="20"/>
          <w:szCs w:val="20"/>
          <w:color w:val="auto"/>
        </w:rPr>
      </w:pPr>
    </w:p>
    <w:p>
      <w:pPr>
        <w:ind w:right="480" w:firstLine="656"/>
        <w:spacing w:after="0" w:line="277" w:lineRule="auto"/>
        <w:tabs>
          <w:tab w:leader="none" w:pos="9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for the year ended September 2, 2004, filed pursuant to Section 13(a) of the Securities Exchange Act of 1934, as amended (the “Exchange Act”) (File No. 1-10658).</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September 29, 2004.</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pursuant to Section 13(a) of the Exchange Act on November 12, 2004.</w:t>
      </w:r>
    </w:p>
    <w:p>
      <w:pPr>
        <w:spacing w:after="0" w:line="225" w:lineRule="exact"/>
        <w:rPr>
          <w:rFonts w:ascii="Arial" w:cs="Arial" w:eastAsia="Arial" w:hAnsi="Arial"/>
          <w:sz w:val="18"/>
          <w:szCs w:val="18"/>
          <w:color w:val="auto"/>
        </w:rPr>
      </w:pPr>
    </w:p>
    <w:p>
      <w:pPr>
        <w:ind w:firstLine="656"/>
        <w:spacing w:after="0" w:line="264" w:lineRule="auto"/>
        <w:tabs>
          <w:tab w:leader="none" w:pos="9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wp:posOffset>
            </wp:positionV>
            <wp:extent cx="462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2720" w:type="dxa"/>
            <w:vAlign w:val="bottom"/>
          </w:tcPr>
          <w:p>
            <w:pPr>
              <w:ind w:left="520"/>
              <w:spacing w:after="0"/>
              <w:rPr>
                <w:sz w:val="20"/>
                <w:szCs w:val="20"/>
                <w:color w:val="auto"/>
              </w:rPr>
            </w:pPr>
            <w:r>
              <w:rPr>
                <w:rFonts w:ascii="Arial" w:cs="Arial" w:eastAsia="Arial" w:hAnsi="Arial"/>
                <w:sz w:val="18"/>
                <w:szCs w:val="18"/>
                <w:color w:val="auto"/>
                <w:w w:val="92"/>
              </w:rPr>
              <w:t>Micron Technology, Inc. 2004</w:t>
            </w:r>
          </w:p>
        </w:tc>
        <w:tc>
          <w:tcPr>
            <w:tcW w:w="23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720" w:type="dxa"/>
            <w:vAlign w:val="bottom"/>
          </w:tcPr>
          <w:p>
            <w:pPr>
              <w:ind w:left="520"/>
              <w:spacing w:after="0"/>
              <w:rPr>
                <w:sz w:val="20"/>
                <w:szCs w:val="20"/>
                <w:color w:val="auto"/>
              </w:rPr>
            </w:pPr>
            <w:r>
              <w:rPr>
                <w:rFonts w:ascii="Arial" w:cs="Arial" w:eastAsia="Arial" w:hAnsi="Arial"/>
                <w:sz w:val="18"/>
                <w:szCs w:val="18"/>
                <w:color w:val="auto"/>
                <w:w w:val="92"/>
              </w:rPr>
              <w:t>Micron Technology, Inc. 1989</w:t>
            </w:r>
          </w:p>
        </w:tc>
        <w:tc>
          <w:tcPr>
            <w:tcW w:w="2320" w:type="dxa"/>
            <w:vAlign w:val="bottom"/>
          </w:tcPr>
          <w:p>
            <w:pPr>
              <w:ind w:left="20"/>
              <w:spacing w:after="0"/>
              <w:rPr>
                <w:sz w:val="20"/>
                <w:szCs w:val="20"/>
                <w:color w:val="auto"/>
              </w:rPr>
            </w:pPr>
            <w:r>
              <w:rPr>
                <w:rFonts w:ascii="Arial" w:cs="Arial" w:eastAsia="Arial" w:hAnsi="Arial"/>
                <w:sz w:val="18"/>
                <w:szCs w:val="18"/>
                <w:color w:val="auto"/>
                <w:w w:val="88"/>
              </w:rPr>
              <w:t>Employee Stock Purchase Plan.</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2720" w:type="dxa"/>
            <w:vAlign w:val="bottom"/>
          </w:tcPr>
          <w:p>
            <w:pPr>
              <w:ind w:left="520"/>
              <w:spacing w:after="0"/>
              <w:rPr>
                <w:sz w:val="20"/>
                <w:szCs w:val="20"/>
                <w:color w:val="auto"/>
              </w:rPr>
            </w:pPr>
            <w:r>
              <w:rPr>
                <w:rFonts w:ascii="Arial" w:cs="Arial" w:eastAsia="Arial" w:hAnsi="Arial"/>
                <w:sz w:val="18"/>
                <w:szCs w:val="18"/>
                <w:color w:val="auto"/>
              </w:rPr>
              <w:t>Opinion of Counsel.</w:t>
            </w:r>
          </w:p>
        </w:tc>
        <w:tc>
          <w:tcPr>
            <w:tcW w:w="232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5040" w:type="dxa"/>
            <w:vAlign w:val="bottom"/>
            <w:gridSpan w:val="2"/>
          </w:tcPr>
          <w:p>
            <w:pPr>
              <w:ind w:left="520"/>
              <w:spacing w:after="0"/>
              <w:rPr>
                <w:sz w:val="20"/>
                <w:szCs w:val="20"/>
                <w:color w:val="auto"/>
              </w:rPr>
            </w:pPr>
            <w:r>
              <w:rPr>
                <w:rFonts w:ascii="Arial" w:cs="Arial" w:eastAsia="Arial" w:hAnsi="Arial"/>
                <w:sz w:val="18"/>
                <w:szCs w:val="18"/>
                <w:color w:val="auto"/>
                <w:w w:val="94"/>
              </w:rPr>
              <w:t>Consent of Independent Registered Public Accounting Firm.</w:t>
            </w:r>
          </w:p>
        </w:tc>
      </w:tr>
    </w:tbl>
    <w:p>
      <w:pPr>
        <w:sectPr>
          <w:pgSz w:w="11900" w:h="16884" w:orient="portrait"/>
          <w:cols w:equalWidth="0" w:num="1">
            <w:col w:w="11420"/>
          </w:cols>
          <w:pgMar w:left="240" w:top="337"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4440" w:type="dxa"/>
            <w:vAlign w:val="bottom"/>
          </w:tcPr>
          <w:p>
            <w:pPr>
              <w:ind w:left="960"/>
              <w:spacing w:after="0"/>
              <w:rPr>
                <w:sz w:val="20"/>
                <w:szCs w:val="20"/>
                <w:color w:val="auto"/>
              </w:rPr>
            </w:pPr>
            <w:r>
              <w:rPr>
                <w:rFonts w:ascii="Arial" w:cs="Arial" w:eastAsia="Arial" w:hAnsi="Arial"/>
                <w:sz w:val="18"/>
                <w:szCs w:val="18"/>
                <w:color w:val="auto"/>
                <w:w w:val="94"/>
              </w:rPr>
              <w:t>Consent of Counsel (contained in Exhibit 5.1).</w:t>
            </w:r>
          </w:p>
        </w:tc>
      </w:tr>
      <w:tr>
        <w:trPr>
          <w:trHeight w:val="432"/>
        </w:trPr>
        <w:tc>
          <w:tcPr>
            <w:tcW w:w="7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4440" w:type="dxa"/>
            <w:vAlign w:val="bottom"/>
          </w:tcPr>
          <w:p>
            <w:pPr>
              <w:ind w:left="960"/>
              <w:spacing w:after="0"/>
              <w:rPr>
                <w:sz w:val="20"/>
                <w:szCs w:val="20"/>
                <w:color w:val="auto"/>
              </w:rPr>
            </w:pPr>
            <w:r>
              <w:rPr>
                <w:rFonts w:ascii="Arial" w:cs="Arial" w:eastAsia="Arial" w:hAnsi="Arial"/>
                <w:sz w:val="18"/>
                <w:szCs w:val="18"/>
                <w:color w:val="auto"/>
                <w:w w:val="90"/>
              </w:rPr>
              <w:t>Power of Attorney (included on signature page).</w:t>
            </w:r>
          </w:p>
        </w:tc>
      </w:tr>
      <w:tr>
        <w:trPr>
          <w:trHeight w:val="432"/>
        </w:trPr>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Item 9.</w:t>
            </w:r>
          </w:p>
        </w:tc>
        <w:tc>
          <w:tcPr>
            <w:tcW w:w="4440" w:type="dxa"/>
            <w:vAlign w:val="bottom"/>
          </w:tcPr>
          <w:p>
            <w:pPr>
              <w:ind w:left="100"/>
              <w:spacing w:after="0"/>
              <w:rPr>
                <w:sz w:val="20"/>
                <w:szCs w:val="20"/>
                <w:color w:val="auto"/>
              </w:rPr>
            </w:pPr>
            <w:r>
              <w:rPr>
                <w:rFonts w:ascii="Arial" w:cs="Arial" w:eastAsia="Arial" w:hAnsi="Arial"/>
                <w:sz w:val="18"/>
                <w:szCs w:val="18"/>
                <w:b w:val="1"/>
                <w:bCs w:val="1"/>
                <w:color w:val="auto"/>
              </w:rPr>
              <w:t>Undertakings.</w:t>
            </w:r>
          </w:p>
        </w:tc>
      </w:tr>
    </w:tbl>
    <w:p>
      <w:pPr>
        <w:spacing w:after="0" w:line="202"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620" w:hanging="667"/>
        <w:spacing w:after="0"/>
        <w:tabs>
          <w:tab w:leader="none" w:pos="2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40" w:firstLine="653"/>
        <w:spacing w:after="0" w:line="293" w:lineRule="auto"/>
        <w:tabs>
          <w:tab w:leader="none" w:pos="2627"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offering price set forth in the “Calculation of Registration Fee” table in the effective Registration Statement;</w:t>
      </w:r>
    </w:p>
    <w:p>
      <w:pPr>
        <w:spacing w:after="0" w:line="225" w:lineRule="exact"/>
        <w:rPr>
          <w:sz w:val="20"/>
          <w:szCs w:val="20"/>
          <w:color w:val="auto"/>
        </w:rPr>
      </w:pPr>
    </w:p>
    <w:p>
      <w:pPr>
        <w:ind w:left="1300" w:right="240" w:firstLine="653"/>
        <w:spacing w:after="0" w:line="277" w:lineRule="auto"/>
        <w:tabs>
          <w:tab w:leader="none" w:pos="26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periodic reports filed with or furnished to the Securities and Exchange Commission by the Company pursuant to Section 13 or Section 15(d) of the Exchange Act that are incorporated by reference in the Registration Statement.</w:t>
      </w:r>
    </w:p>
    <w:p>
      <w:pPr>
        <w:spacing w:after="0" w:line="147" w:lineRule="exact"/>
        <w:rPr>
          <w:sz w:val="20"/>
          <w:szCs w:val="20"/>
          <w:color w:val="auto"/>
        </w:rPr>
      </w:pPr>
    </w:p>
    <w:p>
      <w:pPr>
        <w:ind w:left="660" w:right="20" w:firstLine="645"/>
        <w:spacing w:after="0" w:line="264" w:lineRule="auto"/>
        <w:tabs>
          <w:tab w:leader="none" w:pos="19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80" w:firstLine="656"/>
        <w:spacing w:after="0" w:line="257"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firstLine="656"/>
        <w:spacing w:after="0" w:line="254" w:lineRule="auto"/>
        <w:tabs>
          <w:tab w:leader="none" w:pos="93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2004.</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W. G. Stover, Jr.</w:t>
      </w:r>
    </w:p>
    <w:p>
      <w:pPr>
        <w:spacing w:after="0" w:line="23" w:lineRule="exact"/>
        <w:rPr>
          <w:sz w:val="20"/>
          <w:szCs w:val="20"/>
          <w:color w:val="auto"/>
        </w:rPr>
      </w:pPr>
    </w:p>
    <w:p>
      <w:pPr>
        <w:ind w:left="738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-130810</wp:posOffset>
            </wp:positionV>
            <wp:extent cx="256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302"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128905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Steven R. Appleton and W.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520" w:type="dxa"/>
            <w:vAlign w:val="bottom"/>
          </w:tcPr>
          <w:p>
            <w:pPr>
              <w:spacing w:after="0"/>
              <w:rPr>
                <w:sz w:val="14"/>
                <w:szCs w:val="14"/>
                <w:color w:val="auto"/>
              </w:rPr>
            </w:pPr>
          </w:p>
        </w:tc>
        <w:tc>
          <w:tcPr>
            <w:tcW w:w="33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3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Steven R. Appleton</w:t>
            </w: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Chairman of the Board, Chief</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Steven R. Appleton</w:t>
            </w: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0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Executive Officer and President</w:t>
            </w:r>
          </w:p>
        </w:tc>
        <w:tc>
          <w:tcPr>
            <w:tcW w:w="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(Principal Executive Officer)</w:t>
            </w:r>
          </w:p>
        </w:tc>
        <w:tc>
          <w:tcPr>
            <w:tcW w:w="3860" w:type="dxa"/>
            <w:vAlign w:val="bottom"/>
            <w:gridSpan w:val="2"/>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G. Stover, Jr.</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Vice President of Finance and</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W. G. Stover, Jr.</w:t>
            </w: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00" w:type="dxa"/>
            <w:vAlign w:val="bottom"/>
            <w:gridSpan w:val="2"/>
          </w:tcPr>
          <w:p>
            <w:pPr>
              <w:ind w:left="360"/>
              <w:spacing w:after="0" w:line="195" w:lineRule="exact"/>
              <w:rPr>
                <w:sz w:val="20"/>
                <w:szCs w:val="20"/>
                <w:color w:val="auto"/>
              </w:rPr>
            </w:pPr>
            <w:r>
              <w:rPr>
                <w:rFonts w:ascii="Arial" w:cs="Arial" w:eastAsia="Arial" w:hAnsi="Arial"/>
                <w:sz w:val="18"/>
                <w:szCs w:val="18"/>
                <w:color w:val="auto"/>
              </w:rPr>
              <w:t>Chief Financial Officer (Principal</w:t>
            </w:r>
          </w:p>
        </w:tc>
        <w:tc>
          <w:tcPr>
            <w:tcW w:w="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Financial and Accounting Officer)</w:t>
            </w:r>
          </w:p>
        </w:tc>
        <w:tc>
          <w:tcPr>
            <w:tcW w:w="3860" w:type="dxa"/>
            <w:vAlign w:val="bottom"/>
            <w:gridSpan w:val="2"/>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 James W. Bagley</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Ronald C. Foster</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Ronald C. Foster</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Robert A. Lothrop</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gridSpan w:val="4"/>
          </w:tcPr>
          <w:p>
            <w:pPr>
              <w:spacing w:after="0"/>
              <w:rPr>
                <w:sz w:val="20"/>
                <w:szCs w:val="20"/>
                <w:color w:val="auto"/>
              </w:rPr>
            </w:pPr>
            <w:r>
              <w:rPr>
                <w:rFonts w:ascii="Arial" w:cs="Arial" w:eastAsia="Arial" w:hAnsi="Arial"/>
                <w:sz w:val="18"/>
                <w:szCs w:val="18"/>
                <w:color w:val="auto"/>
              </w:rPr>
              <w:t>/s/ Thomas T. Nicholson</w:t>
            </w: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Thomas T. Nicholson</w:t>
            </w:r>
          </w:p>
        </w:tc>
        <w:tc>
          <w:tcPr>
            <w:tcW w:w="12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Gordon C. Smith</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William P. Weber</w:t>
            </w:r>
          </w:p>
        </w:tc>
        <w:tc>
          <w:tcPr>
            <w:tcW w:w="12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Director</w:t>
            </w:r>
          </w:p>
        </w:tc>
        <w:tc>
          <w:tcPr>
            <w:tcW w:w="3860" w:type="dxa"/>
            <w:vAlign w:val="bottom"/>
            <w:gridSpan w:val="2"/>
            <w:vMerge w:val="restart"/>
          </w:tcPr>
          <w:p>
            <w:pPr>
              <w:ind w:left="520"/>
              <w:spacing w:after="0"/>
              <w:rPr>
                <w:sz w:val="20"/>
                <w:szCs w:val="20"/>
                <w:color w:val="auto"/>
              </w:rPr>
            </w:pPr>
            <w:r>
              <w:rPr>
                <w:rFonts w:ascii="Arial" w:cs="Arial" w:eastAsia="Arial" w:hAnsi="Arial"/>
                <w:sz w:val="18"/>
                <w:szCs w:val="18"/>
                <w:color w:val="auto"/>
              </w:rPr>
              <w:t>November 18,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gridSpan w:val="2"/>
          </w:tcPr>
          <w:p>
            <w:pPr>
              <w:ind w:left="200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0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Arial" w:cs="Arial" w:eastAsia="Arial" w:hAnsi="Arial"/>
                <w:sz w:val="18"/>
                <w:szCs w:val="18"/>
                <w:b w:val="1"/>
                <w:bCs w:val="1"/>
                <w:color w:val="auto"/>
              </w:rPr>
              <w:t>EXHIBIT INDEX</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59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Micron Technology, Inc. 2004 Equity Incentive Plan.</w:t>
            </w:r>
          </w:p>
        </w:tc>
        <w:tc>
          <w:tcPr>
            <w:tcW w:w="52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Micron Technology, Inc. 1989 Employee Stock Purchase Plan.</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Opinion of Counsel.</w:t>
            </w:r>
          </w:p>
        </w:tc>
        <w:tc>
          <w:tcPr>
            <w:tcW w:w="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Consent of Counsel (contained in Exhibit 5.1).</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Arial" w:cs="Arial" w:eastAsia="Arial" w:hAnsi="Arial"/>
                <w:sz w:val="18"/>
                <w:szCs w:val="18"/>
                <w:color w:val="auto"/>
              </w:rPr>
              <w:t>Power of Attorney (included on signature page).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-2689860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-2689860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w:t>
      </w:r>
      <w:r>
        <w:rPr>
          <w:rFonts w:ascii="Arial" w:cs="Arial" w:eastAsia="Arial" w:hAnsi="Arial"/>
          <w:sz w:val="16"/>
          <w:szCs w:val="16"/>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1" w:lineRule="exact"/>
        <w:rPr>
          <w:sz w:val="20"/>
          <w:szCs w:val="20"/>
          <w:color w:val="auto"/>
        </w:rPr>
      </w:pPr>
    </w:p>
    <w:p>
      <w:pPr>
        <w:ind w:left="660" w:right="440" w:firstLine="645"/>
        <w:spacing w:after="0" w:line="277" w:lineRule="auto"/>
        <w:tabs>
          <w:tab w:leader="none" w:pos="19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64" w:val="left"/>
        </w:tabs>
        <w:numPr>
          <w:ilvl w:val="0"/>
          <w:numId w:val="7"/>
        </w:numPr>
        <w:rPr>
          <w:rFonts w:ascii="Arial" w:cs="Arial" w:eastAsia="Arial" w:hAnsi="Arial"/>
          <w:sz w:val="17"/>
          <w:szCs w:val="17"/>
          <w:color w:val="auto"/>
        </w:rPr>
      </w:pPr>
      <w:r>
        <w:rPr>
          <w:rFonts w:ascii="Arial" w:cs="Arial" w:eastAsia="Arial" w:hAnsi="Arial"/>
          <w:sz w:val="17"/>
          <w:szCs w:val="17"/>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46" w:lineRule="exact"/>
        <w:rPr>
          <w:rFonts w:ascii="Arial" w:cs="Arial" w:eastAsia="Arial" w:hAnsi="Arial"/>
          <w:sz w:val="17"/>
          <w:szCs w:val="17"/>
          <w:color w:val="auto"/>
        </w:rPr>
      </w:pPr>
    </w:p>
    <w:p>
      <w:pPr>
        <w:jc w:val="both"/>
        <w:ind w:left="660" w:right="20" w:firstLine="645"/>
        <w:spacing w:after="0" w:line="264" w:lineRule="auto"/>
        <w:tabs>
          <w:tab w:leader="none" w:pos="19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1300" w:right="20" w:firstLine="653"/>
        <w:spacing w:after="0" w:line="291" w:lineRule="auto"/>
        <w:tabs>
          <w:tab w:leader="none" w:pos="2618"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300" w:right="60" w:firstLine="653"/>
        <w:spacing w:after="0" w:line="291" w:lineRule="auto"/>
        <w:tabs>
          <w:tab w:leader="none" w:pos="2627"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67" w:lineRule="exact"/>
        <w:rPr>
          <w:rFonts w:ascii="Arial" w:cs="Arial" w:eastAsia="Arial" w:hAnsi="Arial"/>
          <w:sz w:val="16"/>
          <w:szCs w:val="16"/>
          <w:color w:val="auto"/>
        </w:rPr>
      </w:pPr>
    </w:p>
    <w:p>
      <w:pPr>
        <w:ind w:left="1300" w:right="40" w:firstLine="653"/>
        <w:spacing w:after="0" w:line="285" w:lineRule="auto"/>
        <w:tabs>
          <w:tab w:leader="none" w:pos="263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2" w:lineRule="exact"/>
        <w:rPr>
          <w:rFonts w:ascii="Arial" w:cs="Arial" w:eastAsia="Arial" w:hAnsi="Arial"/>
          <w:sz w:val="16"/>
          <w:szCs w:val="16"/>
          <w:color w:val="auto"/>
        </w:rPr>
      </w:pPr>
    </w:p>
    <w:p>
      <w:pPr>
        <w:ind w:left="2620" w:hanging="667"/>
        <w:spacing w:after="0"/>
        <w:tabs>
          <w:tab w:leader="none" w:pos="2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-4188460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5" w:name="page6"/>
    <w:bookmarkEnd w:id="5"/>
    <w:p>
      <w:pPr>
        <w:ind w:left="1320" w:hanging="675"/>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color w:val="auto"/>
        </w:rPr>
      </w:pPr>
    </w:p>
    <w:p>
      <w:pPr>
        <w:ind w:left="1300" w:hanging="65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40" w:firstLine="645"/>
        <w:spacing w:after="0" w:line="297" w:lineRule="auto"/>
        <w:tabs>
          <w:tab w:leader="none" w:pos="1318"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167640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58" w:lineRule="exact"/>
        <w:rPr>
          <w:sz w:val="20"/>
          <w:szCs w:val="20"/>
          <w:color w:val="auto"/>
        </w:rPr>
      </w:pPr>
    </w:p>
    <w:p>
      <w:pPr>
        <w:ind w:left="1320" w:hanging="67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ind w:right="100" w:firstLine="645"/>
        <w:spacing w:after="0" w:line="255" w:lineRule="auto"/>
        <w:tabs>
          <w:tab w:leader="none" w:pos="1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18"/>
          <w:szCs w:val="18"/>
          <w:color w:val="auto"/>
        </w:rPr>
      </w:pPr>
    </w:p>
    <w:p>
      <w:pPr>
        <w:ind w:left="1320" w:hanging="67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25" w:lineRule="exact"/>
        <w:rPr>
          <w:rFonts w:ascii="Arial" w:cs="Arial" w:eastAsia="Arial" w:hAnsi="Arial"/>
          <w:sz w:val="18"/>
          <w:szCs w:val="18"/>
          <w:color w:val="auto"/>
        </w:rPr>
      </w:pPr>
    </w:p>
    <w:p>
      <w:pPr>
        <w:ind w:right="220" w:firstLine="645"/>
        <w:spacing w:after="0" w:line="277"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70" w:lineRule="exact"/>
        <w:rPr>
          <w:rFonts w:ascii="Arial" w:cs="Arial" w:eastAsia="Arial" w:hAnsi="Arial"/>
          <w:sz w:val="18"/>
          <w:szCs w:val="18"/>
          <w:color w:val="auto"/>
        </w:rPr>
      </w:pPr>
    </w:p>
    <w:p>
      <w:pPr>
        <w:ind w:firstLine="645"/>
        <w:spacing w:after="0" w:line="291"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or (iii) in the absence of an established market for the Stock, the Fair Market Value shall be determined in good faith by the Committee.</w:t>
      </w:r>
    </w:p>
    <w:p>
      <w:pPr>
        <w:spacing w:after="0" w:line="167" w:lineRule="exact"/>
        <w:rPr>
          <w:rFonts w:ascii="Arial" w:cs="Arial" w:eastAsia="Arial" w:hAnsi="Arial"/>
          <w:sz w:val="16"/>
          <w:szCs w:val="16"/>
          <w:color w:val="auto"/>
        </w:rPr>
      </w:pPr>
    </w:p>
    <w:p>
      <w:pPr>
        <w:ind w:left="1320" w:hanging="675"/>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48" w:lineRule="exact"/>
        <w:rPr>
          <w:rFonts w:ascii="Arial" w:cs="Arial" w:eastAsia="Arial" w:hAnsi="Arial"/>
          <w:sz w:val="16"/>
          <w:szCs w:val="16"/>
          <w:color w:val="auto"/>
        </w:rPr>
      </w:pPr>
    </w:p>
    <w:p>
      <w:pPr>
        <w:ind w:right="200" w:firstLine="645"/>
        <w:spacing w:after="0" w:line="264" w:lineRule="auto"/>
        <w:tabs>
          <w:tab w:leader="none" w:pos="1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“Incentive Stock Option” means an Option that is intended to be an incentive stock option and meets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422 of the Code or any successor provision thereto.</w:t>
      </w:r>
    </w:p>
    <w:p>
      <w:pPr>
        <w:spacing w:after="0" w:line="211" w:lineRule="exact"/>
        <w:rPr>
          <w:sz w:val="20"/>
          <w:szCs w:val="20"/>
          <w:color w:val="auto"/>
        </w:rPr>
      </w:pPr>
    </w:p>
    <w:p>
      <w:pPr>
        <w:ind w:left="1300" w:hanging="655"/>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3" w:lineRule="exact"/>
        <w:rPr>
          <w:rFonts w:ascii="Arial" w:cs="Arial" w:eastAsia="Arial" w:hAnsi="Arial"/>
          <w:sz w:val="16"/>
          <w:szCs w:val="16"/>
          <w:color w:val="auto"/>
        </w:rPr>
      </w:pPr>
    </w:p>
    <w:p>
      <w:pPr>
        <w:ind w:left="1300" w:hanging="65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right="160" w:firstLine="645"/>
        <w:spacing w:after="0" w:line="277" w:lineRule="auto"/>
        <w:tabs>
          <w:tab w:leader="none" w:pos="1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0" w:lineRule="exact"/>
        <w:rPr>
          <w:rFonts w:ascii="Arial" w:cs="Arial" w:eastAsia="Arial" w:hAnsi="Arial"/>
          <w:sz w:val="18"/>
          <w:szCs w:val="18"/>
          <w:color w:val="auto"/>
        </w:rPr>
      </w:pPr>
    </w:p>
    <w:p>
      <w:pPr>
        <w:ind w:right="360" w:firstLine="645"/>
        <w:spacing w:after="0" w:line="277" w:lineRule="auto"/>
        <w:tabs>
          <w:tab w:leader="none" w:pos="13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70" w:lineRule="exact"/>
        <w:rPr>
          <w:rFonts w:ascii="Arial" w:cs="Arial" w:eastAsia="Arial" w:hAnsi="Arial"/>
          <w:sz w:val="18"/>
          <w:szCs w:val="18"/>
          <w:color w:val="auto"/>
        </w:rPr>
      </w:pPr>
    </w:p>
    <w:p>
      <w:pPr>
        <w:ind w:right="80" w:firstLine="645"/>
        <w:spacing w:after="0" w:line="264"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-1892300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900" w:top="125" w:right="239" w:bottom="0" w:gutter="0" w:footer="0" w:header="0"/>
        </w:sectPr>
      </w:pPr>
    </w:p>
    <w:bookmarkStart w:id="6" w:name="page7"/>
    <w:bookmarkEnd w:id="6"/>
    <w:p>
      <w:pPr>
        <w:ind w:left="660" w:right="20" w:firstLine="645"/>
        <w:spacing w:after="0" w:line="259" w:lineRule="auto"/>
        <w:tabs>
          <w:tab w:leader="none" w:pos="19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87" w:lineRule="exact"/>
        <w:rPr>
          <w:sz w:val="20"/>
          <w:szCs w:val="20"/>
          <w:color w:val="auto"/>
        </w:rPr>
      </w:pPr>
    </w:p>
    <w:p>
      <w:pPr>
        <w:ind w:left="660" w:right="240" w:firstLine="645"/>
        <w:spacing w:after="0" w:line="342" w:lineRule="auto"/>
        <w:tabs>
          <w:tab w:leader="none" w:pos="1966" w:val="left"/>
        </w:tabs>
        <w:numPr>
          <w:ilvl w:val="1"/>
          <w:numId w:val="12"/>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25" w:lineRule="exact"/>
        <w:rPr>
          <w:rFonts w:ascii="Arial" w:cs="Arial" w:eastAsia="Arial" w:hAnsi="Arial"/>
          <w:sz w:val="18"/>
          <w:szCs w:val="18"/>
          <w:color w:val="auto"/>
        </w:rPr>
      </w:pPr>
    </w:p>
    <w:p>
      <w:pPr>
        <w:ind w:left="660" w:firstLine="645"/>
        <w:spacing w:after="0" w:line="277" w:lineRule="auto"/>
        <w:tabs>
          <w:tab w:leader="none" w:pos="19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170" w:lineRule="exact"/>
        <w:rPr>
          <w:rFonts w:ascii="Arial" w:cs="Arial" w:eastAsia="Arial" w:hAnsi="Arial"/>
          <w:sz w:val="18"/>
          <w:szCs w:val="18"/>
          <w:color w:val="auto"/>
        </w:rPr>
      </w:pPr>
    </w:p>
    <w:p>
      <w:pPr>
        <w:ind w:left="660" w:firstLine="645"/>
        <w:spacing w:after="0" w:line="308" w:lineRule="auto"/>
        <w:tabs>
          <w:tab w:leader="none" w:pos="1966" w:val="left"/>
        </w:tabs>
        <w:numPr>
          <w:ilvl w:val="1"/>
          <w:numId w:val="13"/>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46" w:lineRule="exact"/>
        <w:rPr>
          <w:rFonts w:ascii="Arial" w:cs="Arial" w:eastAsia="Arial" w:hAnsi="Arial"/>
          <w:sz w:val="17"/>
          <w:szCs w:val="17"/>
          <w:color w:val="auto"/>
        </w:rPr>
      </w:pPr>
    </w:p>
    <w:p>
      <w:pPr>
        <w:ind w:left="660" w:right="20" w:firstLine="645"/>
        <w:spacing w:after="0" w:line="277" w:lineRule="auto"/>
        <w:tabs>
          <w:tab w:leader="none" w:pos="19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10" w:lineRule="exact"/>
        <w:rPr>
          <w:rFonts w:ascii="Arial" w:cs="Arial" w:eastAsia="Arial" w:hAnsi="Arial"/>
          <w:sz w:val="16"/>
          <w:szCs w:val="16"/>
          <w:color w:val="auto"/>
        </w:rPr>
      </w:pPr>
    </w:p>
    <w:p>
      <w:pPr>
        <w:ind w:left="660" w:right="420" w:firstLine="645"/>
        <w:spacing w:after="0" w:line="264" w:lineRule="auto"/>
        <w:tabs>
          <w:tab w:leader="none" w:pos="19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87"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that are substituted for Shares or into which Shares are adjusted pursuant to Section 15.1.</w:t>
      </w:r>
    </w:p>
    <w:p>
      <w:pPr>
        <w:spacing w:after="0" w:line="225" w:lineRule="exact"/>
        <w:rPr>
          <w:sz w:val="20"/>
          <w:szCs w:val="20"/>
          <w:color w:val="auto"/>
        </w:rPr>
      </w:pPr>
    </w:p>
    <w:p>
      <w:pPr>
        <w:ind w:left="660" w:right="80" w:firstLine="645"/>
        <w:spacing w:after="0" w:line="277" w:lineRule="auto"/>
        <w:tabs>
          <w:tab w:leader="none" w:pos="19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81" w:lineRule="exact"/>
        <w:rPr>
          <w:rFonts w:ascii="Arial" w:cs="Arial" w:eastAsia="Arial" w:hAnsi="Arial"/>
          <w:sz w:val="18"/>
          <w:szCs w:val="18"/>
          <w:color w:val="auto"/>
        </w:rPr>
      </w:pPr>
    </w:p>
    <w:p>
      <w:pPr>
        <w:jc w:val="both"/>
        <w:ind w:left="660" w:right="120" w:firstLine="645"/>
        <w:spacing w:after="0" w:line="264" w:lineRule="auto"/>
        <w:tabs>
          <w:tab w:leader="none" w:pos="20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w:t>
      </w:r>
    </w:p>
    <w:p>
      <w:pPr>
        <w:sectPr>
          <w:pgSz w:w="11900" w:h="16838" w:orient="portrait"/>
          <w:cols w:equalWidth="0" w:num="1">
            <w:col w:w="11400"/>
          </w:cols>
          <w:pgMar w:left="240" w:top="341" w:right="259" w:bottom="0" w:gutter="0" w:footer="0" w:header="0"/>
        </w:sectPr>
      </w:pPr>
    </w:p>
    <w:bookmarkStart w:id="7" w:name="page8"/>
    <w:bookmarkEnd w:id="7"/>
    <w:p>
      <w:pPr>
        <w:ind w:right="160"/>
        <w:spacing w:after="0" w:line="276" w:lineRule="auto"/>
        <w:rPr>
          <w:sz w:val="20"/>
          <w:szCs w:val="20"/>
          <w:color w:val="auto"/>
        </w:rPr>
      </w:pPr>
      <w:r>
        <w:rPr>
          <w:rFonts w:ascii="Arial" w:cs="Arial" w:eastAsia="Arial" w:hAnsi="Arial"/>
          <w:sz w:val="17"/>
          <w:szCs w:val="17"/>
          <w:color w:val="auto"/>
        </w:rPr>
        <w:t>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ACTION AND INTERPRETATIONS BY THE COMMITTEE</w:t>
      </w:r>
      <w:r>
        <w:rPr>
          <w:rFonts w:ascii="Arial" w:cs="Arial" w:eastAsia="Arial" w:hAnsi="Arial"/>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Affiliate, the Company’s or an Affiliate’s independent certified public accountants, Company counsel or any executive compensation consultant or other professional retained by the Company to assist in the administration of the Plan.</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AUTHORITY OF COMMITTEE</w:t>
      </w:r>
      <w:r>
        <w:rPr>
          <w:rFonts w:ascii="Arial" w:cs="Arial" w:eastAsia="Arial" w:hAnsi="Arial"/>
          <w:sz w:val="16"/>
          <w:szCs w:val="16"/>
          <w:color w:val="auto"/>
        </w:rPr>
        <w:t>. Except as provided below, the Committee has the exclusive power, authority and discretion to:</w:t>
      </w:r>
    </w:p>
    <w:p>
      <w:pPr>
        <w:spacing w:after="0" w:line="225"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36" w:lineRule="exact"/>
        <w:rPr>
          <w:rFonts w:ascii="Arial" w:cs="Arial" w:eastAsia="Arial" w:hAnsi="Arial"/>
          <w:sz w:val="17"/>
          <w:szCs w:val="17"/>
          <w:color w:val="auto"/>
        </w:rPr>
      </w:pPr>
    </w:p>
    <w:p>
      <w:pPr>
        <w:ind w:left="660" w:right="240" w:firstLine="645"/>
        <w:spacing w:after="0" w:line="259" w:lineRule="auto"/>
        <w:tabs>
          <w:tab w:leader="none" w:pos="19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6" w:lineRule="exact"/>
        <w:rPr>
          <w:rFonts w:ascii="Arial" w:cs="Arial" w:eastAsia="Arial" w:hAnsi="Arial"/>
          <w:sz w:val="18"/>
          <w:szCs w:val="18"/>
          <w:color w:val="auto"/>
        </w:rPr>
      </w:pPr>
    </w:p>
    <w:p>
      <w:pPr>
        <w:ind w:left="660" w:right="300" w:firstLine="645"/>
        <w:spacing w:after="0" w:line="277" w:lineRule="auto"/>
        <w:tabs>
          <w:tab w:leader="none" w:pos="19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70" w:lineRule="exact"/>
        <w:rPr>
          <w:rFonts w:ascii="Arial" w:cs="Arial" w:eastAsia="Arial" w:hAnsi="Arial"/>
          <w:sz w:val="18"/>
          <w:szCs w:val="18"/>
          <w:color w:val="auto"/>
        </w:rPr>
      </w:pPr>
    </w:p>
    <w:p>
      <w:pPr>
        <w:ind w:left="660" w:right="200" w:firstLine="645"/>
        <w:spacing w:after="0" w:line="308" w:lineRule="auto"/>
        <w:tabs>
          <w:tab w:leader="none" w:pos="1964"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60" w:right="660" w:firstLine="645"/>
        <w:spacing w:after="0" w:line="277" w:lineRule="auto"/>
        <w:tabs>
          <w:tab w:leader="none" w:pos="19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ind w:left="660" w:right="280" w:firstLine="645"/>
        <w:spacing w:after="0" w:line="264" w:lineRule="auto"/>
        <w:tabs>
          <w:tab w:leader="none" w:pos="19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ectPr>
          <w:pgSz w:w="11900" w:h="16838" w:orient="portrait"/>
          <w:cols w:equalWidth="0" w:num="1">
            <w:col w:w="11380"/>
          </w:cols>
          <w:pgMar w:left="240" w:top="125" w:right="27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14,000,000;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SHARE COUNTING</w:t>
      </w:r>
      <w:r>
        <w:rPr>
          <w:rFonts w:ascii="Arial" w:cs="Arial" w:eastAsia="Arial" w:hAnsi="Arial"/>
          <w:sz w:val="17"/>
          <w:szCs w:val="17"/>
          <w:color w:val="auto"/>
        </w:rPr>
        <w:t>.</w:t>
      </w:r>
    </w:p>
    <w:p>
      <w:pPr>
        <w:spacing w:after="0" w:line="225" w:lineRule="exact"/>
        <w:rPr>
          <w:sz w:val="20"/>
          <w:szCs w:val="20"/>
          <w:color w:val="auto"/>
        </w:rPr>
      </w:pPr>
    </w:p>
    <w:p>
      <w:pPr>
        <w:ind w:left="1960" w:right="240" w:hanging="655"/>
        <w:spacing w:after="0" w:line="277" w:lineRule="auto"/>
        <w:tabs>
          <w:tab w:leader="none" w:pos="1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236" w:lineRule="exact"/>
        <w:rPr>
          <w:rFonts w:ascii="Arial" w:cs="Arial" w:eastAsia="Arial" w:hAnsi="Arial"/>
          <w:sz w:val="17"/>
          <w:szCs w:val="17"/>
          <w:color w:val="auto"/>
        </w:rPr>
      </w:pPr>
    </w:p>
    <w:p>
      <w:pPr>
        <w:ind w:left="1960" w:right="160" w:hanging="655"/>
        <w:spacing w:after="0" w:line="259" w:lineRule="auto"/>
        <w:tabs>
          <w:tab w:leader="none" w:pos="1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86" w:lineRule="exact"/>
        <w:rPr>
          <w:rFonts w:ascii="Arial" w:cs="Arial" w:eastAsia="Arial" w:hAnsi="Arial"/>
          <w:sz w:val="18"/>
          <w:szCs w:val="18"/>
          <w:color w:val="auto"/>
        </w:rPr>
      </w:pPr>
    </w:p>
    <w:p>
      <w:pPr>
        <w:ind w:left="1960" w:hanging="655"/>
        <w:spacing w:after="0" w:line="257" w:lineRule="auto"/>
        <w:tabs>
          <w:tab w:leader="none" w:pos="1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left="660" w:right="52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under an Option shall be determined by the Committee; provided that the exercise price for any Option shall not be less than the Fair Market Value as of the Grant Date.</w:t>
      </w:r>
    </w:p>
    <w:p>
      <w:pPr>
        <w:spacing w:after="0" w:line="170" w:lineRule="exact"/>
        <w:rPr>
          <w:rFonts w:ascii="Arial" w:cs="Arial" w:eastAsia="Arial" w:hAnsi="Arial"/>
          <w:sz w:val="18"/>
          <w:szCs w:val="18"/>
          <w:color w:val="auto"/>
        </w:rPr>
      </w:pPr>
    </w:p>
    <w:p>
      <w:pPr>
        <w:ind w:left="660" w:firstLine="645"/>
        <w:spacing w:after="0" w:line="255"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3" w:lineRule="exact"/>
        <w:rPr>
          <w:rFonts w:ascii="Arial" w:cs="Arial" w:eastAsia="Arial" w:hAnsi="Arial"/>
          <w:sz w:val="18"/>
          <w:szCs w:val="18"/>
          <w:color w:val="auto"/>
        </w:rPr>
      </w:pPr>
    </w:p>
    <w:p>
      <w:pPr>
        <w:ind w:left="660" w:right="40" w:firstLine="645"/>
        <w:spacing w:after="0" w:line="276" w:lineRule="auto"/>
        <w:tabs>
          <w:tab w:leader="none" w:pos="196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TERM</w:t>
      </w:r>
      <w:r>
        <w:rPr>
          <w:rFonts w:ascii="Arial" w:cs="Arial" w:eastAsia="Arial" w:hAnsi="Arial"/>
          <w:sz w:val="18"/>
          <w:szCs w:val="18"/>
          <w:color w:val="auto"/>
        </w:rPr>
        <w:t>. In no event may any Option be exercisable for more than ten years from the Grant Date.</w:t>
      </w:r>
    </w:p>
    <w:p>
      <w:pPr>
        <w:spacing w:after="0" w:line="225" w:lineRule="exact"/>
        <w:rPr>
          <w:rFonts w:ascii="Arial" w:cs="Arial" w:eastAsia="Arial" w:hAnsi="Arial"/>
          <w:sz w:val="18"/>
          <w:szCs w:val="18"/>
          <w:color w:val="auto"/>
        </w:rPr>
      </w:pPr>
    </w:p>
    <w:p>
      <w:pPr>
        <w:ind w:left="660" w:right="100" w:firstLine="645"/>
        <w:spacing w:after="0" w:line="259"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i w:val="1"/>
          <w:iCs w:val="1"/>
          <w:color w:val="auto"/>
        </w:rPr>
        <w:t>.</w:t>
      </w:r>
      <w:r>
        <w:rPr>
          <w:rFonts w:ascii="Arial" w:cs="Arial" w:eastAsia="Arial" w:hAnsi="Arial"/>
          <w:sz w:val="18"/>
          <w:szCs w:val="18"/>
          <w:color w:val="auto"/>
        </w:rPr>
        <w:t xml:space="preserve">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ectPr>
          <w:pgSz w:w="11900" w:h="16838" w:orient="portrait"/>
          <w:cols w:equalWidth="0" w:num="1">
            <w:col w:w="11400"/>
          </w:cols>
          <w:pgMar w:left="240" w:top="121" w:right="259" w:bottom="99" w:gutter="0" w:footer="0" w:header="0"/>
        </w:sectPr>
      </w:pPr>
    </w:p>
    <w:bookmarkStart w:id="9" w:name="page10"/>
    <w:bookmarkEnd w:id="9"/>
    <w:p>
      <w:pPr>
        <w:ind w:left="1960" w:hanging="655"/>
        <w:spacing w:after="0"/>
        <w:tabs>
          <w:tab w:leader="none" w:pos="19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LAPSE OF OPTION</w:t>
      </w:r>
      <w:r>
        <w:rPr>
          <w:rFonts w:ascii="Arial" w:cs="Arial" w:eastAsia="Arial" w:hAnsi="Arial"/>
          <w:sz w:val="18"/>
          <w:szCs w:val="18"/>
          <w:color w:val="auto"/>
        </w:rPr>
        <w:t>. Subject to any earlier termination provision contained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right="160"/>
        <w:spacing w:after="0" w:line="259" w:lineRule="auto"/>
        <w:rPr>
          <w:sz w:val="20"/>
          <w:szCs w:val="20"/>
          <w:color w:val="auto"/>
        </w:rPr>
      </w:pPr>
      <w:r>
        <w:rPr>
          <w:rFonts w:ascii="Arial" w:cs="Arial" w:eastAsia="Arial" w:hAnsi="Arial"/>
          <w:sz w:val="18"/>
          <w:szCs w:val="18"/>
          <w:color w:val="auto"/>
        </w:rPr>
        <w:t>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87" w:lineRule="exact"/>
        <w:rPr>
          <w:sz w:val="20"/>
          <w:szCs w:val="20"/>
          <w:color w:val="auto"/>
        </w:rPr>
      </w:pPr>
    </w:p>
    <w:p>
      <w:pPr>
        <w:ind w:left="2620" w:hanging="667"/>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25" w:lineRule="exact"/>
        <w:rPr>
          <w:rFonts w:ascii="Arial" w:cs="Arial" w:eastAsia="Arial" w:hAnsi="Arial"/>
          <w:sz w:val="18"/>
          <w:szCs w:val="18"/>
          <w:color w:val="auto"/>
        </w:rPr>
      </w:pPr>
    </w:p>
    <w:p>
      <w:pPr>
        <w:ind w:left="1300" w:right="540" w:firstLine="653"/>
        <w:spacing w:after="0" w:line="277" w:lineRule="auto"/>
        <w:tabs>
          <w:tab w:leader="none" w:pos="26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25" w:lineRule="exact"/>
        <w:rPr>
          <w:rFonts w:ascii="Arial" w:cs="Arial" w:eastAsia="Arial" w:hAnsi="Arial"/>
          <w:sz w:val="18"/>
          <w:szCs w:val="18"/>
          <w:color w:val="auto"/>
        </w:rPr>
      </w:pPr>
    </w:p>
    <w:p>
      <w:pPr>
        <w:ind w:left="1300" w:right="60" w:firstLine="653"/>
        <w:spacing w:after="0" w:line="342" w:lineRule="auto"/>
        <w:tabs>
          <w:tab w:leader="none" w:pos="2617"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24"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7" w:lineRule="exact"/>
        <w:rPr>
          <w:sz w:val="20"/>
          <w:szCs w:val="20"/>
          <w:color w:val="auto"/>
        </w:rPr>
      </w:pPr>
    </w:p>
    <w:p>
      <w:pPr>
        <w:ind w:left="660" w:right="240" w:firstLine="645"/>
        <w:spacing w:after="0" w:line="308" w:lineRule="auto"/>
        <w:tabs>
          <w:tab w:leader="none" w:pos="196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Grant Date) of all Shares with respect to which Incentive Stock Options are first exercisable by a Participant in any calendar year may not exceed $100,000.00.</w:t>
      </w:r>
    </w:p>
    <w:p>
      <w:pPr>
        <w:spacing w:after="0" w:line="146" w:lineRule="exact"/>
        <w:rPr>
          <w:rFonts w:ascii="Arial" w:cs="Arial" w:eastAsia="Arial" w:hAnsi="Arial"/>
          <w:sz w:val="17"/>
          <w:szCs w:val="17"/>
          <w:color w:val="auto"/>
        </w:rPr>
      </w:pPr>
    </w:p>
    <w:p>
      <w:pPr>
        <w:ind w:left="660" w:firstLine="645"/>
        <w:spacing w:after="0" w:line="259"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EXPIRATION OF AUTHORITY TO GRANT INCENTIVE STOCK OPTIONS</w:t>
      </w:r>
      <w:r>
        <w:rPr>
          <w:rFonts w:ascii="Arial" w:cs="Arial" w:eastAsia="Arial" w:hAnsi="Arial"/>
          <w:sz w:val="18"/>
          <w:szCs w:val="18"/>
          <w:color w:val="auto"/>
        </w:rPr>
        <w:t>. No Incentive Stock Option may be granted pursuant to the Plan after the day immediately prior to the tenth anniversary of the date the Plan was adopted by the Board, or the termination of the Plan, if earlier.</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7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 or, in the case of the Participant’s Disability, by the Participant’s guardian or legal representative.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 The Committee may not grant an Incentive Stock Option to a person who is not at the Grant Date an employee of the Company or a Parent or Subsidiary.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170" w:lineRule="exact"/>
        <w:rPr>
          <w:sz w:val="20"/>
          <w:szCs w:val="20"/>
          <w:color w:val="auto"/>
        </w:rPr>
      </w:pPr>
    </w:p>
    <w:p>
      <w:pPr>
        <w:ind w:left="660" w:right="280" w:firstLine="645"/>
        <w:spacing w:after="0" w:line="277" w:lineRule="auto"/>
        <w:tabs>
          <w:tab w:leader="none" w:pos="196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RIGHT TO PAYMENT</w:t>
      </w:r>
      <w:r>
        <w:rPr>
          <w:rFonts w:ascii="Arial" w:cs="Arial" w:eastAsia="Arial" w:hAnsi="Arial"/>
          <w:sz w:val="18"/>
          <w:szCs w:val="18"/>
          <w:color w:val="auto"/>
        </w:rPr>
        <w:t>. Upon the exercise of a Stock Appreciation Right, the Participant to whom it is granted has the right to receive the excess, if any,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2620" w:hanging="748"/>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220" w:right="340" w:firstLine="652"/>
        <w:spacing w:after="0" w:line="277" w:lineRule="auto"/>
        <w:tabs>
          <w:tab w:leader="none" w:pos="26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70" w:lineRule="exact"/>
        <w:rPr>
          <w:rFonts w:ascii="Arial" w:cs="Arial" w:eastAsia="Arial" w:hAnsi="Arial"/>
          <w:sz w:val="18"/>
          <w:szCs w:val="18"/>
          <w:color w:val="auto"/>
        </w:rPr>
      </w:pPr>
    </w:p>
    <w:p>
      <w:pPr>
        <w:jc w:val="both"/>
        <w:ind w:left="660" w:right="260" w:firstLine="645"/>
        <w:spacing w:after="0" w:line="312" w:lineRule="auto"/>
        <w:tabs>
          <w:tab w:leader="none" w:pos="196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OTHER TERMS</w:t>
      </w:r>
      <w:r>
        <w:rPr>
          <w:rFonts w:ascii="Arial" w:cs="Arial" w:eastAsia="Arial" w:hAnsi="Arial"/>
          <w:sz w:val="16"/>
          <w:szCs w:val="16"/>
          <w:color w:val="auto"/>
        </w:rPr>
        <w:t>.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-1503045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GRANT OF PERFORMANCE SHARES</w:t>
      </w:r>
      <w:r>
        <w:rPr>
          <w:rFonts w:ascii="Arial" w:cs="Arial" w:eastAsia="Arial" w:hAnsi="Arial"/>
          <w:sz w:val="16"/>
          <w:szCs w:val="16"/>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w:t>
      </w:r>
    </w:p>
    <w:p>
      <w:pPr>
        <w:sectPr>
          <w:pgSz w:w="11900" w:h="16838" w:orient="portrait"/>
          <w:cols w:equalWidth="0" w:num="1">
            <w:col w:w="11420"/>
          </w:cols>
          <w:pgMar w:left="240" w:top="125" w:right="239" w:bottom="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shall be evidenced by an Award Certificate or a written program established by the Committee, pursuant to which Performance Shares are awarded under the Plan under uniform terms, conditions and restrictions set forth in such written program.</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4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RESTRICTED STOCK AND RESTRICTED STOCK UNITS</w:t>
      </w:r>
      <w:r>
        <w:rPr>
          <w:rFonts w:ascii="Arial" w:cs="Arial" w:eastAsia="Arial" w:hAnsi="Arial"/>
          <w:sz w:val="18"/>
          <w:szCs w:val="18"/>
          <w:color w:val="auto"/>
        </w:rPr>
        <w:t>.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5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FORFEITURE</w:t>
      </w:r>
      <w:r>
        <w:rPr>
          <w:rFonts w:ascii="Arial" w:cs="Arial" w:eastAsia="Arial" w:hAnsi="Arial"/>
          <w:sz w:val="17"/>
          <w:szCs w:val="17"/>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that restrictions or forfeiture conditions relating to Restricted Stock or Restricted Stock Units will be waived in whole or in part in the event of terminations resulting from specified causes, and the Committee may in other cases waive in whole or in part restrictions or forfeiture conditions relating to Restricted Stock or Restricted Stock Units.</w:t>
      </w:r>
    </w:p>
    <w:p>
      <w:pPr>
        <w:spacing w:after="0" w:line="17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11"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GRANT OF DEFERRED STOCK UNITS</w:t>
      </w:r>
      <w:r>
        <w:rPr>
          <w:rFonts w:ascii="Arial" w:cs="Arial" w:eastAsia="Arial" w:hAnsi="Arial"/>
          <w:sz w:val="17"/>
          <w:szCs w:val="17"/>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GRANT OF DIVIDEND EQUIVALENTS</w:t>
      </w:r>
      <w:r>
        <w:rPr>
          <w:rFonts w:ascii="Arial" w:cs="Arial" w:eastAsia="Arial" w:hAnsi="Arial"/>
          <w:sz w:val="16"/>
          <w:szCs w:val="16"/>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ectPr>
          <w:pgSz w:w="11900" w:h="16838"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STAND-ALONE AND TANDEM AWARDS</w:t>
      </w:r>
      <w:r>
        <w:rPr>
          <w:rFonts w:ascii="Arial" w:cs="Arial" w:eastAsia="Arial" w:hAnsi="Arial"/>
          <w:sz w:val="17"/>
          <w:szCs w:val="17"/>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FORM OF PAYMENT FOR AWARDS</w:t>
      </w:r>
      <w:r>
        <w:rPr>
          <w:rFonts w:ascii="Arial" w:cs="Arial" w:eastAsia="Arial" w:hAnsi="Arial"/>
          <w:sz w:val="16"/>
          <w:szCs w:val="16"/>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STOCK CERTIFICATES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ACCELERATION UPON A CHANGE IN CONTROL</w:t>
      </w:r>
      <w:r>
        <w:rPr>
          <w:rFonts w:ascii="Arial" w:cs="Arial" w:eastAsia="Arial" w:hAnsi="Arial"/>
          <w:sz w:val="18"/>
          <w:szCs w:val="18"/>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ACCELERATION UPON DEATH OR DISABILITY</w:t>
      </w:r>
      <w:r>
        <w:rPr>
          <w:rFonts w:ascii="Arial" w:cs="Arial" w:eastAsia="Arial" w:hAnsi="Arial"/>
          <w:sz w:val="16"/>
          <w:szCs w:val="16"/>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6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ACCELERATION FOR ANY OTHER REASON</w:t>
      </w:r>
      <w:r>
        <w:rPr>
          <w:rFonts w:ascii="Arial" w:cs="Arial" w:eastAsia="Arial" w:hAnsi="Arial"/>
          <w:sz w:val="16"/>
          <w:szCs w:val="16"/>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ectPr>
          <w:pgSz w:w="11900" w:h="16840" w:orient="portrait"/>
          <w:cols w:equalWidth="0" w:num="1">
            <w:col w:w="11420"/>
          </w:cols>
          <w:pgMar w:left="240" w:top="125" w:right="239" w:bottom="0" w:gutter="0" w:footer="0" w:header="0"/>
        </w:sectPr>
      </w:pPr>
    </w:p>
    <w:bookmarkStart w:id="12" w:name="page13"/>
    <w:bookmarkEnd w:id="12"/>
    <w:p>
      <w:pPr>
        <w:ind w:right="20"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EFFECT OF ACCELERATION</w:t>
      </w:r>
      <w:r>
        <w:rPr>
          <w:rFonts w:ascii="Arial" w:cs="Arial" w:eastAsia="Arial" w:hAnsi="Arial"/>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QUALIFIED PERFORMANCE-BASED AWARDS</w:t>
      </w:r>
      <w:r>
        <w:rPr>
          <w:rFonts w:ascii="Arial" w:cs="Arial" w:eastAsia="Arial" w:hAnsi="Arial"/>
          <w:sz w:val="17"/>
          <w:szCs w:val="17"/>
          <w:color w:val="auto"/>
        </w:rPr>
        <w:t>.</w:t>
      </w:r>
    </w:p>
    <w:p>
      <w:pPr>
        <w:spacing w:after="0" w:line="225" w:lineRule="exact"/>
        <w:rPr>
          <w:sz w:val="20"/>
          <w:szCs w:val="20"/>
          <w:color w:val="auto"/>
        </w:rPr>
      </w:pPr>
    </w:p>
    <w:p>
      <w:pPr>
        <w:ind w:left="660" w:right="20" w:firstLine="645"/>
        <w:spacing w:after="0" w:line="264" w:lineRule="auto"/>
        <w:tabs>
          <w:tab w:leader="none" w:pos="19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98" w:lineRule="exact"/>
        <w:rPr>
          <w:sz w:val="20"/>
          <w:szCs w:val="20"/>
          <w:color w:val="auto"/>
        </w:rPr>
      </w:pPr>
    </w:p>
    <w:p>
      <w:pPr>
        <w:ind w:left="1940" w:hanging="635"/>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ind w:left="1940" w:hanging="635"/>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1940" w:hanging="635"/>
        <w:spacing w:after="0" w:line="231" w:lineRule="auto"/>
        <w:tabs>
          <w:tab w:leader="none" w:pos="1940" w:val="left"/>
        </w:tabs>
        <w:numPr>
          <w:ilvl w:val="0"/>
          <w:numId w:val="25"/>
        </w:numPr>
        <w:rPr>
          <w:rFonts w:ascii="Arial" w:cs="Arial" w:eastAsia="Arial" w:hAnsi="Arial"/>
          <w:sz w:val="21"/>
          <w:szCs w:val="21"/>
          <w:color w:val="auto"/>
        </w:rPr>
      </w:pPr>
      <w:r>
        <w:rPr>
          <w:rFonts w:ascii="Arial" w:cs="Arial" w:eastAsia="Arial" w:hAnsi="Arial"/>
          <w:sz w:val="17"/>
          <w:szCs w:val="17"/>
          <w:color w:val="auto"/>
        </w:rPr>
        <w:t>Earnings, including before interest, taxes, depreciation and amortization (whether in the aggregate or on a per share basis</w:t>
      </w:r>
    </w:p>
    <w:p>
      <w:pPr>
        <w:spacing w:after="0" w:line="10" w:lineRule="exact"/>
        <w:rPr>
          <w:rFonts w:ascii="Arial" w:cs="Arial" w:eastAsia="Arial" w:hAnsi="Arial"/>
          <w:sz w:val="21"/>
          <w:szCs w:val="21"/>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12" w:lineRule="exact"/>
        <w:rPr>
          <w:rFonts w:ascii="Arial" w:cs="Arial" w:eastAsia="Arial" w:hAnsi="Arial"/>
          <w:sz w:val="22"/>
          <w:szCs w:val="22"/>
          <w:color w:val="auto"/>
        </w:rPr>
      </w:pPr>
    </w:p>
    <w:p>
      <w:pPr>
        <w:ind w:left="1960" w:right="840" w:hanging="655"/>
        <w:spacing w:after="0" w:line="232" w:lineRule="auto"/>
        <w:tabs>
          <w:tab w:leader="none" w:pos="19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4" w:lineRule="exact"/>
        <w:rPr>
          <w:rFonts w:ascii="Arial" w:cs="Arial" w:eastAsia="Arial" w:hAnsi="Arial"/>
          <w:sz w:val="22"/>
          <w:szCs w:val="22"/>
          <w:color w:val="auto"/>
        </w:rPr>
      </w:pPr>
    </w:p>
    <w:p>
      <w:pPr>
        <w:ind w:left="1960" w:right="120" w:hanging="655"/>
        <w:spacing w:after="0" w:line="232" w:lineRule="auto"/>
        <w:tabs>
          <w:tab w:leader="none" w:pos="19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1940" w:hanging="635"/>
        <w:spacing w:after="0" w:line="230"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pacing w:after="0" w:line="12" w:lineRule="exact"/>
        <w:rPr>
          <w:rFonts w:ascii="Arial" w:cs="Arial" w:eastAsia="Arial" w:hAnsi="Arial"/>
          <w:sz w:val="22"/>
          <w:szCs w:val="22"/>
          <w:color w:val="auto"/>
        </w:rPr>
      </w:pPr>
    </w:p>
    <w:p>
      <w:pPr>
        <w:ind w:left="1960" w:right="400" w:hanging="655"/>
        <w:spacing w:after="0" w:line="238" w:lineRule="auto"/>
        <w:tabs>
          <w:tab w:leader="none" w:pos="19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3" w:lineRule="exact"/>
        <w:rPr>
          <w:sz w:val="20"/>
          <w:szCs w:val="20"/>
          <w:color w:val="auto"/>
        </w:rPr>
      </w:pPr>
    </w:p>
    <w:p>
      <w:pPr>
        <w:ind w:left="660" w:right="10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5" w:lineRule="exact"/>
        <w:rPr>
          <w:sz w:val="20"/>
          <w:szCs w:val="20"/>
          <w:color w:val="auto"/>
        </w:rPr>
      </w:pPr>
    </w:p>
    <w:p>
      <w:pPr>
        <w:ind w:left="660" w:right="80" w:firstLine="645"/>
        <w:spacing w:after="0" w:line="272" w:lineRule="auto"/>
        <w:tabs>
          <w:tab w:leader="none" w:pos="19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7" w:lineRule="exact"/>
        <w:rPr>
          <w:rFonts w:ascii="Arial" w:cs="Arial" w:eastAsia="Arial" w:hAnsi="Arial"/>
          <w:sz w:val="17"/>
          <w:szCs w:val="17"/>
          <w:color w:val="auto"/>
        </w:rPr>
      </w:pPr>
    </w:p>
    <w:p>
      <w:pPr>
        <w:ind w:left="660" w:firstLine="645"/>
        <w:spacing w:after="0" w:line="254"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92" w:lineRule="exact"/>
        <w:rPr>
          <w:rFonts w:ascii="Arial" w:cs="Arial" w:eastAsia="Arial" w:hAnsi="Arial"/>
          <w:sz w:val="18"/>
          <w:szCs w:val="18"/>
          <w:color w:val="auto"/>
        </w:rPr>
      </w:pPr>
    </w:p>
    <w:p>
      <w:pPr>
        <w:ind w:left="660" w:right="160" w:firstLine="645"/>
        <w:spacing w:after="0" w:line="312" w:lineRule="auto"/>
        <w:tabs>
          <w:tab w:leader="none" w:pos="19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56" w:gutter="0" w:footer="0" w:header="0"/>
        </w:sectPr>
      </w:pPr>
    </w:p>
    <w:bookmarkStart w:id="13" w:name="page14"/>
    <w:bookmarkEnd w:id="13"/>
    <w:p>
      <w:pPr>
        <w:ind w:left="660" w:right="20"/>
        <w:spacing w:after="0" w:line="290" w:lineRule="auto"/>
        <w:rPr>
          <w:sz w:val="20"/>
          <w:szCs w:val="20"/>
          <w:color w:val="auto"/>
        </w:rPr>
      </w:pPr>
      <w:r>
        <w:rPr>
          <w:rFonts w:ascii="Arial" w:cs="Arial" w:eastAsia="Arial" w:hAnsi="Arial"/>
          <w:sz w:val="16"/>
          <w:szCs w:val="16"/>
          <w:color w:val="auto"/>
        </w:rPr>
        <w:t>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66" w:lineRule="exact"/>
        <w:rPr>
          <w:sz w:val="20"/>
          <w:szCs w:val="20"/>
          <w:color w:val="auto"/>
        </w:rPr>
      </w:pPr>
    </w:p>
    <w:p>
      <w:pPr>
        <w:ind w:left="660" w:right="20" w:firstLine="645"/>
        <w:spacing w:after="0" w:line="277" w:lineRule="auto"/>
        <w:tabs>
          <w:tab w:leader="none" w:pos="19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70" w:lineRule="exact"/>
        <w:rPr>
          <w:rFonts w:ascii="Arial" w:cs="Arial" w:eastAsia="Arial" w:hAnsi="Arial"/>
          <w:sz w:val="18"/>
          <w:szCs w:val="18"/>
          <w:color w:val="auto"/>
        </w:rPr>
      </w:pPr>
    </w:p>
    <w:p>
      <w:pPr>
        <w:ind w:left="660" w:right="100" w:firstLine="645"/>
        <w:spacing w:after="0" w:line="290" w:lineRule="auto"/>
        <w:tabs>
          <w:tab w:leader="none" w:pos="19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DEFERRAL</w:t>
      </w:r>
      <w:r>
        <w:rPr>
          <w:rFonts w:ascii="Arial" w:cs="Arial" w:eastAsia="Arial" w:hAnsi="Arial"/>
          <w:sz w:val="18"/>
          <w:szCs w:val="18"/>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188"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FORFEITURE EVENTS</w:t>
      </w:r>
      <w:r>
        <w:rPr>
          <w:rFonts w:ascii="Arial" w:cs="Arial" w:eastAsia="Arial" w:hAnsi="Arial"/>
          <w:sz w:val="16"/>
          <w:szCs w:val="16"/>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SUBSTITUTE AWARDS</w:t>
      </w:r>
      <w:r>
        <w:rPr>
          <w:rFonts w:ascii="Arial" w:cs="Arial" w:eastAsia="Arial" w:hAnsi="Arial"/>
          <w:sz w:val="18"/>
          <w:szCs w:val="18"/>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GENERAL</w:t>
      </w:r>
      <w:r>
        <w:rPr>
          <w:rFonts w:ascii="Arial" w:cs="Arial" w:eastAsia="Arial" w:hAnsi="Arial"/>
          <w:sz w:val="17"/>
          <w:szCs w:val="17"/>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ectPr>
          <w:pgSz w:w="11900" w:h="16838" w:orient="portrait"/>
          <w:cols w:equalWidth="0" w:num="1">
            <w:col w:w="11420"/>
          </w:cols>
          <w:pgMar w:left="240" w:top="584"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8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70" w:lineRule="exact"/>
        <w:rPr>
          <w:sz w:val="20"/>
          <w:szCs w:val="20"/>
          <w:color w:val="auto"/>
        </w:rPr>
      </w:pPr>
    </w:p>
    <w:p>
      <w:pPr>
        <w:jc w:val="both"/>
        <w:ind w:left="260" w:right="80" w:firstLine="655"/>
        <w:spacing w:after="0" w:line="302" w:lineRule="auto"/>
        <w:tabs>
          <w:tab w:leader="none" w:pos="13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1960" w:hanging="655"/>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6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70" w:lineRule="exact"/>
        <w:rPr>
          <w:rFonts w:ascii="Arial" w:cs="Arial" w:eastAsia="Arial" w:hAnsi="Arial"/>
          <w:sz w:val="18"/>
          <w:szCs w:val="18"/>
          <w:color w:val="auto"/>
        </w:rPr>
      </w:pPr>
    </w:p>
    <w:p>
      <w:pPr>
        <w:ind w:left="660" w:right="20" w:firstLine="645"/>
        <w:spacing w:after="0" w:line="297" w:lineRule="auto"/>
        <w:tabs>
          <w:tab w:leader="none" w:pos="19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-1761490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WITHHOLDING</w:t>
      </w:r>
      <w:r>
        <w:rPr>
          <w:rFonts w:ascii="Arial" w:cs="Arial" w:eastAsia="Arial" w:hAnsi="Arial"/>
          <w:sz w:val="17"/>
          <w:szCs w:val="17"/>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ectPr>
          <w:pgSz w:w="11900" w:h="16838" w:orient="portrait"/>
          <w:cols w:equalWidth="0" w:num="1">
            <w:col w:w="11400"/>
          </w:cols>
          <w:pgMar w:left="240" w:top="121" w:right="259" w:bottom="0" w:gutter="0" w:footer="0" w:header="0"/>
        </w:sectPr>
      </w:pPr>
    </w:p>
    <w:bookmarkStart w:id="15" w:name="page16"/>
    <w:bookmarkEnd w:id="15"/>
    <w:p>
      <w:pPr>
        <w:ind w:right="200" w:firstLine="648"/>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left="660" w:right="180" w:firstLine="645"/>
        <w:spacing w:after="0" w:line="276" w:lineRule="auto"/>
        <w:tabs>
          <w:tab w:leader="none" w:pos="1967"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2" w:lineRule="exact"/>
        <w:rPr>
          <w:rFonts w:ascii="Arial" w:cs="Arial" w:eastAsia="Arial" w:hAnsi="Arial"/>
          <w:sz w:val="17"/>
          <w:szCs w:val="17"/>
          <w:color w:val="auto"/>
        </w:rPr>
      </w:pPr>
    </w:p>
    <w:p>
      <w:pPr>
        <w:ind w:left="660" w:right="140" w:firstLine="645"/>
        <w:spacing w:after="0" w:line="269" w:lineRule="auto"/>
        <w:tabs>
          <w:tab w:leader="none" w:pos="19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NO LIMITATIONS ON RIGHTS OF COMPANY</w:t>
      </w:r>
      <w:r>
        <w:rPr>
          <w:rFonts w:ascii="Arial" w:cs="Arial" w:eastAsia="Arial" w:hAnsi="Arial"/>
          <w:sz w:val="16"/>
          <w:szCs w:val="16"/>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1989 EMPLOYEE STOCK PURCHASE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5" w:lineRule="exact"/>
        <w:rPr>
          <w:sz w:val="20"/>
          <w:szCs w:val="20"/>
          <w:color w:val="auto"/>
        </w:rPr>
      </w:pPr>
    </w:p>
    <w:p>
      <w:pPr>
        <w:jc w:val="both"/>
        <w:ind w:right="60" w:firstLine="656"/>
        <w:spacing w:after="0" w:line="279" w:lineRule="auto"/>
        <w:tabs>
          <w:tab w:leader="none" w:pos="131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of the Board appointed by the Board to administer the Plan, if any is appointed.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$.10 par value,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Micron Technology, Inc., a Delaware corporation.</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9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87"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7"/>
          <w:szCs w:val="17"/>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8" w:lineRule="exact"/>
        <w:rPr>
          <w:sz w:val="20"/>
          <w:szCs w:val="20"/>
          <w:color w:val="auto"/>
        </w:rPr>
      </w:pPr>
    </w:p>
    <w:p>
      <w:pPr>
        <w:ind w:right="300" w:firstLine="1305"/>
        <w:spacing w:after="0" w:line="312" w:lineRule="auto"/>
        <w:tabs>
          <w:tab w:leader="none" w:pos="19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46" w:lineRule="exact"/>
        <w:rPr>
          <w:rFonts w:ascii="Arial" w:cs="Arial" w:eastAsia="Arial" w:hAnsi="Arial"/>
          <w:sz w:val="16"/>
          <w:szCs w:val="16"/>
          <w:color w:val="auto"/>
        </w:rPr>
      </w:pPr>
    </w:p>
    <w:p>
      <w:pPr>
        <w:ind w:right="460" w:firstLine="1305"/>
        <w:spacing w:after="0" w:line="27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right="280" w:firstLine="1305"/>
        <w:spacing w:after="0" w:line="277" w:lineRule="auto"/>
        <w:tabs>
          <w:tab w:leader="none" w:pos="19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including an officer, who is continuously employed for at least twenty (20) hours per week and more than five (5) months in a calendar year by the Company or one of its Designated Subsidiaries.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day of each Offering Period.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 of the Plan.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right="20" w:firstLine="1953"/>
        <w:spacing w:after="0" w:line="302" w:lineRule="auto"/>
        <w:tabs>
          <w:tab w:leader="none" w:pos="2614"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Administrator deems reliable;</w:t>
      </w:r>
    </w:p>
    <w:p>
      <w:pPr>
        <w:spacing w:after="0" w:line="154" w:lineRule="exact"/>
        <w:rPr>
          <w:rFonts w:ascii="Arial" w:cs="Arial" w:eastAsia="Arial" w:hAnsi="Arial"/>
          <w:sz w:val="16"/>
          <w:szCs w:val="16"/>
          <w:color w:val="auto"/>
        </w:rPr>
      </w:pPr>
    </w:p>
    <w:p>
      <w:pPr>
        <w:jc w:val="both"/>
        <w:ind w:right="240" w:firstLine="1953"/>
        <w:spacing w:after="0" w:line="259" w:lineRule="auto"/>
        <w:tabs>
          <w:tab w:leader="none" w:pos="26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8"/>
          <w:szCs w:val="18"/>
          <w:i w:val="1"/>
          <w:iCs w:val="1"/>
          <w:color w:val="auto"/>
        </w:rPr>
        <w:t>Bloomberg L.P.</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three (3) months during which an option granted pursuant to the Plan may be exercised.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-3776980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7" w:name="page18"/>
    <w:bookmarkEnd w:id="17"/>
    <w:p>
      <w:pPr>
        <w:ind w:right="580" w:firstLine="1305"/>
        <w:spacing w:after="0" w:line="342" w:lineRule="auto"/>
        <w:tabs>
          <w:tab w:leader="none" w:pos="1952" w:val="left"/>
        </w:tabs>
        <w:numPr>
          <w:ilvl w:val="2"/>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national stock exchanges and Nasdaq system are open for trading.</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60" w:firstLine="1305"/>
        <w:spacing w:after="0" w:line="277" w:lineRule="auto"/>
        <w:tabs>
          <w:tab w:leader="none" w:pos="1955"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Employee as defined in paragraph 2 who is employed by the Company or any Subsidiary of the Company on a given Enrollment Date shall be eligible to participate in the Plan.</w:t>
      </w:r>
    </w:p>
    <w:p>
      <w:pPr>
        <w:spacing w:after="0" w:line="170" w:lineRule="exact"/>
        <w:rPr>
          <w:rFonts w:ascii="Arial" w:cs="Arial" w:eastAsia="Arial" w:hAnsi="Arial"/>
          <w:sz w:val="18"/>
          <w:szCs w:val="18"/>
          <w:color w:val="auto"/>
        </w:rPr>
      </w:pPr>
    </w:p>
    <w:p>
      <w:pPr>
        <w:ind w:right="80" w:firstLine="1305"/>
        <w:spacing w:after="0" w:line="293" w:lineRule="auto"/>
        <w:tabs>
          <w:tab w:leader="none" w:pos="1952"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firstLine="1305"/>
        <w:spacing w:after="0" w:line="259" w:lineRule="auto"/>
        <w:tabs>
          <w:tab w:leader="none" w:pos="1955"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86" w:lineRule="exact"/>
        <w:rPr>
          <w:rFonts w:ascii="Arial" w:cs="Arial" w:eastAsia="Arial" w:hAnsi="Arial"/>
          <w:sz w:val="18"/>
          <w:szCs w:val="18"/>
          <w:color w:val="auto"/>
        </w:rPr>
      </w:pPr>
    </w:p>
    <w:p>
      <w:pPr>
        <w:ind w:right="160" w:firstLine="656"/>
        <w:spacing w:after="0" w:line="276" w:lineRule="auto"/>
        <w:tabs>
          <w:tab w:leader="none" w:pos="131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312" w:lineRule="auto"/>
        <w:tabs>
          <w:tab w:leader="none" w:pos="1955"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146" w:lineRule="exact"/>
        <w:rPr>
          <w:rFonts w:ascii="Arial" w:cs="Arial" w:eastAsia="Arial" w:hAnsi="Arial"/>
          <w:sz w:val="16"/>
          <w:szCs w:val="16"/>
          <w:color w:val="auto"/>
        </w:rPr>
      </w:pPr>
    </w:p>
    <w:p>
      <w:pPr>
        <w:ind w:right="280" w:firstLine="1305"/>
        <w:spacing w:after="0" w:line="308" w:lineRule="auto"/>
        <w:tabs>
          <w:tab w:leader="none" w:pos="1952" w:val="left"/>
        </w:tabs>
        <w:numPr>
          <w:ilvl w:val="2"/>
          <w:numId w:val="33"/>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79" w:lineRule="auto"/>
        <w:tabs>
          <w:tab w:leader="none" w:pos="1955" w:val="left"/>
        </w:tabs>
        <w:numPr>
          <w:ilvl w:val="2"/>
          <w:numId w:val="33"/>
        </w:numPr>
        <w:rPr>
          <w:rFonts w:ascii="Arial" w:cs="Arial" w:eastAsia="Arial" w:hAnsi="Arial"/>
          <w:sz w:val="17"/>
          <w:szCs w:val="17"/>
          <w:color w:val="auto"/>
        </w:rPr>
      </w:pPr>
      <w:r>
        <w:rPr>
          <w:rFonts w:ascii="Arial" w:cs="Arial" w:eastAsia="Arial" w:hAnsi="Arial"/>
          <w:sz w:val="17"/>
          <w:szCs w:val="17"/>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1" w:lineRule="exact"/>
        <w:rPr>
          <w:rFonts w:ascii="Arial" w:cs="Arial" w:eastAsia="Arial" w:hAnsi="Arial"/>
          <w:sz w:val="17"/>
          <w:szCs w:val="17"/>
          <w:color w:val="auto"/>
        </w:rPr>
      </w:pPr>
    </w:p>
    <w:p>
      <w:pPr>
        <w:ind w:right="260" w:firstLine="1305"/>
        <w:spacing w:after="0" w:line="277" w:lineRule="auto"/>
        <w:tabs>
          <w:tab w:leader="none" w:pos="195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2"/>
          <w:numId w:val="33"/>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81" w:lineRule="exact"/>
        <w:rPr>
          <w:rFonts w:ascii="Arial" w:cs="Arial" w:eastAsia="Arial" w:hAnsi="Arial"/>
          <w:sz w:val="18"/>
          <w:szCs w:val="18"/>
          <w:color w:val="auto"/>
        </w:rPr>
      </w:pPr>
    </w:p>
    <w:p>
      <w:pPr>
        <w:ind w:right="80" w:firstLine="1305"/>
        <w:spacing w:after="0" w:line="297" w:lineRule="auto"/>
        <w:tabs>
          <w:tab w:leader="none" w:pos="1952" w:val="left"/>
        </w:tabs>
        <w:numPr>
          <w:ilvl w:val="2"/>
          <w:numId w:val="33"/>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88" w:lineRule="auto"/>
        <w:tabs>
          <w:tab w:leader="none" w:pos="1955" w:val="left"/>
        </w:tabs>
        <w:numPr>
          <w:ilvl w:val="2"/>
          <w:numId w:val="33"/>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w:t>
      </w: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eighty-five percent (85%) of the Fair Market Value of a share of the Company’s Common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-6667500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ectPr>
          <w:pgSz w:w="11900" w:h="16838" w:orient="portrait"/>
          <w:cols w:equalWidth="0" w:num="1">
            <w:col w:w="11400"/>
          </w:cols>
          <w:pgMar w:left="240" w:top="125" w:right="259" w:bottom="0" w:gutter="0" w:footer="0" w:header="0"/>
        </w:sectPr>
      </w:pPr>
    </w:p>
    <w:bookmarkStart w:id="18" w:name="page19"/>
    <w:bookmarkEnd w:id="18"/>
    <w:p>
      <w:pPr>
        <w:ind w:right="80" w:firstLine="1305"/>
        <w:spacing w:after="0" w:line="264"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w:t>
      </w:r>
    </w:p>
    <w:p>
      <w:pPr>
        <w:spacing w:after="0" w:line="181" w:lineRule="exact"/>
        <w:rPr>
          <w:rFonts w:ascii="Arial" w:cs="Arial" w:eastAsia="Arial" w:hAnsi="Arial"/>
          <w:sz w:val="18"/>
          <w:szCs w:val="18"/>
          <w:color w:val="auto"/>
        </w:rPr>
      </w:pPr>
    </w:p>
    <w:p>
      <w:pPr>
        <w:ind w:right="100" w:firstLine="656"/>
        <w:spacing w:after="0" w:line="257" w:lineRule="auto"/>
        <w:tabs>
          <w:tab w:leader="none" w:pos="131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88" w:lineRule="exact"/>
        <w:rPr>
          <w:rFonts w:ascii="Arial" w:cs="Arial" w:eastAsia="Arial" w:hAnsi="Arial"/>
          <w:sz w:val="18"/>
          <w:szCs w:val="18"/>
          <w:color w:val="auto"/>
        </w:rPr>
      </w:pPr>
    </w:p>
    <w:p>
      <w:pPr>
        <w:jc w:val="both"/>
        <w:ind w:right="40" w:firstLine="656"/>
        <w:spacing w:after="0" w:line="293" w:lineRule="auto"/>
        <w:tabs>
          <w:tab w:leader="none" w:pos="131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per Offering Period</w:t>
      </w:r>
      <w:r>
        <w:rPr>
          <w:rFonts w:ascii="Arial" w:cs="Arial" w:eastAsia="Arial" w:hAnsi="Arial"/>
          <w:sz w:val="16"/>
          <w:szCs w:val="16"/>
          <w:color w:val="auto"/>
        </w:rPr>
        <w:t>. The maximum number of shares of the Company’s Common Stock which shall be made available for sale under the Plan in each Offering Period shall be 1,250,000, subject to adjustment upon changes in capitalization of the Company as provided in paragraph 19. If the total number of shares which would otherwise be subject to options granted pursuant to Section 7(a) hereof on the Enrollment Date of an Offering Period exceeds 1,250,000 shares, the Company shall make a pro rata allocation of the shares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64" w:lineRule="exact"/>
        <w:rPr>
          <w:rFonts w:ascii="Arial" w:cs="Arial" w:eastAsia="Arial" w:hAnsi="Arial"/>
          <w:sz w:val="16"/>
          <w:szCs w:val="16"/>
          <w:color w:val="auto"/>
        </w:rPr>
      </w:pPr>
    </w:p>
    <w:p>
      <w:pPr>
        <w:ind w:right="20" w:firstLine="656"/>
        <w:spacing w:after="0" w:line="273" w:lineRule="auto"/>
        <w:tabs>
          <w:tab w:leader="none" w:pos="131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Following the Exercise Date of each Offering Period, unless a participant requests the issuance of a certificate representing the participant’s 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5" w:lineRule="auto"/>
        <w:tabs>
          <w:tab w:leader="none" w:pos="19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93" w:lineRule="exact"/>
        <w:rPr>
          <w:rFonts w:ascii="Arial" w:cs="Arial" w:eastAsia="Arial" w:hAnsi="Arial"/>
          <w:sz w:val="18"/>
          <w:szCs w:val="18"/>
          <w:color w:val="auto"/>
        </w:rPr>
      </w:pPr>
    </w:p>
    <w:p>
      <w:pPr>
        <w:ind w:right="140" w:firstLine="1305"/>
        <w:spacing w:after="0" w:line="286" w:lineRule="auto"/>
        <w:tabs>
          <w:tab w:leader="none" w:pos="19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5" w:lineRule="exact"/>
        <w:rPr>
          <w:rFonts w:ascii="Arial" w:cs="Arial" w:eastAsia="Arial" w:hAnsi="Arial"/>
          <w:sz w:val="17"/>
          <w:szCs w:val="17"/>
          <w:color w:val="auto"/>
        </w:rPr>
      </w:pPr>
    </w:p>
    <w:p>
      <w:pPr>
        <w:jc w:val="both"/>
        <w:ind w:right="180" w:firstLine="1305"/>
        <w:spacing w:after="0" w:line="264" w:lineRule="auto"/>
        <w:tabs>
          <w:tab w:leader="none" w:pos="19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right="820" w:firstLine="1305"/>
        <w:spacing w:after="0" w:line="277" w:lineRule="auto"/>
        <w:tabs>
          <w:tab w:leader="none" w:pos="19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2" w:lineRule="auto"/>
        <w:tabs>
          <w:tab w:leader="none" w:pos="195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maximum number of shares of the Company’s Common Stock which shall be made available for sale under the Plan shall be 29,500,000,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w:t>
      </w:r>
    </w:p>
    <w:p>
      <w:pPr>
        <w:spacing w:after="0" w:line="225" w:lineRule="exact"/>
        <w:rPr>
          <w:rFonts w:ascii="Arial" w:cs="Arial" w:eastAsia="Arial" w:hAnsi="Arial"/>
          <w:sz w:val="18"/>
          <w:szCs w:val="18"/>
          <w:color w:val="auto"/>
        </w:rPr>
      </w:pPr>
    </w:p>
    <w:p>
      <w:pPr>
        <w:ind w:right="40" w:firstLine="656"/>
        <w:spacing w:after="0" w:line="264" w:lineRule="auto"/>
        <w:tabs>
          <w:tab w:leader="none" w:pos="131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81" w:lineRule="exact"/>
        <w:rPr>
          <w:rFonts w:ascii="Arial" w:cs="Arial" w:eastAsia="Arial" w:hAnsi="Arial"/>
          <w:sz w:val="18"/>
          <w:szCs w:val="18"/>
          <w:color w:val="auto"/>
        </w:rPr>
      </w:pPr>
    </w:p>
    <w:p>
      <w:pPr>
        <w:ind w:right="300" w:firstLine="1305"/>
        <w:spacing w:after="0" w:line="277" w:lineRule="auto"/>
        <w:tabs>
          <w:tab w:leader="none" w:pos="19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 of the Committee.</w:t>
      </w:r>
    </w:p>
    <w:p>
      <w:pPr>
        <w:spacing w:after="0" w:line="210" w:lineRule="exact"/>
        <w:rPr>
          <w:rFonts w:ascii="Arial" w:cs="Arial" w:eastAsia="Arial" w:hAnsi="Arial"/>
          <w:sz w:val="16"/>
          <w:szCs w:val="16"/>
          <w:color w:val="auto"/>
        </w:rPr>
      </w:pPr>
    </w:p>
    <w:p>
      <w:pPr>
        <w:ind w:right="80" w:firstLine="1305"/>
        <w:spacing w:after="0" w:line="312" w:lineRule="auto"/>
        <w:tabs>
          <w:tab w:leader="none" w:pos="195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-4787265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9" w:name="page20"/>
    <w:bookmarkEnd w:id="19"/>
    <w:p>
      <w:pPr>
        <w:ind w:right="20"/>
        <w:spacing w:after="0" w:line="272" w:lineRule="auto"/>
        <w:rPr>
          <w:sz w:val="20"/>
          <w:szCs w:val="20"/>
          <w:color w:val="auto"/>
        </w:rPr>
      </w:pPr>
      <w:r>
        <w:rPr>
          <w:rFonts w:ascii="Arial" w:cs="Arial" w:eastAsia="Arial" w:hAnsi="Arial"/>
          <w:sz w:val="17"/>
          <w:szCs w:val="17"/>
          <w:color w:val="auto"/>
        </w:rPr>
        <w:t>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78" w:lineRule="exact"/>
        <w:rPr>
          <w:sz w:val="20"/>
          <w:szCs w:val="20"/>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64" w:lineRule="auto"/>
        <w:tabs>
          <w:tab w:leader="none" w:pos="19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written designation of a beneficiary who is to receive any cash from the participant’s account under the Plan in the event of such participant’s death prior to the Exercise Date of the Offering Period.</w:t>
      </w:r>
    </w:p>
    <w:p>
      <w:pPr>
        <w:spacing w:after="0" w:line="170" w:lineRule="exact"/>
        <w:rPr>
          <w:sz w:val="20"/>
          <w:szCs w:val="20"/>
          <w:color w:val="auto"/>
        </w:rPr>
      </w:pPr>
    </w:p>
    <w:p>
      <w:pPr>
        <w:ind w:right="100" w:firstLine="1305"/>
        <w:spacing w:after="0" w:line="297" w:lineRule="auto"/>
        <w:tabs>
          <w:tab w:leader="none" w:pos="19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6"/>
          <w:szCs w:val="16"/>
          <w:color w:val="auto"/>
        </w:rPr>
      </w:pPr>
    </w:p>
    <w:p>
      <w:pPr>
        <w:ind w:right="140" w:firstLine="656"/>
        <w:spacing w:after="0" w:line="279" w:lineRule="auto"/>
        <w:tabs>
          <w:tab w:leader="none" w:pos="131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1" w:lineRule="exact"/>
        <w:rPr>
          <w:rFonts w:ascii="Arial" w:cs="Arial" w:eastAsia="Arial" w:hAnsi="Arial"/>
          <w:sz w:val="17"/>
          <w:szCs w:val="17"/>
          <w:color w:val="auto"/>
        </w:rPr>
      </w:pPr>
    </w:p>
    <w:p>
      <w:pPr>
        <w:ind w:right="360" w:firstLine="656"/>
        <w:spacing w:after="0" w:line="277"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70" w:lineRule="exact"/>
        <w:rPr>
          <w:rFonts w:ascii="Arial" w:cs="Arial" w:eastAsia="Arial" w:hAnsi="Arial"/>
          <w:sz w:val="18"/>
          <w:szCs w:val="18"/>
          <w:color w:val="auto"/>
        </w:rPr>
      </w:pPr>
    </w:p>
    <w:p>
      <w:pPr>
        <w:ind w:right="60" w:firstLine="656"/>
        <w:spacing w:after="0" w:line="264"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181" w:lineRule="exact"/>
        <w:rPr>
          <w:rFonts w:ascii="Arial" w:cs="Arial" w:eastAsia="Arial" w:hAnsi="Arial"/>
          <w:sz w:val="18"/>
          <w:szCs w:val="18"/>
          <w:color w:val="auto"/>
        </w:rPr>
      </w:pPr>
    </w:p>
    <w:p>
      <w:pPr>
        <w:ind w:firstLine="656"/>
        <w:spacing w:after="0" w:line="288" w:lineRule="auto"/>
        <w:tabs>
          <w:tab w:leader="none" w:pos="131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7" w:lineRule="exact"/>
        <w:rPr>
          <w:sz w:val="20"/>
          <w:szCs w:val="20"/>
          <w:color w:val="auto"/>
        </w:rPr>
      </w:pPr>
    </w:p>
    <w:p>
      <w:pPr>
        <w:ind w:right="60" w:firstLine="656"/>
        <w:spacing w:after="0" w:line="259" w:lineRule="auto"/>
        <w:tabs>
          <w:tab w:leader="none" w:pos="1319"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ectPr>
          <w:pgSz w:w="11900" w:h="16838" w:orient="portrait"/>
          <w:cols w:equalWidth="0" w:num="1">
            <w:col w:w="11380"/>
          </w:cols>
          <w:pgMar w:left="240" w:top="125" w:right="279" w:bottom="0" w:gutter="0" w:footer="0" w:header="0"/>
        </w:sectPr>
      </w:pPr>
    </w:p>
    <w:bookmarkStart w:id="20" w:name="page21"/>
    <w:bookmarkEnd w:id="20"/>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ind w:right="360" w:firstLine="1305"/>
        <w:spacing w:after="0" w:line="264"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81" w:lineRule="exact"/>
        <w:rPr>
          <w:rFonts w:ascii="Arial" w:cs="Arial" w:eastAsia="Arial" w:hAnsi="Arial"/>
          <w:sz w:val="18"/>
          <w:szCs w:val="18"/>
          <w:color w:val="auto"/>
        </w:rPr>
      </w:pPr>
    </w:p>
    <w:p>
      <w:pPr>
        <w:ind w:right="60" w:firstLine="1953"/>
        <w:spacing w:after="0" w:line="264" w:lineRule="auto"/>
        <w:tabs>
          <w:tab w:leader="none" w:pos="261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81" w:lineRule="exact"/>
        <w:rPr>
          <w:rFonts w:ascii="Arial" w:cs="Arial" w:eastAsia="Arial" w:hAnsi="Arial"/>
          <w:sz w:val="18"/>
          <w:szCs w:val="18"/>
          <w:color w:val="auto"/>
        </w:rPr>
      </w:pPr>
    </w:p>
    <w:p>
      <w:pPr>
        <w:ind w:right="580" w:firstLine="1953"/>
        <w:spacing w:after="0" w:line="277" w:lineRule="auto"/>
        <w:tabs>
          <w:tab w:leader="none" w:pos="26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5" w:lineRule="exact"/>
        <w:rPr>
          <w:sz w:val="20"/>
          <w:szCs w:val="20"/>
          <w:color w:val="auto"/>
        </w:rPr>
      </w:pPr>
    </w:p>
    <w:p>
      <w:pPr>
        <w:ind w:right="360" w:firstLine="656"/>
        <w:spacing w:after="0" w:line="264" w:lineRule="auto"/>
        <w:tabs>
          <w:tab w:leader="none" w:pos="131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ind w:right="380" w:firstLine="656"/>
        <w:spacing w:after="0" w:line="312" w:lineRule="auto"/>
        <w:tabs>
          <w:tab w:leader="none" w:pos="131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Shareholder Approval</w:t>
      </w:r>
      <w:r>
        <w:rPr>
          <w:rFonts w:ascii="Arial" w:cs="Arial" w:eastAsia="Arial" w:hAnsi="Arial"/>
          <w:sz w:val="16"/>
          <w:szCs w:val="16"/>
          <w:color w:val="auto"/>
        </w:rPr>
        <w:t>.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46" w:lineRule="exact"/>
        <w:rPr>
          <w:rFonts w:ascii="Arial" w:cs="Arial" w:eastAsia="Arial" w:hAnsi="Arial"/>
          <w:sz w:val="16"/>
          <w:szCs w:val="16"/>
          <w:color w:val="auto"/>
        </w:rPr>
      </w:pPr>
    </w:p>
    <w:p>
      <w:pPr>
        <w:ind w:firstLine="1305"/>
        <w:spacing w:after="0" w:line="259" w:lineRule="auto"/>
        <w:tabs>
          <w:tab w:leader="none" w:pos="19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obtained at or prior to the first annual meeting of shareholders held subsequent to the first registration of Common Stock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12 of the Act.</w:t>
      </w:r>
    </w:p>
    <w:p>
      <w:pPr>
        <w:spacing w:after="0" w:line="21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percentage of shareholders will comply with all applicable laws and will not adversely affect the qualifications of the Plan under Section 423 of the Code.</w:t>
      </w:r>
    </w:p>
    <w:p>
      <w:pPr>
        <w:spacing w:after="0" w:line="237" w:lineRule="exact"/>
        <w:rPr>
          <w:sz w:val="20"/>
          <w:szCs w:val="20"/>
          <w:color w:val="auto"/>
        </w:rPr>
      </w:pPr>
    </w:p>
    <w:p>
      <w:pPr>
        <w:ind w:right="220" w:firstLine="656"/>
        <w:spacing w:after="0" w:line="302" w:lineRule="auto"/>
        <w:tabs>
          <w:tab w:leader="none" w:pos="131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54"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360" w:firstLine="656"/>
        <w:spacing w:after="0" w:line="264" w:lineRule="auto"/>
        <w:tabs>
          <w:tab w:leader="none" w:pos="131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18,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83707-0006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November 19, 2004 (the “Registration Statement”) in connection with the registration under the Securities Act of 1933, as amended, of an aggregate of 18,000,000 shares of your Common Stock, $.10 par value (the “Shares”) reserved for issuance under the Micron Technology, Inc. 2004 Equity Incentive Plan and the Micron Technology, Inc. 1989 Employee Stock Purchase Plan (collectively, the “Plans”). As your legal counsel, we have examined the proceedings taken and are familiar with the proceedings proposed to be taken by you in connection with the sale and issuance of the Shares under the Plans.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our opinion that, upon completion of the proceedings to be taken, or contemplated by us as your counsel to be taken by you, prior to issuance of the Shares pursuant to the Registration Statement and the Plans, and upon completion of the proceedings being taken in order to permit such transactions to be carried out in accordance with the securities laws of the various states where required, the Shares, when issued and sold in the manner referred to in the Plans and the agreements which accompany the Plans, and in accordance with the Company’s Certificate of Incorporation, will be legally and validly issued, fully paid and nonassessable.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23666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October 11, 2004, relating to the financial statements and financial statement schedule of Micron Technology Inc., which appears in Micron Technology, Inc.’s Annual Report on Form 10-K for the year ended September 2,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5A2A8D4"/>
    <w:multiLevelType w:val="hybridMultilevel"/>
    <w:lvl w:ilvl="0">
      <w:lvlJc w:val="left"/>
      <w:lvlText w:val="(%1)"/>
      <w:numFmt w:val="lowerRoman"/>
      <w:start w:val="3"/>
    </w:lvl>
  </w:abstractNum>
  <w:abstractNum w:abstractNumId="4">
    <w:nsid w:val="8EDBDAB"/>
    <w:multiLevelType w:val="hybridMultilevel"/>
    <w:lvl w:ilvl="0">
      <w:lvlJc w:val="left"/>
      <w:lvlText w:val="%1"/>
      <w:numFmt w:val="lowerLetter"/>
      <w:start w:val="1"/>
    </w:lvl>
    <w:lvl w:ilvl="1">
      <w:lvlJc w:val="left"/>
      <w:lvlText w:val="(%2)"/>
      <w:numFmt w:val="decimal"/>
      <w:start w:val="2"/>
    </w:lvl>
  </w:abstractNum>
  <w:abstractNum w:abstractNumId="5">
    <w:nsid w:val="79838CB2"/>
    <w:multiLevelType w:val="hybridMultilevel"/>
    <w:lvl w:ilvl="0">
      <w:lvlJc w:val="left"/>
      <w:lvlText w:val="(%1)"/>
      <w:numFmt w:val="lowerLetter"/>
      <w:start w:val="2"/>
    </w:lvl>
    <w:lvl w:ilvl="1">
      <w:lvlJc w:val="left"/>
      <w:lvlText w:val="%2"/>
      <w:numFmt w:val="decimal"/>
      <w:start w:val="1"/>
    </w:lvl>
  </w:abstractNum>
  <w:abstractNum w:abstractNumId="6">
    <w:nsid w:val="4353D0CD"/>
    <w:multiLevelType w:val="hybridMultilevel"/>
    <w:lvl w:ilvl="0">
      <w:lvlJc w:val="left"/>
      <w:lvlText w:val="(%1)"/>
      <w:numFmt w:val="lowerLetter"/>
      <w:start w:val="1"/>
    </w:lvl>
    <w:lvl w:ilvl="1">
      <w:lvlJc w:val="left"/>
      <w:lvlText w:val="(%2)"/>
      <w:numFmt w:val="lowerRoman"/>
      <w:start w:val="1"/>
    </w:lvl>
  </w:abstractNum>
  <w:abstractNum w:abstractNumId="7">
    <w:nsid w:val="B03E0C6"/>
    <w:multiLevelType w:val="hybridMultilevel"/>
    <w:lvl w:ilvl="0">
      <w:lvlJc w:val="left"/>
      <w:lvlText w:val="(%1)"/>
      <w:numFmt w:val="lowerLetter"/>
      <w:start w:val="6"/>
    </w:lvl>
  </w:abstractNum>
  <w:abstractNum w:abstractNumId="8">
    <w:nsid w:val="189A769B"/>
    <w:multiLevelType w:val="hybridMultilevel"/>
    <w:lvl w:ilvl="0">
      <w:lvlJc w:val="left"/>
      <w:lvlText w:val="(%1)"/>
      <w:numFmt w:val="lowerLetter"/>
      <w:start w:val="10"/>
    </w:lvl>
  </w:abstractNum>
  <w:abstractNum w:abstractNumId="9">
    <w:nsid w:val="54E49EB4"/>
    <w:multiLevelType w:val="hybridMultilevel"/>
    <w:lvl w:ilvl="0">
      <w:lvlJc w:val="left"/>
      <w:lvlText w:val="(%1)"/>
      <w:numFmt w:val="lowerLetter"/>
      <w:start w:val="21"/>
    </w:lvl>
  </w:abstractNum>
  <w:abstractNum w:abstractNumId="10">
    <w:nsid w:val="71F32454"/>
    <w:multiLevelType w:val="hybridMultilevel"/>
    <w:lvl w:ilvl="0">
      <w:lvlJc w:val="left"/>
      <w:lvlText w:val="(%1)"/>
      <w:numFmt w:val="lowerLetter"/>
      <w:start w:val="26"/>
    </w:lvl>
  </w:abstractNum>
  <w:abstractNum w:abstractNumId="11">
    <w:nsid w:val="2CA88611"/>
    <w:multiLevelType w:val="hybridMultilevel"/>
    <w:lvl w:ilvl="0">
      <w:lvlJc w:val="left"/>
      <w:lvlText w:val="%1"/>
      <w:numFmt w:val="decimal"/>
      <w:start w:val="1"/>
    </w:lvl>
    <w:lvl w:ilvl="1">
      <w:lvlJc w:val="left"/>
      <w:lvlText w:val="(%2)"/>
      <w:numFmt w:val="lowerLetter"/>
      <w:start w:val="27"/>
    </w:lvl>
  </w:abstractNum>
  <w:abstractNum w:abstractNumId="12">
    <w:nsid w:val="836C40E"/>
    <w:multiLevelType w:val="hybridMultilevel"/>
    <w:lvl w:ilvl="0">
      <w:lvlJc w:val="left"/>
      <w:lvlText w:val="(%1)"/>
      <w:numFmt w:val="decimal"/>
      <w:start w:val="3"/>
    </w:lvl>
    <w:lvl w:ilvl="1">
      <w:lvlJc w:val="left"/>
      <w:lvlText w:val="(%2)"/>
      <w:numFmt w:val="lowerLetter"/>
      <w:start w:val="29"/>
    </w:lvl>
  </w:abstractNum>
  <w:abstractNum w:abstractNumId="13">
    <w:nsid w:val="2901D82"/>
    <w:multiLevelType w:val="hybridMultilevel"/>
    <w:lvl w:ilvl="0">
      <w:lvlJc w:val="left"/>
      <w:lvlText w:val="(%1)"/>
      <w:numFmt w:val="lowerLetter"/>
      <w:start w:val="37"/>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2"/>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lowerLetter"/>
      <w:start w:val="3"/>
    </w:lvl>
  </w:abstractNum>
  <w:abstractNum w:abstractNumId="21">
    <w:nsid w:val="4516DDE9"/>
    <w:multiLevelType w:val="hybridMultilevel"/>
    <w:lvl w:ilvl="0">
      <w:lvlJc w:val="left"/>
      <w:lvlText w:val="(%1)"/>
      <w:numFmt w:val="lowerLetter"/>
      <w:start w:val="1"/>
    </w:lvl>
    <w:lvl w:ilvl="1">
      <w:lvlJc w:val="left"/>
      <w:lvlText w:val="(%2)"/>
      <w:numFmt w:val="decimal"/>
      <w:start w:val="1"/>
    </w:lvl>
  </w:abstractNum>
  <w:abstractNum w:abstractNumId="22">
    <w:nsid w:val="3006C83E"/>
    <w:multiLevelType w:val="hybridMultilevel"/>
    <w:lvl w:ilvl="0">
      <w:lvlJc w:val="left"/>
      <w:lvlText w:val="(%1)"/>
      <w:numFmt w:val="lowerRoman"/>
      <w:start w:val="2"/>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lowerLetter"/>
      <w:start w:val="3"/>
    </w:lvl>
  </w:abstractNum>
  <w:abstractNum w:abstractNumId="26">
    <w:nsid w:val="440BADFC"/>
    <w:multiLevelType w:val="hybridMultilevel"/>
    <w:lvl w:ilvl="0">
      <w:lvlJc w:val="left"/>
      <w:lvlText w:val="(%1)"/>
      <w:numFmt w:val="lowerLetter"/>
      <w:start w:val="6"/>
    </w:lvl>
  </w:abstractNum>
  <w:abstractNum w:abstractNumId="27">
    <w:nsid w:val="5072367"/>
    <w:multiLevelType w:val="hybridMultilevel"/>
    <w:lvl w:ilvl="0">
      <w:lvlJc w:val="left"/>
      <w:lvlText w:val="(%1)"/>
      <w:numFmt w:val="lowerLetter"/>
      <w:start w:val="1"/>
    </w:lvl>
    <w:lvl w:ilvl="1">
      <w:lvlJc w:val="left"/>
      <w:lvlText w:val="(%2)"/>
      <w:numFmt w:val="lowerLetter"/>
      <w:start w:val="2"/>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lowerLetter"/>
      <w:start w:val="7"/>
    </w:lvl>
    <w:lvl w:ilvl="1">
      <w:lvlJc w:val="left"/>
      <w:lvlText w:val="(%2)"/>
      <w:numFmt w:val="lowerRoman"/>
      <w:start w:val="1"/>
    </w:lvl>
  </w:abstractNum>
  <w:abstractNum w:abstractNumId="31">
    <w:nsid w:val="5C482A9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5"/>
    </w:lvl>
  </w:abstractNum>
  <w:abstractNum w:abstractNumId="32">
    <w:nsid w:val="2463B9E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
    <w:nsid w:val="5E884AD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4">
    <w:nsid w:val="51EAD36B"/>
    <w:multiLevelType w:val="hybridMultilevel"/>
    <w:lvl w:ilvl="0">
      <w:lvlJc w:val="left"/>
      <w:lvlText w:val="%1"/>
      <w:numFmt w:val="decimal"/>
      <w:start w:val="1"/>
    </w:lvl>
    <w:lvl w:ilvl="1">
      <w:lvlJc w:val="left"/>
      <w:lvlText w:val="(%2)"/>
      <w:numFmt w:val="lowerLetter"/>
      <w:start w:val="2"/>
    </w:lvl>
  </w:abstractNum>
  <w:abstractNum w:abstractNumId="35">
    <w:nsid w:val="2D517796"/>
    <w:multiLevelType w:val="hybridMultilevel"/>
    <w:lvl w:ilvl="0">
      <w:lvlJc w:val="left"/>
      <w:lvlText w:val="%1."/>
      <w:numFmt w:val="decimal"/>
      <w:start w:val="8"/>
    </w:lvl>
    <w:lvl w:ilvl="1">
      <w:lvlJc w:val="left"/>
      <w:lvlText w:val="(%2)"/>
      <w:numFmt w:val="lowerLetter"/>
      <w:start w:val="1"/>
    </w:lvl>
  </w:abstractNum>
  <w:abstractNum w:abstractNumId="36">
    <w:nsid w:val="580BD78F"/>
    <w:multiLevelType w:val="hybridMultilevel"/>
    <w:lvl w:ilvl="0">
      <w:lvlJc w:val="left"/>
      <w:lvlText w:val="%1."/>
      <w:numFmt w:val="decimal"/>
      <w:start w:val="15"/>
    </w:lvl>
    <w:lvl w:ilvl="1">
      <w:lvlJc w:val="left"/>
      <w:lvlText w:val="(%2)"/>
      <w:numFmt w:val="lowerLetter"/>
      <w:start w:val="1"/>
    </w:lvl>
  </w:abstractNum>
  <w:abstractNum w:abstractNumId="37">
    <w:nsid w:val="153EA438"/>
    <w:multiLevelType w:val="hybridMultilevel"/>
    <w:lvl w:ilvl="0">
      <w:lvlJc w:val="left"/>
      <w:lvlText w:val="%1"/>
      <w:numFmt w:val="decimal"/>
      <w:start w:val="1"/>
    </w:lvl>
    <w:lvl w:ilvl="1">
      <w:lvlJc w:val="left"/>
      <w:lvlText w:val="(%2)"/>
      <w:numFmt w:val="lowerLetter"/>
      <w:start w:val="2"/>
    </w:lvl>
  </w:abstractNum>
  <w:abstractNum w:abstractNumId="38">
    <w:nsid w:val="3855585C"/>
    <w:multiLevelType w:val="hybridMultilevel"/>
    <w:lvl w:ilvl="0">
      <w:lvlJc w:val="left"/>
      <w:lvlText w:val="%1."/>
      <w:numFmt w:val="decimal"/>
      <w:start w:val="16"/>
    </w:lvl>
    <w:lvl w:ilvl="1">
      <w:lvlJc w:val="left"/>
      <w:lvlText w:val="%2"/>
      <w:numFmt w:val="lowerLetter"/>
      <w:start w:val="1"/>
    </w:lvl>
  </w:abstractNum>
  <w:abstractNum w:abstractNumId="39">
    <w:nsid w:val="70A64E2A"/>
    <w:multiLevelType w:val="hybridMultilevel"/>
    <w:lvl w:ilvl="0">
      <w:lvlJc w:val="left"/>
      <w:lvlText w:val="%1."/>
      <w:numFmt w:val="decimal"/>
      <w:start w:val="20"/>
    </w:lvl>
    <w:lvl w:ilvl="1">
      <w:lvlJc w:val="left"/>
      <w:lvlText w:val="(%2)"/>
      <w:numFmt w:val="lowerLetter"/>
      <w:start w:val="1"/>
    </w:lvl>
  </w:abstractNum>
  <w:abstractNum w:abstractNumId="40">
    <w:nsid w:val="6A2342EC"/>
    <w:multiLevelType w:val="hybridMultilevel"/>
    <w:lvl w:ilvl="0">
      <w:lvlJc w:val="left"/>
      <w:lvlText w:val="(%1)"/>
      <w:numFmt w:val="lowerLetter"/>
      <w:start w:val="3"/>
    </w:lvl>
    <w:lvl w:ilvl="1">
      <w:lvlJc w:val="left"/>
      <w:lvlText w:val="(%2)"/>
      <w:numFmt w:val="lowerRoman"/>
      <w:start w:val="1"/>
    </w:lvl>
  </w:abstractNum>
  <w:abstractNum w:abstractNumId="41">
    <w:nsid w:val="2A487CB0"/>
    <w:multiLevelType w:val="hybridMultilevel"/>
    <w:lvl w:ilvl="0">
      <w:lvlJc w:val="left"/>
      <w:lvlText w:val="%1."/>
      <w:numFmt w:val="decimal"/>
      <w:start w:val="21"/>
    </w:lvl>
    <w:lvl w:ilvl="1">
      <w:lvlJc w:val="left"/>
      <w:lvlText w:val="(%2)"/>
      <w:numFmt w:val="lowerLetter"/>
      <w:start w:val="1"/>
    </w:lvl>
  </w:abstractNum>
  <w:abstractNum w:abstractNumId="42">
    <w:nsid w:val="1D4ED43B"/>
    <w:multiLevelType w:val="hybridMultilevel"/>
    <w:lvl w:ilvl="0">
      <w:lvlJc w:val="left"/>
      <w:lvlText w:val="%1."/>
      <w:numFmt w:val="decimal"/>
      <w:start w:val="23"/>
    </w:lvl>
  </w:abstractNum>
  <w:abstractNum w:abstractNumId="43">
    <w:nsid w:val="725A06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2019-12-13T13:18:01Z</dcterms:created>
  <dcterms:modified xsi:type="dcterms:W3CDTF">2019-12-13T13:18:01Z</dcterms:modified>
</cp:coreProperties>
</file>