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6996430" cy="8710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871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Sadana Sumit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 and Chief Business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41"/>
            <w:col w:w="3339"/>
          </w:cols>
          <w:pgMar w:left="460" w:top="215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44,426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259,071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10,899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248,172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10,445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237,727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38,563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276,290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19,484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256,806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38,563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295,369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19,484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275,885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15,966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291,851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7,808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284,043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20,142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304,185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10,682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293,503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17,155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310,658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9,098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301,560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5,740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307,300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10/13/2024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3,044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304,256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10/15/2024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3,403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108.34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300,853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38,563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7,728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38,563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7,728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15,966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12,980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20,142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0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10,071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10,071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-2846705</wp:posOffset>
            </wp:positionV>
            <wp:extent cx="28575" cy="2927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2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7047865" cy="2157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2157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17,155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15,884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15,885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5,740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10,071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10,071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three equal annual installments beginning on the first anniversary of the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1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hanging="1"/>
        <w:spacing w:after="0" w:line="231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High Value and Data Center NAND delivery and solutions each at 266%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hanging="1"/>
        <w:spacing w:after="0" w:line="231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2021. As reported at grant, the PRSUs could result in a payout (if earned) that varies (starting at 0%) based on actual achievement of the goals, subject to a 200% aggregate limit on the total target shares that may be received under the PRSUs awarded on October 13, 2021.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2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Data Center NAND delivery and solutions at a level of 200%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20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relative total shareholder return at a level of 108%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 awarded on October 13, 2022.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hanging="1"/>
        <w:spacing w:after="0" w:line="233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Compensation Committee certified achievement of pre-established performance goals related to DRAM revenue at a level of 57% of target under the performance-based restricted stock units ("PRSU") with a 3-year performance period previously awarded on October 13, 2022. As reported at grant, the PRSUs could result in a payout (if earned) that varies (starting at 0%) based on actual achievement of the goals, subject to a 200% aggregate limit on the total target shares that may be received under the PRSUs awarded on October 13,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1"/>
        <w:spacing w:after="0" w:line="237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1"/>
        <w:spacing w:after="0" w:line="237" w:lineRule="auto"/>
        <w:tabs>
          <w:tab w:leader="none" w:pos="14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over a 3-year performance period beginning September 2, 2022 and ending August 28, 2025 (subject to a 200% aggregate limit on the total target shares that may be received under the PRSUs awarded on October 13, 2022), and certification of such performance by the Compensation Committee.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10/16/2024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20" w:right="3720" w:hanging="1"/>
        <w:spacing w:after="0" w:line="329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1107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2024-10-16T17:05:01Z</dcterms:created>
  <dcterms:modified xsi:type="dcterms:W3CDTF">2024-10-16T17:05:01Z</dcterms:modified>
</cp:coreProperties>
</file>