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20, 2025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On March 20, 2025, Micron Technology, Inc. (the "Company", "we" or "our") announced the financial results for our second quarter of fiscal 2025 ended February 27, 2025.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BD03F7"/>
              </w:rPr>
              <w:t>Press Release issued on March 20, 2025</w:t>
            </w:r>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BD03F7"/>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20" w:type="dxa"/>
            <w:vAlign w:val="bottom"/>
          </w:tcPr>
          <w:p>
            <w:pPr>
              <w:spacing w:after="0"/>
              <w:rPr>
                <w:sz w:val="21"/>
                <w:szCs w:val="21"/>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720" w:type="dxa"/>
            <w:vAlign w:val="bottom"/>
          </w:tcPr>
          <w:p>
            <w:pPr>
              <w:spacing w:after="0"/>
              <w:rPr>
                <w:sz w:val="20"/>
                <w:szCs w:val="20"/>
                <w:color w:val="auto"/>
              </w:rPr>
            </w:pPr>
            <w:r>
              <w:rPr>
                <w:rFonts w:ascii="Arial" w:cs="Arial" w:eastAsia="Arial" w:hAnsi="Arial"/>
                <w:sz w:val="18"/>
                <w:szCs w:val="18"/>
                <w:color w:val="auto"/>
              </w:rPr>
              <w:t>Date:   March 20, 2025</w:t>
            </w:r>
          </w:p>
        </w:tc>
        <w:tc>
          <w:tcPr>
            <w:tcW w:w="2640" w:type="dxa"/>
            <w:vAlign w:val="bottom"/>
          </w:tcPr>
          <w:p>
            <w:pPr>
              <w:ind w:left="17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720" w:type="dxa"/>
            <w:vAlign w:val="bottom"/>
          </w:tcPr>
          <w:p>
            <w:pPr>
              <w:spacing w:after="0"/>
              <w:rPr>
                <w:sz w:val="18"/>
                <w:szCs w:val="18"/>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720" w:type="dxa"/>
            <w:vAlign w:val="bottom"/>
          </w:tcPr>
          <w:p>
            <w:pPr>
              <w:spacing w:after="0"/>
              <w:rPr>
                <w:sz w:val="20"/>
                <w:szCs w:val="20"/>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HBM revenue crosses $1 billion milestone in fiscal Q2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Strong execution and robust AI demand drives record data center DRAM revenue</w:t>
      </w:r>
    </w:p>
    <w:p>
      <w:pPr>
        <w:spacing w:after="0" w:line="23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20, 2025 – Micron Technology, Inc. (Nasdaq: MU) today announced results for its second quarter of fiscal 2025,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February 27, 2025.</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2025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$8.05 billion versus $8.71 billion for the prior quarter and $5.82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$1.58 billion, or $1.41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$1.78 billion, or $1.56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$3.94 billion versus $3.24 billion for the prior quarter and $1.22 billion for the same period last year</w:t>
      </w:r>
    </w:p>
    <w:p>
      <w:pPr>
        <w:spacing w:after="0" w:line="221"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“Micron delivered fiscal Q2 EPS above guidance and data center revenue tripled from a year ago,” said Sanjay Mehrotra, Chairman, President and CEO of Micron Technology. “We are extending our technology leadership with the launch of our 1-gamma DRAM node. We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expect record quarterly revenue in fiscal Q3, with DRAM and NAND demand growth in both data center and consumer-oriented markets, and we are on track for record revenue and significantly improved profitability in fiscal 2025.”</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FQ2-25</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FQ1-25</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FQ2-24</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FQ2-25</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FQ1-25</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FQ2-24</w:t>
            </w:r>
          </w:p>
        </w:tc>
      </w:tr>
      <w:tr>
        <w:trPr>
          <w:trHeight w:val="34"/>
        </w:trPr>
        <w:tc>
          <w:tcPr>
            <w:tcW w:w="42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8,053</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8,709</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8,053</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8,709</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5,824</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2,963</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3,053</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1,163</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36.8 %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38.4 %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18.5 %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37.9 %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39.5 %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20.0 %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1,190</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959</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1,773</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2,394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204</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24.9 %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27.5 %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1,583</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1,870</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476</w:t>
            </w:r>
          </w:p>
        </w:tc>
      </w:t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0.42</w:t>
            </w:r>
          </w:p>
        </w:tc>
      </w:tr>
    </w:tbl>
    <w:p>
      <w:pPr>
        <w:spacing w:after="0" w:line="200" w:lineRule="exact"/>
        <w:rPr>
          <w:sz w:val="20"/>
          <w:szCs w:val="20"/>
          <w:color w:val="auto"/>
        </w:rPr>
      </w:pPr>
    </w:p>
    <w:p>
      <w:pPr>
        <w:spacing w:after="0" w:line="35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For the second quarter of 2025, 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$ 3.09 billion and 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$857 million. Micron ended the quarter with cash, marketable investments, and restricted cash of $9.60 billion. On March 20, 2025, Micron’s Board of Directors declared a quarterly dividend of $0.115 per share, payable in cash on April 15, 2025, to shareholders of record as of the close of business on March 31,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4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4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third quarter of 2025:</w:t>
            </w:r>
          </w:p>
        </w:tc>
        <w:tc>
          <w:tcPr>
            <w:tcW w:w="25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FQ3-25</w:t>
            </w:r>
          </w:p>
        </w:tc>
        <w:tc>
          <w:tcPr>
            <w:tcW w:w="2580" w:type="dxa"/>
            <w:vAlign w:val="bottom"/>
            <w:tcBorders>
              <w:bottom w:val="single" w:sz="8" w:color="auto"/>
            </w:tcBorders>
          </w:tcPr>
          <w:p>
            <w:pPr>
              <w:jc w:val="right"/>
              <w:ind w:right="43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ind w:right="17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5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$8.80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$8.80 billion ± $200 million</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80" w:type="dxa"/>
            <w:vAlign w:val="bottom"/>
          </w:tcPr>
          <w:p>
            <w:pPr>
              <w:jc w:val="right"/>
              <w:spacing w:after="0"/>
              <w:rPr>
                <w:sz w:val="20"/>
                <w:szCs w:val="20"/>
                <w:color w:val="auto"/>
              </w:rPr>
            </w:pPr>
            <w:r>
              <w:rPr>
                <w:rFonts w:ascii="Arial" w:cs="Arial" w:eastAsia="Arial" w:hAnsi="Arial"/>
                <w:sz w:val="18"/>
                <w:szCs w:val="18"/>
                <w:color w:val="auto"/>
              </w:rPr>
              <w:t>35.5% ± 1.0%</w:t>
            </w:r>
          </w:p>
        </w:tc>
        <w:tc>
          <w:tcPr>
            <w:tcW w:w="2240" w:type="dxa"/>
            <w:vAlign w:val="bottom"/>
          </w:tcPr>
          <w:p>
            <w:pPr>
              <w:jc w:val="right"/>
              <w:spacing w:after="0"/>
              <w:rPr>
                <w:sz w:val="20"/>
                <w:szCs w:val="20"/>
                <w:color w:val="auto"/>
              </w:rPr>
            </w:pPr>
            <w:r>
              <w:rPr>
                <w:rFonts w:ascii="Arial" w:cs="Arial" w:eastAsia="Arial" w:hAnsi="Arial"/>
                <w:sz w:val="18"/>
                <w:szCs w:val="18"/>
                <w:color w:val="auto"/>
              </w:rPr>
              <w:t>36.5% ± 1.0%</w:t>
            </w:r>
          </w:p>
        </w:tc>
      </w:tr>
      <w:tr>
        <w:trPr>
          <w:trHeight w:val="229"/>
        </w:trPr>
        <w:tc>
          <w:tcPr>
            <w:tcW w:w="6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5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$1.27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$1.13 billion ± $15 million</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80" w:type="dxa"/>
            <w:vAlign w:val="bottom"/>
          </w:tcPr>
          <w:p>
            <w:pPr>
              <w:jc w:val="right"/>
              <w:spacing w:after="0"/>
              <w:rPr>
                <w:sz w:val="20"/>
                <w:szCs w:val="20"/>
                <w:color w:val="auto"/>
              </w:rPr>
            </w:pPr>
            <w:r>
              <w:rPr>
                <w:rFonts w:ascii="Arial" w:cs="Arial" w:eastAsia="Arial" w:hAnsi="Arial"/>
                <w:sz w:val="18"/>
                <w:szCs w:val="18"/>
                <w:color w:val="auto"/>
              </w:rPr>
              <w:t>$1.37 ± $0.10</w:t>
            </w:r>
          </w:p>
        </w:tc>
        <w:tc>
          <w:tcPr>
            <w:tcW w:w="2240" w:type="dxa"/>
            <w:vAlign w:val="bottom"/>
          </w:tcPr>
          <w:p>
            <w:pPr>
              <w:jc w:val="right"/>
              <w:spacing w:after="0"/>
              <w:rPr>
                <w:sz w:val="20"/>
                <w:szCs w:val="20"/>
                <w:color w:val="auto"/>
              </w:rPr>
            </w:pPr>
            <w:r>
              <w:rPr>
                <w:rFonts w:ascii="Arial" w:cs="Arial" w:eastAsia="Arial" w:hAnsi="Arial"/>
                <w:sz w:val="18"/>
                <w:szCs w:val="18"/>
                <w:color w:val="auto"/>
              </w:rPr>
              <w:t>$1.57 ± $0.10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Micron will host a conference call on Thursday, March 20, 2025 at 2:30 p.m. Mountain Time to discuss its second quarter financial results and provide forward-looking guidance for its third quarter. A live webcast of the call will be available online at </w:t>
      </w:r>
      <w:r>
        <w:rPr>
          <w:rFonts w:ascii="Arial" w:cs="Arial" w:eastAsia="Arial" w:hAnsi="Arial"/>
          <w:sz w:val="18"/>
          <w:szCs w:val="18"/>
          <w:u w:val="single" w:color="auto"/>
          <w:color w:val="BD03F7"/>
        </w:rPr>
        <w:t>investors.micron.com</w:t>
      </w:r>
      <w:r>
        <w:rPr>
          <w:rFonts w:ascii="Arial" w:cs="Arial" w:eastAsia="Arial" w:hAnsi="Arial"/>
          <w:sz w:val="18"/>
          <w:szCs w:val="18"/>
          <w:color w:val="auto"/>
        </w:rPr>
        <w:t>. A webcast replay will be available for one year after the call. For Investor Relations and other company updates, follow us on X @MicronTech.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9" w:lineRule="exact"/>
        <w:rPr>
          <w:sz w:val="20"/>
          <w:szCs w:val="20"/>
          <w:color w:val="auto"/>
        </w:rPr>
      </w:pPr>
    </w:p>
    <w:p>
      <w:pPr>
        <w:ind w:right="520" w:firstLine="8"/>
        <w:spacing w:after="0" w:line="269"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2025 Micron Technology, Inc. All rights reserved. Micron, the Micron logo, and all other Micron trademarks are the property of Micron Technology, Inc. All other trademarks are the property of their respective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technologies, demand for our products, our industry and our financial and operating results, including our guidance for the third quarter of 2025. These forward-looking statements are subject to a number of risks and uncertainties that could cause actual results to differ materially. Please refer to the documents we file with the Securities and Exchange Commission, including our most recent Form 10-K and our upcoming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0"/>
                <w:szCs w:val="20"/>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8"/>
              </w:rPr>
              <w:t>February 27,</w:t>
            </w:r>
          </w:p>
        </w:tc>
        <w:tc>
          <w:tcPr>
            <w:tcW w:w="13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November 28,</w:t>
            </w:r>
          </w:p>
        </w:tc>
        <w:tc>
          <w:tcPr>
            <w:tcW w:w="14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February 29,</w:t>
            </w:r>
          </w:p>
        </w:tc>
        <w:tc>
          <w:tcPr>
            <w:tcW w:w="140" w:type="dxa"/>
            <w:vAlign w:val="bottom"/>
          </w:tcPr>
          <w:p>
            <w:pPr>
              <w:spacing w:after="0"/>
              <w:rPr>
                <w:sz w:val="14"/>
                <w:szCs w:val="14"/>
                <w:color w:val="auto"/>
              </w:rPr>
            </w:pPr>
          </w:p>
        </w:tc>
        <w:tc>
          <w:tcPr>
            <w:tcW w:w="120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8"/>
              </w:rPr>
              <w:t>February 27,</w:t>
            </w:r>
          </w:p>
        </w:tc>
        <w:tc>
          <w:tcPr>
            <w:tcW w:w="120" w:type="dxa"/>
            <w:vAlign w:val="bottom"/>
          </w:tcPr>
          <w:p>
            <w:pPr>
              <w:spacing w:after="0"/>
              <w:rPr>
                <w:sz w:val="14"/>
                <w:szCs w:val="14"/>
                <w:color w:val="auto"/>
              </w:rPr>
            </w:pPr>
          </w:p>
        </w:tc>
        <w:tc>
          <w:tcPr>
            <w:tcW w:w="122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8"/>
              </w:rPr>
              <w:t>February 29,</w:t>
            </w:r>
          </w:p>
        </w:tc>
      </w:tr>
      <w:tr>
        <w:trPr>
          <w:trHeight w:val="243"/>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16,762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10,550</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6,311</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1,044</w:t>
            </w: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1,677</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57"/>
        </w:trPr>
        <w:tc>
          <w:tcPr>
            <w:tcW w:w="45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1,758</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2,152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(985)</w:t>
            </w: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45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1,115</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27,</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7,552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6,693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24,689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42,528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41,476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73,053</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71,461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7,877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1,257</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1,239</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24,664</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43,839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42,427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73,053</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71,461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27,</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3,453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7,186</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7,563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p>
      <w:pPr>
        <w:ind w:left="7560"/>
        <w:spacing w:after="0"/>
        <w:tabs>
          <w:tab w:leader="none" w:pos="8880" w:val="left"/>
          <w:tab w:leader="none" w:pos="10160" w:val="left"/>
        </w:tabs>
        <w:rPr>
          <w:sz w:val="20"/>
          <w:szCs w:val="20"/>
          <w:color w:val="auto"/>
        </w:rPr>
      </w:pPr>
      <w:r>
        <w:rPr>
          <w:rFonts w:ascii="Arial" w:cs="Arial" w:eastAsia="Arial" w:hAnsi="Arial"/>
          <w:sz w:val="18"/>
          <w:szCs w:val="18"/>
          <w:b w:val="1"/>
          <w:bCs w:val="1"/>
          <w:color w:val="auto"/>
        </w:rPr>
        <w:t>2nd Qtr.</w:t>
      </w:r>
      <w:r>
        <w:rPr>
          <w:sz w:val="20"/>
          <w:szCs w:val="20"/>
          <w:color w:val="auto"/>
        </w:rPr>
        <w:tab/>
      </w:r>
      <w:r>
        <w:rPr>
          <w:rFonts w:ascii="Arial" w:cs="Arial" w:eastAsia="Arial" w:hAnsi="Arial"/>
          <w:sz w:val="18"/>
          <w:szCs w:val="18"/>
          <w:b w:val="1"/>
          <w:bCs w:val="1"/>
          <w:color w:val="auto"/>
        </w:rPr>
        <w:t>1st Qtr.</w:t>
      </w:r>
      <w:r>
        <w:rPr>
          <w:sz w:val="20"/>
          <w:szCs w:val="20"/>
          <w:color w:val="auto"/>
        </w:rPr>
        <w:tab/>
      </w:r>
      <w:r>
        <w:rPr>
          <w:rFonts w:ascii="Arial" w:cs="Arial" w:eastAsia="Arial" w:hAnsi="Arial"/>
          <w:sz w:val="17"/>
          <w:szCs w:val="17"/>
          <w:b w:val="1"/>
          <w:bCs w:val="1"/>
          <w:color w:val="auto"/>
        </w:rPr>
        <w:t>2nd Qtr.</w:t>
      </w:r>
    </w:p>
    <w:p>
      <w:pPr>
        <w:spacing w:after="0" w:line="9" w:lineRule="exact"/>
        <w:rPr>
          <w:sz w:val="20"/>
          <w:szCs w:val="20"/>
          <w:color w:val="auto"/>
        </w:rPr>
      </w:pPr>
    </w:p>
    <w:p>
      <w:pPr>
        <w:jc w:val="center"/>
        <w:ind w:left="7260"/>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February 27,</w:t>
        <w:tab/>
        <w:t>November 28,</w:t>
        <w:tab/>
        <w:t>February 29,</w:t>
      </w:r>
    </w:p>
    <w:p>
      <w:pPr>
        <w:ind w:left="7700"/>
        <w:spacing w:after="0"/>
        <w:tabs>
          <w:tab w:leader="none" w:pos="9000" w:val="left"/>
          <w:tab w:leader="none" w:pos="103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7"/>
          <w:szCs w:val="17"/>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60" w:top="890" w:right="3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062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10628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0628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0628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Patent cross-license agreement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062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0628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Patent cross-license agreement gain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operating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Patent cross-license agreement gain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right="1880" w:firstLine="121"/>
        <w:spacing w:after="0" w:line="348" w:lineRule="auto"/>
        <w:rPr>
          <w:sz w:val="20"/>
          <w:szCs w:val="20"/>
          <w:color w:val="auto"/>
        </w:rPr>
      </w:pPr>
      <w:r>
        <w:rPr>
          <w:rFonts w:ascii="Arial" w:cs="Arial" w:eastAsia="Arial" w:hAnsi="Arial"/>
          <w:sz w:val="18"/>
          <w:szCs w:val="18"/>
          <w:color w:val="auto"/>
        </w:rPr>
        <w:t xml:space="preserve">Estimated tax effects of above and other tax adjustments </w:t>
      </w:r>
      <w:r>
        <w:rPr>
          <w:rFonts w:ascii="Arial" w:cs="Arial" w:eastAsia="Arial" w:hAnsi="Arial"/>
          <w:sz w:val="18"/>
          <w:szCs w:val="18"/>
          <w:b w:val="1"/>
          <w:bCs w:val="1"/>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710628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126" w:lineRule="exact"/>
        <w:rPr>
          <w:sz w:val="20"/>
          <w:szCs w:val="20"/>
          <w:color w:val="auto"/>
        </w:rPr>
      </w:pPr>
    </w:p>
    <w:p>
      <w:pPr>
        <w:ind w:left="120" w:right="1160" w:hanging="120"/>
        <w:spacing w:after="0" w:line="289" w:lineRule="auto"/>
        <w:rPr>
          <w:sz w:val="20"/>
          <w:szCs w:val="20"/>
          <w:color w:val="auto"/>
        </w:rPr>
      </w:pPr>
      <w:r>
        <w:rPr>
          <w:rFonts w:ascii="Arial" w:cs="Arial" w:eastAsia="Arial" w:hAnsi="Arial"/>
          <w:sz w:val="18"/>
          <w:szCs w:val="18"/>
          <w:b w:val="1"/>
          <w:bCs w:val="1"/>
          <w:color w:val="auto"/>
        </w:rPr>
        <w:t xml:space="preserve">GAAP weighted-average common shares outstanding - Diluted </w:t>
      </w:r>
      <w:r>
        <w:rPr>
          <w:rFonts w:ascii="Arial" w:cs="Arial" w:eastAsia="Arial" w:hAnsi="Arial"/>
          <w:sz w:val="18"/>
          <w:szCs w:val="18"/>
          <w:color w:val="auto"/>
        </w:rPr>
        <w:t>Adjustment for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Non-GAAP weighted-average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710628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Effects of the above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diluted earnings per share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1,174</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2,174</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720"/>
            <w:col w:w="3940"/>
          </w:cols>
          <w:pgMar w:left="360" w:top="890"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360" w:top="890" w:right="339" w:bottom="1440" w:gutter="0" w:footer="0" w:header="0"/>
          <w:type w:val="continuous"/>
        </w:sectPr>
      </w:pPr>
    </w:p>
    <w:bookmarkStart w:id="9" w:name="page10"/>
    <w:bookmarkEnd w:id="9"/>
    <w:tbl>
      <w:tblPr>
        <w:tblLayout w:type="fixed"/>
        <w:tblInd w:w="40" w:type="dxa"/>
        <w:tblCellMar>
          <w:top w:w="0" w:type="dxa"/>
          <w:left w:w="0" w:type="dxa"/>
          <w:bottom w:w="0" w:type="dxa"/>
          <w:right w:w="0" w:type="dxa"/>
        </w:tblCellMar>
      </w:tblPr>
      <w:tr>
        <w:trPr>
          <w:trHeight w:val="247"/>
        </w:trPr>
        <w:tc>
          <w:tcPr>
            <w:tcW w:w="8780" w:type="dxa"/>
            <w:vAlign w:val="bottom"/>
            <w:gridSpan w:val="4"/>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82"/>
        </w:trPr>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r>
      <w:tr>
        <w:trPr>
          <w:trHeight w:val="181"/>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8"/>
              </w:rPr>
              <w:t>February 27,</w:t>
            </w: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c>
          <w:tcPr>
            <w:tcW w:w="120" w:type="dxa"/>
            <w:vAlign w:val="bottom"/>
          </w:tcPr>
          <w:p>
            <w:pPr>
              <w:spacing w:after="0"/>
              <w:rPr>
                <w:sz w:val="15"/>
                <w:szCs w:val="15"/>
                <w:color w:val="auto"/>
              </w:rPr>
            </w:pPr>
          </w:p>
        </w:tc>
        <w:tc>
          <w:tcPr>
            <w:tcW w:w="12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February 29,</w:t>
            </w:r>
          </w:p>
        </w:tc>
      </w:tr>
      <w:tr>
        <w:trPr>
          <w:trHeight w:val="243"/>
        </w:trPr>
        <w:tc>
          <w:tcPr>
            <w:tcW w:w="7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r>
      <w:tr>
        <w:trPr>
          <w:trHeight w:val="34"/>
        </w:trPr>
        <w:tc>
          <w:tcPr>
            <w:tcW w:w="7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3,942</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1,219</w:t>
            </w:r>
          </w:p>
        </w:tc>
      </w:tr>
      <w:tr>
        <w:trPr>
          <w:trHeight w:val="257"/>
        </w:trPr>
        <w:tc>
          <w:tcPr>
            <w:tcW w:w="7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(4,055)</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(3,206)</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(1,384)</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10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(1,248)</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
        </w:trPr>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FQ3-25</w:t>
            </w:r>
          </w:p>
        </w:tc>
        <w:tc>
          <w:tcPr>
            <w:tcW w:w="3280" w:type="dxa"/>
            <w:vAlign w:val="bottom"/>
            <w:gridSpan w:val="2"/>
          </w:tcPr>
          <w:p>
            <w:pPr>
              <w:ind w:left="142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30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$8.80 billion ± $200 million</w:t>
            </w:r>
          </w:p>
        </w:tc>
        <w:tc>
          <w:tcPr>
            <w:tcW w:w="23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$8.80 billion ± $200 million</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160" w:type="dxa"/>
            <w:vAlign w:val="bottom"/>
          </w:tcPr>
          <w:p>
            <w:pPr>
              <w:jc w:val="right"/>
              <w:spacing w:after="0"/>
              <w:rPr>
                <w:sz w:val="20"/>
                <w:szCs w:val="20"/>
                <w:color w:val="auto"/>
              </w:rPr>
            </w:pPr>
            <w:r>
              <w:rPr>
                <w:rFonts w:ascii="Arial" w:cs="Arial" w:eastAsia="Arial" w:hAnsi="Arial"/>
                <w:sz w:val="18"/>
                <w:szCs w:val="18"/>
                <w:color w:val="auto"/>
              </w:rPr>
              <w:t>35.5% ± 1.0%</w:t>
            </w:r>
          </w:p>
        </w:tc>
        <w:tc>
          <w:tcPr>
            <w:tcW w:w="120" w:type="dxa"/>
            <w:vAlign w:val="bottom"/>
          </w:tcPr>
          <w:p>
            <w:pPr>
              <w:spacing w:after="0"/>
              <w:rPr>
                <w:sz w:val="19"/>
                <w:szCs w:val="19"/>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36.5% ± 1.0%</w:t>
            </w:r>
          </w:p>
        </w:tc>
      </w:tr>
      <w:tr>
        <w:trPr>
          <w:trHeight w:val="230"/>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$1.27 billion ± $15 million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$144 million B</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 billion ± $15 million</w:t>
            </w:r>
          </w:p>
        </w:tc>
      </w:tr>
      <w:tr>
        <w:trPr>
          <w:trHeight w:val="311"/>
        </w:trPr>
        <w:tc>
          <w:tcPr>
            <w:tcW w:w="330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160" w:type="dxa"/>
            <w:vAlign w:val="bottom"/>
          </w:tcPr>
          <w:p>
            <w:pPr>
              <w:jc w:val="right"/>
              <w:spacing w:after="0"/>
              <w:rPr>
                <w:sz w:val="20"/>
                <w:szCs w:val="20"/>
                <w:color w:val="auto"/>
              </w:rPr>
            </w:pPr>
            <w:r>
              <w:rPr>
                <w:rFonts w:ascii="Arial" w:cs="Arial" w:eastAsia="Arial" w:hAnsi="Arial"/>
                <w:sz w:val="18"/>
                <w:szCs w:val="18"/>
                <w:color w:val="auto"/>
              </w:rPr>
              <w:t>$1.37 ± $0.10</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$0.20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$1.57 ± $0.10</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Adjustments</w:t>
      </w: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cost of goods sold</w:t>
            </w:r>
          </w:p>
        </w:tc>
        <w:tc>
          <w:tcPr>
            <w:tcW w:w="100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240" w:type="dxa"/>
            <w:vAlign w:val="bottom"/>
          </w:tcPr>
          <w:p>
            <w:pPr>
              <w:ind w:left="20"/>
              <w:spacing w:after="0"/>
              <w:rPr>
                <w:sz w:val="20"/>
                <w:szCs w:val="20"/>
                <w:color w:val="auto"/>
              </w:rPr>
            </w:pPr>
            <w:r>
              <w:rPr>
                <w:rFonts w:ascii="Arial" w:cs="Arial" w:eastAsia="Arial" w:hAnsi="Arial"/>
                <w:sz w:val="18"/>
                <w:szCs w:val="18"/>
                <w:color w:val="auto"/>
              </w:rPr>
              <w:t>B</w:t>
            </w:r>
          </w:p>
        </w:tc>
        <w:tc>
          <w:tcPr>
            <w:tcW w:w="8700" w:type="dxa"/>
            <w:vAlign w:val="bottom"/>
          </w:tcPr>
          <w:p>
            <w:pPr>
              <w:ind w:left="100"/>
              <w:spacing w:after="0"/>
              <w:rPr>
                <w:sz w:val="20"/>
                <w:szCs w:val="20"/>
                <w:color w:val="auto"/>
              </w:rPr>
            </w:pPr>
            <w:r>
              <w:rPr>
                <w:rFonts w:ascii="Arial" w:cs="Arial" w:eastAsia="Arial" w:hAnsi="Arial"/>
                <w:sz w:val="18"/>
                <w:szCs w:val="18"/>
                <w:color w:val="auto"/>
              </w:rPr>
              <w:t>Stock-based compensation – research and development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sales, general, and administrative</w:t>
            </w:r>
          </w:p>
        </w:tc>
        <w:tc>
          <w:tcPr>
            <w:tcW w:w="10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w:t>
            </w:r>
          </w:p>
        </w:tc>
        <w:tc>
          <w:tcPr>
            <w:tcW w:w="870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Tax effects of the above items and other tax adjustments</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240" w:type="dxa"/>
            <w:vAlign w:val="bottom"/>
            <w:tcBorders>
              <w:bottom w:val="single" w:sz="8" w:color="D1D2D4"/>
            </w:tcBorders>
            <w:shd w:val="clear" w:color="auto" w:fill="D1D2D4"/>
          </w:tcPr>
          <w:p>
            <w:pPr>
              <w:spacing w:after="0"/>
              <w:rPr>
                <w:sz w:val="21"/>
                <w:szCs w:val="21"/>
                <w:color w:val="auto"/>
              </w:rPr>
            </w:pPr>
          </w:p>
        </w:tc>
        <w:tc>
          <w:tcPr>
            <w:tcW w:w="8700" w:type="dxa"/>
            <w:vAlign w:val="bottom"/>
            <w:tcBorders>
              <w:bottom w:val="single" w:sz="8" w:color="D1D2D4"/>
            </w:tcBorders>
            <w:shd w:val="clear" w:color="auto" w:fill="D1D2D4"/>
          </w:tcPr>
          <w:p>
            <w:pPr>
              <w:spacing w:after="0"/>
              <w:rPr>
                <w:sz w:val="21"/>
                <w:szCs w:val="21"/>
                <w:color w:val="auto"/>
              </w:rPr>
            </w:pPr>
          </w:p>
        </w:tc>
        <w:tc>
          <w:tcPr>
            <w:tcW w:w="1000" w:type="dxa"/>
            <w:vAlign w:val="bottom"/>
            <w:tcBorders>
              <w:bottom w:val="single" w:sz="8" w:color="auto"/>
            </w:tcBorders>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240" w:type="dxa"/>
            <w:vAlign w:val="bottom"/>
            <w:tcBorders>
              <w:top w:val="single" w:sz="8" w:color="D1D2D4"/>
            </w:tcBorders>
          </w:tcPr>
          <w:p>
            <w:pPr>
              <w:spacing w:after="0" w:line="20" w:lineRule="exact"/>
              <w:rPr>
                <w:sz w:val="1"/>
                <w:szCs w:val="1"/>
                <w:color w:val="auto"/>
              </w:rPr>
            </w:pPr>
          </w:p>
        </w:tc>
        <w:tc>
          <w:tcPr>
            <w:tcW w:w="870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2025-03-20T15:10:22Z</dcterms:created>
  <dcterms:modified xsi:type="dcterms:W3CDTF">2025-03-20T15:10:22Z</dcterms:modified>
</cp:coreProperties>
</file>