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jc w:val="center"/>
        <w:spacing w:after="0" w:line="234" w:lineRule="auto"/>
        <w:rPr>
          <w:sz w:val="20"/>
          <w:szCs w:val="20"/>
          <w:color w:val="auto"/>
        </w:rPr>
      </w:pPr>
      <w:r>
        <w:rPr>
          <w:rFonts w:ascii="Arial" w:cs="Arial" w:eastAsia="Arial" w:hAnsi="Arial"/>
          <w:sz w:val="18"/>
          <w:szCs w:val="18"/>
          <w:color w:val="auto"/>
        </w:rPr>
        <w:t>Date of Report (Date of earliest event reported)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126365</wp:posOffset>
            </wp:positionV>
            <wp:extent cx="128587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0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Delaware</w:t>
            </w:r>
          </w:p>
        </w:tc>
        <w:tc>
          <w:tcPr>
            <w:tcW w:w="33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1-10658</w:t>
            </w:r>
          </w:p>
        </w:tc>
        <w:tc>
          <w:tcPr>
            <w:tcW w:w="384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75-1618004</w:t>
            </w:r>
          </w:p>
        </w:tc>
      </w:tr>
      <w:tr>
        <w:trPr>
          <w:trHeight w:val="210"/>
        </w:trPr>
        <w:tc>
          <w:tcPr>
            <w:tcW w:w="4060" w:type="dxa"/>
            <w:vAlign w:val="bottom"/>
          </w:tcPr>
          <w:p>
            <w:pPr>
              <w:jc w:val="center"/>
              <w:ind w:right="250"/>
              <w:spacing w:after="0"/>
              <w:rPr>
                <w:sz w:val="20"/>
                <w:szCs w:val="20"/>
                <w:color w:val="auto"/>
              </w:rPr>
            </w:pPr>
            <w:r>
              <w:rPr>
                <w:rFonts w:ascii="Arial" w:cs="Arial" w:eastAsia="Arial" w:hAnsi="Arial"/>
                <w:sz w:val="18"/>
                <w:szCs w:val="18"/>
                <w:color w:val="auto"/>
                <w:w w:val="99"/>
              </w:rPr>
              <w:t>(State or other jurisdiction of incorporation)</w:t>
            </w:r>
          </w:p>
        </w:tc>
        <w:tc>
          <w:tcPr>
            <w:tcW w:w="3340" w:type="dxa"/>
            <w:vAlign w:val="bottom"/>
          </w:tcPr>
          <w:p>
            <w:pPr>
              <w:jc w:val="center"/>
              <w:ind w:right="110"/>
              <w:spacing w:after="0"/>
              <w:rPr>
                <w:sz w:val="20"/>
                <w:szCs w:val="20"/>
                <w:color w:val="auto"/>
              </w:rPr>
            </w:pPr>
            <w:r>
              <w:rPr>
                <w:rFonts w:ascii="Arial" w:cs="Arial" w:eastAsia="Arial" w:hAnsi="Arial"/>
                <w:sz w:val="18"/>
                <w:szCs w:val="18"/>
                <w:color w:val="auto"/>
                <w:w w:val="99"/>
              </w:rPr>
              <w:t>(Commission File Number)</w:t>
            </w:r>
          </w:p>
        </w:tc>
        <w:tc>
          <w:tcPr>
            <w:tcW w:w="3840" w:type="dxa"/>
            <w:vAlign w:val="bottom"/>
          </w:tcPr>
          <w:p>
            <w:pPr>
              <w:jc w:val="center"/>
              <w:ind w:lef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jc w:val="center"/>
        <w:spacing w:after="0" w:line="234" w:lineRule="auto"/>
        <w:rPr>
          <w:sz w:val="20"/>
          <w:szCs w:val="20"/>
          <w:color w:val="auto"/>
        </w:rPr>
      </w:pPr>
      <w:r>
        <w:rPr>
          <w:rFonts w:ascii="Arial" w:cs="Arial" w:eastAsia="Arial" w:hAnsi="Arial"/>
          <w:sz w:val="18"/>
          <w:szCs w:val="18"/>
          <w:color w:val="auto"/>
        </w:rPr>
        <w:t>(Address of principal executive offices and Zip Code)</w:t>
      </w:r>
    </w:p>
    <w:p>
      <w:pPr>
        <w:jc w:val="center"/>
        <w:spacing w:after="0" w:line="235" w:lineRule="auto"/>
        <w:rPr>
          <w:sz w:val="20"/>
          <w:szCs w:val="20"/>
          <w:color w:val="auto"/>
        </w:rPr>
      </w:pPr>
      <w:r>
        <w:rPr>
          <w:rFonts w:ascii="Arial" w:cs="Arial" w:eastAsia="Arial" w:hAnsi="Arial"/>
          <w:sz w:val="18"/>
          <w:szCs w:val="18"/>
          <w:b w:val="1"/>
          <w:bCs w:val="1"/>
          <w:color w:val="auto"/>
        </w:rPr>
        <w:t>(208) 368-4000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ind w:right="140"/>
        <w:spacing w:after="0" w:line="23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30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940" w:type="dxa"/>
            <w:vAlign w:val="bottom"/>
          </w:tcPr>
          <w:p>
            <w:pPr>
              <w:spacing w:after="0"/>
              <w:rPr>
                <w:sz w:val="18"/>
                <w:szCs w:val="18"/>
                <w:color w:val="auto"/>
              </w:rPr>
            </w:pPr>
          </w:p>
        </w:tc>
      </w:tr>
      <w:tr>
        <w:trPr>
          <w:trHeight w:val="225"/>
        </w:trPr>
        <w:tc>
          <w:tcPr>
            <w:tcW w:w="3840" w:type="dxa"/>
            <w:vAlign w:val="bottom"/>
            <w:gridSpan w:val="2"/>
          </w:tcPr>
          <w:p>
            <w:pPr>
              <w:ind w:left="1040"/>
              <w:spacing w:after="0"/>
              <w:rPr>
                <w:sz w:val="20"/>
                <w:szCs w:val="20"/>
                <w:color w:val="auto"/>
              </w:rPr>
            </w:pPr>
            <w:r>
              <w:rPr>
                <w:rFonts w:ascii="Arial" w:cs="Arial" w:eastAsia="Arial" w:hAnsi="Arial"/>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Trading symbol</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0"/>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$0.10 per share</w:t>
            </w:r>
          </w:p>
        </w:tc>
        <w:tc>
          <w:tcPr>
            <w:tcW w:w="22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220" w:type="dxa"/>
            <w:vAlign w:val="bottom"/>
          </w:tcPr>
          <w:p>
            <w:pPr>
              <w:spacing w:after="0"/>
              <w:rPr>
                <w:sz w:val="18"/>
                <w:szCs w:val="18"/>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87" w:lineRule="exact"/>
        <w:rPr>
          <w:sz w:val="24"/>
          <w:szCs w:val="24"/>
          <w:color w:val="auto"/>
        </w:rPr>
      </w:pPr>
    </w:p>
    <w:p>
      <w:pPr>
        <w:jc w:val="both"/>
        <w:spacing w:after="0" w:line="23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November 1, 2021, Micron Technology, Inc. (“Micron”) settled its offering of $1,000,000,000 aggregate principal amount of 2.703% senior notes due 2032 (the “Green Bonds”), $500,000,000 aggregate principal amount of 3.366% senior notes due 2041 (the “2041 Notes”), and $500,000,000 aggregate principal amount of 3.477% senior notes due 2051 (the “2051 Notes,” together with the Green Bonds and the 2041 Notes, the “Notes”). The Notes were issued and sold in a public offering pursuant to a registration statement on Form S-3 (File No. 333-249838), including the prospectus contained therein (the “Base Prospectus”), filed with the Securities and Exchange Commission under the Securities Act of 1933, as amended, a preliminary prospectus supplement dated October 18, 2021 and a related final prospectus supplement dated October 18, 2021 (together with the Base Prospectus, the “Prospectus”), and a free writing prospectus dated October 18, 2021.</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Each series of Notes was issued pursuant to an indenture, dated as of February 6, 2019 (the “Base Indenture”), as supplemented by a fourth supplemental indenture, dated as of November 1, 2021 (the “Supplemental Indenture” and referred to together with the Base Indenture as the “Indenture”), between Micron and U.S. Bank National Association, as trustee. The Indenture contains certain covenants, events of default and other customary provisions.</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Green Bonds bear interest at a rate of 2.703% per year and will mature on April 15, 2032. Interest on the Green Bonds is payable on April 15 and October 15 of each year, beginning on April 15, 2022. The 2041 Notes bear interest at a rate of 3.366% per year and will mature on November 1, 2041. Interest on the 2041 Notes is payable on May 1 and November 1 of each year, beginning on May 1, 2022. The 2051 Notes bear interest at a rate of 3.477% per year and will mature on November 1, 2051. Interest on the 2051 Notes is payable on May 1 and November 1 of each year, beginning on May 1, 2022.</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Micron may redeem some or all of the applicable series of Notes, in whole at any time or in part from time to time, at a redemption price equal to the greater of (i) 100% of the principal amount of the Notes of the applicable series to be redeemed or (ii) the sum of the present values of the remaining scheduled payments of principal and interest thereon that would be due if the Notes of such series matured on the applicable Par Call Date (as defined below) (exclusive of interest accrued to the date of redemption), discounted to the date of redemption on a semi-annual basis (assuming a 360-day year consisting of twelve 30-day months) at the then current treasury rate plus 20 basis points, in the case of the Green Bonds, 25 basis points, in the case of the 2041 Notes, and 25 basis points, in the case of the 2051 Notes, plus, in each case, accrued and unpaid interest, if any, on the amount being redeemed to, but excluding, the date of redemption. In addition, Micron may redeem any Green Bonds, 2041 Notes or 2051 Notes on or after the applicable Par Call Date at a redemption price equal to 100% of the principal amount of the Notes of the applicable series to be redeemed, plus accrued and unpaid interest, if any, to, but excluding, the date of redemption. The “Par Call Date” means (i) January 15, 2032 (three months prior to the maturity date), in the case of the Green Bonds, (ii) May 1, 2041 (six months prior to the maturity date), in the case of the 2041 Notes, and (iii) May 1, 2051 (six months prior to the maturity date), in the case of the 2051 Notes.</w:t>
      </w:r>
    </w:p>
    <w:p>
      <w:pPr>
        <w:spacing w:after="0" w:line="19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at a price equal to 101% of the principal amount of the Notes repurchased, plus accrued and unpaid interest, if any.</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Indenture contains limited affirmative and negative covenants of Micron, each of which is subject to a number of limitations and exceptions in the Indenture. The negative covenants restrict the ability of Micron and certain of its subsidiaries to incur liens on Principal Property (as defined in the Indenture); to engage in sale and lease-back transactions with respect to any Principal Property; and the ability of Micron to consolidate, merge or convey, transfer or lease all or substantially all of its properties and assets.</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Events of default under the Indenture include a failure to make payments, non-performance of affirmative and negative covenants, and the occurrence of bankruptcy and insolvency-related events. Micron’s obligations may be accelerated upon an event of default, in which case the entire principal amount of the Notes would become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ind w:right="120"/>
        <w:spacing w:after="0" w:line="246" w:lineRule="auto"/>
        <w:rPr>
          <w:sz w:val="20"/>
          <w:szCs w:val="20"/>
          <w:color w:val="auto"/>
        </w:rPr>
      </w:pPr>
      <w:r>
        <w:rPr>
          <w:rFonts w:ascii="Arial" w:cs="Arial" w:eastAsia="Arial" w:hAnsi="Arial"/>
          <w:sz w:val="18"/>
          <w:szCs w:val="18"/>
          <w:color w:val="auto"/>
        </w:rPr>
        <w:t>Micron intends to use the net proceeds from the sale of the 2041 Notes and the 2051 Notes, together with cash on hand, for the redemption of its 2.497% Senior Notes due 2023 and its 4.640% Senior Notes due 2024.</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Micron intends to use the net proceeds from the sale of the Green Bonds to finance or refinance, in whole or in part, one or more new or existing Eligible Projects. “Eligible Projects” are investments or expenditures made by Micron beginning with the issuance date of the Green Bonds and including the 24 months prior to such issuance that meet the eligibility criteria outlined in the Prospectus, or the refinancing of any amounts used for any such projects.</w:t>
      </w:r>
    </w:p>
    <w:p>
      <w:pPr>
        <w:spacing w:after="0" w:line="19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foregoing description of certain terms of the Indenture does not purport to be complete and is qualified in its entirety by reference to the full text of the Base Indenture, the Supplemental Indenture, the form of the Green Bonds, the form of the 2041 Notes and the form of the 2051 Notes which are filed with this report as Exhibits 4.1, 4.2, 4.3, 4.4, and 4.5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Wilson Sonsini Goodrich &amp; Rosati, Professional Corporation, counsel to Micron, has issued an opinion to Micron dated November 1, 2021 regarding the legality of the Notes. A copy of the opinion is filed as Exhibit 5.1 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Exhibit</w:t>
            </w:r>
          </w:p>
        </w:tc>
        <w:tc>
          <w:tcPr>
            <w:tcW w:w="10600" w:type="dxa"/>
            <w:vAlign w:val="bottom"/>
            <w:gridSpan w:val="11"/>
          </w:tcPr>
          <w:p>
            <w:pPr>
              <w:ind w:left="2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gridSpan w:val="7"/>
          </w:tcPr>
          <w:p>
            <w:pPr>
              <w:ind w:left="2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72"/>
        </w:trPr>
        <w:tc>
          <w:tcPr>
            <w:tcW w:w="260" w:type="dxa"/>
            <w:vAlign w:val="bottom"/>
            <w:gridSpan w:val="2"/>
          </w:tcPr>
          <w:p>
            <w:pPr>
              <w:ind w:left="20"/>
              <w:spacing w:after="0"/>
              <w:rPr>
                <w:rFonts w:ascii="Arial" w:cs="Arial" w:eastAsia="Arial" w:hAnsi="Arial"/>
                <w:sz w:val="18"/>
                <w:szCs w:val="18"/>
                <w:color w:val="0000EE"/>
                <w:w w:val="87"/>
              </w:rPr>
            </w:pPr>
            <w:hyperlink r:id="rId1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9"/>
          </w:tcPr>
          <w:p>
            <w:pPr>
              <w:spacing w:after="0"/>
              <w:rPr>
                <w:rFonts w:ascii="Arial" w:cs="Arial" w:eastAsia="Arial" w:hAnsi="Arial"/>
                <w:sz w:val="18"/>
                <w:szCs w:val="18"/>
                <w:color w:val="0000EE"/>
              </w:rPr>
            </w:pPr>
            <w:hyperlink r:id="rId16">
              <w:r>
                <w:rPr>
                  <w:rFonts w:ascii="Arial" w:cs="Arial" w:eastAsia="Arial" w:hAnsi="Arial"/>
                  <w:sz w:val="18"/>
                  <w:szCs w:val="18"/>
                  <w:color w:val="0000EE"/>
                </w:rPr>
                <w:t>Indenture, dated February 6, 2019, by and between Micron Technology, Inc. and U.S. Bank National Association, as</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9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6">
              <w:r>
                <w:rPr>
                  <w:rFonts w:ascii="Arial" w:cs="Arial" w:eastAsia="Arial" w:hAnsi="Arial"/>
                  <w:sz w:val="18"/>
                  <w:szCs w:val="18"/>
                  <w:color w:val="0000EE"/>
                  <w:w w:val="99"/>
                </w:rPr>
                <w:t>Trustee, filed as Exhibit 4.1 to Micron’s Form 8-K filed on February 6, 2019</w:t>
              </w:r>
            </w:hyperlink>
          </w:p>
        </w:tc>
        <w:tc>
          <w:tcPr>
            <w:tcW w:w="3280" w:type="dxa"/>
            <w:vAlign w:val="bottom"/>
            <w:tcBorders>
              <w:top w:val="single" w:sz="8" w:color="0000EE"/>
            </w:tcBorders>
            <w:gridSpan w:val="2"/>
          </w:tcPr>
          <w:p>
            <w:pPr>
              <w:spacing w:after="0"/>
              <w:rPr>
                <w:sz w:val="15"/>
                <w:szCs w:val="15"/>
                <w:color w:val="auto"/>
              </w:rPr>
            </w:pPr>
          </w:p>
        </w:tc>
        <w:tc>
          <w:tcPr>
            <w:tcW w:w="6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Fourth Supplemental Indenture, dated November 1, 2021, by and between Micron Technology, Inc. and U.S. Bank National</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Association, as Trustee</w:t>
              </w:r>
            </w:hyperlink>
          </w:p>
        </w:tc>
        <w:tc>
          <w:tcPr>
            <w:tcW w:w="7900" w:type="dxa"/>
            <w:vAlign w:val="bottom"/>
            <w:tcBorders>
              <w:top w:val="single" w:sz="8" w:color="0000EE"/>
            </w:tcBorders>
            <w:gridSpan w:val="6"/>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Form of Note for Micron Technology, Inc.’s 2.703% Senior Notes due 2032 (incorporated by reference from Exhibit 4.2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hereto)</w:t>
              </w:r>
            </w:hyperlink>
          </w:p>
        </w:tc>
        <w:tc>
          <w:tcPr>
            <w:tcW w:w="8800" w:type="dxa"/>
            <w:vAlign w:val="bottom"/>
            <w:tcBorders>
              <w:top w:val="single" w:sz="8" w:color="0000EE"/>
            </w:tcBorders>
            <w:gridSpan w:val="6"/>
          </w:tcPr>
          <w:p>
            <w:pPr>
              <w:spacing w:after="0"/>
              <w:rPr>
                <w:sz w:val="15"/>
                <w:szCs w:val="15"/>
                <w:color w:val="auto"/>
              </w:rPr>
            </w:pPr>
          </w:p>
        </w:tc>
        <w:tc>
          <w:tcPr>
            <w:tcW w:w="5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Form of Note for Micron Technology, Inc.’s 3.366% Senior Notes due 2041 (incorporated by reference from Exhibit 4.2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hereto)</w:t>
              </w:r>
            </w:hyperlink>
          </w:p>
        </w:tc>
        <w:tc>
          <w:tcPr>
            <w:tcW w:w="8800" w:type="dxa"/>
            <w:vAlign w:val="bottom"/>
            <w:tcBorders>
              <w:top w:val="single" w:sz="8" w:color="0000EE"/>
            </w:tcBorders>
            <w:gridSpan w:val="6"/>
          </w:tcPr>
          <w:p>
            <w:pPr>
              <w:spacing w:after="0"/>
              <w:rPr>
                <w:sz w:val="15"/>
                <w:szCs w:val="15"/>
                <w:color w:val="auto"/>
              </w:rPr>
            </w:pPr>
          </w:p>
        </w:tc>
        <w:tc>
          <w:tcPr>
            <w:tcW w:w="5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Form of Note for Micron Technology, Inc.’s 3.477% Senior Notes due 2051 (incorporated by reference from Exhibit 4.2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hereto)</w:t>
              </w:r>
            </w:hyperlink>
          </w:p>
        </w:tc>
        <w:tc>
          <w:tcPr>
            <w:tcW w:w="8800" w:type="dxa"/>
            <w:vAlign w:val="bottom"/>
            <w:tcBorders>
              <w:top w:val="single" w:sz="8" w:color="0000EE"/>
            </w:tcBorders>
            <w:gridSpan w:val="6"/>
          </w:tcPr>
          <w:p>
            <w:pPr>
              <w:spacing w:after="0"/>
              <w:rPr>
                <w:sz w:val="15"/>
                <w:szCs w:val="15"/>
                <w:color w:val="auto"/>
              </w:rPr>
            </w:pPr>
          </w:p>
        </w:tc>
        <w:tc>
          <w:tcPr>
            <w:tcW w:w="5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9"/>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40" w:type="dxa"/>
            <w:vAlign w:val="bottom"/>
            <w:gridSpan w:val="3"/>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gridSpan w:val="3"/>
          </w:tcPr>
          <w:p>
            <w:pPr>
              <w:ind w:left="20"/>
              <w:spacing w:after="0" w:line="182"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9"/>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Consent of Wilson Sonsini Goodrich &amp; Rosati, Professional Corporation (included in Exhibit 5.1)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20" w:type="dxa"/>
            <w:vAlign w:val="bottom"/>
            <w:gridSpan w:val="5"/>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688"/>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p>
      <w:pPr>
        <w:ind w:left="660"/>
        <w:spacing w:after="0"/>
        <w:tabs>
          <w:tab w:leader="none" w:pos="5500" w:val="left"/>
        </w:tabs>
        <w:rPr>
          <w:sz w:val="20"/>
          <w:szCs w:val="20"/>
          <w:color w:val="auto"/>
        </w:rPr>
      </w:pPr>
      <w:r>
        <w:rPr>
          <w:rFonts w:ascii="Arial" w:cs="Arial" w:eastAsia="Arial" w:hAnsi="Arial"/>
          <w:sz w:val="18"/>
          <w:szCs w:val="18"/>
          <w:color w:val="auto"/>
        </w:rPr>
        <w:t>Date: November 1, 2021</w:t>
      </w:r>
      <w:r>
        <w:rPr>
          <w:sz w:val="20"/>
          <w:szCs w:val="20"/>
          <w:color w:val="auto"/>
        </w:rPr>
        <w:tab/>
      </w:r>
      <w:r>
        <w:rPr>
          <w:rFonts w:ascii="Arial" w:cs="Arial" w:eastAsia="Arial" w:hAnsi="Arial"/>
          <w:sz w:val="17"/>
          <w:szCs w:val="17"/>
          <w:b w:val="1"/>
          <w:bCs w:val="1"/>
          <w:color w:val="auto"/>
        </w:rPr>
        <w:t>MICRON TECHNOLOGY, INC.</w:t>
      </w:r>
    </w:p>
    <w:p>
      <w:pPr>
        <w:spacing w:after="0" w:line="200" w:lineRule="exact"/>
        <w:rPr>
          <w:sz w:val="20"/>
          <w:szCs w:val="20"/>
          <w:color w:val="auto"/>
        </w:rPr>
      </w:pPr>
    </w:p>
    <w:p>
      <w:pPr>
        <w:spacing w:after="0" w:line="205"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A. Zinsner</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-130175</wp:posOffset>
            </wp:positionV>
            <wp:extent cx="3291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5520"/>
        <w:spacing w:after="0"/>
        <w:tabs>
          <w:tab w:leader="none" w:pos="6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4.2</w:t>
      </w: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$1,000,000,000 2.703% SENIOR NOTES DUE 2032</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$500,000,000 3.366% SENIOR NOTES DUE 2041</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$500,000,000 3.477% SENIOR NOTES DUE 2051</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FOURTH SUPPLEMENTAL INDENTURE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Dated as of November 1, 2021</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Dated as of February 6, 2019</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44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3180" w:type="dxa"/>
            <w:vAlign w:val="bottom"/>
          </w:tcPr>
          <w:p>
            <w:pPr>
              <w:spacing w:after="0"/>
              <w:rPr>
                <w:sz w:val="20"/>
                <w:szCs w:val="20"/>
                <w:color w:val="auto"/>
              </w:rPr>
            </w:pPr>
          </w:p>
        </w:tc>
      </w:tr>
      <w:tr>
        <w:trPr>
          <w:trHeight w:val="418"/>
        </w:trPr>
        <w:tc>
          <w:tcPr>
            <w:tcW w:w="806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3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1.1.</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Relationship with Base Indenture</w:t>
            </w:r>
          </w:p>
        </w:tc>
        <w:tc>
          <w:tcPr>
            <w:tcW w:w="3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1.2.</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Definitions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ARTICLE 2.THE NOTES</w:t>
            </w:r>
          </w:p>
        </w:tc>
        <w:tc>
          <w:tcPr>
            <w:tcW w:w="3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2.1.</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Form and Dating</w:t>
            </w:r>
          </w:p>
        </w:tc>
        <w:tc>
          <w:tcPr>
            <w:tcW w:w="3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2.2.</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Transfer and Exchange</w:t>
            </w:r>
          </w:p>
        </w:tc>
        <w:tc>
          <w:tcPr>
            <w:tcW w:w="3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2.3.</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Issuance of Additional Notes</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2.4.</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Execution and Authentication</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ARTICLE 3. REDEMPTION AND PREPAYMENT</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3.1.</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Optional Redemption</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ARTICLE 4. PARTICULAR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4.1.</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Offer to Purchase Upon Change of Control Triggering Event</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4.2.</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Liens</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4.3.</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Sale and Lease Back Transactions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4.4.</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ARTICLE 5. SATISFACTION AND DISCHARGE; DEFEASANCE</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5.1.</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Satisfaction and Discharge of Indenture</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5.2.</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Legal Defeasance of Securities of any Series</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5.3.</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Covenant Defeasance</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ARTICLE 6. MISCELLANEOUS</w:t>
            </w:r>
          </w:p>
        </w:tc>
        <w:tc>
          <w:tcPr>
            <w:tcW w:w="3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6.1.</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Trust Indenture Act Controls</w:t>
            </w:r>
          </w:p>
        </w:tc>
        <w:tc>
          <w:tcPr>
            <w:tcW w:w="3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6.2.</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Governing Law</w:t>
            </w:r>
          </w:p>
        </w:tc>
        <w:tc>
          <w:tcPr>
            <w:tcW w:w="3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6.3.</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Successors</w:t>
            </w:r>
          </w:p>
        </w:tc>
        <w:tc>
          <w:tcPr>
            <w:tcW w:w="3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6.4.</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Severability</w:t>
            </w:r>
          </w:p>
        </w:tc>
        <w:tc>
          <w:tcPr>
            <w:tcW w:w="3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6.5.</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Counterpart Originals</w:t>
            </w:r>
          </w:p>
        </w:tc>
        <w:tc>
          <w:tcPr>
            <w:tcW w:w="3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6.6.</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Table of Contents, Headings, Etc</w:t>
            </w:r>
          </w:p>
        </w:tc>
        <w:tc>
          <w:tcPr>
            <w:tcW w:w="3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6.7.</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Waiver of Jury Trial</w:t>
            </w:r>
          </w:p>
        </w:tc>
        <w:tc>
          <w:tcPr>
            <w:tcW w:w="3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6.8.</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Interpretation</w:t>
            </w:r>
          </w:p>
        </w:tc>
        <w:tc>
          <w:tcPr>
            <w:tcW w:w="3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6.9.</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Instruction by Electronic Transmissions</w:t>
            </w:r>
          </w:p>
        </w:tc>
        <w:tc>
          <w:tcPr>
            <w:tcW w:w="3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6.10.</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Notices</w:t>
            </w:r>
          </w:p>
        </w:tc>
        <w:tc>
          <w:tcPr>
            <w:tcW w:w="3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6.11.</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Miscellaneous</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Exhibit A</w:t>
            </w:r>
          </w:p>
        </w:tc>
        <w:tc>
          <w:tcPr>
            <w:tcW w:w="644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FORM OF 2032 NOTE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B</w:t>
            </w:r>
          </w:p>
        </w:tc>
        <w:tc>
          <w:tcPr>
            <w:tcW w:w="644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FORM OF 2041 NOTE</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Exhibit C</w:t>
            </w:r>
          </w:p>
        </w:tc>
        <w:tc>
          <w:tcPr>
            <w:tcW w:w="6440" w:type="dxa"/>
            <w:vAlign w:val="bottom"/>
          </w:tcPr>
          <w:p>
            <w:pPr>
              <w:spacing w:after="0"/>
              <w:rPr>
                <w:sz w:val="20"/>
                <w:szCs w:val="20"/>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FORM OF 2051 NOTE</w:t>
            </w:r>
          </w:p>
        </w:tc>
      </w:tr>
      <w:tr>
        <w:trPr>
          <w:trHeight w:val="675"/>
        </w:trPr>
        <w:tc>
          <w:tcPr>
            <w:tcW w:w="16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right="240" w:firstLine="648"/>
        <w:spacing w:after="0" w:line="277" w:lineRule="auto"/>
        <w:rPr>
          <w:sz w:val="20"/>
          <w:szCs w:val="20"/>
          <w:color w:val="auto"/>
        </w:rPr>
      </w:pPr>
      <w:r>
        <w:rPr>
          <w:rFonts w:ascii="Arial" w:cs="Arial" w:eastAsia="Arial" w:hAnsi="Arial"/>
          <w:sz w:val="18"/>
          <w:szCs w:val="18"/>
          <w:color w:val="auto"/>
        </w:rPr>
        <w:t>FOURTH SUPPLEMENTAL INDENTURE dated as November 1, 2021 by and between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heretofore executed and delivered to the Trustee an indenture, dated as of February 6, 2019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84"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in order to supplement the Base Indenture as, and to the extent, set forth herein to provide for the issuance of and establish the forms and terms and conditions of each Series of the Notes (as defined below).</w:t>
      </w:r>
    </w:p>
    <w:p>
      <w:pPr>
        <w:spacing w:after="0" w:line="14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and the Trustee agree as follows for the benefit of each other and for the equal and ratable benefit of the Holders (as defined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2.703% Senior Notes due 2032, 3.366% Senior Notes due 2041 and 3.477% Senior Notes due 2051: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Relationship with Base Indenture</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firstLine="648"/>
        <w:spacing w:after="0" w:line="257" w:lineRule="auto"/>
        <w:rPr>
          <w:sz w:val="20"/>
          <w:szCs w:val="20"/>
          <w:color w:val="auto"/>
        </w:rPr>
      </w:pPr>
      <w:r>
        <w:rPr>
          <w:rFonts w:ascii="Arial" w:cs="Arial" w:eastAsia="Arial" w:hAnsi="Arial"/>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17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2032 Notes</w:t>
      </w:r>
      <w:r>
        <w:rPr>
          <w:rFonts w:ascii="Arial" w:cs="Arial" w:eastAsia="Arial" w:hAnsi="Arial"/>
          <w:sz w:val="18"/>
          <w:szCs w:val="18"/>
          <w:color w:val="auto"/>
        </w:rPr>
        <w:t xml:space="preserve">” means the Company’s 2.703% Senior Notes due 2032;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2032 Notes and the Additional 2032 Notes, if any, will be treated as a single Series for all purposes under this Supplemental Indenture, and unless the context otherwise requires, all references to the 2032 Notes will include the Initial 2032 Notes and any Additional 2032 Notes.</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2041 Notes</w:t>
      </w:r>
      <w:r>
        <w:rPr>
          <w:rFonts w:ascii="Arial" w:cs="Arial" w:eastAsia="Arial" w:hAnsi="Arial"/>
          <w:sz w:val="18"/>
          <w:szCs w:val="18"/>
          <w:color w:val="auto"/>
        </w:rPr>
        <w:t xml:space="preserve">” means the Company’s 3.366% Senior Notes due 2041;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2041 Notes and the Additional 2041 Notes, if any, will be treated as a single Series for all purposes under this Supplemental Indenture, and unless the context otherwise requires, all references to the 2041 Notes will include the Initial 2041 Notes and any Additional 2041 Notes.</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2051 Notes</w:t>
      </w:r>
      <w:r>
        <w:rPr>
          <w:rFonts w:ascii="Arial" w:cs="Arial" w:eastAsia="Arial" w:hAnsi="Arial"/>
          <w:sz w:val="18"/>
          <w:szCs w:val="18"/>
          <w:color w:val="auto"/>
        </w:rPr>
        <w:t xml:space="preserve">” means the Company’s 3.477% Senior Notes due 2051;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2051 Notes and the Additional 2051 Notes, if any, will be treated as a single Series for all purposes under this Supplemental Indenture, and unless the context otherwise requires, all references to the 2051 Notes will include the Initial 2051 Notes and any Additional 2051 Notes.</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2032 Notes</w:t>
      </w:r>
      <w:r>
        <w:rPr>
          <w:rFonts w:ascii="Arial" w:cs="Arial" w:eastAsia="Arial" w:hAnsi="Arial"/>
          <w:sz w:val="18"/>
          <w:szCs w:val="18"/>
          <w:color w:val="auto"/>
        </w:rPr>
        <w:t>” means any 2032 Notes (other than the Initial 2032 Notes) issued under this Supplemental Indenture in accordance with Section 2.3 hereof, as part of the same Series as the Initial 2032 Notes.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2041 Notes</w:t>
      </w:r>
      <w:r>
        <w:rPr>
          <w:rFonts w:ascii="Arial" w:cs="Arial" w:eastAsia="Arial" w:hAnsi="Arial"/>
          <w:sz w:val="18"/>
          <w:szCs w:val="18"/>
          <w:color w:val="auto"/>
        </w:rPr>
        <w:t>” means any 2041 Notes (other than the Initial 2041 Notes) issued under this Supplemental Indenture in accordance with Section 2.3 hereof, as part of the same Series as the Initial 2041 Notes.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2051 Notes</w:t>
      </w:r>
      <w:r>
        <w:rPr>
          <w:rFonts w:ascii="Arial" w:cs="Arial" w:eastAsia="Arial" w:hAnsi="Arial"/>
          <w:sz w:val="18"/>
          <w:szCs w:val="18"/>
          <w:color w:val="auto"/>
        </w:rPr>
        <w:t>” means any 2051 Notes (other than the Initial 2051 Notes) issued under this Supplemental Indenture in accordance with Section 2.3 hereof, as part of the same Series as the Initial 2051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Additional 2032 Notes, any Additional 2041 Notes and any Additional 2051 Notes, as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8" w:name="page9"/>
    <w:bookmarkEnd w:id="8"/>
    <w:p>
      <w:pPr>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Aggregate Debt</w:t>
      </w:r>
      <w:r>
        <w:rPr>
          <w:rFonts w:ascii="Arial" w:cs="Arial" w:eastAsia="Arial" w:hAnsi="Arial"/>
          <w:sz w:val="17"/>
          <w:szCs w:val="17"/>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8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Debt</w:t>
      </w:r>
      <w:r>
        <w:rPr>
          <w:rFonts w:ascii="Arial" w:cs="Arial" w:eastAsia="Arial" w:hAnsi="Arial"/>
          <w:sz w:val="16"/>
          <w:szCs w:val="16"/>
          <w:color w:val="auto"/>
        </w:rPr>
        <w:t>” means in connection with a Sale and Lease 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Below Investment Grade Rating Event</w:t>
      </w:r>
      <w:r>
        <w:rPr>
          <w:rFonts w:ascii="Arial" w:cs="Arial" w:eastAsia="Arial" w:hAnsi="Arial"/>
          <w:sz w:val="16"/>
          <w:szCs w:val="16"/>
          <w:color w:val="auto"/>
        </w:rPr>
        <w:t>” means, with respect to each Series of Notes, the rating on the Notes of such Series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Series of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are rated Investment Grade by two or more of the Rating Agencies.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left="660" w:right="60" w:firstLine="644"/>
        <w:spacing w:after="0" w:line="286" w:lineRule="auto"/>
        <w:tabs>
          <w:tab w:leader="none" w:pos="2018" w:val="left"/>
        </w:tabs>
        <w:numPr>
          <w:ilvl w:val="1"/>
          <w:numId w:val="2"/>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w:t>
      </w:r>
    </w:p>
    <w:p>
      <w:pPr>
        <w:spacing w:after="0" w:line="1" w:lineRule="exact"/>
        <w:rPr>
          <w:rFonts w:ascii="Arial" w:cs="Arial" w:eastAsia="Arial" w:hAnsi="Arial"/>
          <w:sz w:val="16"/>
          <w:szCs w:val="16"/>
          <w:color w:val="auto"/>
        </w:rPr>
      </w:pPr>
    </w:p>
    <w:p>
      <w:pPr>
        <w:ind w:left="660" w:right="60" w:hanging="4"/>
        <w:spacing w:after="0" w:line="268" w:lineRule="auto"/>
        <w:tabs>
          <w:tab w:leader="none" w:pos="905" w:val="left"/>
        </w:tabs>
        <w:numPr>
          <w:ilvl w:val="0"/>
          <w:numId w:val="3"/>
        </w:numPr>
        <w:rPr>
          <w:rFonts w:ascii="Arial" w:cs="Arial" w:eastAsia="Arial" w:hAnsi="Arial"/>
          <w:sz w:val="17"/>
          <w:szCs w:val="17"/>
          <w:color w:val="auto"/>
        </w:rPr>
      </w:pPr>
      <w:r>
        <w:rPr>
          <w:rFonts w:ascii="Arial" w:cs="Arial" w:eastAsia="Arial" w:hAnsi="Arial"/>
          <w:sz w:val="17"/>
          <w:szCs w:val="17"/>
          <w:color w:val="auto"/>
        </w:rPr>
        <w:t>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81" w:lineRule="exact"/>
        <w:rPr>
          <w:rFonts w:ascii="Arial" w:cs="Arial" w:eastAsia="Arial" w:hAnsi="Arial"/>
          <w:sz w:val="17"/>
          <w:szCs w:val="17"/>
          <w:color w:val="auto"/>
        </w:rPr>
      </w:pPr>
    </w:p>
    <w:p>
      <w:pPr>
        <w:ind w:left="660" w:right="40" w:firstLine="644"/>
        <w:spacing w:after="0" w:line="257" w:lineRule="auto"/>
        <w:tabs>
          <w:tab w:leader="none" w:pos="206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sz w:val="20"/>
          <w:szCs w:val="20"/>
          <w:color w:val="auto"/>
        </w:rPr>
      </w:pPr>
    </w:p>
    <w:p>
      <w:pPr>
        <w:ind w:left="2120" w:hanging="816"/>
        <w:spacing w:after="0"/>
        <w:tabs>
          <w:tab w:leader="none" w:pos="2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Triggering Event</w:t>
      </w:r>
      <w:r>
        <w:rPr>
          <w:rFonts w:ascii="Arial" w:cs="Arial" w:eastAsia="Arial" w:hAnsi="Arial"/>
          <w:sz w:val="18"/>
          <w:szCs w:val="18"/>
          <w:color w:val="auto"/>
        </w:rPr>
        <w:t>” means, with respect to a Series of Notes hereunder, the occurrence of both a Change of Control and a Below Investment Grade Rating Event.</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Issue</w:t>
      </w:r>
      <w:r>
        <w:rPr>
          <w:rFonts w:ascii="Arial" w:cs="Arial" w:eastAsia="Arial" w:hAnsi="Arial"/>
          <w:sz w:val="16"/>
          <w:szCs w:val="16"/>
          <w:color w:val="auto"/>
        </w:rPr>
        <w:t>” means, with respect to any Notes to be redeemed, the United States Treasury security selected by a Reference Treasury Dealer as having an actual or interpolated maturity comparable to the period from the redemption date to January 15, 2032, in the case of the 2032 Notes, May 1, 2041, in the case of the 2041 Notes, and May 1, 2051, in the case of the 2051 Notes, that would be utilized, at the time of selection and in accordance with customary financial practice, in pricing new issues of corporate debt securities of comparable maturity to the period from the redemption date to January 15, 2032, in the case of the 2032 Notes, May 1, 2041, in the case of the 2041 Notes, and May 1, 2051, in the case of the 2051 Notes.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Price</w:t>
      </w:r>
      <w:r>
        <w:rPr>
          <w:rFonts w:ascii="Arial" w:cs="Arial" w:eastAsia="Arial" w:hAnsi="Arial"/>
          <w:sz w:val="18"/>
          <w:szCs w:val="18"/>
          <w:color w:val="auto"/>
        </w:rPr>
        <w:t>”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Net Tangible Assets</w:t>
      </w:r>
      <w:r>
        <w:rPr>
          <w:rFonts w:ascii="Arial" w:cs="Arial" w:eastAsia="Arial" w:hAnsi="Arial"/>
          <w:sz w:val="16"/>
          <w:szCs w:val="16"/>
          <w:color w:val="auto"/>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Definitive Note</w:t>
      </w:r>
      <w:r>
        <w:rPr>
          <w:rFonts w:ascii="Arial" w:cs="Arial" w:eastAsia="Arial" w:hAnsi="Arial"/>
          <w:sz w:val="17"/>
          <w:szCs w:val="17"/>
          <w:color w:val="auto"/>
        </w:rPr>
        <w:t xml:space="preserve">” means a certificated Note registered in the name of the Holder thereof and issued in accordance with Section 2.2 hereof,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w:t>
      </w:r>
      <w:r>
        <w:rPr>
          <w:rFonts w:ascii="Arial" w:cs="Arial" w:eastAsia="Arial" w:hAnsi="Arial"/>
          <w:sz w:val="17"/>
          <w:szCs w:val="17"/>
          <w:u w:val="single" w:color="auto"/>
          <w:color w:val="auto"/>
        </w:rPr>
        <w:t>r Exhibit C</w:t>
      </w:r>
      <w:r>
        <w:rPr>
          <w:rFonts w:ascii="Arial" w:cs="Arial" w:eastAsia="Arial" w:hAnsi="Arial"/>
          <w:sz w:val="17"/>
          <w:szCs w:val="17"/>
          <w:color w:val="auto"/>
        </w:rPr>
        <w:t xml:space="preserve"> hereto, except that such Note will not bear the Global Note Legend.</w:t>
      </w:r>
    </w:p>
    <w:p>
      <w:pPr>
        <w:spacing w:after="0" w:line="14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the Notes of a Series hereunder issuable or issued in whole or in part in global form, the person specified in Section 2.1 hereof as the Depositary with respect to such Notes, and any and all successors thereto appointed as depositary hereunder.</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means Fitch Ratings Inc. and any successor to its rating agency business.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Global Notes</w:t>
      </w:r>
      <w:r>
        <w:rPr>
          <w:rFonts w:ascii="Arial" w:cs="Arial" w:eastAsia="Arial" w:hAnsi="Arial"/>
          <w:sz w:val="16"/>
          <w:szCs w:val="16"/>
          <w:color w:val="auto"/>
        </w:rPr>
        <w:t xml:space="preserve">” means, individually and collectively, (a) with respect to the 2032 Notes, each of the Global Notes,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46" w:lineRule="exact"/>
        <w:rPr>
          <w:sz w:val="20"/>
          <w:szCs w:val="20"/>
          <w:color w:val="auto"/>
        </w:rPr>
      </w:pPr>
    </w:p>
    <w:p>
      <w:pPr>
        <w:ind w:right="34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with respect to the 2041 Notes, each of the Global Notes,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(c) with respect to the 2051 Notes, each of the Global Notes,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 each case, issued in accordance with Section 2.1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2060" w:hanging="756"/>
        <w:spacing w:after="0"/>
        <w:tabs>
          <w:tab w:leader="none" w:pos="2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that does not require the current payment of interest;</w:t>
      </w:r>
    </w:p>
    <w:p>
      <w:pPr>
        <w:spacing w:after="0" w:line="248" w:lineRule="exact"/>
        <w:rPr>
          <w:rFonts w:ascii="Arial" w:cs="Arial" w:eastAsia="Arial" w:hAnsi="Arial"/>
          <w:sz w:val="16"/>
          <w:szCs w:val="16"/>
          <w:color w:val="auto"/>
        </w:rPr>
      </w:pPr>
    </w:p>
    <w:p>
      <w:pPr>
        <w:ind w:left="2060" w:hanging="756"/>
        <w:spacing w:after="0"/>
        <w:tabs>
          <w:tab w:leader="none" w:pos="2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660" w:right="40" w:firstLine="644"/>
        <w:spacing w:after="0" w:line="263" w:lineRule="auto"/>
        <w:tabs>
          <w:tab w:leader="none" w:pos="205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2032 Notes</w:t>
      </w:r>
      <w:r>
        <w:rPr>
          <w:rFonts w:ascii="Arial" w:cs="Arial" w:eastAsia="Arial" w:hAnsi="Arial"/>
          <w:sz w:val="16"/>
          <w:szCs w:val="16"/>
          <w:color w:val="auto"/>
        </w:rPr>
        <w:t>” means the $1,000,000,000 aggregate principal amount of 2032 Notes issued under this Supplemental Indenture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2041 Notes</w:t>
      </w:r>
      <w:r>
        <w:rPr>
          <w:rFonts w:ascii="Arial" w:cs="Arial" w:eastAsia="Arial" w:hAnsi="Arial"/>
          <w:sz w:val="16"/>
          <w:szCs w:val="16"/>
          <w:color w:val="auto"/>
        </w:rPr>
        <w:t>” means the $500,000,000 aggregate principal amount of 2041 Notes issued under this Supplemental Indenture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2051 Notes</w:t>
      </w:r>
      <w:r>
        <w:rPr>
          <w:rFonts w:ascii="Arial" w:cs="Arial" w:eastAsia="Arial" w:hAnsi="Arial"/>
          <w:sz w:val="16"/>
          <w:szCs w:val="16"/>
          <w:color w:val="auto"/>
        </w:rPr>
        <w:t>” means the $500,000,000 aggregate principal amount of 2051 Notes issued under this Supplemental Indenture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 Grade</w:t>
      </w:r>
      <w:r>
        <w:rPr>
          <w:rFonts w:ascii="Arial" w:cs="Arial" w:eastAsia="Arial" w:hAnsi="Arial"/>
          <w:sz w:val="16"/>
          <w:szCs w:val="16"/>
          <w:color w:val="auto"/>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hereof.</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Obligation</w:t>
      </w:r>
      <w:r>
        <w:rPr>
          <w:rFonts w:ascii="Arial" w:cs="Arial" w:eastAsia="Arial" w:hAnsi="Arial"/>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collectively, the 2032 Notes, the 2041 Notes and the 2051 Notes.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 (i) January 15, 2032, with respect to any 2032 Notes, (ii) May 1, 2041, with respect to any 2041 Notes, and (iii) May 1, 2051, with respect to any 2051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225"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77" w:lineRule="exact"/>
        <w:rPr>
          <w:rFonts w:ascii="Arial" w:cs="Arial" w:eastAsia="Arial" w:hAnsi="Arial"/>
          <w:sz w:val="17"/>
          <w:szCs w:val="17"/>
          <w:color w:val="auto"/>
        </w:rPr>
      </w:pPr>
    </w:p>
    <w:p>
      <w:pPr>
        <w:jc w:val="both"/>
        <w:ind w:left="980" w:hanging="324"/>
        <w:spacing w:after="0" w:line="272"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left="324" w:hanging="324"/>
        <w:spacing w:after="0" w:line="254"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91"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25"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8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0" w:lineRule="exact"/>
        <w:rPr>
          <w:rFonts w:ascii="Arial" w:cs="Arial" w:eastAsia="Arial" w:hAnsi="Arial"/>
          <w:sz w:val="18"/>
          <w:szCs w:val="18"/>
          <w:color w:val="auto"/>
        </w:rPr>
      </w:pPr>
    </w:p>
    <w:p>
      <w:pPr>
        <w:jc w:val="both"/>
        <w:ind w:left="324" w:hanging="324"/>
        <w:spacing w:after="0" w:line="255"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92" w:lineRule="exact"/>
        <w:rPr>
          <w:rFonts w:ascii="Arial" w:cs="Arial" w:eastAsia="Arial" w:hAnsi="Arial"/>
          <w:sz w:val="18"/>
          <w:szCs w:val="18"/>
          <w:color w:val="auto"/>
        </w:rPr>
      </w:pPr>
    </w:p>
    <w:p>
      <w:pPr>
        <w:jc w:val="both"/>
        <w:ind w:left="324" w:hanging="324"/>
        <w:spacing w:after="0" w:line="279" w:lineRule="auto"/>
        <w:tabs>
          <w:tab w:leader="none" w:pos="324" w:val="left"/>
        </w:tabs>
        <w:numPr>
          <w:ilvl w:val="0"/>
          <w:numId w:val="8"/>
        </w:numPr>
        <w:rPr>
          <w:rFonts w:ascii="Arial" w:cs="Arial" w:eastAsia="Arial" w:hAnsi="Arial"/>
          <w:sz w:val="17"/>
          <w:szCs w:val="17"/>
          <w:color w:val="auto"/>
        </w:rPr>
      </w:pPr>
      <w:r>
        <w:rPr>
          <w:rFonts w:ascii="Arial" w:cs="Arial" w:eastAsia="Arial" w:hAnsi="Arial"/>
          <w:sz w:val="17"/>
          <w:szCs w:val="17"/>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71" w:lineRule="exact"/>
        <w:rPr>
          <w:rFonts w:ascii="Arial" w:cs="Arial" w:eastAsia="Arial" w:hAnsi="Arial"/>
          <w:sz w:val="17"/>
          <w:szCs w:val="17"/>
          <w:color w:val="auto"/>
        </w:rPr>
      </w:pPr>
    </w:p>
    <w:p>
      <w:pPr>
        <w:ind w:left="324" w:hanging="324"/>
        <w:spacing w:after="0" w:line="342" w:lineRule="auto"/>
        <w:tabs>
          <w:tab w:leader="none" w:pos="324" w:val="left"/>
        </w:tabs>
        <w:numPr>
          <w:ilvl w:val="0"/>
          <w:numId w:val="8"/>
        </w:numPr>
        <w:rPr>
          <w:rFonts w:ascii="Arial" w:cs="Arial" w:eastAsia="Arial" w:hAnsi="Arial"/>
          <w:sz w:val="16"/>
          <w:szCs w:val="16"/>
          <w:color w:val="auto"/>
        </w:rPr>
      </w:pPr>
      <w:r>
        <w:rPr>
          <w:rFonts w:ascii="Arial" w:cs="Arial" w:eastAsia="Arial" w:hAnsi="Arial"/>
          <w:sz w:val="16"/>
          <w:szCs w:val="16"/>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123" w:lineRule="exact"/>
        <w:rPr>
          <w:rFonts w:ascii="Arial" w:cs="Arial" w:eastAsia="Arial" w:hAnsi="Arial"/>
          <w:sz w:val="16"/>
          <w:szCs w:val="16"/>
          <w:color w:val="auto"/>
        </w:rPr>
      </w:pPr>
    </w:p>
    <w:p>
      <w:pPr>
        <w:ind w:left="324" w:hanging="324"/>
        <w:spacing w:after="0"/>
        <w:tabs>
          <w:tab w:leader="none" w:pos="324" w:val="left"/>
        </w:tabs>
        <w:numPr>
          <w:ilvl w:val="0"/>
          <w:numId w:val="8"/>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00" w:lineRule="exact"/>
        <w:rPr>
          <w:sz w:val="20"/>
          <w:szCs w:val="20"/>
          <w:color w:val="auto"/>
        </w:rPr>
      </w:pPr>
    </w:p>
    <w:p>
      <w:pPr>
        <w:spacing w:after="0" w:line="26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 w:name="page15"/>
    <w:bookmarkEnd w:id="14"/>
    <w:p>
      <w:pPr>
        <w:jc w:val="both"/>
        <w:ind w:left="980" w:hanging="324"/>
        <w:spacing w:after="0" w:line="272"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 (1) through (13).</w:t>
      </w:r>
    </w:p>
    <w:p>
      <w:pPr>
        <w:spacing w:after="0" w:line="1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Principal Property</w:t>
      </w:r>
      <w:r>
        <w:rPr>
          <w:rFonts w:ascii="Arial" w:cs="Arial" w:eastAsia="Arial" w:hAnsi="Arial"/>
          <w:sz w:val="17"/>
          <w:szCs w:val="17"/>
          <w:color w:val="auto"/>
        </w:rPr>
        <w:t>”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7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w:t>
      </w:r>
      <w:r>
        <w:rPr>
          <w:rFonts w:ascii="Arial" w:cs="Arial" w:eastAsia="Arial" w:hAnsi="Arial"/>
          <w:sz w:val="18"/>
          <w:szCs w:val="18"/>
          <w:color w:val="auto"/>
        </w:rPr>
        <w:t>” means at least two primary U.S. Government securities dealers selected by the Company.</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Reference Treasury Dealer Quotation</w:t>
      </w:r>
      <w:r>
        <w:rPr>
          <w:rFonts w:ascii="Arial" w:cs="Arial" w:eastAsia="Arial" w:hAnsi="Arial"/>
          <w:sz w:val="17"/>
          <w:szCs w:val="17"/>
          <w:color w:val="auto"/>
        </w:rPr>
        <w:t>”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6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Remaining Scheduled Payments</w:t>
      </w:r>
      <w:r>
        <w:rPr>
          <w:rFonts w:ascii="Arial" w:cs="Arial" w:eastAsia="Arial" w:hAnsi="Arial"/>
          <w:sz w:val="16"/>
          <w:szCs w:val="16"/>
          <w:color w:val="auto"/>
        </w:rPr>
        <w:t>” means, with respect to any Notes being redeemed, the sum of the present values of the remaining scheduled payments of the principal and interest thereon that would be due if such Notes matured on the applicable Par Call Date (exclusive of interest accrued to the date of redemption), discounted to the date of redemption on a semi-annual basis (assuming a 360-day year consisting of twelve 30-day months) at the then current Treasury Rate plus 20 basis points for the 2032 Notes, 25 basis points for the 2041 Notes and 25 basis points for the 2051 Notes.</w:t>
      </w:r>
    </w:p>
    <w:p>
      <w:pPr>
        <w:spacing w:after="0" w:line="15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Subsidiary</w:t>
      </w:r>
      <w:r>
        <w:rPr>
          <w:rFonts w:ascii="Arial" w:cs="Arial" w:eastAsia="Arial" w:hAnsi="Arial"/>
          <w:sz w:val="17"/>
          <w:szCs w:val="17"/>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and any successor to its rating agency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19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xml:space="preserve">” shall have the meaning assigned to it in the Base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each of the 2032 Notes, the 2041 Notes and the 2051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means this Fourth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184"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6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Stock</w:t>
      </w:r>
      <w:r>
        <w:rPr>
          <w:rFonts w:ascii="Arial" w:cs="Arial" w:eastAsia="Arial" w:hAnsi="Arial"/>
          <w:sz w:val="16"/>
          <w:szCs w:val="16"/>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9900" w:type="dxa"/>
            <w:vAlign w:val="bottom"/>
            <w:gridSpan w:val="2"/>
          </w:tcPr>
          <w:p>
            <w:pPr>
              <w:ind w:left="660"/>
              <w:spacing w:after="0"/>
              <w:rPr>
                <w:sz w:val="20"/>
                <w:szCs w:val="20"/>
                <w:color w:val="auto"/>
              </w:rPr>
            </w:pPr>
            <w:r>
              <w:rPr>
                <w:rFonts w:ascii="Arial" w:cs="Arial" w:eastAsia="Arial" w:hAnsi="Arial"/>
                <w:sz w:val="18"/>
                <w:szCs w:val="18"/>
                <w:i w:val="1"/>
                <w:iCs w:val="1"/>
                <w:color w:val="auto"/>
              </w:rPr>
              <w:t>Other Definitions</w:t>
            </w:r>
          </w:p>
        </w:tc>
        <w:tc>
          <w:tcPr>
            <w:tcW w:w="1240" w:type="dxa"/>
            <w:vAlign w:val="bottom"/>
          </w:tcPr>
          <w:p>
            <w:pPr>
              <w:spacing w:after="0"/>
              <w:rPr>
                <w:sz w:val="20"/>
                <w:szCs w:val="20"/>
                <w:color w:val="auto"/>
              </w:rPr>
            </w:pPr>
          </w:p>
        </w:tc>
      </w:tr>
      <w:tr>
        <w:trPr>
          <w:trHeight w:val="414"/>
        </w:trPr>
        <w:tc>
          <w:tcPr>
            <w:tcW w:w="9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Defined in</w:t>
            </w:r>
          </w:p>
        </w:tc>
      </w:tr>
      <w:tr>
        <w:trPr>
          <w:trHeight w:val="234"/>
        </w:trPr>
        <w:tc>
          <w:tcPr>
            <w:tcW w:w="9900" w:type="dxa"/>
            <w:vAlign w:val="bottom"/>
            <w:gridSpan w:val="2"/>
          </w:tcPr>
          <w:p>
            <w:pPr>
              <w:ind w:left="4640"/>
              <w:spacing w:after="0"/>
              <w:rPr>
                <w:sz w:val="20"/>
                <w:szCs w:val="20"/>
                <w:color w:val="auto"/>
              </w:rPr>
            </w:pPr>
            <w:r>
              <w:rPr>
                <w:rFonts w:ascii="Arial" w:cs="Arial" w:eastAsia="Arial" w:hAnsi="Arial"/>
                <w:sz w:val="18"/>
                <w:szCs w:val="18"/>
                <w:b w:val="1"/>
                <w:bCs w:val="1"/>
                <w:color w:val="auto"/>
              </w:rPr>
              <w:t>Term</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Section</w:t>
            </w:r>
          </w:p>
        </w:tc>
      </w:tr>
      <w:tr>
        <w:trPr>
          <w:trHeight w:val="195"/>
        </w:trPr>
        <w:tc>
          <w:tcPr>
            <w:tcW w:w="9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“Change of Control Purchase Date”</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w w:val="87"/>
              </w:rPr>
              <w:t>4.1</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Purchase Price”</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7"/>
              </w:rPr>
              <w:t>2.1</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“Expiration Date”</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Paragraph 1of</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“Interest Payment Date”</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7"/>
              </w:rPr>
              <w:t>Exhibit A,</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“Offer to Purchase”</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i w:val="1"/>
                <w:iCs w:val="1"/>
                <w:color w:val="auto"/>
              </w:rPr>
              <w:t>“Second Change of Control Purchase Date”</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r>
    </w:tbl>
    <w:p>
      <w:pPr>
        <w:spacing w:after="0" w:line="200" w:lineRule="exact"/>
        <w:rPr>
          <w:sz w:val="20"/>
          <w:szCs w:val="20"/>
          <w:color w:val="auto"/>
        </w:rPr>
      </w:pPr>
    </w:p>
    <w:p>
      <w:pPr>
        <w:spacing w:after="0" w:line="21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Form and Dating</w:t>
      </w:r>
      <w:r>
        <w:rPr>
          <w:rFonts w:ascii="Arial" w:cs="Arial" w:eastAsia="Arial" w:hAnsi="Arial"/>
          <w:sz w:val="16"/>
          <w:szCs w:val="16"/>
          <w:color w:val="auto"/>
        </w:rPr>
        <w:t>.</w:t>
      </w:r>
    </w:p>
    <w:p>
      <w:pPr>
        <w:spacing w:after="0" w:line="225" w:lineRule="exact"/>
        <w:rPr>
          <w:sz w:val="20"/>
          <w:szCs w:val="20"/>
          <w:color w:val="auto"/>
        </w:rPr>
      </w:pPr>
    </w:p>
    <w:p>
      <w:pPr>
        <w:ind w:right="80" w:firstLine="1304"/>
        <w:spacing w:after="0" w:line="275" w:lineRule="auto"/>
        <w:tabs>
          <w:tab w:leader="none" w:pos="20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2032 Notes and the Trustee’s certificate of authentication with respect thereto will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2041 Notes and the Trustee’s certificate of authentication with respect thereto will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2051 Notes and the Trustee’s certificate of authentication with respect thereto will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187" w:lineRule="exact"/>
        <w:rPr>
          <w:sz w:val="20"/>
          <w:szCs w:val="20"/>
          <w:color w:val="auto"/>
        </w:rPr>
      </w:pPr>
    </w:p>
    <w:p>
      <w:pPr>
        <w:ind w:left="2060" w:hanging="756"/>
        <w:spacing w:after="0"/>
        <w:tabs>
          <w:tab w:leader="none" w:pos="2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Global Notes.</w:t>
      </w:r>
    </w:p>
    <w:p>
      <w:pPr>
        <w:spacing w:after="0" w:line="225" w:lineRule="exact"/>
        <w:rPr>
          <w:rFonts w:ascii="Arial" w:cs="Arial" w:eastAsia="Arial" w:hAnsi="Arial"/>
          <w:sz w:val="18"/>
          <w:szCs w:val="18"/>
          <w:color w:val="auto"/>
        </w:rPr>
      </w:pPr>
    </w:p>
    <w:p>
      <w:pPr>
        <w:ind w:right="140" w:firstLine="1952"/>
        <w:spacing w:after="0" w:line="263" w:lineRule="auto"/>
        <w:tabs>
          <w:tab w:leader="none" w:pos="26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2032 Notes issued in global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(including the Global Note Legend thereon). 2032 Notes issued in definitive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without the Global Note Legend thereon).</w:t>
      </w:r>
    </w:p>
    <w:p>
      <w:pPr>
        <w:spacing w:after="0" w:line="183" w:lineRule="exact"/>
        <w:rPr>
          <w:rFonts w:ascii="Arial" w:cs="Arial" w:eastAsia="Arial" w:hAnsi="Arial"/>
          <w:sz w:val="18"/>
          <w:szCs w:val="18"/>
          <w:color w:val="auto"/>
        </w:rPr>
      </w:pPr>
    </w:p>
    <w:p>
      <w:pPr>
        <w:ind w:right="140" w:firstLine="1952"/>
        <w:spacing w:after="0" w:line="263" w:lineRule="auto"/>
        <w:tabs>
          <w:tab w:leader="none" w:pos="26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2041 Notes issued in global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(including the Global Note Legend thereon). 2041 Notes issued in definitive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(but without the Global Note Legend thereon).</w:t>
      </w:r>
    </w:p>
    <w:p>
      <w:pPr>
        <w:spacing w:after="0" w:line="183" w:lineRule="exact"/>
        <w:rPr>
          <w:rFonts w:ascii="Arial" w:cs="Arial" w:eastAsia="Arial" w:hAnsi="Arial"/>
          <w:sz w:val="18"/>
          <w:szCs w:val="18"/>
          <w:color w:val="auto"/>
        </w:rPr>
      </w:pPr>
    </w:p>
    <w:p>
      <w:pPr>
        <w:ind w:right="140" w:firstLine="1952"/>
        <w:spacing w:after="0" w:line="263" w:lineRule="auto"/>
        <w:tabs>
          <w:tab w:leader="none" w:pos="26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2051 Notes issued in global form will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(including the Global Note Legend thereon). 2051 Notes issued in definitive form will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(but without the Global Note Legend thereon).</w:t>
      </w:r>
    </w:p>
    <w:p>
      <w:pPr>
        <w:spacing w:after="0" w:line="183" w:lineRule="exact"/>
        <w:rPr>
          <w:rFonts w:ascii="Arial" w:cs="Arial" w:eastAsia="Arial" w:hAnsi="Arial"/>
          <w:sz w:val="18"/>
          <w:szCs w:val="18"/>
          <w:color w:val="auto"/>
        </w:rPr>
      </w:pPr>
    </w:p>
    <w:p>
      <w:pPr>
        <w:ind w:firstLine="1952"/>
        <w:spacing w:after="0" w:line="293" w:lineRule="auto"/>
        <w:tabs>
          <w:tab w:leader="none" w:pos="269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to act as Depositary with respect to the Global Notes.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60"/>
        <w:spacing w:after="0"/>
        <w:tabs>
          <w:tab w:leader="none" w:pos="17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ind w:right="140" w:firstLine="1304"/>
        <w:spacing w:after="0" w:line="259" w:lineRule="auto"/>
        <w:tabs>
          <w:tab w:leader="none" w:pos="20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 A Global Note may not be transferred as a whole except by the Depositary to a</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of the 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w:t>
      </w:r>
    </w:p>
    <w:p>
      <w:pPr>
        <w:spacing w:after="0" w:line="187" w:lineRule="exact"/>
        <w:rPr>
          <w:sz w:val="20"/>
          <w:szCs w:val="20"/>
          <w:color w:val="auto"/>
        </w:rPr>
      </w:pPr>
    </w:p>
    <w:p>
      <w:pPr>
        <w:jc w:val="both"/>
        <w:ind w:firstLine="1304"/>
        <w:spacing w:after="0" w:line="263" w:lineRule="auto"/>
        <w:tabs>
          <w:tab w:leader="none" w:pos="20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Event of Default has occurred and the Trustee has received a written request from DTC that the Global Notes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 (in whole but not in part) should be exchanged for Definitive Notes; or</w:t>
      </w:r>
    </w:p>
    <w:p>
      <w:pPr>
        <w:spacing w:after="0" w:line="211" w:lineRule="exact"/>
        <w:rPr>
          <w:sz w:val="20"/>
          <w:szCs w:val="20"/>
          <w:color w:val="auto"/>
        </w:rPr>
      </w:pPr>
    </w:p>
    <w:p>
      <w:pPr>
        <w:ind w:right="320" w:firstLine="1304"/>
        <w:spacing w:after="0" w:line="308" w:lineRule="auto"/>
        <w:tabs>
          <w:tab w:leader="none" w:pos="20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in its sole discretion and subject to the procedures of the Depositary determines that the Global Notes of such Series (in whole but not in part) should be exchanged for Definitive Notes and delivers a written notice to such effect to the Trustee.</w:t>
      </w:r>
    </w:p>
    <w:p>
      <w:pPr>
        <w:spacing w:after="0" w:line="14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Upon the occurrence of either of the preceding events in (1), (2) or (3)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Sections 2.2(b) or (f) hereof.</w:t>
      </w:r>
    </w:p>
    <w:p>
      <w:pPr>
        <w:spacing w:after="0" w:line="211" w:lineRule="exact"/>
        <w:rPr>
          <w:sz w:val="20"/>
          <w:szCs w:val="20"/>
          <w:color w:val="auto"/>
        </w:rPr>
      </w:pPr>
    </w:p>
    <w:p>
      <w:pPr>
        <w:jc w:val="both"/>
        <w:ind w:right="100" w:firstLine="1304"/>
        <w:spacing w:after="0" w:line="259" w:lineRule="auto"/>
        <w:tabs>
          <w:tab w:leader="none" w:pos="204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ind w:right="20" w:firstLine="1952"/>
        <w:spacing w:after="0" w:line="263" w:lineRule="auto"/>
        <w:tabs>
          <w:tab w:leader="none" w:pos="2693"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 transferred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take delivery thereof in the form of a beneficial interest in a Global Note. No written orders or instructions will be required to be delivered to the Registrar to effect the transfers described in this Section 2.2(b)(1).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200" w:firstLine="1952"/>
        <w:spacing w:after="0" w:line="263" w:lineRule="auto"/>
        <w:tabs>
          <w:tab w:leader="none" w:pos="269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of beneficial interests with respect to a Series of Notes that are not subject to Section 2.2(b)(1) above, the transferor of such beneficial interest must deliver to the Registrar:</w:t>
      </w:r>
    </w:p>
    <w:p>
      <w:pPr>
        <w:spacing w:after="0" w:line="183" w:lineRule="exact"/>
        <w:rPr>
          <w:rFonts w:ascii="Arial" w:cs="Arial" w:eastAsia="Arial" w:hAnsi="Arial"/>
          <w:sz w:val="18"/>
          <w:szCs w:val="18"/>
          <w:color w:val="auto"/>
        </w:rPr>
      </w:pPr>
    </w:p>
    <w:p>
      <w:pPr>
        <w:ind w:right="280" w:firstLine="2600"/>
        <w:spacing w:after="0" w:line="263" w:lineRule="auto"/>
        <w:tabs>
          <w:tab w:leader="none" w:pos="330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3" w:lineRule="exact"/>
        <w:rPr>
          <w:rFonts w:ascii="Arial" w:cs="Arial" w:eastAsia="Arial" w:hAnsi="Arial"/>
          <w:sz w:val="18"/>
          <w:szCs w:val="18"/>
          <w:color w:val="auto"/>
        </w:rPr>
      </w:pPr>
    </w:p>
    <w:p>
      <w:pPr>
        <w:ind w:right="540" w:firstLine="2600"/>
        <w:spacing w:after="0" w:line="277" w:lineRule="auto"/>
        <w:tabs>
          <w:tab w:leader="none" w:pos="33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17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w:t>
      </w:r>
    </w:p>
    <w:p>
      <w:pPr>
        <w:spacing w:after="0" w:line="184" w:lineRule="exact"/>
        <w:rPr>
          <w:sz w:val="20"/>
          <w:szCs w:val="20"/>
          <w:color w:val="auto"/>
        </w:rPr>
      </w:pPr>
    </w:p>
    <w:p>
      <w:pPr>
        <w:ind w:left="2040" w:hanging="736"/>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w:t>
      </w:r>
    </w:p>
    <w:p>
      <w:pPr>
        <w:spacing w:after="0" w:line="187" w:lineRule="exact"/>
        <w:rPr>
          <w:sz w:val="20"/>
          <w:szCs w:val="20"/>
          <w:color w:val="auto"/>
        </w:rPr>
      </w:pPr>
    </w:p>
    <w:p>
      <w:pPr>
        <w:ind w:right="180" w:firstLine="1304"/>
        <w:spacing w:after="0" w:line="273" w:lineRule="auto"/>
        <w:tabs>
          <w:tab w:leader="none" w:pos="204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Transfer and Exchange of Definitive Notes for Definitive Notes</w:t>
      </w:r>
      <w:r>
        <w:rPr>
          <w:rFonts w:ascii="Arial" w:cs="Arial" w:eastAsia="Arial" w:hAnsi="Arial"/>
          <w:sz w:val="17"/>
          <w:szCs w:val="17"/>
          <w:color w:val="auto"/>
        </w:rPr>
        <w:t>. A Holder of Definitive Notes may transfer such Notes to a</w:t>
      </w:r>
      <w:r>
        <w:rPr>
          <w:rFonts w:ascii="Arial" w:cs="Arial" w:eastAsia="Arial" w:hAnsi="Arial"/>
          <w:sz w:val="17"/>
          <w:szCs w:val="17"/>
          <w:i w:val="1"/>
          <w:iCs w:val="1"/>
          <w:color w:val="auto"/>
        </w:rPr>
        <w:t xml:space="preserve"> </w:t>
      </w:r>
      <w:r>
        <w:rPr>
          <w:rFonts w:ascii="Arial" w:cs="Arial" w:eastAsia="Arial" w:hAnsi="Arial"/>
          <w:sz w:val="17"/>
          <w:szCs w:val="17"/>
          <w:color w:val="auto"/>
        </w:rPr>
        <w:t>person who 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77" w:lineRule="exact"/>
        <w:rPr>
          <w:rFonts w:ascii="Arial" w:cs="Arial" w:eastAsia="Arial" w:hAnsi="Arial"/>
          <w:sz w:val="17"/>
          <w:szCs w:val="17"/>
          <w:color w:val="auto"/>
        </w:rPr>
      </w:pPr>
    </w:p>
    <w:p>
      <w:pPr>
        <w:ind w:right="260" w:firstLine="1304"/>
        <w:spacing w:after="0" w:line="277" w:lineRule="auto"/>
        <w:tabs>
          <w:tab w:leader="none" w:pos="20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Supplemental Indenture.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right="20" w:firstLine="648"/>
        <w:spacing w:after="0" w:line="268" w:lineRule="auto"/>
        <w:rPr>
          <w:sz w:val="20"/>
          <w:szCs w:val="20"/>
          <w:color w:val="auto"/>
        </w:rPr>
      </w:pPr>
      <w:r>
        <w:rPr>
          <w:rFonts w:ascii="Arial" w:cs="Arial" w:eastAsia="Arial" w:hAnsi="Arial"/>
          <w:sz w:val="17"/>
          <w:szCs w:val="17"/>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ind w:right="20" w:firstLine="1304"/>
        <w:spacing w:after="0" w:line="253" w:lineRule="auto"/>
        <w:tabs>
          <w:tab w:leader="none" w:pos="201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96" w:lineRule="exact"/>
        <w:rPr>
          <w:rFonts w:ascii="Arial" w:cs="Arial" w:eastAsia="Arial" w:hAnsi="Arial"/>
          <w:sz w:val="18"/>
          <w:szCs w:val="18"/>
          <w:color w:val="auto"/>
        </w:rPr>
      </w:pPr>
    </w:p>
    <w:p>
      <w:pPr>
        <w:ind w:left="2060" w:hanging="756"/>
        <w:spacing w:after="0"/>
        <w:tabs>
          <w:tab w:leader="none" w:pos="20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right="40" w:firstLine="1952"/>
        <w:spacing w:after="0" w:line="277" w:lineRule="auto"/>
        <w:tabs>
          <w:tab w:leader="none" w:pos="26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170" w:lineRule="exact"/>
        <w:rPr>
          <w:rFonts w:ascii="Arial" w:cs="Arial" w:eastAsia="Arial" w:hAnsi="Arial"/>
          <w:sz w:val="18"/>
          <w:szCs w:val="18"/>
          <w:color w:val="auto"/>
        </w:rPr>
      </w:pPr>
    </w:p>
    <w:p>
      <w:pPr>
        <w:ind w:firstLine="1952"/>
        <w:spacing w:after="0" w:line="259" w:lineRule="auto"/>
        <w:tabs>
          <w:tab w:leader="none" w:pos="26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spacing w:after="0" w:line="186" w:lineRule="exact"/>
        <w:rPr>
          <w:rFonts w:ascii="Arial" w:cs="Arial" w:eastAsia="Arial" w:hAnsi="Arial"/>
          <w:sz w:val="18"/>
          <w:szCs w:val="18"/>
          <w:color w:val="auto"/>
        </w:rPr>
      </w:pPr>
    </w:p>
    <w:p>
      <w:pPr>
        <w:ind w:right="20" w:firstLine="1952"/>
        <w:spacing w:after="0" w:line="277" w:lineRule="auto"/>
        <w:tabs>
          <w:tab w:leader="none" w:pos="26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ind w:right="580" w:firstLine="1952"/>
        <w:spacing w:after="0" w:line="286" w:lineRule="auto"/>
        <w:tabs>
          <w:tab w:leader="none" w:pos="268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65" w:lineRule="exact"/>
        <w:rPr>
          <w:rFonts w:ascii="Arial" w:cs="Arial" w:eastAsia="Arial" w:hAnsi="Arial"/>
          <w:sz w:val="17"/>
          <w:szCs w:val="17"/>
          <w:color w:val="auto"/>
        </w:rPr>
      </w:pPr>
    </w:p>
    <w:p>
      <w:pPr>
        <w:ind w:right="40" w:firstLine="1952"/>
        <w:spacing w:after="0" w:line="277" w:lineRule="auto"/>
        <w:tabs>
          <w:tab w:leader="none" w:pos="26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Company elects to redeem or make an Offer to Purchase with respect to a Series of Notes hereunder, neither the Company nor the Trustee will be required to:</w:t>
      </w:r>
    </w:p>
    <w:p>
      <w:pPr>
        <w:spacing w:after="0" w:line="170" w:lineRule="exact"/>
        <w:rPr>
          <w:rFonts w:ascii="Arial" w:cs="Arial" w:eastAsia="Arial" w:hAnsi="Arial"/>
          <w:sz w:val="18"/>
          <w:szCs w:val="18"/>
          <w:color w:val="auto"/>
        </w:rPr>
      </w:pPr>
    </w:p>
    <w:p>
      <w:pPr>
        <w:ind w:right="80" w:firstLine="2600"/>
        <w:spacing w:after="0" w:line="263" w:lineRule="auto"/>
        <w:tabs>
          <w:tab w:leader="none" w:pos="3302"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183" w:lineRule="exact"/>
        <w:rPr>
          <w:rFonts w:ascii="Arial" w:cs="Arial" w:eastAsia="Arial" w:hAnsi="Arial"/>
          <w:sz w:val="18"/>
          <w:szCs w:val="18"/>
          <w:color w:val="auto"/>
        </w:rPr>
      </w:pPr>
    </w:p>
    <w:p>
      <w:pPr>
        <w:ind w:right="160" w:firstLine="2600"/>
        <w:spacing w:after="0" w:line="342" w:lineRule="auto"/>
        <w:tabs>
          <w:tab w:leader="none" w:pos="3307"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register the transfer of or to exchange any Note of such Series so selected for redemption or subject to purchase in such Offer to Purchase in whole or in part, except the unredeemed portion of any Note of such Series being redeemed or purchased in part; or</w:t>
      </w:r>
    </w:p>
    <w:p>
      <w:pPr>
        <w:spacing w:after="0" w:line="123" w:lineRule="exact"/>
        <w:rPr>
          <w:rFonts w:ascii="Arial" w:cs="Arial" w:eastAsia="Arial" w:hAnsi="Arial"/>
          <w:sz w:val="16"/>
          <w:szCs w:val="16"/>
          <w:color w:val="auto"/>
        </w:rPr>
      </w:pPr>
    </w:p>
    <w:p>
      <w:pPr>
        <w:jc w:val="both"/>
        <w:ind w:right="440" w:firstLine="2600"/>
        <w:spacing w:after="0" w:line="263" w:lineRule="auto"/>
        <w:tabs>
          <w:tab w:leader="none" w:pos="3312"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of or exchange a Note of such Series on or after the regular record date and before the date of redemption or purchase.</w:t>
      </w:r>
    </w:p>
    <w:p>
      <w:pPr>
        <w:spacing w:after="0" w:line="183" w:lineRule="exact"/>
        <w:rPr>
          <w:rFonts w:ascii="Arial" w:cs="Arial" w:eastAsia="Arial" w:hAnsi="Arial"/>
          <w:sz w:val="18"/>
          <w:szCs w:val="18"/>
          <w:color w:val="auto"/>
        </w:rPr>
      </w:pPr>
    </w:p>
    <w:p>
      <w:pPr>
        <w:ind w:right="20" w:firstLine="1952"/>
        <w:spacing w:after="0" w:line="259" w:lineRule="auto"/>
        <w:tabs>
          <w:tab w:leader="none" w:pos="26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186" w:lineRule="exact"/>
        <w:rPr>
          <w:rFonts w:ascii="Arial" w:cs="Arial" w:eastAsia="Arial" w:hAnsi="Arial"/>
          <w:sz w:val="18"/>
          <w:szCs w:val="18"/>
          <w:color w:val="auto"/>
        </w:rPr>
      </w:pPr>
    </w:p>
    <w:p>
      <w:pPr>
        <w:ind w:left="2700" w:hanging="748"/>
        <w:spacing w:after="0"/>
        <w:tabs>
          <w:tab w:leader="none" w:pos="2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Trustee will authenticate Global Notes and Definitive Notes in accordance with the provisions of Section 2.3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Base Indenture.</w:t>
      </w:r>
    </w:p>
    <w:p>
      <w:pPr>
        <w:spacing w:after="0" w:line="210" w:lineRule="exact"/>
        <w:rPr>
          <w:rFonts w:ascii="Arial" w:cs="Arial" w:eastAsia="Arial" w:hAnsi="Arial"/>
          <w:sz w:val="16"/>
          <w:szCs w:val="16"/>
          <w:color w:val="auto"/>
        </w:rPr>
      </w:pPr>
    </w:p>
    <w:p>
      <w:pPr>
        <w:ind w:left="2700" w:hanging="748"/>
        <w:spacing w:after="0"/>
        <w:tabs>
          <w:tab w:leader="none" w:pos="2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00" w:firstLine="1952"/>
        <w:spacing w:after="0" w:line="277" w:lineRule="auto"/>
        <w:tabs>
          <w:tab w:leader="none" w:pos="26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 Section 2.2 to effect a registration of transfer or exchange may be submitted by facsimile.</w:t>
      </w:r>
    </w:p>
    <w:p>
      <w:pPr>
        <w:spacing w:after="0" w:line="170" w:lineRule="exact"/>
        <w:rPr>
          <w:rFonts w:ascii="Arial" w:cs="Arial" w:eastAsia="Arial" w:hAnsi="Arial"/>
          <w:sz w:val="18"/>
          <w:szCs w:val="18"/>
          <w:color w:val="auto"/>
        </w:rPr>
      </w:pPr>
    </w:p>
    <w:p>
      <w:pPr>
        <w:ind w:firstLine="1952"/>
        <w:spacing w:after="0" w:line="301" w:lineRule="auto"/>
        <w:tabs>
          <w:tab w:leader="none" w:pos="26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157" w:lineRule="exact"/>
        <w:rPr>
          <w:rFonts w:ascii="Arial" w:cs="Arial" w:eastAsia="Arial" w:hAnsi="Arial"/>
          <w:sz w:val="16"/>
          <w:szCs w:val="16"/>
          <w:color w:val="auto"/>
        </w:rPr>
      </w:pPr>
    </w:p>
    <w:p>
      <w:pPr>
        <w:ind w:left="2700" w:hanging="748"/>
        <w:spacing w:after="0"/>
        <w:tabs>
          <w:tab w:leader="none" w:pos="2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Neither the Trustee nor any Agent shall have any responsibility for any actions taken or not taken by the Depositary.</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ind w:firstLine="1304"/>
        <w:spacing w:after="0" w:line="301" w:lineRule="auto"/>
        <w:tabs>
          <w:tab w:leader="none" w:pos="20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2032 Notes under this Supplemental Indenture which will have identical terms as the Initial 2032 Notes issued on the date hereof, other than with respect to the date of issuance and issue price and, if applicable, the first Interest Payment Date and the initial interest accrual date. The Initial 2032 Notes issued on the date hereof and any Additional 2032 Notes issued will be treated as a single Series for all purposes under this Supplemental Indenture.</w:t>
      </w:r>
    </w:p>
    <w:p>
      <w:pPr>
        <w:spacing w:after="0" w:line="157" w:lineRule="exact"/>
        <w:rPr>
          <w:rFonts w:ascii="Arial" w:cs="Arial" w:eastAsia="Arial" w:hAnsi="Arial"/>
          <w:sz w:val="16"/>
          <w:szCs w:val="16"/>
          <w:color w:val="auto"/>
        </w:rPr>
      </w:pPr>
    </w:p>
    <w:p>
      <w:pPr>
        <w:ind w:firstLine="1304"/>
        <w:spacing w:after="0" w:line="301" w:lineRule="auto"/>
        <w:tabs>
          <w:tab w:leader="none" w:pos="204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2041 Notes under this Supplemental Indenture which will have identical terms as the Initial 2041 Notes issued on the date hereof, other than with respect to the date of issuance and issue price and, if applicable, the first Interest Payment Date and the initial interest accrual date. The Initial 2041 Notes issued on the date hereof and any Additional 2041 Notes issued will be treated as a single Series for all purposes under this Supplemental Indenture.</w:t>
      </w:r>
    </w:p>
    <w:p>
      <w:pPr>
        <w:spacing w:after="0" w:line="157" w:lineRule="exact"/>
        <w:rPr>
          <w:rFonts w:ascii="Arial" w:cs="Arial" w:eastAsia="Arial" w:hAnsi="Arial"/>
          <w:sz w:val="16"/>
          <w:szCs w:val="16"/>
          <w:color w:val="auto"/>
        </w:rPr>
      </w:pPr>
    </w:p>
    <w:p>
      <w:pPr>
        <w:ind w:firstLine="1304"/>
        <w:spacing w:after="0" w:line="301" w:lineRule="auto"/>
        <w:tabs>
          <w:tab w:leader="none" w:pos="20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2051 Notes under this Supplemental Indenture which will have identical terms as the Initial 2051 Notes issued on the date hereof, other than with respect to the date of issuance and issue price and, if applicable, the first Interest Payment Date and the initial interest accrual date. The Initial 2051 Notes issued on the date hereof and any Additional 2051 Notes issued will be treated as a single Series for all purposes under this Supplemental Indenture.</w:t>
      </w:r>
    </w:p>
    <w:p>
      <w:pPr>
        <w:spacing w:after="0" w:line="157" w:lineRule="exact"/>
        <w:rPr>
          <w:rFonts w:ascii="Arial" w:cs="Arial" w:eastAsia="Arial" w:hAnsi="Arial"/>
          <w:sz w:val="16"/>
          <w:szCs w:val="16"/>
          <w:color w:val="auto"/>
        </w:rPr>
      </w:pPr>
    </w:p>
    <w:p>
      <w:pPr>
        <w:ind w:firstLine="1304"/>
        <w:spacing w:after="0" w:line="263" w:lineRule="auto"/>
        <w:tabs>
          <w:tab w:leader="none" w:pos="20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a (i) supplemental indenture or (ii) in resolution of its Board of Directors (or a duly authorized committee thereof) or of a designee thereof and an Officer’s Certificate, a copy of each which will be delivered to the Trustee, the following information:</w:t>
      </w:r>
    </w:p>
    <w:p>
      <w:pPr>
        <w:spacing w:after="0" w:line="183" w:lineRule="exact"/>
        <w:rPr>
          <w:rFonts w:ascii="Arial" w:cs="Arial" w:eastAsia="Arial" w:hAnsi="Arial"/>
          <w:sz w:val="18"/>
          <w:szCs w:val="18"/>
          <w:color w:val="auto"/>
        </w:rPr>
      </w:pPr>
    </w:p>
    <w:p>
      <w:pPr>
        <w:ind w:left="3300" w:hanging="700"/>
        <w:spacing w:after="0"/>
        <w:tabs>
          <w:tab w:leader="none" w:pos="3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aggregate principal amount of such Additional Notes to be authenticated and delivered pursuant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Supplemental Indenture; and</w:t>
      </w:r>
    </w:p>
    <w:p>
      <w:pPr>
        <w:spacing w:after="0" w:line="210" w:lineRule="exact"/>
        <w:rPr>
          <w:rFonts w:ascii="Arial" w:cs="Arial" w:eastAsia="Arial" w:hAnsi="Arial"/>
          <w:sz w:val="16"/>
          <w:szCs w:val="16"/>
          <w:color w:val="auto"/>
        </w:rPr>
      </w:pPr>
    </w:p>
    <w:p>
      <w:pPr>
        <w:ind w:left="3320" w:hanging="720"/>
        <w:spacing w:after="0"/>
        <w:tabs>
          <w:tab w:leader="none" w:pos="3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issue price, the issue date, the CUSIP number(s), the first Interest Payment Date and the initial interest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accrual date of such Additional Notes.</w:t>
      </w:r>
    </w:p>
    <w:p>
      <w:pPr>
        <w:spacing w:after="0" w:line="210" w:lineRule="exact"/>
        <w:rPr>
          <w:rFonts w:ascii="Arial" w:cs="Arial" w:eastAsia="Arial" w:hAnsi="Arial"/>
          <w:sz w:val="16"/>
          <w:szCs w:val="16"/>
          <w:color w:val="auto"/>
        </w:rPr>
      </w:pPr>
    </w:p>
    <w:p>
      <w:pPr>
        <w:ind w:left="2040" w:hanging="736"/>
        <w:spacing w:after="0"/>
        <w:tabs>
          <w:tab w:leader="none" w:pos="2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the avoidance of doubt, the issuance of Additional Notes pursuant to this Section 2.3 is subject to Section 2.3 of the Base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right="200" w:firstLine="1304"/>
        <w:spacing w:after="0" w:line="277" w:lineRule="auto"/>
        <w:tabs>
          <w:tab w:leader="none" w:pos="20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Additional Notes of a Series issued pursuant to this Section 2.3 shall only bear the same CUSIP number as any existing Notes of such Series if they would be fungible for United States tax purposes with such existing Notes of that Series.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shall execute the Notes on behalf of the Company by manual, electronic or facsimile signature.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firstLine="1304"/>
        <w:spacing w:after="0" w:line="263" w:lineRule="auto"/>
        <w:tabs>
          <w:tab w:leader="none" w:pos="199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2032 Notes</w:t>
      </w:r>
      <w:r>
        <w:rPr>
          <w:rFonts w:ascii="Arial" w:cs="Arial" w:eastAsia="Arial" w:hAnsi="Arial"/>
          <w:sz w:val="18"/>
          <w:szCs w:val="18"/>
          <w:color w:val="auto"/>
        </w:rPr>
        <w:t>. Prior to the Par Call Date, the Company will have the right, at its option, to redeem the 2032 Notes, in whole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or in part from time to time, at a redemption price as calculated by the Company equal to the greater of the following amounts, plus, in each case, accrued and unpaid interest, if any, on the amount being redeemed to, but excluding, the date of redemption:</w:t>
      </w:r>
    </w:p>
    <w:p>
      <w:pPr>
        <w:spacing w:after="0" w:line="183" w:lineRule="exact"/>
        <w:rPr>
          <w:rFonts w:ascii="Arial" w:cs="Arial" w:eastAsia="Arial" w:hAnsi="Arial"/>
          <w:sz w:val="18"/>
          <w:szCs w:val="18"/>
          <w:color w:val="auto"/>
        </w:rPr>
      </w:pPr>
    </w:p>
    <w:p>
      <w:pPr>
        <w:ind w:left="3300" w:hanging="700"/>
        <w:spacing w:after="0"/>
        <w:tabs>
          <w:tab w:leader="none" w:pos="3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100% of the principal amount of the 2032 Notes to be redeemed; and</w:t>
      </w:r>
    </w:p>
    <w:p>
      <w:pPr>
        <w:spacing w:after="0" w:line="225" w:lineRule="exact"/>
        <w:rPr>
          <w:rFonts w:ascii="Arial" w:cs="Arial" w:eastAsia="Arial" w:hAnsi="Arial"/>
          <w:sz w:val="18"/>
          <w:szCs w:val="18"/>
          <w:color w:val="auto"/>
        </w:rPr>
      </w:pPr>
    </w:p>
    <w:p>
      <w:pPr>
        <w:ind w:left="3320" w:hanging="720"/>
        <w:spacing w:after="0"/>
        <w:tabs>
          <w:tab w:leader="none" w:pos="3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Remaining Scheduled Payments of such 2032 Notes to be redeemed.</w:t>
      </w:r>
    </w:p>
    <w:p>
      <w:pPr>
        <w:spacing w:after="0" w:line="22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If the Company elects to redeem any 2032 Notes on or after the Par Call Date, the redemption price will be an amount equal to 100% of the principal amount of the 2032 Notes redeemed, plus accrued and unpaid interest, if any, to, but excluding, the date of redemption.</w:t>
      </w:r>
    </w:p>
    <w:p>
      <w:pPr>
        <w:spacing w:after="0" w:line="14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connection with any redemption of the 2032 Notes, calculation of the redemption price therefor shall be made by the Company or on the Company’s behalf by such person as the Company shall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calculation shall not be a duty or obligation of the Trustee or any Agent. Notwithstanding Section 3.3 of the Base Indenture, the notice of any redemption of the 2032 Notes pursuant to that Section in respect of a redemption date occurring prior to the maturity date of the 2032 Notes need not set forth the redemption price but only the manner of calculation thereof and the Company will prepare and send, or cause to be sent, such notice of redemption to each Holder of Notes to be redeemed (with a copy to the Trustee) at least 10 and not more than 60 calendar days prior to the date fixed for redemption. Any redemption or notice of redemption may, at the Company’s discretion, be subject to one or more conditions precedent.</w:t>
      </w:r>
    </w:p>
    <w:p>
      <w:pPr>
        <w:spacing w:after="0" w:line="17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2032 Notes or portions thereof called for redemption.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2032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2032 Notes are represented by one or more Global Notes, the 2032 Notes shall be selected for redemption by the Depositary in accordance with its standard procedures therefor) and may provide for the selection for redemption of a portion of the principal amount of the 2032 Notes equal to an authorized denomination.</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 2032 Notes of $2,000 or less can be redeemed in part. 2032 Notes in denominations larger than $2,000 may be redeemed in part but only in whole multiples of $1,000, unless all of the 2032 Notes held by a Holder are to be redeemed.</w:t>
      </w:r>
    </w:p>
    <w:p>
      <w:pPr>
        <w:spacing w:after="0" w:line="170" w:lineRule="exact"/>
        <w:rPr>
          <w:sz w:val="20"/>
          <w:szCs w:val="20"/>
          <w:color w:val="auto"/>
        </w:rPr>
      </w:pPr>
    </w:p>
    <w:p>
      <w:pPr>
        <w:ind w:firstLine="1304"/>
        <w:spacing w:after="0" w:line="263" w:lineRule="auto"/>
        <w:tabs>
          <w:tab w:leader="none" w:pos="200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2041 Notes</w:t>
      </w:r>
      <w:r>
        <w:rPr>
          <w:rFonts w:ascii="Arial" w:cs="Arial" w:eastAsia="Arial" w:hAnsi="Arial"/>
          <w:sz w:val="18"/>
          <w:szCs w:val="18"/>
          <w:color w:val="auto"/>
        </w:rPr>
        <w:t>. Prior to the Par Call Date, the Company will have the right, at its option, to redeem the 2041 Notes, in whole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or in part from time to time, at a redemption price as calculated by the Company equal to the greater of the following amounts, plus, in each case, accrued and unpaid interest, if any, on the amount being redeemed to, but excluding, the date of redemption:</w:t>
      </w:r>
    </w:p>
    <w:p>
      <w:pPr>
        <w:spacing w:after="0" w:line="183" w:lineRule="exact"/>
        <w:rPr>
          <w:rFonts w:ascii="Arial" w:cs="Arial" w:eastAsia="Arial" w:hAnsi="Arial"/>
          <w:sz w:val="18"/>
          <w:szCs w:val="18"/>
          <w:color w:val="auto"/>
        </w:rPr>
      </w:pPr>
    </w:p>
    <w:p>
      <w:pPr>
        <w:ind w:left="3300" w:hanging="700"/>
        <w:spacing w:after="0"/>
        <w:tabs>
          <w:tab w:leader="none" w:pos="3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100% of the principal amount of the 2041 Notes to be redeemed; and</w:t>
      </w:r>
    </w:p>
    <w:p>
      <w:pPr>
        <w:spacing w:after="0" w:line="225" w:lineRule="exact"/>
        <w:rPr>
          <w:rFonts w:ascii="Arial" w:cs="Arial" w:eastAsia="Arial" w:hAnsi="Arial"/>
          <w:sz w:val="18"/>
          <w:szCs w:val="18"/>
          <w:color w:val="auto"/>
        </w:rPr>
      </w:pPr>
    </w:p>
    <w:p>
      <w:pPr>
        <w:ind w:left="3320" w:hanging="720"/>
        <w:spacing w:after="0"/>
        <w:tabs>
          <w:tab w:leader="none" w:pos="3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Remaining Scheduled Payments of such 2041 Notes to be redeemed.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ind w:right="520" w:firstLine="648"/>
        <w:spacing w:after="0" w:line="308" w:lineRule="auto"/>
        <w:rPr>
          <w:sz w:val="20"/>
          <w:szCs w:val="20"/>
          <w:color w:val="auto"/>
        </w:rPr>
      </w:pPr>
      <w:r>
        <w:rPr>
          <w:rFonts w:ascii="Arial" w:cs="Arial" w:eastAsia="Arial" w:hAnsi="Arial"/>
          <w:sz w:val="17"/>
          <w:szCs w:val="17"/>
          <w:color w:val="auto"/>
        </w:rPr>
        <w:t>If the Company elects to redeem any 2041 Notes on or after the Par Call Date, the redemption price will be an amount equal to 100% of the principal amount of the 2041 Notes redeemed, plus accrued and unpaid interest, if any, to, but excluding, the date of redemption.</w:t>
      </w:r>
    </w:p>
    <w:p>
      <w:pPr>
        <w:spacing w:after="0" w:line="14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connection with any redemption of the 2041 Notes, calculation of the redemption price therefor shall be made by the Company or on the Company’s behalf by such person as the Company shall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calculation shall not be a duty or obligation of the Trustee or any Agent. Notwithstanding Section 3.3 of the Base Indenture, the notice of any redemption of the 2041 Notes pursuant to that Section in respect of a redemption date occurring prior to the maturity date of the 2041 Notes need not set forth the redemption price but only the manner of calculation thereof and the Company will prepare and send, or cause to be sent, such notice of redemption to each Holder of Notes to be redeemed (with a copy to the Trustee) at least 10 and not more than 60 calendar days prior to the date fixed for redemption. Any redemption or notice of redemption may, at the Company’s discretion, be subject to one or more conditions precedent.</w:t>
      </w:r>
    </w:p>
    <w:p>
      <w:pPr>
        <w:spacing w:after="0" w:line="17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2041 Notes or portions thereof called for redemption.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2041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2041 Notes are represented by one or more Global Notes, the 2041 Notes shall be selected for redemption by the Depositary in accordance with its standard procedures therefor) and may provide for the selection for redemption of a portion of the principal amount of the 2041 Notes equal to an authorized denomination.</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 2041 Notes of $2,000 or less can be redeemed in part. 2041 Notes in denominations larger than $2,000 may be redeemed in part but only in whole multiples of $1,000, unless all of the 2041 Notes held by a Holder are to be redeemed.</w:t>
      </w:r>
    </w:p>
    <w:p>
      <w:pPr>
        <w:spacing w:after="0" w:line="170" w:lineRule="exact"/>
        <w:rPr>
          <w:sz w:val="20"/>
          <w:szCs w:val="20"/>
          <w:color w:val="auto"/>
        </w:rPr>
      </w:pPr>
    </w:p>
    <w:p>
      <w:pPr>
        <w:ind w:right="80" w:firstLine="1304"/>
        <w:spacing w:after="0" w:line="263" w:lineRule="auto"/>
        <w:tabs>
          <w:tab w:leader="none" w:pos="20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2051 Notes</w:t>
      </w:r>
      <w:r>
        <w:rPr>
          <w:rFonts w:ascii="Arial" w:cs="Arial" w:eastAsia="Arial" w:hAnsi="Arial"/>
          <w:sz w:val="18"/>
          <w:szCs w:val="18"/>
          <w:color w:val="auto"/>
        </w:rPr>
        <w:t>. Prior to the Par Call Date, the Company will have the right, at its option, to redeem the 2051 Notes, in whole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or in part from time to time, at a redemption price as calculated by the Company equal to the greater of the following amounts, plus, in each case, accrued and unpaid interest, if any, on the amount being redeemed to, but excluding, the date of redemption:</w:t>
      </w:r>
    </w:p>
    <w:p>
      <w:pPr>
        <w:spacing w:after="0" w:line="183" w:lineRule="exact"/>
        <w:rPr>
          <w:rFonts w:ascii="Arial" w:cs="Arial" w:eastAsia="Arial" w:hAnsi="Arial"/>
          <w:sz w:val="18"/>
          <w:szCs w:val="18"/>
          <w:color w:val="auto"/>
        </w:rPr>
      </w:pPr>
    </w:p>
    <w:p>
      <w:pPr>
        <w:ind w:left="3300" w:hanging="700"/>
        <w:spacing w:after="0"/>
        <w:tabs>
          <w:tab w:leader="none" w:pos="3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 of the principal amount of the 2051 Notes to be redeemed; and</w:t>
      </w:r>
    </w:p>
    <w:p>
      <w:pPr>
        <w:spacing w:after="0" w:line="225" w:lineRule="exact"/>
        <w:rPr>
          <w:rFonts w:ascii="Arial" w:cs="Arial" w:eastAsia="Arial" w:hAnsi="Arial"/>
          <w:sz w:val="18"/>
          <w:szCs w:val="18"/>
          <w:color w:val="auto"/>
        </w:rPr>
      </w:pPr>
    </w:p>
    <w:p>
      <w:pPr>
        <w:ind w:left="3320" w:hanging="720"/>
        <w:spacing w:after="0"/>
        <w:tabs>
          <w:tab w:leader="none" w:pos="3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Remaining Scheduled Payments of such 2051 Notes to be redeemed.</w:t>
      </w:r>
    </w:p>
    <w:p>
      <w:pPr>
        <w:spacing w:after="0" w:line="22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If the Company elects to redeem any 2051 Notes on or after the Par Call Date, the redemption price will be an amount equal to 100% of the principal amount of the 2051 Notes redeemed, plus accrued and unpaid interest, if any, to, but excluding, the date of redemption.</w:t>
      </w:r>
    </w:p>
    <w:p>
      <w:pPr>
        <w:spacing w:after="0" w:line="14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connection with any redemption of the 2051 Notes, calculation of the redemption price therefor shall be made by the Company or on the Company’s behalf by such person as the Company shall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calculation shall not be a duty or obligation of the Trustee or any Agent. Notwithstanding Section 3.3 of the Base Indenture, the notice of any redemption of the 2051 Notes pursuant to that Section in respect of a redemption date occurring prior to the maturity date of the 2051 Notes need not set forth the redemption price but only the manner of calculation thereof and the Company will prepare and send, or cause to be sent, such notice of redemption to each Holder of Notes to be redeemed (with a copy to the Trustee) at least 10 and not more than 60 calendar days prior to the date fixed for redemption. Any redemption or notice of redemption may, at the Company’s discretion, be subject to one or more conditions precedent.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ind w:right="40"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2051 Notes or portions thereof called for redemption.</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2051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2051 Notes are represented by one or more Global Notes, the 2051 Notes shall be selected for redemption by the Depositary in accordance with its standard procedures therefor) and may provide for the selection for redemption of a portion of the principal amount of the 2051 Notes equal to an authorized denomination.</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 2051 Notes of $2,000 or less can be redeemed in part. 2051 Notes in denominations larger than $2,000 may be redeemed in part but only in whole multiples of $1,000, unless all of the 2051 Notes held by a Holder are to be redeemed.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 COVENANTS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Offer to Purchase Upon Change of Control Triggering Event</w:t>
      </w:r>
    </w:p>
    <w:p>
      <w:pPr>
        <w:spacing w:after="0" w:line="225" w:lineRule="exact"/>
        <w:rPr>
          <w:sz w:val="20"/>
          <w:szCs w:val="20"/>
          <w:color w:val="auto"/>
        </w:rPr>
      </w:pPr>
    </w:p>
    <w:p>
      <w:pPr>
        <w:ind w:firstLine="1304"/>
        <w:spacing w:after="0" w:line="286" w:lineRule="auto"/>
        <w:tabs>
          <w:tab w:leader="none" w:pos="19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 Change of Control Triggering Event occurs with respect to a Series of Notes hereunder, unless the Company has exercised its option to redeem all Notes of such Series in full pursuant to Section 3.1 or has defeased such Series of the Notes or satisfied and discharged such Series of Notes, the Company shall be required to make an offer (an “</w:t>
      </w:r>
      <w:r>
        <w:rPr>
          <w:rFonts w:ascii="Arial" w:cs="Arial" w:eastAsia="Arial" w:hAnsi="Arial"/>
          <w:sz w:val="16"/>
          <w:szCs w:val="16"/>
          <w:b w:val="1"/>
          <w:bCs w:val="1"/>
          <w:i w:val="1"/>
          <w:iCs w:val="1"/>
          <w:color w:val="auto"/>
        </w:rPr>
        <w:t>Offer to Purchase</w:t>
      </w:r>
      <w:r>
        <w:rPr>
          <w:rFonts w:ascii="Arial" w:cs="Arial" w:eastAsia="Arial" w:hAnsi="Arial"/>
          <w:sz w:val="16"/>
          <w:szCs w:val="16"/>
          <w:color w:val="auto"/>
        </w:rPr>
        <w:t>”) to each Holder of such Series of Notes to purchase all or any part (equal to $2,000 and in integral multiples of $1,000 in excess thereof) of that Holder’s Notes of such Series pursuant to the offer set forth below. In an Offer to Purchase, the Company shall be required to offer payment in cash equal to 101% of the aggregate principal amount of the Notes, plus accrued and unpaid interest, if any, to, but excluding, the date of purchase of such Notes (a “</w:t>
      </w:r>
      <w:r>
        <w:rPr>
          <w:rFonts w:ascii="Arial" w:cs="Arial" w:eastAsia="Arial" w:hAnsi="Arial"/>
          <w:sz w:val="16"/>
          <w:szCs w:val="16"/>
          <w:b w:val="1"/>
          <w:bCs w:val="1"/>
          <w:i w:val="1"/>
          <w:iCs w:val="1"/>
          <w:color w:val="auto"/>
        </w:rPr>
        <w:t>Change of Control Purchase Price</w:t>
      </w:r>
      <w:r>
        <w:rPr>
          <w:rFonts w:ascii="Arial" w:cs="Arial" w:eastAsia="Arial" w:hAnsi="Arial"/>
          <w:sz w:val="16"/>
          <w:szCs w:val="16"/>
          <w:color w:val="auto"/>
        </w:rPr>
        <w:t>”). Not later than 60 days following any Change of Control Triggering Event with respect to a Series of Notes, the Company shall deliver or cause to be delivered (or if the Notes of such Series are represented by one or more Global Notes, transmitted in accordance with the Depositary’s standard procedures therefor) a notice to Holders of such Series of Notes describing the transaction that constitutes or may constitute the Change of Control Triggering Event and offering to purchase such Notes on the date specified in the notice, which date shall be no earlier than 30 days and no later than 60 days after the date such notice is delivered or transmitted (a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and a settlement date for purchase (a “</w:t>
      </w:r>
      <w:r>
        <w:rPr>
          <w:rFonts w:ascii="Arial" w:cs="Arial" w:eastAsia="Arial" w:hAnsi="Arial"/>
          <w:sz w:val="16"/>
          <w:szCs w:val="16"/>
          <w:b w:val="1"/>
          <w:bCs w:val="1"/>
          <w:i w:val="1"/>
          <w:iCs w:val="1"/>
          <w:color w:val="auto"/>
        </w:rPr>
        <w:t>Change of Control Purchase Date</w:t>
      </w:r>
      <w:r>
        <w:rPr>
          <w:rFonts w:ascii="Arial" w:cs="Arial" w:eastAsia="Arial" w:hAnsi="Arial"/>
          <w:sz w:val="16"/>
          <w:szCs w:val="16"/>
          <w:color w:val="auto"/>
        </w:rPr>
        <w:t>”) for such Offer to Purchase of not more than five 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2060" w:hanging="756"/>
        <w:spacing w:after="0"/>
        <w:tabs>
          <w:tab w:leader="none" w:pos="2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25" w:lineRule="exact"/>
        <w:rPr>
          <w:rFonts w:ascii="Arial" w:cs="Arial" w:eastAsia="Arial" w:hAnsi="Arial"/>
          <w:sz w:val="18"/>
          <w:szCs w:val="18"/>
          <w:color w:val="auto"/>
        </w:rPr>
      </w:pPr>
    </w:p>
    <w:p>
      <w:pPr>
        <w:ind w:right="300" w:firstLine="1952"/>
        <w:spacing w:after="0" w:line="277" w:lineRule="auto"/>
        <w:tabs>
          <w:tab w:leader="none" w:pos="26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4.1 and that all Notes of such Series or portion of such Notes validly tendered and not withdrawn will be accepted for payment;</w:t>
      </w:r>
    </w:p>
    <w:p>
      <w:pPr>
        <w:spacing w:after="0" w:line="170" w:lineRule="exact"/>
        <w:rPr>
          <w:rFonts w:ascii="Arial" w:cs="Arial" w:eastAsia="Arial" w:hAnsi="Arial"/>
          <w:sz w:val="18"/>
          <w:szCs w:val="18"/>
          <w:color w:val="auto"/>
        </w:rPr>
      </w:pPr>
    </w:p>
    <w:p>
      <w:pPr>
        <w:ind w:left="2700" w:hanging="748"/>
        <w:spacing w:after="0"/>
        <w:tabs>
          <w:tab w:leader="none" w:pos="2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225" w:lineRule="exact"/>
        <w:rPr>
          <w:rFonts w:ascii="Arial" w:cs="Arial" w:eastAsia="Arial" w:hAnsi="Arial"/>
          <w:sz w:val="18"/>
          <w:szCs w:val="18"/>
          <w:color w:val="auto"/>
        </w:rPr>
      </w:pPr>
    </w:p>
    <w:p>
      <w:pPr>
        <w:ind w:firstLine="1952"/>
        <w:spacing w:after="0" w:line="259" w:lineRule="auto"/>
        <w:tabs>
          <w:tab w:leader="none" w:pos="26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any Note accepted for payment pursuant to the Offer to Purchase shall cease to accrue interest after the Change of Control Purchase Date unless the Company shall default in the payment of the Change of Control Purchase Price of the Notes of such Series and the only remaining right of the Holder is to receive payment of the Change of Control Purchase Price upon surrender of the Notes of such Series to the Paying Agent;</w:t>
      </w:r>
    </w:p>
    <w:p>
      <w:pPr>
        <w:spacing w:after="0" w:line="186" w:lineRule="exact"/>
        <w:rPr>
          <w:rFonts w:ascii="Arial" w:cs="Arial" w:eastAsia="Arial" w:hAnsi="Arial"/>
          <w:sz w:val="18"/>
          <w:szCs w:val="18"/>
          <w:color w:val="auto"/>
        </w:rPr>
      </w:pPr>
    </w:p>
    <w:p>
      <w:pPr>
        <w:ind w:right="120" w:firstLine="1952"/>
        <w:spacing w:after="0" w:line="263" w:lineRule="auto"/>
        <w:tabs>
          <w:tab w:leader="none" w:pos="26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of such Series purchased pursuant to an Offer to Purchase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183" w:lineRule="exact"/>
        <w:rPr>
          <w:rFonts w:ascii="Arial" w:cs="Arial" w:eastAsia="Arial" w:hAnsi="Arial"/>
          <w:sz w:val="18"/>
          <w:szCs w:val="18"/>
          <w:color w:val="auto"/>
        </w:rPr>
      </w:pPr>
    </w:p>
    <w:p>
      <w:pPr>
        <w:jc w:val="both"/>
        <w:ind w:right="160" w:firstLine="1952"/>
        <w:spacing w:after="0" w:line="279" w:lineRule="auto"/>
        <w:tabs>
          <w:tab w:leader="none" w:pos="26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that if a Holder elects to have a Note of such Series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171" w:lineRule="exact"/>
        <w:rPr>
          <w:rFonts w:ascii="Arial" w:cs="Arial" w:eastAsia="Arial" w:hAnsi="Arial"/>
          <w:sz w:val="17"/>
          <w:szCs w:val="17"/>
          <w:color w:val="auto"/>
        </w:rPr>
      </w:pPr>
    </w:p>
    <w:p>
      <w:pPr>
        <w:ind w:right="120" w:firstLine="1952"/>
        <w:spacing w:after="0" w:line="263" w:lineRule="auto"/>
        <w:tabs>
          <w:tab w:leader="none" w:pos="26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83" w:lineRule="exact"/>
        <w:rPr>
          <w:rFonts w:ascii="Arial" w:cs="Arial" w:eastAsia="Arial" w:hAnsi="Arial"/>
          <w:sz w:val="18"/>
          <w:szCs w:val="18"/>
          <w:color w:val="auto"/>
        </w:rPr>
      </w:pPr>
    </w:p>
    <w:p>
      <w:pPr>
        <w:ind w:right="180" w:firstLine="1952"/>
        <w:spacing w:after="0" w:line="277" w:lineRule="auto"/>
        <w:tabs>
          <w:tab w:leader="none" w:pos="26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if Notes of such Series are purchased only in part by the Company, a new Note of the same Series and type will be issued in principal amount equal to the unpurchased portion of the Notes surrendered.</w:t>
      </w:r>
    </w:p>
    <w:p>
      <w:pPr>
        <w:spacing w:after="0" w:line="170" w:lineRule="exact"/>
        <w:rPr>
          <w:rFonts w:ascii="Arial" w:cs="Arial" w:eastAsia="Arial" w:hAnsi="Arial"/>
          <w:sz w:val="18"/>
          <w:szCs w:val="18"/>
          <w:color w:val="auto"/>
        </w:rPr>
      </w:pPr>
    </w:p>
    <w:p>
      <w:pPr>
        <w:ind w:left="2040" w:hanging="736"/>
        <w:spacing w:after="0"/>
        <w:tabs>
          <w:tab w:leader="none" w:pos="2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to the extent lawful:</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accept for payment all Notes of the applicable Series or portions of such Notes properly tendered pursuant to the Offer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Purchase;</w:t>
      </w:r>
    </w:p>
    <w:p>
      <w:pPr>
        <w:spacing w:after="0" w:line="210" w:lineRule="exact"/>
        <w:rPr>
          <w:rFonts w:ascii="Arial" w:cs="Arial" w:eastAsia="Arial" w:hAnsi="Arial"/>
          <w:sz w:val="16"/>
          <w:szCs w:val="16"/>
          <w:color w:val="auto"/>
        </w:rPr>
      </w:pPr>
    </w:p>
    <w:p>
      <w:pPr>
        <w:ind w:right="80" w:firstLine="1952"/>
        <w:spacing w:after="0" w:line="277" w:lineRule="auto"/>
        <w:tabs>
          <w:tab w:leader="none" w:pos="26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of the applicable Series or portions of such Notes properly tendered; and</w:t>
      </w:r>
    </w:p>
    <w:p>
      <w:pPr>
        <w:spacing w:after="0" w:line="170" w:lineRule="exact"/>
        <w:rPr>
          <w:rFonts w:ascii="Arial" w:cs="Arial" w:eastAsia="Arial" w:hAnsi="Arial"/>
          <w:sz w:val="18"/>
          <w:szCs w:val="18"/>
          <w:color w:val="auto"/>
        </w:rPr>
      </w:pPr>
    </w:p>
    <w:p>
      <w:pPr>
        <w:ind w:right="240" w:firstLine="1952"/>
        <w:spacing w:after="0" w:line="277" w:lineRule="auto"/>
        <w:tabs>
          <w:tab w:leader="none" w:pos="26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of the applicable Series properly accepted together with an Officer’s Certificate stating the aggregate principal amount of such Notes or portions of such Notes being repurchased.</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right="20" w:firstLine="1304"/>
        <w:spacing w:after="0" w:line="263" w:lineRule="auto"/>
        <w:tabs>
          <w:tab w:leader="none" w:pos="20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183" w:lineRule="exact"/>
        <w:rPr>
          <w:rFonts w:ascii="Arial" w:cs="Arial" w:eastAsia="Arial" w:hAnsi="Arial"/>
          <w:sz w:val="18"/>
          <w:szCs w:val="18"/>
          <w:color w:val="auto"/>
        </w:rPr>
      </w:pPr>
    </w:p>
    <w:p>
      <w:pPr>
        <w:ind w:right="20" w:firstLine="1304"/>
        <w:spacing w:after="0" w:line="279" w:lineRule="auto"/>
        <w:tabs>
          <w:tab w:leader="none" w:pos="20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shall not be required to make an Offer to Purchase upon the occurrence of a Change of Control Triggering Event with respect to Notes of a particular Series if (i) a third party makes such an offer in the manner, at the times and otherwise in compliance with the requirements for an offer made by the Company and the third party purchases all Notes of the applicable Series validly tendered and not withdrawn under its offer or (ii) the Company as sent a notice of redemption pursuant to Section 3.1 of this Supplemental Indenture.</w:t>
      </w:r>
    </w:p>
    <w:p>
      <w:pPr>
        <w:spacing w:after="0" w:line="171" w:lineRule="exact"/>
        <w:rPr>
          <w:rFonts w:ascii="Arial" w:cs="Arial" w:eastAsia="Arial" w:hAnsi="Arial"/>
          <w:sz w:val="17"/>
          <w:szCs w:val="17"/>
          <w:color w:val="auto"/>
        </w:rPr>
      </w:pPr>
    </w:p>
    <w:p>
      <w:pPr>
        <w:ind w:right="360" w:firstLine="1304"/>
        <w:spacing w:after="0" w:line="275" w:lineRule="auto"/>
        <w:tabs>
          <w:tab w:leader="none" w:pos="20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shall comply with the requirements of Rule 14e-1 under the Exchange Act and all other applicable laws and regulations thereunder to the extent such securities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76" w:lineRule="exact"/>
        <w:rPr>
          <w:rFonts w:ascii="Arial" w:cs="Arial" w:eastAsia="Arial" w:hAnsi="Arial"/>
          <w:sz w:val="17"/>
          <w:szCs w:val="17"/>
          <w:color w:val="auto"/>
        </w:rPr>
      </w:pPr>
    </w:p>
    <w:p>
      <w:pPr>
        <w:ind w:right="40" w:firstLine="1304"/>
        <w:spacing w:after="0" w:line="263" w:lineRule="auto"/>
        <w:tabs>
          <w:tab w:leader="none" w:pos="20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3" w:lineRule="exact"/>
        <w:rPr>
          <w:rFonts w:ascii="Arial" w:cs="Arial" w:eastAsia="Arial" w:hAnsi="Arial"/>
          <w:sz w:val="18"/>
          <w:szCs w:val="18"/>
          <w:color w:val="auto"/>
        </w:rPr>
      </w:pPr>
    </w:p>
    <w:p>
      <w:pPr>
        <w:ind w:right="140" w:firstLine="1304"/>
        <w:spacing w:after="0" w:line="308" w:lineRule="auto"/>
        <w:tabs>
          <w:tab w:leader="none" w:pos="2046"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146" w:lineRule="exact"/>
        <w:rPr>
          <w:rFonts w:ascii="Arial" w:cs="Arial" w:eastAsia="Arial" w:hAnsi="Arial"/>
          <w:sz w:val="17"/>
          <w:szCs w:val="17"/>
          <w:color w:val="auto"/>
        </w:rPr>
      </w:pPr>
    </w:p>
    <w:p>
      <w:pPr>
        <w:ind w:firstLine="1304"/>
        <w:spacing w:after="0" w:line="291" w:lineRule="auto"/>
        <w:tabs>
          <w:tab w:leader="none" w:pos="2006"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Holders of not less than 90% in aggregate principal amount of the outstanding Notes of a Series validly tender and do not withdraw such Notes in an Offer to Purchase and the Company, or any third party approved in writing by the Company making an Offer to Purchase in lieu of the Company pursuant to Section 4.1(e)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w:t>
      </w:r>
      <w:r>
        <w:rPr>
          <w:rFonts w:ascii="Arial" w:cs="Arial" w:eastAsia="Arial" w:hAnsi="Arial"/>
          <w:sz w:val="16"/>
          <w:szCs w:val="16"/>
          <w:b w:val="1"/>
          <w:bCs w:val="1"/>
          <w:i w:val="1"/>
          <w:iCs w:val="1"/>
          <w:color w:val="auto"/>
        </w:rPr>
        <w:t>Second Change of Control Purchase Date</w:t>
      </w:r>
      <w:r>
        <w:rPr>
          <w:rFonts w:ascii="Arial" w:cs="Arial" w:eastAsia="Arial" w:hAnsi="Arial"/>
          <w:sz w:val="16"/>
          <w:szCs w:val="16"/>
          <w:color w:val="auto"/>
        </w:rPr>
        <w:t>”) at a purchase price equal to 101% of the principal amount thereof plus accrued and unpaid interest, if any, to, but excluding, the Second Change of Control Purchase Date.</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ind w:right="40" w:firstLine="1304"/>
        <w:spacing w:after="0" w:line="255" w:lineRule="auto"/>
        <w:tabs>
          <w:tab w:leader="none" w:pos="20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7" w:name="page28"/>
    <w:bookmarkEnd w:id="27"/>
    <w:p>
      <w:pPr>
        <w:ind w:firstLine="1304"/>
        <w:spacing w:after="0" w:line="269" w:lineRule="auto"/>
        <w:tabs>
          <w:tab w:leader="none" w:pos="20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Notwithstanding Section 4.2(a) above,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spacing w:after="0" w:line="181" w:lineRule="exact"/>
        <w:rPr>
          <w:rFonts w:ascii="Arial" w:cs="Arial" w:eastAsia="Arial" w:hAnsi="Arial"/>
          <w:sz w:val="17"/>
          <w:szCs w:val="17"/>
          <w:color w:val="auto"/>
        </w:rPr>
      </w:pPr>
    </w:p>
    <w:p>
      <w:pPr>
        <w:ind w:firstLine="1304"/>
        <w:spacing w:after="0" w:line="288" w:lineRule="auto"/>
        <w:tabs>
          <w:tab w:leader="none" w:pos="20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68" w:lineRule="exact"/>
        <w:rPr>
          <w:rFonts w:ascii="Arial" w:cs="Arial" w:eastAsia="Arial" w:hAnsi="Arial"/>
          <w:sz w:val="16"/>
          <w:szCs w:val="16"/>
          <w:color w:val="auto"/>
        </w:rPr>
      </w:pPr>
    </w:p>
    <w:p>
      <w:pPr>
        <w:jc w:val="both"/>
        <w:ind w:right="320" w:firstLine="1304"/>
        <w:spacing w:after="0" w:line="263" w:lineRule="auto"/>
        <w:tabs>
          <w:tab w:leader="none" w:pos="20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created for the benefit of the Holders of the Notes of a Series pursuant to Section 4.2(a) above may provide by its terms that such Lien shall be automatically and unconditionally released and discharged upon the release and discharge of the Lien that gave rise to the obligation to secure the Notes of such Series.</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i w:val="1"/>
          <w:iCs w:val="1"/>
          <w:color w:val="auto"/>
        </w:rPr>
        <w:t>Sale and Lease Back Transactions</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spacing w:after="0" w:line="146" w:lineRule="exact"/>
        <w:rPr>
          <w:sz w:val="20"/>
          <w:szCs w:val="20"/>
          <w:color w:val="auto"/>
        </w:rPr>
      </w:pPr>
    </w:p>
    <w:p>
      <w:pPr>
        <w:ind w:left="2040" w:hanging="736"/>
        <w:spacing w:after="0"/>
        <w:tabs>
          <w:tab w:leader="none" w:pos="2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right="780" w:firstLine="1304"/>
        <w:spacing w:after="0" w:line="277" w:lineRule="auto"/>
        <w:tabs>
          <w:tab w:leader="none" w:pos="20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right="120" w:firstLine="1304"/>
        <w:spacing w:after="0" w:line="291" w:lineRule="auto"/>
        <w:tabs>
          <w:tab w:leader="none" w:pos="2035" w:val="left"/>
        </w:tabs>
        <w:numPr>
          <w:ilvl w:val="1"/>
          <w:numId w:val="31"/>
        </w:numPr>
        <w:rPr>
          <w:rFonts w:ascii="Arial" w:cs="Arial" w:eastAsia="Arial" w:hAnsi="Arial"/>
          <w:sz w:val="16"/>
          <w:szCs w:val="16"/>
          <w:color w:val="auto"/>
        </w:rPr>
      </w:pPr>
      <w:r>
        <w:rPr>
          <w:rFonts w:ascii="Arial" w:cs="Arial" w:eastAsia="Arial" w:hAnsi="Arial"/>
          <w:sz w:val="16"/>
          <w:szCs w:val="16"/>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w:t>
      </w:r>
    </w:p>
    <w:p>
      <w:pPr>
        <w:ind w:right="120" w:firstLine="8"/>
        <w:spacing w:after="0" w:line="260"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placing into commercial operation of such Principal Property after the acquisition or completion of any such development, operation, construction, alteration, repair or improvement;</w:t>
      </w:r>
    </w:p>
    <w:p>
      <w:pPr>
        <w:spacing w:after="0" w:line="185" w:lineRule="exact"/>
        <w:rPr>
          <w:rFonts w:ascii="Arial" w:cs="Arial" w:eastAsia="Arial" w:hAnsi="Arial"/>
          <w:sz w:val="18"/>
          <w:szCs w:val="18"/>
          <w:color w:val="auto"/>
        </w:rPr>
      </w:pPr>
    </w:p>
    <w:p>
      <w:pPr>
        <w:ind w:right="80" w:firstLine="1304"/>
        <w:spacing w:after="0" w:line="277" w:lineRule="auto"/>
        <w:tabs>
          <w:tab w:leader="none" w:pos="20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170" w:lineRule="exact"/>
        <w:rPr>
          <w:rFonts w:ascii="Arial" w:cs="Arial" w:eastAsia="Arial" w:hAnsi="Arial"/>
          <w:sz w:val="18"/>
          <w:szCs w:val="18"/>
          <w:color w:val="auto"/>
        </w:rPr>
      </w:pPr>
    </w:p>
    <w:p>
      <w:pPr>
        <w:ind w:firstLine="1304"/>
        <w:spacing w:after="0" w:line="263" w:lineRule="auto"/>
        <w:tabs>
          <w:tab w:leader="none" w:pos="2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83" w:lineRule="exact"/>
        <w:rPr>
          <w:rFonts w:ascii="Arial" w:cs="Arial" w:eastAsia="Arial" w:hAnsi="Arial"/>
          <w:sz w:val="18"/>
          <w:szCs w:val="18"/>
          <w:color w:val="auto"/>
        </w:rPr>
      </w:pPr>
    </w:p>
    <w:p>
      <w:pPr>
        <w:jc w:val="both"/>
        <w:ind w:right="20" w:firstLine="1304"/>
        <w:spacing w:after="0" w:line="257" w:lineRule="auto"/>
        <w:tabs>
          <w:tab w:leader="none" w:pos="206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covenants set forth in Sections 4.2 and 4.3 above are and are intended solely for the benefit of the 2032 Notes, the 2041 Notes and the 2051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Satisfaction and Discharge of Indenture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may satisfy and discharge any Series of the Notes hereunder in accordance with and subject to the terms of Section 8.1 of the Base Indenture.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Legal Defeasance of Securities of any Series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8.3 of the Base Indenture shall be applicable to each Series of the Notes.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respect to the Notes of a Series with any term, provision or condition set forth in Section 4.1, Section 4.2 and Section 4.3 of this Supplemental Indenture by complying with the requirements of Section 8.4 of the Base Indenture in respect of such Series.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SUPPLEMENTAL INDENTURE AND THE NOTES SHALL BE GOVERNED BY THE LAW OF THE STATE OF NEW YORK.</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All agreements of the Company in this Supplemental Indenture and the Notes shall bind its successors. All agreements of the Trustee in this Supplemental Indenture shall bind its successors.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i w:val="1"/>
          <w:iCs w:val="1"/>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All notices, approvals, consents, requests and any communications hereunder must be in writing (provided that any such communication sent to the Trustee hereunder must be in the form of a document that is signed manually or by way of a digital signature provided by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 w:name="page31"/>
    <w:bookmarkEnd w:id="30"/>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i w:val="1"/>
          <w:iCs w:val="1"/>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i w:val="1"/>
          <w:iCs w:val="1"/>
          <w:color w:val="auto"/>
        </w:rPr>
        <w:t>Waiver of Jury Trial</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Arial" w:cs="Arial" w:eastAsia="Arial" w:hAnsi="Arial"/>
          <w:sz w:val="18"/>
          <w:szCs w:val="18"/>
          <w:i w:val="1"/>
          <w:iCs w:val="1"/>
          <w:color w:val="auto"/>
        </w:rPr>
        <w:t>.</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i w:val="1"/>
          <w:iCs w:val="1"/>
          <w:color w:val="auto"/>
        </w:rPr>
        <w:t>Interpretation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i w:val="1"/>
          <w:iCs w:val="1"/>
          <w:color w:val="auto"/>
        </w:rPr>
        <w:t>Instruction by Electronic Transmissions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Trustee set forth in Section 10.2 of the Base Indenture is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555 SW Oak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PD-OR-P7TD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Portland, OR 97204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 Nelson (Micron Technology, Inc. Notes).</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60"/>
        <w:spacing w:after="0"/>
        <w:tabs>
          <w:tab w:leader="none" w:pos="19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Miscellaneous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8" w:right="539" w:bottom="1440" w:gutter="0" w:footer="0" w:header="0"/>
        </w:sectPr>
      </w:pPr>
    </w:p>
    <w:bookmarkStart w:id="32" w:name="page33"/>
    <w:bookmarkEnd w:id="3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November 1,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Greg Routin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Cheryl Nelson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Cheryl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2032 Note)</w:t>
      </w:r>
    </w:p>
    <w:p>
      <w:pPr>
        <w:spacing w:after="0" w:line="225" w:lineRule="exact"/>
        <w:rPr>
          <w:sz w:val="20"/>
          <w:szCs w:val="20"/>
          <w:color w:val="auto"/>
        </w:rPr>
      </w:pPr>
    </w:p>
    <w:p>
      <w:pPr>
        <w:ind w:right="360" w:firstLine="648"/>
        <w:spacing w:after="0" w:line="26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right="440" w:firstLine="8"/>
        <w:spacing w:after="0" w:line="255" w:lineRule="auto"/>
        <w:tabs>
          <w:tab w:leader="none" w:pos="3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CUSIP:[_______]</w:t>
            </w:r>
          </w:p>
        </w:tc>
      </w:tr>
      <w:tr>
        <w:trPr>
          <w:trHeight w:val="230"/>
        </w:trPr>
        <w:tc>
          <w:tcPr>
            <w:tcW w:w="23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ISIN:[_______]</w:t>
            </w:r>
          </w:p>
        </w:tc>
      </w:tr>
      <w:tr>
        <w:trPr>
          <w:trHeight w:val="418"/>
        </w:trPr>
        <w:tc>
          <w:tcPr>
            <w:tcW w:w="2340" w:type="dxa"/>
            <w:vAlign w:val="bottom"/>
          </w:tcPr>
          <w:p>
            <w:pPr>
              <w:spacing w:after="0"/>
              <w:rPr>
                <w:sz w:val="24"/>
                <w:szCs w:val="24"/>
                <w:color w:val="auto"/>
              </w:rPr>
            </w:pPr>
          </w:p>
        </w:tc>
        <w:tc>
          <w:tcPr>
            <w:tcW w:w="7260" w:type="dxa"/>
            <w:vAlign w:val="bottom"/>
          </w:tcPr>
          <w:p>
            <w:pPr>
              <w:jc w:val="center"/>
              <w:ind w:right="650"/>
              <w:spacing w:after="0"/>
              <w:rPr>
                <w:sz w:val="20"/>
                <w:szCs w:val="20"/>
                <w:color w:val="auto"/>
              </w:rPr>
            </w:pPr>
            <w:r>
              <w:rPr>
                <w:rFonts w:ascii="Arial" w:cs="Arial" w:eastAsia="Arial" w:hAnsi="Arial"/>
                <w:sz w:val="18"/>
                <w:szCs w:val="18"/>
                <w:color w:val="auto"/>
                <w:w w:val="95"/>
              </w:rPr>
              <w:t>MICRON TECHNOLOGY, INC.</w:t>
            </w:r>
          </w:p>
        </w:tc>
        <w:tc>
          <w:tcPr>
            <w:tcW w:w="164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7260" w:type="dxa"/>
            <w:vAlign w:val="bottom"/>
          </w:tcPr>
          <w:p>
            <w:pPr>
              <w:jc w:val="center"/>
              <w:ind w:right="590"/>
              <w:spacing w:after="0"/>
              <w:rPr>
                <w:sz w:val="20"/>
                <w:szCs w:val="20"/>
                <w:color w:val="auto"/>
              </w:rPr>
            </w:pPr>
            <w:r>
              <w:rPr>
                <w:rFonts w:ascii="Arial" w:cs="Arial" w:eastAsia="Arial" w:hAnsi="Arial"/>
                <w:sz w:val="18"/>
                <w:szCs w:val="18"/>
                <w:color w:val="auto"/>
                <w:w w:val="90"/>
              </w:rPr>
              <w:t>2.703% Senior Note due 2032</w:t>
            </w:r>
          </w:p>
        </w:tc>
        <w:tc>
          <w:tcPr>
            <w:tcW w:w="1640" w:type="dxa"/>
            <w:vAlign w:val="bottom"/>
          </w:tcPr>
          <w:p>
            <w:pPr>
              <w:spacing w:after="0"/>
              <w:rPr>
                <w:sz w:val="20"/>
                <w:szCs w:val="20"/>
                <w:color w:val="auto"/>
              </w:rPr>
            </w:pPr>
          </w:p>
        </w:tc>
      </w:tr>
      <w:tr>
        <w:trPr>
          <w:trHeight w:val="418"/>
        </w:trPr>
        <w:tc>
          <w:tcPr>
            <w:tcW w:w="2340" w:type="dxa"/>
            <w:vAlign w:val="bottom"/>
          </w:tcPr>
          <w:p>
            <w:pPr>
              <w:spacing w:after="0"/>
              <w:rPr>
                <w:sz w:val="20"/>
                <w:szCs w:val="20"/>
                <w:color w:val="auto"/>
              </w:rPr>
            </w:pPr>
            <w:r>
              <w:rPr>
                <w:rFonts w:ascii="Arial" w:cs="Arial" w:eastAsia="Arial" w:hAnsi="Arial"/>
                <w:sz w:val="18"/>
                <w:szCs w:val="18"/>
                <w:color w:val="auto"/>
              </w:rPr>
              <w:t>No. [_____]</w:t>
            </w:r>
          </w:p>
        </w:tc>
        <w:tc>
          <w:tcPr>
            <w:tcW w:w="72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$__________</w:t>
            </w:r>
          </w:p>
        </w:tc>
      </w:tr>
      <w:tr>
        <w:trPr>
          <w:trHeight w:val="216"/>
        </w:trPr>
        <w:tc>
          <w:tcPr>
            <w:tcW w:w="2340" w:type="dxa"/>
            <w:vAlign w:val="bottom"/>
          </w:tcPr>
          <w:p>
            <w:pPr>
              <w:spacing w:after="0"/>
              <w:rPr>
                <w:sz w:val="18"/>
                <w:szCs w:val="18"/>
                <w:color w:val="auto"/>
              </w:rPr>
            </w:pPr>
          </w:p>
        </w:tc>
        <w:tc>
          <w:tcPr>
            <w:tcW w:w="8900" w:type="dxa"/>
            <w:vAlign w:val="bottom"/>
            <w:gridSpan w:val="2"/>
          </w:tcPr>
          <w:p>
            <w:pPr>
              <w:jc w:val="right"/>
              <w:spacing w:after="0"/>
              <w:rPr>
                <w:sz w:val="20"/>
                <w:szCs w:val="20"/>
                <w:color w:val="auto"/>
              </w:rPr>
            </w:pPr>
            <w:r>
              <w:rPr>
                <w:rFonts w:ascii="Arial" w:cs="Arial" w:eastAsia="Arial" w:hAnsi="Arial"/>
                <w:sz w:val="18"/>
                <w:szCs w:val="18"/>
                <w:color w:val="auto"/>
              </w:rPr>
              <w:t>(as revised by the Schedule of Increases and</w:t>
            </w:r>
          </w:p>
        </w:tc>
      </w:tr>
      <w:tr>
        <w:trPr>
          <w:trHeight w:val="230"/>
        </w:trPr>
        <w:tc>
          <w:tcPr>
            <w:tcW w:w="2340" w:type="dxa"/>
            <w:vAlign w:val="bottom"/>
          </w:tcPr>
          <w:p>
            <w:pPr>
              <w:spacing w:after="0"/>
              <w:rPr>
                <w:sz w:val="20"/>
                <w:szCs w:val="20"/>
                <w:color w:val="auto"/>
              </w:rPr>
            </w:pPr>
          </w:p>
        </w:tc>
        <w:tc>
          <w:tcPr>
            <w:tcW w:w="8900" w:type="dxa"/>
            <w:vAlign w:val="bottom"/>
            <w:gridSpan w:val="2"/>
          </w:tcPr>
          <w:p>
            <w:pPr>
              <w:jc w:val="right"/>
              <w:spacing w:after="0"/>
              <w:rPr>
                <w:sz w:val="20"/>
                <w:szCs w:val="20"/>
                <w:color w:val="auto"/>
              </w:rPr>
            </w:pPr>
            <w:r>
              <w:rPr>
                <w:rFonts w:ascii="Arial" w:cs="Arial" w:eastAsia="Arial" w:hAnsi="Arial"/>
                <w:sz w:val="18"/>
                <w:szCs w:val="18"/>
                <w:color w:val="auto"/>
              </w:rPr>
              <w:t>Decreases in Global Note attached hereto)</w:t>
            </w:r>
          </w:p>
        </w:tc>
      </w:tr>
      <w:tr>
        <w:trPr>
          <w:trHeight w:val="418"/>
        </w:trPr>
        <w:tc>
          <w:tcPr>
            <w:tcW w:w="9600" w:type="dxa"/>
            <w:vAlign w:val="bottom"/>
            <w:gridSpan w:val="2"/>
          </w:tcPr>
          <w:p>
            <w:pPr>
              <w:spacing w:after="0"/>
              <w:rPr>
                <w:sz w:val="20"/>
                <w:szCs w:val="20"/>
                <w:color w:val="auto"/>
              </w:rPr>
            </w:pPr>
            <w:r>
              <w:rPr>
                <w:rFonts w:ascii="Arial" w:cs="Arial" w:eastAsia="Arial" w:hAnsi="Arial"/>
                <w:sz w:val="18"/>
                <w:szCs w:val="18"/>
                <w:color w:val="auto"/>
                <w:w w:val="94"/>
              </w:rPr>
              <w:t>Micron Technology, Inc., a Delaware corporation, promises to pay to CEDE &amp; CO. or registered assigns, the principal sum of $[</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 (as revised by</w:t>
            </w: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the Schedule of Increases and Decreases in Global Note attached hereto) on April 15, 2032.</w:t>
            </w:r>
          </w:p>
        </w:tc>
        <w:tc>
          <w:tcPr>
            <w:tcW w:w="1640" w:type="dxa"/>
            <w:vAlign w:val="bottom"/>
          </w:tcPr>
          <w:p>
            <w:pPr>
              <w:spacing w:after="0"/>
              <w:rPr>
                <w:sz w:val="20"/>
                <w:szCs w:val="20"/>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260" w:type="dxa"/>
            <w:vAlign w:val="bottom"/>
          </w:tcPr>
          <w:p>
            <w:pPr>
              <w:ind w:left="600"/>
              <w:spacing w:after="0"/>
              <w:rPr>
                <w:sz w:val="20"/>
                <w:szCs w:val="20"/>
                <w:color w:val="auto"/>
              </w:rPr>
            </w:pPr>
            <w:r>
              <w:rPr>
                <w:rFonts w:ascii="Arial" w:cs="Arial" w:eastAsia="Arial" w:hAnsi="Arial"/>
                <w:sz w:val="18"/>
                <w:szCs w:val="18"/>
                <w:color w:val="auto"/>
              </w:rPr>
              <w:t>April 15 and October 15</w:t>
            </w:r>
          </w:p>
        </w:tc>
        <w:tc>
          <w:tcPr>
            <w:tcW w:w="1640" w:type="dxa"/>
            <w:vAlign w:val="bottom"/>
          </w:tcPr>
          <w:p>
            <w:pPr>
              <w:spacing w:after="0"/>
              <w:rPr>
                <w:sz w:val="24"/>
                <w:szCs w:val="24"/>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Record Dates:</w:t>
            </w:r>
          </w:p>
        </w:tc>
        <w:tc>
          <w:tcPr>
            <w:tcW w:w="7260" w:type="dxa"/>
            <w:vAlign w:val="bottom"/>
          </w:tcPr>
          <w:p>
            <w:pPr>
              <w:ind w:left="600"/>
              <w:spacing w:after="0"/>
              <w:rPr>
                <w:sz w:val="20"/>
                <w:szCs w:val="20"/>
                <w:color w:val="auto"/>
              </w:rPr>
            </w:pPr>
            <w:r>
              <w:rPr>
                <w:rFonts w:ascii="Arial" w:cs="Arial" w:eastAsia="Arial" w:hAnsi="Arial"/>
                <w:sz w:val="18"/>
                <w:szCs w:val="18"/>
                <w:color w:val="auto"/>
              </w:rPr>
              <w:t>April 1 and October 1</w:t>
            </w:r>
          </w:p>
        </w:tc>
        <w:tc>
          <w:tcPr>
            <w:tcW w:w="1640" w:type="dxa"/>
            <w:vAlign w:val="bottom"/>
          </w:tcPr>
          <w:p>
            <w:pPr>
              <w:spacing w:after="0"/>
              <w:rPr>
                <w:sz w:val="24"/>
                <w:szCs w:val="24"/>
                <w:color w:val="auto"/>
              </w:rPr>
            </w:pPr>
          </w:p>
        </w:tc>
      </w:tr>
      <w:tr>
        <w:trPr>
          <w:trHeight w:val="648"/>
        </w:trPr>
        <w:tc>
          <w:tcPr>
            <w:tcW w:w="23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99"/>
              </w:rPr>
              <w:t>A-1</w:t>
            </w: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MICRON TECHNOLOGY, INC.</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5" w:name="page36"/>
    <w:bookmarkEnd w:id="35"/>
    <w:p>
      <w:pPr>
        <w:ind w:left="36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6" w:name="page37"/>
    <w:bookmarkEnd w:id="36"/>
    <w:p>
      <w:pPr>
        <w:jc w:val="center"/>
        <w:ind w:right="120"/>
        <w:spacing w:after="0"/>
        <w:rPr>
          <w:sz w:val="20"/>
          <w:szCs w:val="20"/>
          <w:color w:val="auto"/>
        </w:rPr>
      </w:pPr>
      <w:r>
        <w:rPr>
          <w:rFonts w:ascii="Arial" w:cs="Arial" w:eastAsia="Arial" w:hAnsi="Arial"/>
          <w:sz w:val="18"/>
          <w:szCs w:val="18"/>
          <w:color w:val="auto"/>
        </w:rPr>
        <w:t>(Back of 2032 Note)</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2.703% Senior Note due 2032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20" w:firstLine="646"/>
        <w:spacing w:after="0" w:line="269" w:lineRule="auto"/>
        <w:tabs>
          <w:tab w:leader="none" w:pos="1322"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2032 Note at 2.703% per annum. The Company will pay interest semi-annually on April 15 and October 15 of each year, commencing April 15, 2022,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2032 Notes will accrue from the most recent date to which interest has been paid or provided for or, if no interest has been paid or provided for, from November 1, 2021;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existing Default in the payment of interest, and if this 2032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2032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1" w:lineRule="exact"/>
        <w:rPr>
          <w:rFonts w:ascii="Arial" w:cs="Arial" w:eastAsia="Arial" w:hAnsi="Arial"/>
          <w:sz w:val="17"/>
          <w:szCs w:val="17"/>
          <w:color w:val="auto"/>
        </w:rPr>
      </w:pPr>
    </w:p>
    <w:p>
      <w:pPr>
        <w:ind w:firstLine="646"/>
        <w:spacing w:after="0" w:line="288" w:lineRule="auto"/>
        <w:tabs>
          <w:tab w:leader="none" w:pos="132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2032 Notes (except defaulted interest) to the persons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registered Holders of 2032 Notes at the close of business on the April 1 or October 1 (whether or not a Business Day) next preceding the Interest Payment Date, even if such 2032 Notes are canceled after such record date and on or before such Interest Payment Date, except as provided in Section 2.13 of the Base Indenture with respect to defaulted interest. Principal and interest on the 2032 Notes will be made by (a) check mailed to the Holders of the 2032 Notes at their respective addresses set forth in the register of Holders of 2032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2032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8" w:lineRule="exact"/>
        <w:rPr>
          <w:rFonts w:ascii="Arial" w:cs="Arial" w:eastAsia="Arial" w:hAnsi="Arial"/>
          <w:sz w:val="16"/>
          <w:szCs w:val="16"/>
          <w:color w:val="auto"/>
        </w:rPr>
      </w:pPr>
    </w:p>
    <w:p>
      <w:pPr>
        <w:ind w:firstLine="646"/>
        <w:spacing w:after="0" w:line="263" w:lineRule="auto"/>
        <w:tabs>
          <w:tab w:leader="none" w:pos="132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Registrar. The Company may change any Paying Agent or Registrar without notice to any Holder. The Company or any of its Subsidiaries may act in any such capacity.</w:t>
      </w: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08" w:right="339" w:bottom="1440" w:gutter="0" w:footer="0" w:header="0"/>
        </w:sectPr>
      </w:pPr>
    </w:p>
    <w:bookmarkStart w:id="37" w:name="page38"/>
    <w:bookmarkEnd w:id="37"/>
    <w:p>
      <w:pPr>
        <w:ind w:right="20" w:firstLine="646"/>
        <w:spacing w:after="0" w:line="270" w:lineRule="auto"/>
        <w:tabs>
          <w:tab w:leader="none" w:pos="1322"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 This 2032 Note is one of a duly authenticated Series of securities of the Company issued and to be issued in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Series under an indenture (the “</w:t>
      </w:r>
      <w:r>
        <w:rPr>
          <w:rFonts w:ascii="Arial" w:cs="Arial" w:eastAsia="Arial" w:hAnsi="Arial"/>
          <w:sz w:val="17"/>
          <w:szCs w:val="17"/>
          <w:b w:val="1"/>
          <w:bCs w:val="1"/>
          <w:i w:val="1"/>
          <w:iCs w:val="1"/>
          <w:color w:val="auto"/>
        </w:rPr>
        <w:t>Base Indenture</w:t>
      </w:r>
      <w:r>
        <w:rPr>
          <w:rFonts w:ascii="Arial" w:cs="Arial" w:eastAsia="Arial" w:hAnsi="Arial"/>
          <w:sz w:val="17"/>
          <w:szCs w:val="17"/>
          <w:color w:val="auto"/>
        </w:rPr>
        <w:t>”), dated as of February 6, 2019, between the Company and the Trustee, as amended by the Fourth Supplemental Indenture, dated as of November 1, 2021,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2032 Notes include those stated in the Indenture and those made part of the Indenture by reference to the TIA. The 2032 Notes are subject to all such terms, and Holders are referred to the Indenture and such Act for a statement of such terms. To the extent any provision of this 2032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2032 Notes pursuant to Section 2.3 of the Supplemental Indenture.</w:t>
      </w:r>
    </w:p>
    <w:p>
      <w:pPr>
        <w:spacing w:after="0" w:line="180" w:lineRule="exact"/>
        <w:rPr>
          <w:rFonts w:ascii="Arial" w:cs="Arial" w:eastAsia="Arial" w:hAnsi="Arial"/>
          <w:sz w:val="17"/>
          <w:szCs w:val="17"/>
          <w:color w:val="auto"/>
        </w:rPr>
      </w:pPr>
    </w:p>
    <w:p>
      <w:pPr>
        <w:ind w:right="180" w:firstLine="646"/>
        <w:spacing w:after="0" w:line="263" w:lineRule="auto"/>
        <w:tabs>
          <w:tab w:leader="none" w:pos="132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2032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2032 Note in part only, a new 2032 Note or Notes in an authorized denomination for the unredeemed portion hereof will be issued in the name of the Holder hereof upon the cancellation hereof.</w:t>
      </w:r>
    </w:p>
    <w:p>
      <w:pPr>
        <w:spacing w:after="0" w:line="183" w:lineRule="exact"/>
        <w:rPr>
          <w:rFonts w:ascii="Arial" w:cs="Arial" w:eastAsia="Arial" w:hAnsi="Arial"/>
          <w:sz w:val="18"/>
          <w:szCs w:val="18"/>
          <w:color w:val="auto"/>
        </w:rPr>
      </w:pPr>
    </w:p>
    <w:p>
      <w:pPr>
        <w:ind w:right="520" w:firstLine="646"/>
        <w:spacing w:after="0" w:line="277" w:lineRule="auto"/>
        <w:tabs>
          <w:tab w:leader="none" w:pos="132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any mandatory redemption or sinking fund payments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2032 Notes.</w:t>
      </w:r>
    </w:p>
    <w:p>
      <w:pPr>
        <w:spacing w:after="0" w:line="170" w:lineRule="exact"/>
        <w:rPr>
          <w:rFonts w:ascii="Arial" w:cs="Arial" w:eastAsia="Arial" w:hAnsi="Arial"/>
          <w:sz w:val="18"/>
          <w:szCs w:val="18"/>
          <w:color w:val="auto"/>
        </w:rPr>
      </w:pPr>
    </w:p>
    <w:p>
      <w:pPr>
        <w:ind w:right="160" w:firstLine="646"/>
        <w:spacing w:after="0" w:line="263" w:lineRule="auto"/>
        <w:tabs>
          <w:tab w:leader="none" w:pos="132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 If a Change of Control Triggering Event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2032 Notes occurs, the Company may be required to make an offer to purchase the 2032 Notes in the manner and with the effect provided in the Indenture.</w:t>
      </w:r>
    </w:p>
    <w:p>
      <w:pPr>
        <w:spacing w:after="0" w:line="183" w:lineRule="exact"/>
        <w:rPr>
          <w:rFonts w:ascii="Arial" w:cs="Arial" w:eastAsia="Arial" w:hAnsi="Arial"/>
          <w:sz w:val="18"/>
          <w:szCs w:val="18"/>
          <w:color w:val="auto"/>
        </w:rPr>
      </w:pPr>
    </w:p>
    <w:p>
      <w:pPr>
        <w:ind w:firstLine="646"/>
        <w:spacing w:after="0" w:line="291" w:lineRule="auto"/>
        <w:tabs>
          <w:tab w:leader="none" w:pos="1322"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2032 Notes are in registered form without coupons in minimum denominations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$2,000 and integral multiples of $1,000 in excess thereof. 2032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2032 Note or portion of a 2032 Note selected for redemption, except for the unredeemed portion of any 2032 Note being redeemed in part. Also, neither the Trustee nor the Company need exchange or register the transfer of any 2032 Notes for a period of 15 days before the day of any selection of 2032 Notes to be redeemed or during the period between a record date and the corresponding Interest Payment Date.</w:t>
      </w:r>
    </w:p>
    <w:p>
      <w:pPr>
        <w:spacing w:after="0" w:line="166" w:lineRule="exact"/>
        <w:rPr>
          <w:rFonts w:ascii="Arial" w:cs="Arial" w:eastAsia="Arial" w:hAnsi="Arial"/>
          <w:sz w:val="16"/>
          <w:szCs w:val="16"/>
          <w:color w:val="auto"/>
        </w:rPr>
      </w:pPr>
    </w:p>
    <w:p>
      <w:pPr>
        <w:ind w:right="200" w:firstLine="646"/>
        <w:spacing w:after="0" w:line="277" w:lineRule="auto"/>
        <w:tabs>
          <w:tab w:leader="none" w:pos="132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2032 Note shall be treated as</w:t>
      </w:r>
      <w:r>
        <w:rPr>
          <w:rFonts w:ascii="Arial" w:cs="Arial" w:eastAsia="Arial" w:hAnsi="Arial"/>
          <w:sz w:val="18"/>
          <w:szCs w:val="18"/>
          <w:i w:val="1"/>
          <w:iCs w:val="1"/>
          <w:color w:val="auto"/>
        </w:rPr>
        <w:t xml:space="preserve"> </w:t>
      </w:r>
      <w:r>
        <w:rPr>
          <w:rFonts w:ascii="Arial" w:cs="Arial" w:eastAsia="Arial" w:hAnsi="Arial"/>
          <w:sz w:val="18"/>
          <w:szCs w:val="18"/>
          <w:color w:val="auto"/>
        </w:rPr>
        <w:t>its owner for all purposes.</w:t>
      </w:r>
    </w:p>
    <w:p>
      <w:pPr>
        <w:spacing w:after="0" w:line="170" w:lineRule="exact"/>
        <w:rPr>
          <w:rFonts w:ascii="Arial" w:cs="Arial" w:eastAsia="Arial" w:hAnsi="Arial"/>
          <w:sz w:val="18"/>
          <w:szCs w:val="18"/>
          <w:color w:val="auto"/>
        </w:rPr>
      </w:pPr>
    </w:p>
    <w:p>
      <w:pPr>
        <w:ind w:right="60" w:firstLine="646"/>
        <w:spacing w:after="0" w:line="293" w:lineRule="auto"/>
        <w:tabs>
          <w:tab w:leader="none" w:pos="1322"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AMENDMENT, SUPPLEMENT AND WAIVER</w:t>
      </w:r>
      <w:r>
        <w:rPr>
          <w:rFonts w:ascii="Arial" w:cs="Arial" w:eastAsia="Arial" w:hAnsi="Arial"/>
          <w:sz w:val="16"/>
          <w:szCs w:val="16"/>
          <w:color w:val="auto"/>
        </w:rPr>
        <w:t>. Subject to certain exceptions, the Indenture or the 2032 Notes may be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with the consent of the Holders of at least a majority in principal amount of the 2032 Notes then outstanding, including, without limitation, consents obtained in connection with a tender offer or exchange offer for the 2032 Notes, and any existing default or compliance with any provision of the Indenture or the 2032 Notes, may be waived with the consent of the Holders of a majority in principal amount of the then outstanding 2032 Notes, including, without limitation, consents obtained in connection with a tender offer or exchange offer for the 2032 Notes. The Indenture or the 2032 Notes may be amended or supplemented without the consent of any Holder of a 2032 Note as described in the Indenture.</w:t>
      </w:r>
    </w:p>
    <w:p>
      <w:pPr>
        <w:spacing w:after="0" w:line="164" w:lineRule="exact"/>
        <w:rPr>
          <w:rFonts w:ascii="Arial" w:cs="Arial" w:eastAsia="Arial" w:hAnsi="Arial"/>
          <w:sz w:val="16"/>
          <w:szCs w:val="16"/>
          <w:color w:val="auto"/>
        </w:rPr>
      </w:pPr>
    </w:p>
    <w:p>
      <w:pPr>
        <w:ind w:firstLine="646"/>
        <w:spacing w:after="0" w:line="263" w:lineRule="auto"/>
        <w:tabs>
          <w:tab w:leader="none" w:pos="1316"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2032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2032 Notes may be declared due and payable in the manner and with the effect provided in the Indenture.</w:t>
      </w: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08" w:right="339" w:bottom="1440" w:gutter="0" w:footer="0" w:header="0"/>
        </w:sectPr>
      </w:pPr>
    </w:p>
    <w:bookmarkStart w:id="38" w:name="page39"/>
    <w:bookmarkEnd w:id="38"/>
    <w:p>
      <w:pPr>
        <w:ind w:left="140" w:firstLine="646"/>
        <w:spacing w:after="0" w:line="342" w:lineRule="auto"/>
        <w:tabs>
          <w:tab w:leader="none" w:pos="1462"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in its individual or any other capacity, may become the owner or pledgee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2032 Notes and may otherwise deal with the Company or an Affiliate of the Company with the same rights it would have if it were not Trustee.</w:t>
      </w:r>
    </w:p>
    <w:p>
      <w:pPr>
        <w:spacing w:after="0" w:line="123" w:lineRule="exact"/>
        <w:rPr>
          <w:rFonts w:ascii="Arial" w:cs="Arial" w:eastAsia="Arial" w:hAnsi="Arial"/>
          <w:sz w:val="16"/>
          <w:szCs w:val="16"/>
          <w:color w:val="auto"/>
        </w:rPr>
      </w:pPr>
    </w:p>
    <w:p>
      <w:pPr>
        <w:ind w:left="140" w:right="60" w:firstLine="646"/>
        <w:spacing w:after="0" w:line="259" w:lineRule="auto"/>
        <w:tabs>
          <w:tab w:leader="none" w:pos="146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2032 Notes or the Indenture or for any claim based on, or in respect or by reason of, such obligations or their creation. By accepting a 2032 Note, each Holder waives and releases all such liability. This waiver and release is part of the consideration for the issue of the 2032 Notes.</w:t>
      </w:r>
    </w:p>
    <w:p>
      <w:pPr>
        <w:spacing w:after="0" w:line="186" w:lineRule="exact"/>
        <w:rPr>
          <w:rFonts w:ascii="Arial" w:cs="Arial" w:eastAsia="Arial" w:hAnsi="Arial"/>
          <w:sz w:val="18"/>
          <w:szCs w:val="18"/>
          <w:color w:val="auto"/>
        </w:rPr>
      </w:pPr>
    </w:p>
    <w:p>
      <w:pPr>
        <w:ind w:left="1460" w:hanging="674"/>
        <w:spacing w:after="0"/>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2032 Note will not be valid until authenticated by the manual signature of the Trustee or an authenticating</w:t>
      </w:r>
    </w:p>
    <w:p>
      <w:pPr>
        <w:spacing w:after="0" w:line="46"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10" w:lineRule="exact"/>
        <w:rPr>
          <w:rFonts w:ascii="Arial" w:cs="Arial" w:eastAsia="Arial" w:hAnsi="Arial"/>
          <w:sz w:val="16"/>
          <w:szCs w:val="16"/>
          <w:color w:val="auto"/>
        </w:rPr>
      </w:pPr>
    </w:p>
    <w:p>
      <w:pPr>
        <w:ind w:left="140" w:right="280" w:firstLine="646"/>
        <w:spacing w:after="0" w:line="263" w:lineRule="auto"/>
        <w:tabs>
          <w:tab w:leader="none" w:pos="146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ind w:left="140" w:right="160" w:firstLine="646"/>
        <w:spacing w:after="0" w:line="275" w:lineRule="auto"/>
        <w:tabs>
          <w:tab w:leader="none" w:pos="1462"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CUSIP NUMBERS</w:t>
      </w:r>
      <w:r>
        <w:rPr>
          <w:rFonts w:ascii="Arial" w:cs="Arial" w:eastAsia="Arial" w:hAnsi="Arial"/>
          <w:sz w:val="17"/>
          <w:szCs w:val="17"/>
          <w:color w:val="auto"/>
        </w:rPr>
        <w:t>. The Company has caused CUSIP numbers to be printed on the 2032 Notes and the Trustee shall use CUSIP</w:t>
      </w:r>
      <w:r>
        <w:rPr>
          <w:rFonts w:ascii="Arial" w:cs="Arial" w:eastAsia="Arial" w:hAnsi="Arial"/>
          <w:sz w:val="17"/>
          <w:szCs w:val="17"/>
          <w:i w:val="1"/>
          <w:iCs w:val="1"/>
          <w:color w:val="auto"/>
        </w:rPr>
        <w:t xml:space="preserve"> </w:t>
      </w:r>
      <w:r>
        <w:rPr>
          <w:rFonts w:ascii="Arial" w:cs="Arial" w:eastAsia="Arial" w:hAnsi="Arial"/>
          <w:sz w:val="17"/>
          <w:szCs w:val="17"/>
          <w:color w:val="auto"/>
        </w:rPr>
        <w:t>numbers in notices of redemption as a convenience to Holders. No representation is made as to the correctness of such numbers either as printed on the 2032 Notes or as contained in any notice of redemption and reliance may be placed only on the other elements of identification printed on the 2032 Notes, and any such redemption shall not be affected by any defect in or omission of such numbers. The Company will furnish to any Holder upon written request and without charge a copy of the Base Indenture and the Supplemental Indenture.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6"/>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NOTE</w:t>
            </w:r>
          </w:p>
        </w:tc>
        <w:tc>
          <w:tcPr>
            <w:tcW w:w="2020" w:type="dxa"/>
            <w:vAlign w:val="bottom"/>
          </w:tcPr>
          <w:p>
            <w:pPr>
              <w:spacing w:after="0"/>
              <w:rPr>
                <w:sz w:val="20"/>
                <w:szCs w:val="20"/>
                <w:color w:val="auto"/>
              </w:rPr>
            </w:pPr>
          </w:p>
        </w:tc>
      </w:tr>
      <w:tr>
        <w:trPr>
          <w:trHeight w:val="432"/>
        </w:trPr>
        <w:tc>
          <w:tcPr>
            <w:tcW w:w="7000" w:type="dxa"/>
            <w:vAlign w:val="bottom"/>
            <w:gridSpan w:val="6"/>
          </w:tcPr>
          <w:p>
            <w:pPr>
              <w:ind w:left="340"/>
              <w:spacing w:after="0"/>
              <w:rPr>
                <w:sz w:val="20"/>
                <w:szCs w:val="20"/>
                <w:color w:val="auto"/>
              </w:rPr>
            </w:pPr>
            <w:r>
              <w:rPr>
                <w:rFonts w:ascii="Arial" w:cs="Arial" w:eastAsia="Arial" w:hAnsi="Arial"/>
                <w:sz w:val="18"/>
                <w:szCs w:val="18"/>
                <w:color w:val="auto"/>
              </w:rPr>
              <w:t>The following increases or decreases in this Note have been made:</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Amount of decrease in</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Amount of increase in</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Principal amount of this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Signature of authorized</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Date of decrease or</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principal amount of</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principal amount of this</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Note following such</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signatory of Trustee or</w:t>
            </w:r>
          </w:p>
        </w:tc>
      </w:t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increase</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this Note</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Note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decrease or increase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Custodian</w:t>
            </w:r>
          </w:p>
        </w:tc>
      </w:tr>
      <w:tr>
        <w:trPr>
          <w:trHeight w:val="209"/>
        </w:trPr>
        <w:tc>
          <w:tcPr>
            <w:tcW w:w="2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47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right="8520" w:firstLine="8"/>
        <w:spacing w:after="0" w:line="527" w:lineRule="auto"/>
        <w:tabs>
          <w:tab w:leader="none" w:pos="2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_____________________________________________ to transfer this Note on the books of the Company.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36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904" w:right="8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want to elect to have this 2032 Note purchased by the Company pursuant to Section 4.1 of the Supplemental Indenture, check the box</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1300" w:hanging="644"/>
        <w:spacing w:after="0"/>
        <w:tabs>
          <w:tab w:leader="none" w:pos="130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you want to elect to have only part of the 2032 Note purchased by the Company pursuant to Section 4.1 of the Supplemental Indenture, state the amount you elect to have purchased ($2,000 or integral multiples of $1,000 in excess thereof; provided that the unrepurchased portion of a 2032 Note must be in a minimum principal amount of $2,000): $________________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5" w:lineRule="exact"/>
        <w:rPr>
          <w:sz w:val="20"/>
          <w:szCs w:val="20"/>
          <w:color w:val="auto"/>
        </w:rPr>
      </w:pPr>
    </w:p>
    <w:p>
      <w:pPr>
        <w:jc w:val="center"/>
        <w:ind w:left="340"/>
        <w:spacing w:after="0" w:line="261" w:lineRule="auto"/>
        <w:rPr>
          <w:sz w:val="20"/>
          <w:szCs w:val="20"/>
          <w:color w:val="auto"/>
        </w:rPr>
      </w:pPr>
      <w:r>
        <w:rPr>
          <w:rFonts w:ascii="Arial" w:cs="Arial" w:eastAsia="Arial" w:hAnsi="Arial"/>
          <w:sz w:val="18"/>
          <w:szCs w:val="18"/>
          <w:b w:val="1"/>
          <w:bCs w:val="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b w:val="1"/>
          <w:bCs w:val="1"/>
          <w:color w:val="auto"/>
        </w:rPr>
        <w:t>”) or such other “signature guarantee program” as may be determined by the Registrar in addition to, or in substitution for, STAMP, all in accordance with the Securities Exchange Act of 1934, as amended.</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2041 Note)</w:t>
      </w:r>
    </w:p>
    <w:p>
      <w:pPr>
        <w:spacing w:after="0" w:line="225" w:lineRule="exact"/>
        <w:rPr>
          <w:sz w:val="20"/>
          <w:szCs w:val="20"/>
          <w:color w:val="auto"/>
        </w:rPr>
      </w:pPr>
    </w:p>
    <w:p>
      <w:pPr>
        <w:ind w:right="360" w:firstLine="648"/>
        <w:spacing w:after="0" w:line="26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right="440" w:firstLine="8"/>
        <w:spacing w:after="0" w:line="255" w:lineRule="auto"/>
        <w:tabs>
          <w:tab w:leader="none" w:pos="3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CUSIP:[_______]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3.366% Senior Note due 2041</w:t>
      </w:r>
    </w:p>
    <w:p>
      <w:pPr>
        <w:sectPr>
          <w:pgSz w:w="11900" w:h="16838" w:orient="portrait"/>
          <w:cols w:equalWidth="0" w:num="1">
            <w:col w:w="11240"/>
          </w:cols>
          <w:pgMar w:left="320" w:top="1120"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$__________</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(as revised by the Schedule of Increases and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Decreases in Global Note attached hereto)</w:t>
      </w:r>
    </w:p>
    <w:p>
      <w:pPr>
        <w:spacing w:after="0" w:line="200" w:lineRule="exact"/>
        <w:rPr>
          <w:sz w:val="20"/>
          <w:szCs w:val="20"/>
          <w:color w:val="auto"/>
        </w:rPr>
      </w:pPr>
    </w:p>
    <w:p>
      <w:pPr>
        <w:sectPr>
          <w:pgSz w:w="11900" w:h="16838" w:orient="portrait"/>
          <w:cols w:equalWidth="0" w:num="2">
            <w:col w:w="7340" w:space="720"/>
            <w:col w:w="3180"/>
          </w:cols>
          <w:pgMar w:left="320" w:top="1120" w:right="3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w w:val="93"/>
              </w:rPr>
              <w:t>Micron Technology, Inc., a Delaware corporation, promises to pay to CEDE &amp; CO. or registered assigns, the principal sum of $[</w:t>
            </w:r>
          </w:p>
        </w:tc>
        <w:tc>
          <w:tcPr>
            <w:tcW w:w="1720" w:type="dxa"/>
            <w:vAlign w:val="bottom"/>
          </w:tcPr>
          <w:p>
            <w:pPr>
              <w:ind w:left="280"/>
              <w:spacing w:after="0"/>
              <w:rPr>
                <w:sz w:val="20"/>
                <w:szCs w:val="20"/>
                <w:color w:val="auto"/>
              </w:rPr>
            </w:pPr>
            <w:r>
              <w:rPr>
                <w:rFonts w:ascii="Arial" w:cs="Arial" w:eastAsia="Arial" w:hAnsi="Arial"/>
                <w:sz w:val="18"/>
                <w:szCs w:val="18"/>
                <w:color w:val="auto"/>
                <w:w w:val="93"/>
              </w:rPr>
              <w:t>] (as revised by the</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Schedule of Increases and Decreases in Global Note attached hereto) on November 1, 2041.</w:t>
            </w:r>
          </w:p>
        </w:tc>
        <w:tc>
          <w:tcPr>
            <w:tcW w:w="1720" w:type="dxa"/>
            <w:vAlign w:val="bottom"/>
          </w:tcPr>
          <w:p>
            <w:pPr>
              <w:spacing w:after="0"/>
              <w:rPr>
                <w:sz w:val="20"/>
                <w:szCs w:val="20"/>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960" w:type="dxa"/>
            <w:vAlign w:val="bottom"/>
          </w:tcPr>
          <w:p>
            <w:pPr>
              <w:ind w:left="820"/>
              <w:spacing w:after="0"/>
              <w:rPr>
                <w:sz w:val="20"/>
                <w:szCs w:val="20"/>
                <w:color w:val="auto"/>
              </w:rPr>
            </w:pPr>
            <w:r>
              <w:rPr>
                <w:rFonts w:ascii="Arial" w:cs="Arial" w:eastAsia="Arial" w:hAnsi="Arial"/>
                <w:sz w:val="18"/>
                <w:szCs w:val="18"/>
                <w:color w:val="auto"/>
              </w:rPr>
              <w:t>May 1 and November 1</w:t>
            </w:r>
          </w:p>
        </w:tc>
        <w:tc>
          <w:tcPr>
            <w:tcW w:w="1720" w:type="dxa"/>
            <w:vAlign w:val="bottom"/>
          </w:tcPr>
          <w:p>
            <w:pPr>
              <w:spacing w:after="0"/>
              <w:rPr>
                <w:sz w:val="24"/>
                <w:szCs w:val="24"/>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Record Dates:</w:t>
            </w:r>
          </w:p>
        </w:tc>
        <w:tc>
          <w:tcPr>
            <w:tcW w:w="6960" w:type="dxa"/>
            <w:vAlign w:val="bottom"/>
          </w:tcPr>
          <w:p>
            <w:pPr>
              <w:ind w:left="820"/>
              <w:spacing w:after="0"/>
              <w:rPr>
                <w:sz w:val="20"/>
                <w:szCs w:val="20"/>
                <w:color w:val="auto"/>
              </w:rPr>
            </w:pPr>
            <w:r>
              <w:rPr>
                <w:rFonts w:ascii="Arial" w:cs="Arial" w:eastAsia="Arial" w:hAnsi="Arial"/>
                <w:sz w:val="18"/>
                <w:szCs w:val="18"/>
                <w:color w:val="auto"/>
              </w:rPr>
              <w:t>April 15 and October 15</w:t>
            </w:r>
          </w:p>
        </w:tc>
        <w:tc>
          <w:tcPr>
            <w:tcW w:w="1720" w:type="dxa"/>
            <w:vAlign w:val="bottom"/>
          </w:tcPr>
          <w:p>
            <w:pPr>
              <w:spacing w:after="0"/>
              <w:rPr>
                <w:sz w:val="24"/>
                <w:szCs w:val="24"/>
                <w:color w:val="auto"/>
              </w:rPr>
            </w:pPr>
          </w:p>
        </w:tc>
      </w:tr>
      <w:tr>
        <w:trPr>
          <w:trHeight w:val="648"/>
        </w:trPr>
        <w:tc>
          <w:tcPr>
            <w:tcW w:w="25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B-1</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type w:val="continuous"/>
        </w:sectPr>
      </w:pPr>
    </w:p>
    <w:bookmarkStart w:id="43" w:name="page44"/>
    <w:bookmarkEnd w:id="43"/>
    <w:p>
      <w:pPr>
        <w:spacing w:after="0"/>
        <w:tabs>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MICRON TECHNOLOGY, INC.</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4" w:name="page45"/>
    <w:bookmarkEnd w:id="44"/>
    <w:p>
      <w:pPr>
        <w:ind w:left="36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3437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(Back of 2041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3.366% Senior Note due 2041</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left="-60" w:right="60" w:firstLine="656"/>
        <w:spacing w:after="0" w:line="269" w:lineRule="auto"/>
        <w:tabs>
          <w:tab w:leader="none" w:pos="1263"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2041 Note at 3.366% per annum. The Company will pay interest semi-annually on May 1 and November 1 of each year, commencing May 1, 2022,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2041 Notes will accrue from the most recent date to which interest has been paid or provided for or, if no interest has been paid or provided for, from November 1, 2021;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existing Default in the payment of interest, and if this 2041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2041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1" w:lineRule="exact"/>
        <w:rPr>
          <w:rFonts w:ascii="Arial" w:cs="Arial" w:eastAsia="Arial" w:hAnsi="Arial"/>
          <w:sz w:val="17"/>
          <w:szCs w:val="17"/>
          <w:color w:val="auto"/>
        </w:rPr>
      </w:pPr>
    </w:p>
    <w:p>
      <w:pPr>
        <w:ind w:left="-60" w:firstLine="656"/>
        <w:spacing w:after="0" w:line="288" w:lineRule="auto"/>
        <w:tabs>
          <w:tab w:leader="none" w:pos="1263"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2041 Notes (except defaulted interest) to the persons who are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2041 Notes at the close of business on the April 15 or October 15 (whether or not a Business Day) next preceding the Interest Payment Date, even if such 2041 Notes are canceled after such record date and on or before such Interest Payment Date, except as provided in Section 2.13 of the Base Indenture with respect to defaulted interest. Principal and interest on the 2041 Notes will be made by (a) check mailed to the Holders of the 2041 Notes at their respective addresses set forth in the register of Holders of 2041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2041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8" w:lineRule="exact"/>
        <w:rPr>
          <w:rFonts w:ascii="Arial" w:cs="Arial" w:eastAsia="Arial" w:hAnsi="Arial"/>
          <w:sz w:val="16"/>
          <w:szCs w:val="16"/>
          <w:color w:val="auto"/>
        </w:rPr>
      </w:pPr>
    </w:p>
    <w:p>
      <w:pPr>
        <w:ind w:left="-60" w:right="40" w:firstLine="656"/>
        <w:spacing w:after="0" w:line="263" w:lineRule="auto"/>
        <w:tabs>
          <w:tab w:leader="none" w:pos="126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183" w:lineRule="exact"/>
        <w:rPr>
          <w:rFonts w:ascii="Arial" w:cs="Arial" w:eastAsia="Arial" w:hAnsi="Arial"/>
          <w:sz w:val="18"/>
          <w:szCs w:val="18"/>
          <w:color w:val="auto"/>
        </w:rPr>
      </w:pPr>
    </w:p>
    <w:p>
      <w:pPr>
        <w:ind w:left="-60" w:right="20" w:firstLine="656"/>
        <w:spacing w:after="0" w:line="253" w:lineRule="auto"/>
        <w:tabs>
          <w:tab w:leader="none" w:pos="126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2041 Note is one of a duly authenticated Series of securities of the Company issued and to be issued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 of February 6, 2019, between the Company and the Trustee, as amended by the Fourth Supplemental Indenture, dated as of November 1, 2021, between the Company and the Trustee (the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The terms of the 2041 Notes include those stated in the Indenture and those made part of the Indenture by reference to the TIA. The 2041 Notes are subject to all such terms, and Holders are referred to the Indenture and such Act for a statement of such terms. To the extent any provision of this 2041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2041 Notes pursuant to Section 2.3 of the Supplemental Indenture.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46" w:name="page47"/>
    <w:bookmarkEnd w:id="46"/>
    <w:p>
      <w:pPr>
        <w:ind w:right="40" w:firstLine="656"/>
        <w:spacing w:after="0" w:line="263" w:lineRule="auto"/>
        <w:tabs>
          <w:tab w:leader="none" w:pos="132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2041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2041 Note in part only, a new 2041 Note or Notes in an authorized denomination for the unredeemed portion hereof will be issued in the name of the Holder hereof upon the cancellation hereof.</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MANDATORY REDEMPTION. </w:t>
      </w:r>
      <w:r>
        <w:rPr>
          <w:rFonts w:ascii="Arial" w:cs="Arial" w:eastAsia="Arial" w:hAnsi="Arial"/>
          <w:sz w:val="16"/>
          <w:szCs w:val="16"/>
          <w:color w:val="auto"/>
        </w:rPr>
        <w:t>The Company is not required to make any mandatory redemption or sinking fund payments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2041 Notes.</w:t>
      </w:r>
    </w:p>
    <w:p>
      <w:pPr>
        <w:spacing w:after="0" w:line="210" w:lineRule="exact"/>
        <w:rPr>
          <w:rFonts w:ascii="Arial" w:cs="Arial" w:eastAsia="Arial" w:hAnsi="Arial"/>
          <w:sz w:val="16"/>
          <w:szCs w:val="16"/>
          <w:color w:val="auto"/>
        </w:rPr>
      </w:pPr>
    </w:p>
    <w:p>
      <w:pPr>
        <w:ind w:right="60" w:firstLine="656"/>
        <w:spacing w:after="0" w:line="263" w:lineRule="auto"/>
        <w:tabs>
          <w:tab w:leader="none" w:pos="132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 If a Change of Control Triggering Event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2041 Notes occurs, the Company may be required to make an offer to purchase the 2041 Notes in the manner and with the effect provided in the Indenture.</w:t>
      </w:r>
    </w:p>
    <w:p>
      <w:pPr>
        <w:spacing w:after="0" w:line="183" w:lineRule="exact"/>
        <w:rPr>
          <w:rFonts w:ascii="Arial" w:cs="Arial" w:eastAsia="Arial" w:hAnsi="Arial"/>
          <w:sz w:val="18"/>
          <w:szCs w:val="18"/>
          <w:color w:val="auto"/>
        </w:rPr>
      </w:pPr>
    </w:p>
    <w:p>
      <w:pPr>
        <w:ind w:firstLine="656"/>
        <w:spacing w:after="0" w:line="272" w:lineRule="auto"/>
        <w:tabs>
          <w:tab w:leader="none" w:pos="1323"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2041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2041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2041 Note or portion of a 2041 Note selected for redemption, except for the unredeemed portion of any 2041 Note being redeemed in part. Also, neither the Trustee nor the Company need exchange or register the transfer of any 2041 Notes for a period of 15 days before the day of any selection of 2041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right="120" w:firstLine="656"/>
        <w:spacing w:after="0" w:line="277" w:lineRule="auto"/>
        <w:tabs>
          <w:tab w:leader="none" w:pos="132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2041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20" w:firstLine="656"/>
        <w:spacing w:after="0" w:line="273" w:lineRule="auto"/>
        <w:tabs>
          <w:tab w:leader="none" w:pos="1413"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2041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2041 Notes then outstanding, including, without limitation, consents obtained in connection with a tender offer or exchange offer for the 2041 Notes, and any existing default or compliance with any provision of the Indenture or the 2041 Notes, may be waived with the consent of the Holders of a majority in principal amount of the then outstanding 2041 Notes, including, without limitation, consents obtained in connection with a tender offer or exchange offer for the 2041 Notes. The Indenture or the 2041 Notes may be amended or supplemented without the consent of any Holder of a 2041 Note as described in the Indenture.</w:t>
      </w:r>
    </w:p>
    <w:p>
      <w:pPr>
        <w:spacing w:after="0" w:line="177" w:lineRule="exact"/>
        <w:rPr>
          <w:rFonts w:ascii="Arial" w:cs="Arial" w:eastAsia="Arial" w:hAnsi="Arial"/>
          <w:sz w:val="17"/>
          <w:szCs w:val="17"/>
          <w:color w:val="auto"/>
        </w:rPr>
      </w:pPr>
    </w:p>
    <w:p>
      <w:pPr>
        <w:ind w:right="40" w:firstLine="656"/>
        <w:spacing w:after="0" w:line="263" w:lineRule="auto"/>
        <w:tabs>
          <w:tab w:leader="none" w:pos="1406"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2041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2041 Notes may be declared due and payable in the manner and with the effect provided in the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right="40" w:firstLine="656"/>
        <w:spacing w:after="0" w:line="308" w:lineRule="auto"/>
        <w:tabs>
          <w:tab w:leader="none" w:pos="1413"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TRUSTEE DEALINGS WITH COMPANY</w:t>
      </w:r>
      <w:r>
        <w:rPr>
          <w:rFonts w:ascii="Arial" w:cs="Arial" w:eastAsia="Arial" w:hAnsi="Arial"/>
          <w:sz w:val="17"/>
          <w:szCs w:val="17"/>
          <w:color w:val="auto"/>
        </w:rPr>
        <w:t>. The Trustee, in its individual or any other capacity, may become the owner or pledgee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2041 Notes and may otherwise deal with the Company or an Affiliate of the Company with the same rights it would have if it were not Trustee.</w:t>
      </w:r>
    </w:p>
    <w:p>
      <w:pPr>
        <w:spacing w:after="0" w:line="146" w:lineRule="exact"/>
        <w:rPr>
          <w:rFonts w:ascii="Arial" w:cs="Arial" w:eastAsia="Arial" w:hAnsi="Arial"/>
          <w:sz w:val="17"/>
          <w:szCs w:val="17"/>
          <w:color w:val="auto"/>
        </w:rPr>
      </w:pPr>
    </w:p>
    <w:p>
      <w:pPr>
        <w:ind w:firstLine="656"/>
        <w:spacing w:after="0" w:line="259" w:lineRule="auto"/>
        <w:tabs>
          <w:tab w:leader="none" w:pos="1413"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2041 Notes or the Indenture or for any claim based on, or in respect or by reason of, such obligations or their creation. By accepting a 2041 Note, each Holder waives and releases all such liability. This waiver and release is part of the consideration for the issue of the 2041 Notes.</w:t>
      </w:r>
    </w:p>
    <w:p>
      <w:pPr>
        <w:spacing w:after="0" w:line="186" w:lineRule="exact"/>
        <w:rPr>
          <w:rFonts w:ascii="Arial" w:cs="Arial" w:eastAsia="Arial" w:hAnsi="Arial"/>
          <w:sz w:val="18"/>
          <w:szCs w:val="18"/>
          <w:color w:val="auto"/>
        </w:rPr>
      </w:pPr>
    </w:p>
    <w:p>
      <w:pPr>
        <w:ind w:left="1420" w:hanging="764"/>
        <w:spacing w:after="0"/>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2041 Note will not be valid until authenticated by the manual signature of the Trustee or an authenticating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10" w:lineRule="exact"/>
        <w:rPr>
          <w:rFonts w:ascii="Arial" w:cs="Arial" w:eastAsia="Arial" w:hAnsi="Arial"/>
          <w:sz w:val="16"/>
          <w:szCs w:val="16"/>
          <w:color w:val="auto"/>
        </w:rPr>
      </w:pPr>
    </w:p>
    <w:p>
      <w:pPr>
        <w:ind w:right="60" w:firstLine="656"/>
        <w:spacing w:after="0" w:line="263" w:lineRule="auto"/>
        <w:tabs>
          <w:tab w:leader="none" w:pos="1413"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ind w:firstLine="656"/>
        <w:spacing w:after="0" w:line="257" w:lineRule="auto"/>
        <w:tabs>
          <w:tab w:leader="none" w:pos="1413"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2041 Notes and the Trustee shall use CUSIP</w:t>
      </w:r>
      <w:r>
        <w:rPr>
          <w:rFonts w:ascii="Arial" w:cs="Arial" w:eastAsia="Arial" w:hAnsi="Arial"/>
          <w:sz w:val="18"/>
          <w:szCs w:val="18"/>
          <w:i w:val="1"/>
          <w:iCs w:val="1"/>
          <w:color w:val="auto"/>
        </w:rPr>
        <w:t xml:space="preserve"> </w:t>
      </w:r>
      <w:r>
        <w:rPr>
          <w:rFonts w:ascii="Arial" w:cs="Arial" w:eastAsia="Arial" w:hAnsi="Arial"/>
          <w:sz w:val="18"/>
          <w:szCs w:val="18"/>
          <w:color w:val="auto"/>
        </w:rPr>
        <w:t>numbers in notices of redemption as a convenience to Holders. No representation is made as to the correctness of such numbers either as printed on the 2041 Notes or as contained in any notice of redemption and reliance may be placed only on the other elements of identification printed on the 2041 Notes, and any such redemption shall not be affected by any defect in or omission of such numbers. The Company will furnish to any Holder upon written request and without charge a copy of the Base Indenture and the Supplemental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6"/>
          </w:tcPr>
          <w:p>
            <w:pPr>
              <w:ind w:left="48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NOTE</w:t>
            </w:r>
          </w:p>
        </w:tc>
        <w:tc>
          <w:tcPr>
            <w:tcW w:w="2140" w:type="dxa"/>
            <w:vAlign w:val="bottom"/>
          </w:tcPr>
          <w:p>
            <w:pPr>
              <w:spacing w:after="0"/>
              <w:rPr>
                <w:sz w:val="20"/>
                <w:szCs w:val="20"/>
                <w:color w:val="auto"/>
              </w:rPr>
            </w:pPr>
          </w:p>
        </w:tc>
      </w:tr>
      <w:tr>
        <w:trPr>
          <w:trHeight w:val="432"/>
        </w:trPr>
        <w:tc>
          <w:tcPr>
            <w:tcW w:w="6860" w:type="dxa"/>
            <w:vAlign w:val="bottom"/>
            <w:gridSpan w:val="6"/>
          </w:tcPr>
          <w:p>
            <w:pPr>
              <w:ind w:left="340"/>
              <w:spacing w:after="0"/>
              <w:rPr>
                <w:sz w:val="20"/>
                <w:szCs w:val="20"/>
                <w:color w:val="auto"/>
              </w:rPr>
            </w:pPr>
            <w:r>
              <w:rPr>
                <w:rFonts w:ascii="Arial" w:cs="Arial" w:eastAsia="Arial" w:hAnsi="Arial"/>
                <w:sz w:val="18"/>
                <w:szCs w:val="18"/>
                <w:color w:val="auto"/>
              </w:rPr>
              <w:t>The following increases or decreases in this Note have been made:</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4"/>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Amount of decrease in</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 of increase in</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Principal amount of this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Signature of authorized</w:t>
            </w:r>
          </w:p>
        </w:tc>
      </w:tr>
      <w:tr>
        <w:trPr>
          <w:trHeight w:val="216"/>
        </w:trPr>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Date of decrease or</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principal amount of</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principal amount of this</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Note following such</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8"/>
              </w:rPr>
              <w:t>signatory of Trustee or</w:t>
            </w:r>
          </w:p>
        </w:tc>
      </w:tr>
      <w:tr>
        <w:trPr>
          <w:trHeight w:val="234"/>
        </w:trPr>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increase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this Note</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Note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decrease or increase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Custodian</w:t>
            </w:r>
          </w:p>
        </w:tc>
      </w:tr>
      <w:tr>
        <w:trPr>
          <w:trHeight w:val="210"/>
        </w:trPr>
        <w:tc>
          <w:tcPr>
            <w:tcW w:w="2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right="9040" w:firstLine="8"/>
        <w:spacing w:after="0" w:line="516" w:lineRule="auto"/>
        <w:tabs>
          <w:tab w:leader="none" w:pos="2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 _____________________________________________ to transfer this Note on the books of the Company.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Your Signature:_____________________________</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Identification No: ________________________</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 Guarantee: _________________________</w:t>
      </w:r>
    </w:p>
    <w:p>
      <w:pPr>
        <w:spacing w:after="0" w:line="225" w:lineRule="exact"/>
        <w:rPr>
          <w:sz w:val="20"/>
          <w:szCs w:val="20"/>
          <w:color w:val="auto"/>
        </w:rPr>
      </w:pPr>
    </w:p>
    <w:p>
      <w:pPr>
        <w:jc w:val="both"/>
        <w:ind w:right="520" w:firstLine="648"/>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2041 Note purchased by the Company pursuant to Section 4.1 of the Supplemental Indenture, check the box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1300" w:hanging="644"/>
        <w:spacing w:after="0"/>
        <w:tabs>
          <w:tab w:leader="none" w:pos="1300" w:val="left"/>
        </w:tabs>
        <w:numPr>
          <w:ilvl w:val="0"/>
          <w:numId w:val="44"/>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want to elect to have only part of the 2041 Note purchased by the Company pursuant to Section 4.1 of the Supplemental Indenture, state the amount you elect to have purchased ($2,000 or integral multiples of $1,000 in excess thereof; provided that the unrepurchased portion of a 2041 Note must be in a minimum principal amount of $2,000): $________________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0" w:name="page51"/>
    <w:bookmarkEnd w:id="50"/>
    <w:p>
      <w:pPr>
        <w:ind w:left="6740"/>
        <w:spacing w:after="0"/>
        <w:rPr>
          <w:sz w:val="20"/>
          <w:szCs w:val="20"/>
          <w:color w:val="auto"/>
        </w:rPr>
      </w:pPr>
      <w:r>
        <w:rPr>
          <w:rFonts w:ascii="Arial" w:cs="Arial" w:eastAsia="Arial" w:hAnsi="Arial"/>
          <w:sz w:val="18"/>
          <w:szCs w:val="18"/>
          <w:color w:val="auto"/>
        </w:rPr>
        <w:t>Your Signature: _____________________________</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Tax Identification No: ________________________</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Signature Guarantee: _________________________</w:t>
      </w:r>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b w:val="1"/>
          <w:bCs w:val="1"/>
          <w:color w:val="auto"/>
        </w:rPr>
        <w:t>”) or such other “signature guarantee program” as may be determined by the Registrar in addition to, or in substitution for, STAMP, all in accordance with the Securities Exchange Act of 1934,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2051 Note)</w:t>
      </w:r>
    </w:p>
    <w:p>
      <w:pPr>
        <w:spacing w:after="0" w:line="225" w:lineRule="exact"/>
        <w:rPr>
          <w:sz w:val="20"/>
          <w:szCs w:val="20"/>
          <w:color w:val="auto"/>
        </w:rPr>
      </w:pPr>
    </w:p>
    <w:p>
      <w:pPr>
        <w:ind w:right="360" w:firstLine="648"/>
        <w:spacing w:after="0" w:line="26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right="440" w:firstLine="8"/>
        <w:spacing w:after="0" w:line="255" w:lineRule="auto"/>
        <w:tabs>
          <w:tab w:leader="none" w:pos="3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CUSIP:[_______]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3.477% Senior Note due 2051</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$__________</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(as revised by the Schedule of Increases and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Decreases in Global Note attached hereto)</w:t>
      </w:r>
    </w:p>
    <w:p>
      <w:pPr>
        <w:spacing w:after="0" w:line="200" w:lineRule="exact"/>
        <w:rPr>
          <w:sz w:val="20"/>
          <w:szCs w:val="20"/>
          <w:color w:val="auto"/>
        </w:rPr>
      </w:pPr>
    </w:p>
    <w:p>
      <w:pPr>
        <w:sectPr>
          <w:pgSz w:w="11900" w:h="16838" w:orient="portrait"/>
          <w:cols w:equalWidth="0" w:num="2">
            <w:col w:w="7340" w:space="720"/>
            <w:col w:w="3180"/>
          </w:cols>
          <w:pgMar w:left="320" w:top="904" w:right="3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w w:val="93"/>
              </w:rPr>
              <w:t>Micron Technology, Inc., a Delaware corporation, promises to pay to CEDE &amp; CO. or registered assigns, the principal sum of $[</w:t>
            </w:r>
          </w:p>
        </w:tc>
        <w:tc>
          <w:tcPr>
            <w:tcW w:w="1760" w:type="dxa"/>
            <w:vAlign w:val="bottom"/>
          </w:tcPr>
          <w:p>
            <w:pPr>
              <w:ind w:left="220"/>
              <w:spacing w:after="0"/>
              <w:rPr>
                <w:sz w:val="20"/>
                <w:szCs w:val="20"/>
                <w:color w:val="auto"/>
              </w:rPr>
            </w:pPr>
            <w:r>
              <w:rPr>
                <w:rFonts w:ascii="Arial" w:cs="Arial" w:eastAsia="Arial" w:hAnsi="Arial"/>
                <w:sz w:val="18"/>
                <w:szCs w:val="18"/>
                <w:color w:val="auto"/>
                <w:w w:val="99"/>
              </w:rPr>
              <w:t>] (as revised by the</w:t>
            </w: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Schedule of Increases and Decreases in Global Note attached hereto) on November 1, 2051.</w:t>
            </w:r>
          </w:p>
        </w:tc>
        <w:tc>
          <w:tcPr>
            <w:tcW w:w="1760" w:type="dxa"/>
            <w:vAlign w:val="bottom"/>
          </w:tcPr>
          <w:p>
            <w:pPr>
              <w:spacing w:after="0"/>
              <w:rPr>
                <w:sz w:val="20"/>
                <w:szCs w:val="20"/>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320" w:type="dxa"/>
            <w:vAlign w:val="bottom"/>
          </w:tcPr>
          <w:p>
            <w:pPr>
              <w:ind w:left="440"/>
              <w:spacing w:after="0"/>
              <w:rPr>
                <w:sz w:val="20"/>
                <w:szCs w:val="20"/>
                <w:color w:val="auto"/>
              </w:rPr>
            </w:pPr>
            <w:r>
              <w:rPr>
                <w:rFonts w:ascii="Arial" w:cs="Arial" w:eastAsia="Arial" w:hAnsi="Arial"/>
                <w:sz w:val="18"/>
                <w:szCs w:val="18"/>
                <w:color w:val="auto"/>
              </w:rPr>
              <w:t>May 1 and November 1</w:t>
            </w:r>
          </w:p>
        </w:tc>
        <w:tc>
          <w:tcPr>
            <w:tcW w:w="1760" w:type="dxa"/>
            <w:vAlign w:val="bottom"/>
          </w:tcPr>
          <w:p>
            <w:pPr>
              <w:spacing w:after="0"/>
              <w:rPr>
                <w:sz w:val="24"/>
                <w:szCs w:val="24"/>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Record Dates:</w:t>
            </w:r>
          </w:p>
        </w:tc>
        <w:tc>
          <w:tcPr>
            <w:tcW w:w="7320" w:type="dxa"/>
            <w:vAlign w:val="bottom"/>
          </w:tcPr>
          <w:p>
            <w:pPr>
              <w:ind w:left="440"/>
              <w:spacing w:after="0"/>
              <w:rPr>
                <w:sz w:val="20"/>
                <w:szCs w:val="20"/>
                <w:color w:val="auto"/>
              </w:rPr>
            </w:pPr>
            <w:r>
              <w:rPr>
                <w:rFonts w:ascii="Arial" w:cs="Arial" w:eastAsia="Arial" w:hAnsi="Arial"/>
                <w:sz w:val="18"/>
                <w:szCs w:val="18"/>
                <w:color w:val="auto"/>
              </w:rPr>
              <w:t>April 15 and October 15</w:t>
            </w:r>
          </w:p>
        </w:tc>
        <w:tc>
          <w:tcPr>
            <w:tcW w:w="1760" w:type="dxa"/>
            <w:vAlign w:val="bottom"/>
          </w:tcPr>
          <w:p>
            <w:pPr>
              <w:spacing w:after="0"/>
              <w:rPr>
                <w:sz w:val="24"/>
                <w:szCs w:val="24"/>
                <w:color w:val="auto"/>
              </w:rPr>
            </w:pPr>
          </w:p>
        </w:tc>
      </w:tr>
      <w:tr>
        <w:trPr>
          <w:trHeight w:val="648"/>
        </w:trPr>
        <w:tc>
          <w:tcPr>
            <w:tcW w:w="21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3300"/>
              <w:spacing w:after="0"/>
              <w:rPr>
                <w:sz w:val="20"/>
                <w:szCs w:val="20"/>
                <w:color w:val="auto"/>
              </w:rPr>
            </w:pPr>
            <w:r>
              <w:rPr>
                <w:rFonts w:ascii="Arial" w:cs="Arial" w:eastAsia="Arial" w:hAnsi="Arial"/>
                <w:sz w:val="18"/>
                <w:szCs w:val="18"/>
                <w:color w:val="auto"/>
              </w:rPr>
              <w:t>C-1</w:t>
            </w: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52" w:name="page53"/>
    <w:bookmarkEnd w:id="52"/>
    <w:p>
      <w:pPr>
        <w:ind w:left="4400"/>
        <w:spacing w:after="0"/>
        <w:rPr>
          <w:sz w:val="20"/>
          <w:szCs w:val="20"/>
          <w:color w:val="auto"/>
        </w:rPr>
      </w:pPr>
      <w:r>
        <w:rPr>
          <w:rFonts w:ascii="Arial" w:cs="Arial" w:eastAsia="Arial" w:hAnsi="Arial"/>
          <w:sz w:val="17"/>
          <w:szCs w:val="17"/>
          <w:color w:val="auto"/>
        </w:rPr>
        <w:t>Date: MICRON TECHNOLOGY, INC.</w:t>
      </w: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53" w:name="page54"/>
    <w:bookmarkEnd w:id="53"/>
    <w:p>
      <w:pPr>
        <w:ind w:left="36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color w:val="auto"/>
        </w:rPr>
        <w:t>(Back of 2051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3.477% Senior Note due 2051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60" w:firstLine="656"/>
        <w:spacing w:after="0" w:line="269" w:lineRule="auto"/>
        <w:tabs>
          <w:tab w:leader="none" w:pos="1323"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2051 Note at 3.477% per annum. The Company will pay interest semi-annually on May 1 and November 1 of each year, commencing May 1, 2022,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2051 Notes will accrue from the most recent date to which interest has been paid or provided for or, if no interest has been paid or provided for, from November 1, 2021;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existing Default in the payment of interest, and if this 2051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2051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1" w:lineRule="exact"/>
        <w:rPr>
          <w:rFonts w:ascii="Arial" w:cs="Arial" w:eastAsia="Arial" w:hAnsi="Arial"/>
          <w:sz w:val="17"/>
          <w:szCs w:val="17"/>
          <w:color w:val="auto"/>
        </w:rPr>
      </w:pPr>
    </w:p>
    <w:p>
      <w:pPr>
        <w:ind w:firstLine="656"/>
        <w:spacing w:after="0" w:line="288" w:lineRule="auto"/>
        <w:tabs>
          <w:tab w:leader="none" w:pos="132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2051 Notes (except defaulted interest) to the persons who are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2051 Notes at the close of business on the April 15 or October 15 (whether or not a Business Day) next preceding the Interest Payment Date, even if such 2051 Notes are canceled after such record date and on or before such Interest Payment Date, except as provided in Section 2.13 of the Base Indenture with respect to defaulted interest. Principal and interest on the 2051 Notes will be made by (a) check mailed to the Holders of the 2051 Notes at their respective addresses set forth in the register of Holders of 2051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2051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8" w:lineRule="exact"/>
        <w:rPr>
          <w:rFonts w:ascii="Arial" w:cs="Arial" w:eastAsia="Arial" w:hAnsi="Arial"/>
          <w:sz w:val="16"/>
          <w:szCs w:val="16"/>
          <w:color w:val="auto"/>
        </w:rPr>
      </w:pPr>
    </w:p>
    <w:p>
      <w:pPr>
        <w:ind w:right="40" w:firstLine="656"/>
        <w:spacing w:after="0" w:line="263" w:lineRule="auto"/>
        <w:tabs>
          <w:tab w:leader="none" w:pos="132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5" w:name="page56"/>
    <w:bookmarkEnd w:id="55"/>
    <w:p>
      <w:pPr>
        <w:ind w:right="60" w:firstLine="656"/>
        <w:spacing w:after="0" w:line="253" w:lineRule="auto"/>
        <w:tabs>
          <w:tab w:leader="none" w:pos="132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2051 Note is one of a duly authenticated Series of securities of the Company issued and to be issued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 of February 6, 2019, between the Company and the Trustee, as amended by the Fourth Supplemental Indenture, dated as of November 1, 2021, between the Company and the Trustee (the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The terms of the 2051 Notes include those stated in the Indenture and those made part of the Indenture by reference to the TIA. The 2051 Notes are subject to all such terms, and Holders are referred to the Indenture and such Act for a statement of such terms. To the extent any provision of this 2051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2051 Notes pursuant to Section 2.3 of the Supplemental Indenture.</w:t>
      </w:r>
    </w:p>
    <w:p>
      <w:pPr>
        <w:spacing w:after="0" w:line="196" w:lineRule="exact"/>
        <w:rPr>
          <w:rFonts w:ascii="Arial" w:cs="Arial" w:eastAsia="Arial" w:hAnsi="Arial"/>
          <w:sz w:val="18"/>
          <w:szCs w:val="18"/>
          <w:color w:val="auto"/>
        </w:rPr>
      </w:pPr>
    </w:p>
    <w:p>
      <w:pPr>
        <w:ind w:right="40" w:firstLine="656"/>
        <w:spacing w:after="0" w:line="263" w:lineRule="auto"/>
        <w:tabs>
          <w:tab w:leader="none" w:pos="132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2051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2051 Note in part only, a new 2051 Note or Notes in an authorized denomination for the unredeemed portion hereof will be issued in the name of the Holder hereof upon the cancellation hereof.</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MANDATORY REDEMPTION. </w:t>
      </w:r>
      <w:r>
        <w:rPr>
          <w:rFonts w:ascii="Arial" w:cs="Arial" w:eastAsia="Arial" w:hAnsi="Arial"/>
          <w:sz w:val="16"/>
          <w:szCs w:val="16"/>
          <w:color w:val="auto"/>
        </w:rPr>
        <w:t>The Company is not required to make any mandatory redemption or sinking fund payments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2051 Notes.</w:t>
      </w:r>
    </w:p>
    <w:p>
      <w:pPr>
        <w:spacing w:after="0" w:line="210" w:lineRule="exact"/>
        <w:rPr>
          <w:rFonts w:ascii="Arial" w:cs="Arial" w:eastAsia="Arial" w:hAnsi="Arial"/>
          <w:sz w:val="16"/>
          <w:szCs w:val="16"/>
          <w:color w:val="auto"/>
        </w:rPr>
      </w:pPr>
    </w:p>
    <w:p>
      <w:pPr>
        <w:ind w:right="60" w:firstLine="656"/>
        <w:spacing w:after="0" w:line="263" w:lineRule="auto"/>
        <w:tabs>
          <w:tab w:leader="none" w:pos="132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 If a Change of Control Triggering Event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2051 Notes occurs, the Company may be required to make an offer to purchase the 2051 Notes in the manner and with the effect provided in the Indenture.</w:t>
      </w:r>
    </w:p>
    <w:p>
      <w:pPr>
        <w:spacing w:after="0" w:line="183" w:lineRule="exact"/>
        <w:rPr>
          <w:rFonts w:ascii="Arial" w:cs="Arial" w:eastAsia="Arial" w:hAnsi="Arial"/>
          <w:sz w:val="18"/>
          <w:szCs w:val="18"/>
          <w:color w:val="auto"/>
        </w:rPr>
      </w:pPr>
    </w:p>
    <w:p>
      <w:pPr>
        <w:ind w:firstLine="656"/>
        <w:spacing w:after="0" w:line="272" w:lineRule="auto"/>
        <w:tabs>
          <w:tab w:leader="none" w:pos="132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2051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2051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2051 Note or portion of a 2051 Note selected for redemption, except for the unredeemed portion of any 2051 Note being redeemed in part. Also, neither the Trustee nor the Company need exchange or register the transfer of any 2051 Notes for a period of 15 days before the day of any selection of 2051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right="120" w:firstLine="656"/>
        <w:spacing w:after="0" w:line="277" w:lineRule="auto"/>
        <w:tabs>
          <w:tab w:leader="none" w:pos="132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2051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20" w:firstLine="656"/>
        <w:spacing w:after="0" w:line="273" w:lineRule="auto"/>
        <w:tabs>
          <w:tab w:leader="none" w:pos="141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2051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2051 Notes then outstanding, including, without limitation, consents obtained in connection with a tender offer or exchange offer for the 2051 Notes, and any existing default or compliance with any provision of the Indenture or the 2051 Notes, may be waived with the consent of the Holders of a majority in principal amount of the then outstanding 2051 Notes, including, without limitation, consents obtained in connection with a tender offer or exchange offer for the 2051 Notes. The Indenture or the 2051 Notes may be amended or supplemented without the consent of any Holder of a 2051 Note as described in the Indenture.</w:t>
      </w:r>
    </w:p>
    <w:p>
      <w:pPr>
        <w:spacing w:after="0" w:line="177" w:lineRule="exact"/>
        <w:rPr>
          <w:rFonts w:ascii="Arial" w:cs="Arial" w:eastAsia="Arial" w:hAnsi="Arial"/>
          <w:sz w:val="17"/>
          <w:szCs w:val="17"/>
          <w:color w:val="auto"/>
        </w:rPr>
      </w:pPr>
    </w:p>
    <w:p>
      <w:pPr>
        <w:ind w:right="40" w:firstLine="656"/>
        <w:spacing w:after="0" w:line="263" w:lineRule="auto"/>
        <w:tabs>
          <w:tab w:leader="none" w:pos="1406"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2051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2051 Notes may be declared due and payable in the manner and with the effect provided in the Indenture.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right="40" w:firstLine="656"/>
        <w:spacing w:after="0" w:line="308" w:lineRule="auto"/>
        <w:tabs>
          <w:tab w:leader="none" w:pos="1413"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TRUSTEE DEALINGS WITH COMPANY</w:t>
      </w:r>
      <w:r>
        <w:rPr>
          <w:rFonts w:ascii="Arial" w:cs="Arial" w:eastAsia="Arial" w:hAnsi="Arial"/>
          <w:sz w:val="17"/>
          <w:szCs w:val="17"/>
          <w:color w:val="auto"/>
        </w:rPr>
        <w:t>. The Trustee, in its individual or any other capacity, may become the owner or pledgee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2051 Notes and may otherwise deal with the Company or an Affiliate of the Company with the same rights it would have if it were not Trustee.</w:t>
      </w:r>
    </w:p>
    <w:p>
      <w:pPr>
        <w:spacing w:after="0" w:line="146" w:lineRule="exact"/>
        <w:rPr>
          <w:rFonts w:ascii="Arial" w:cs="Arial" w:eastAsia="Arial" w:hAnsi="Arial"/>
          <w:sz w:val="17"/>
          <w:szCs w:val="17"/>
          <w:color w:val="auto"/>
        </w:rPr>
      </w:pPr>
    </w:p>
    <w:p>
      <w:pPr>
        <w:ind w:firstLine="656"/>
        <w:spacing w:after="0" w:line="259" w:lineRule="auto"/>
        <w:tabs>
          <w:tab w:leader="none" w:pos="141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2051 Notes or the Indenture or for any claim based on, or in respect or by reason of, such obligations or their creation. By accepting a 2051 Note, each Holder waives and releases all such liability. This waiver and release is part of the consideration for the issue of the 2051 Notes.</w:t>
      </w:r>
    </w:p>
    <w:p>
      <w:pPr>
        <w:spacing w:after="0" w:line="186" w:lineRule="exact"/>
        <w:rPr>
          <w:rFonts w:ascii="Arial" w:cs="Arial" w:eastAsia="Arial" w:hAnsi="Arial"/>
          <w:sz w:val="18"/>
          <w:szCs w:val="18"/>
          <w:color w:val="auto"/>
        </w:rPr>
      </w:pPr>
    </w:p>
    <w:p>
      <w:pPr>
        <w:ind w:left="1420" w:hanging="764"/>
        <w:spacing w:after="0"/>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2051 Note will not be valid until authenticated by the manual signature of the Trustee or an authenticating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10" w:lineRule="exact"/>
        <w:rPr>
          <w:rFonts w:ascii="Arial" w:cs="Arial" w:eastAsia="Arial" w:hAnsi="Arial"/>
          <w:sz w:val="16"/>
          <w:szCs w:val="16"/>
          <w:color w:val="auto"/>
        </w:rPr>
      </w:pPr>
    </w:p>
    <w:p>
      <w:pPr>
        <w:ind w:right="60" w:firstLine="656"/>
        <w:spacing w:after="0" w:line="263" w:lineRule="auto"/>
        <w:tabs>
          <w:tab w:leader="none" w:pos="141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ind w:firstLine="656"/>
        <w:spacing w:after="0" w:line="257" w:lineRule="auto"/>
        <w:tabs>
          <w:tab w:leader="none" w:pos="141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2051 Notes and the Trustee shall use CUSIP</w:t>
      </w:r>
      <w:r>
        <w:rPr>
          <w:rFonts w:ascii="Arial" w:cs="Arial" w:eastAsia="Arial" w:hAnsi="Arial"/>
          <w:sz w:val="18"/>
          <w:szCs w:val="18"/>
          <w:i w:val="1"/>
          <w:iCs w:val="1"/>
          <w:color w:val="auto"/>
        </w:rPr>
        <w:t xml:space="preserve"> </w:t>
      </w:r>
      <w:r>
        <w:rPr>
          <w:rFonts w:ascii="Arial" w:cs="Arial" w:eastAsia="Arial" w:hAnsi="Arial"/>
          <w:sz w:val="18"/>
          <w:szCs w:val="18"/>
          <w:color w:val="auto"/>
        </w:rPr>
        <w:t>numbers in notices of redemption as a convenience to Holders. No representation is made as to the correctness of such numbers either as printed on the 2051 Notes or as contained in any notice of redemption and reliance may be placed only on the other elements of identification printed on the 2051 Notes, and any such redemption shall not be affected by any defect in or omission of such numbers. The Company will furnish to any Holder upon written request and without charge a copy of the Base Indenture and the Supplemental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60" w:type="dxa"/>
            <w:vAlign w:val="bottom"/>
            <w:gridSpan w:val="6"/>
          </w:tcPr>
          <w:p>
            <w:pPr>
              <w:jc w:val="center"/>
              <w:ind w:right="240"/>
              <w:spacing w:after="0"/>
              <w:rPr>
                <w:sz w:val="20"/>
                <w:szCs w:val="20"/>
                <w:color w:val="auto"/>
              </w:rPr>
            </w:pPr>
            <w:r>
              <w:rPr>
                <w:rFonts w:ascii="Arial" w:cs="Arial" w:eastAsia="Arial" w:hAnsi="Arial"/>
                <w:sz w:val="18"/>
                <w:szCs w:val="18"/>
                <w:color w:val="auto"/>
                <w:w w:val="98"/>
              </w:rPr>
              <w:t>S</w:t>
            </w:r>
            <w:r>
              <w:rPr>
                <w:rFonts w:ascii="Arial" w:cs="Arial" w:eastAsia="Arial" w:hAnsi="Arial"/>
                <w:sz w:val="18"/>
                <w:szCs w:val="18"/>
                <w:b w:val="1"/>
                <w:bCs w:val="1"/>
                <w:color w:val="auto"/>
                <w:w w:val="98"/>
              </w:rPr>
              <w:t>CHEDULE OF INCREASES AND DECREASES IN GLOBAL NOTE</w:t>
            </w:r>
          </w:p>
        </w:tc>
        <w:tc>
          <w:tcPr>
            <w:tcW w:w="2020" w:type="dxa"/>
            <w:vAlign w:val="bottom"/>
          </w:tcPr>
          <w:p>
            <w:pPr>
              <w:spacing w:after="0"/>
              <w:rPr>
                <w:sz w:val="20"/>
                <w:szCs w:val="20"/>
                <w:color w:val="auto"/>
              </w:rPr>
            </w:pPr>
          </w:p>
        </w:tc>
      </w:tr>
      <w:tr>
        <w:trPr>
          <w:trHeight w:val="432"/>
        </w:trPr>
        <w:tc>
          <w:tcPr>
            <w:tcW w:w="7000" w:type="dxa"/>
            <w:vAlign w:val="bottom"/>
            <w:gridSpan w:val="6"/>
          </w:tcPr>
          <w:p>
            <w:pPr>
              <w:ind w:left="340"/>
              <w:spacing w:after="0"/>
              <w:rPr>
                <w:sz w:val="20"/>
                <w:szCs w:val="20"/>
                <w:color w:val="auto"/>
              </w:rPr>
            </w:pPr>
            <w:r>
              <w:rPr>
                <w:rFonts w:ascii="Arial" w:cs="Arial" w:eastAsia="Arial" w:hAnsi="Arial"/>
                <w:sz w:val="18"/>
                <w:szCs w:val="18"/>
                <w:color w:val="auto"/>
              </w:rPr>
              <w:t>The following increases or decreases in this Note have been made:</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4"/>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Amount of decrease in</w:t>
            </w:r>
          </w:p>
        </w:tc>
        <w:tc>
          <w:tcPr>
            <w:tcW w:w="2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Amount of increase in</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Principal amount of this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Signature of authorized</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Date of decrease or</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principal amount of</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principal amount of this</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Note following such</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signatory of Trustee or</w:t>
            </w:r>
          </w:p>
        </w:tc>
      </w:tr>
      <w:tr>
        <w:trPr>
          <w:trHeight w:val="241"/>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increase</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this Note</w:t>
            </w:r>
          </w:p>
        </w:tc>
        <w:tc>
          <w:tcPr>
            <w:tcW w:w="2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decrease or increase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Custodian</w:t>
            </w:r>
          </w:p>
        </w:tc>
      </w:tr>
      <w:tr>
        <w:trPr>
          <w:trHeight w:val="216"/>
        </w:trPr>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47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right="8520" w:firstLine="8"/>
        <w:spacing w:after="0" w:line="527" w:lineRule="auto"/>
        <w:tabs>
          <w:tab w:leader="none" w:pos="2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_____________________________________________ to transfer this Note on the books of the Company.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Tax</w:t>
      </w:r>
      <w:r>
        <w:rPr>
          <w:sz w:val="20"/>
          <w:szCs w:val="20"/>
          <w:color w:val="auto"/>
        </w:rPr>
        <w:tab/>
      </w:r>
      <w:r>
        <w:rPr>
          <w:rFonts w:ascii="Arial" w:cs="Arial" w:eastAsia="Arial" w:hAnsi="Arial"/>
          <w:sz w:val="18"/>
          <w:szCs w:val="18"/>
          <w:color w:val="auto"/>
        </w:rPr>
        <w:t>Identification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-1905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36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4" w:right="89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want to elect to have this 2051 Note purchased by the Company pursuant to Section 4.1 of the Supplemental Indenture, check the box</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1300" w:hanging="644"/>
        <w:spacing w:after="0"/>
        <w:tabs>
          <w:tab w:leader="none" w:pos="1300"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you want to elect to have only part of the 2051 Note purchased by the Company pursuant to Section 4.1 of the Supplemental Indenture, state the amount you elect to have purchased ($2,000 or integral multiples of $1,000 in excess thereof; provided that the unrepurchased portion of a 2051 Note must be in a minimum principal amount of $2,000): $________________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-1905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b w:val="1"/>
          <w:bCs w:val="1"/>
          <w:color w:val="auto"/>
        </w:rPr>
        <w:t>”) or such other “signature guarantee program” as may be determined by the Registrar in addition to, or in substitution for, STAMP, all in accordance with the Securities Exchange Act of 1934, as amended.`</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5.1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Re:</w:t>
        <w:tab/>
        <w:t>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acted as counsel to Micron Technology, Inc., a Delaware corporation (the “Company”), in connection with the filing by the Company with the Securities and Exchange Commission (the “Commission”) on November 4, 2020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(the “Debt Securities”), with an indeterminate amount as may at various times be issued at indeterminate prices, in reliance on Rule 456(b) and Rule 457(r) under the Act.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Registration Statement, the Company has issued $1,000,000,000 aggregate principal amount of 2.703% Senior Notes due 2032 (the “Green Bonds”), $500,000,000 aggregate principal amount of 3.366% Senior Notes due 2041 (the “2041 Notes”) and $500,000,000 aggregate principal amount of 3.477% Senior Notes due 2051 (the “2051 Notes” and, together with the Green Bonds and the 2041 Notes, the “Notes”), all of which have been sold pursuant to that certain Underwriting Agreement (the “Underwriting Agreement”), dated as of October 18, 2021, among the Company, Barclays Capital Inc., Credit Agricole Securities (USA) Inc., Mizuho Securities USA LLC, Wells Fargo Securities, LLC, HSBC Securities (USA) Inc. and Morgan Stanley &amp; Co. LLC, as representatives of the other several underwriters named in Schedule I thereto.</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Notes have been issued in the form set forth in the Indenture, dated as of February 6, 2019 (the “Base Indenture”), between the Company and U.S. Bank National Association, as trustee (the “Trustee”) as supplemented by that certain Fourth Supplemental Indenture dated as of November 1, 2021 (the “Fourth Supplemental Indenture” and, together with the Base Indenture, the “Indenture”), between the Company and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examined the Registration Statement, together with the exhibits thereto and the documents incorporated by reference therein; the prospectus, dated November 4, 2020, together with the documents incorporated by reference therein, filed with the Registration Statement (the “Prospectus”); the preliminary prospectus supplement, dated October 18, 2021, in the form filed with the Commission pursuant to Rule 424(b) of the Securities Act relating to the offering of the Notes; the free writing prospectus, dated October 18, 2021, in the form filed with the Commission pursuant to Rule 433 of the Securities Act; the final prospectus supplement, dated October 18, 2021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3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lvl w:ilvl="1">
      <w:lvlJc w:val="left"/>
      <w:lvlText w:val="(%2)"/>
      <w:numFmt w:val="lowerLetter"/>
      <w:start w:val="9"/>
    </w:lvl>
  </w:abstractNum>
  <w:abstractNum w:abstractNumId="2">
    <w:nsid w:val="189A769B"/>
    <w:multiLevelType w:val="hybridMultilevel"/>
    <w:lvl w:ilvl="0">
      <w:lvlJc w:val="left"/>
      <w:lvlText w:val="(%1)"/>
      <w:numFmt w:val="lowerLetter"/>
      <w:start w:val="1"/>
    </w:lvl>
    <w:lvl w:ilvl="1">
      <w:lvlJc w:val="left"/>
      <w:lvlText w:val="(%2)"/>
      <w:numFmt w:val="lowerLetter"/>
      <w:start w:val="35"/>
    </w:lvl>
  </w:abstractNum>
  <w:abstractNum w:abstractNumId="3">
    <w:nsid w:val="54E49EB4"/>
    <w:multiLevelType w:val="hybridMultilevel"/>
    <w:lvl w:ilvl="0">
      <w:lvlJc w:val="left"/>
      <w:lvlText w:val="(%1)"/>
      <w:numFmt w:val="lowerRoman"/>
      <w:start w:val="3"/>
    </w:lvl>
  </w:abstractNum>
  <w:abstractNum w:abstractNumId="4">
    <w:nsid w:val="71F32454"/>
    <w:multiLevelType w:val="hybridMultilevel"/>
    <w:lvl w:ilvl="0">
      <w:lvlJc w:val="left"/>
      <w:lvlText w:val="(%1)"/>
      <w:numFmt w:val="lowerLetter"/>
      <w:start w:val="2"/>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14"/>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2"/>
    </w:lvl>
    <w:lvl w:ilvl="1">
      <w:lvlJc w:val="left"/>
      <w:lvlText w:val="(%2)"/>
      <w:numFmt w:val="decimal"/>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3"/>
    </w:lvl>
  </w:abstractNum>
  <w:abstractNum w:abstractNumId="14">
    <w:nsid w:val="22221A70"/>
    <w:multiLevelType w:val="hybridMultilevel"/>
    <w:lvl w:ilvl="0">
      <w:lvlJc w:val="left"/>
      <w:lvlText w:val="(%1)"/>
      <w:numFmt w:val="lowerLetter"/>
      <w:start w:val="2"/>
    </w:lvl>
    <w:lvl w:ilvl="1">
      <w:lvlJc w:val="left"/>
      <w:lvlText w:val="(%2)"/>
      <w:numFmt w:val="decimal"/>
      <w:start w:val="1"/>
    </w:lvl>
  </w:abstractNum>
  <w:abstractNum w:abstractNumId="15">
    <w:nsid w:val="4516DDE9"/>
    <w:multiLevelType w:val="hybridMultilevel"/>
    <w:lvl w:ilvl="0">
      <w:lvlJc w:val="left"/>
      <w:lvlText w:val="(%1)"/>
      <w:numFmt w:val="decimal"/>
      <w:start w:val="2"/>
    </w:lvl>
    <w:lvl w:ilvl="1">
      <w:lvlJc w:val="left"/>
      <w:lvlText w:val="(%2)"/>
      <w:numFmt w:val="lowerRoman"/>
      <w:start w:val="1"/>
    </w:lvl>
  </w:abstractNum>
  <w:abstractNum w:abstractNumId="16">
    <w:nsid w:val="3006C83E"/>
    <w:multiLevelType w:val="hybridMultilevel"/>
    <w:lvl w:ilvl="0">
      <w:lvlJc w:val="left"/>
      <w:lvlText w:val="(%1)"/>
      <w:numFmt w:val="lowerLetter"/>
      <w:start w:val="3"/>
    </w:lvl>
  </w:abstractNum>
  <w:abstractNum w:abstractNumId="17">
    <w:nsid w:val="614FD4A1"/>
    <w:multiLevelType w:val="hybridMultilevel"/>
    <w:lvl w:ilvl="0">
      <w:lvlJc w:val="left"/>
      <w:lvlText w:val="(%1)"/>
      <w:numFmt w:val="lowerLetter"/>
      <w:start w:val="4"/>
    </w:lvl>
  </w:abstractNum>
  <w:abstractNum w:abstractNumId="18">
    <w:nsid w:val="419AC241"/>
    <w:multiLevelType w:val="hybridMultilevel"/>
    <w:lvl w:ilvl="0">
      <w:lvlJc w:val="left"/>
      <w:lvlText w:val="(%1)"/>
      <w:numFmt w:val="lowerLetter"/>
      <w:start w:val="6"/>
    </w:lvl>
    <w:lvl w:ilvl="1">
      <w:lvlJc w:val="left"/>
      <w:lvlText w:val="(%2)"/>
      <w:numFmt w:val="decimal"/>
      <w:start w:val="1"/>
    </w:lvl>
  </w:abstractNum>
  <w:abstractNum w:abstractNumId="19">
    <w:nsid w:val="5577F8E1"/>
    <w:multiLevelType w:val="hybridMultilevel"/>
    <w:lvl w:ilvl="0">
      <w:lvlJc w:val="left"/>
      <w:lvlText w:val="(%1)"/>
      <w:numFmt w:val="decimal"/>
      <w:start w:val="4"/>
    </w:lvl>
    <w:lvl w:ilvl="1">
      <w:lvlJc w:val="left"/>
      <w:lvlText w:val="(%2)"/>
      <w:numFmt w:val="lowerRoman"/>
      <w:start w:val="1"/>
    </w:lvl>
  </w:abstractNum>
  <w:abstractNum w:abstractNumId="20">
    <w:nsid w:val="440BADFC"/>
    <w:multiLevelType w:val="hybridMultilevel"/>
    <w:lvl w:ilvl="0">
      <w:lvlJc w:val="left"/>
      <w:lvlText w:val="(%1)"/>
      <w:numFmt w:val="lowerLetter"/>
      <w:start w:val="1"/>
    </w:lvl>
    <w:lvl w:ilvl="1">
      <w:lvlJc w:val="left"/>
      <w:lvlText w:val="(%2)"/>
      <w:numFmt w:val="lowerRoman"/>
      <w:start w:val="1"/>
    </w:lvl>
  </w:abstractNum>
  <w:abstractNum w:abstractNumId="21">
    <w:nsid w:val="5072367"/>
    <w:multiLevelType w:val="hybridMultilevel"/>
    <w:lvl w:ilvl="0">
      <w:lvlJc w:val="left"/>
      <w:lvlText w:val="(%1)"/>
      <w:numFmt w:val="lowerLetter"/>
      <w:start w:val="1"/>
    </w:lvl>
    <w:lvl w:ilvl="1">
      <w:lvlJc w:val="left"/>
      <w:lvlText w:val="(%2)"/>
      <w:numFmt w:val="lowerRoman"/>
      <w:start w:val="1"/>
    </w:lvl>
  </w:abstractNum>
  <w:abstractNum w:abstractNumId="22">
    <w:nsid w:val="3804823E"/>
    <w:multiLevelType w:val="hybridMultilevel"/>
    <w:lvl w:ilvl="0">
      <w:lvlJc w:val="left"/>
      <w:lvlText w:val="(%1)"/>
      <w:numFmt w:val="lowerLetter"/>
      <w:start w:val="2"/>
    </w:lvl>
    <w:lvl w:ilvl="1">
      <w:lvlJc w:val="left"/>
      <w:lvlText w:val="(%2)"/>
      <w:numFmt w:val="lowerRoman"/>
      <w:start w:val="1"/>
    </w:lvl>
  </w:abstractNum>
  <w:abstractNum w:abstractNumId="23">
    <w:nsid w:val="77465F01"/>
    <w:multiLevelType w:val="hybridMultilevel"/>
    <w:lvl w:ilvl="0">
      <w:lvlJc w:val="left"/>
      <w:lvlText w:val="(%1)"/>
      <w:numFmt w:val="lowerLetter"/>
      <w:start w:val="3"/>
    </w:lvl>
    <w:lvl w:ilvl="1">
      <w:lvlJc w:val="left"/>
      <w:lvlText w:val="(%2)"/>
      <w:numFmt w:val="lowerRoman"/>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2"/>
    </w:lvl>
    <w:lvl w:ilvl="1">
      <w:lvlJc w:val="left"/>
      <w:lvlText w:val="(%2)"/>
      <w:numFmt w:val="decimal"/>
      <w:start w:val="1"/>
    </w:lvl>
  </w:abstractNum>
  <w:abstractNum w:abstractNumId="26">
    <w:nsid w:val="2463B9EA"/>
    <w:multiLevelType w:val="hybridMultilevel"/>
    <w:lvl w:ilvl="0">
      <w:lvlJc w:val="left"/>
      <w:lvlText w:val="(%1)"/>
      <w:numFmt w:val="lowerLetter"/>
      <w:start w:val="4"/>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lvl w:ilvl="1">
      <w:lvlJc w:val="left"/>
      <w:lvlText w:val="(%2)"/>
      <w:numFmt w:val="lowerLetter"/>
      <w:start w:val="3"/>
    </w:lvl>
  </w:abstractNum>
  <w:abstractNum w:abstractNumId="31">
    <w:nsid w:val="153EA438"/>
    <w:multiLevelType w:val="hybridMultilevel"/>
    <w:lvl w:ilvl="0">
      <w:lvlJc w:val="left"/>
      <w:lvlText w:val="(%1)"/>
      <w:numFmt w:val="lowerLetter"/>
      <w:start w:val="35"/>
    </w:lvl>
    <w:lvl w:ilvl="1">
      <w:lvlJc w:val="left"/>
      <w:lvlText w:val="(%2)"/>
      <w:numFmt w:val="lowerLetter"/>
      <w:start w:val="4"/>
    </w:lvl>
  </w:abstractNum>
  <w:abstractNum w:abstractNumId="32">
    <w:nsid w:val="3855585C"/>
    <w:multiLevelType w:val="hybridMultilevel"/>
    <w:lvl w:ilvl="0">
      <w:lvlJc w:val="left"/>
      <w:lvlText w:val="(%1)"/>
      <w:numFmt w:val="upperLetter"/>
      <w:start w:val="6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4"/>
    </w:lvl>
  </w:abstractNum>
  <w:abstractNum w:abstractNumId="35">
    <w:nsid w:val="2A487CB0"/>
    <w:multiLevelType w:val="hybridMultilevel"/>
    <w:lvl w:ilvl="0">
      <w:lvlJc w:val="left"/>
      <w:lvlText w:val="%1."/>
      <w:numFmt w:val="decimal"/>
      <w:start w:val="12"/>
    </w:lvl>
  </w:abstractNum>
  <w:abstractNum w:abstractNumId="36">
    <w:nsid w:val="1D4ED43B"/>
    <w:multiLevelType w:val="hybridMultilevel"/>
    <w:lvl w:ilvl="0">
      <w:lvlJc w:val="left"/>
      <w:lvlText w:val="(%1)"/>
      <w:numFmt w:val="upperLetter"/>
      <w:start w:val="9"/>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upperLetter"/>
      <w:start w:val="6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5"/>
    </w:lvl>
  </w:abstractNum>
  <w:abstractNum w:abstractNumId="41">
    <w:nsid w:val="4B588F54"/>
    <w:multiLevelType w:val="hybridMultilevel"/>
    <w:lvl w:ilvl="0">
      <w:lvlJc w:val="left"/>
      <w:lvlText w:val="%1."/>
      <w:numFmt w:val="decimal"/>
      <w:start w:val="12"/>
    </w:lvl>
  </w:abstractNum>
  <w:abstractNum w:abstractNumId="42">
    <w:nsid w:val="542289EC"/>
    <w:multiLevelType w:val="hybridMultilevel"/>
    <w:lvl w:ilvl="0">
      <w:lvlJc w:val="left"/>
      <w:lvlText w:val="(%1)"/>
      <w:numFmt w:val="upperLetter"/>
      <w:start w:val="9"/>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upperLetter"/>
      <w:start w:val="6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4"/>
    </w:lvl>
  </w:abstractNum>
  <w:abstractNum w:abstractNumId="47">
    <w:nsid w:val="684A481A"/>
    <w:multiLevelType w:val="hybridMultilevel"/>
    <w:lvl w:ilvl="0">
      <w:lvlJc w:val="left"/>
      <w:lvlText w:val="%1."/>
      <w:numFmt w:val="decimal"/>
      <w:start w:val="12"/>
    </w:lvl>
  </w:abstractNum>
  <w:abstractNum w:abstractNumId="48">
    <w:nsid w:val="579478FE"/>
    <w:multiLevelType w:val="hybridMultilevel"/>
    <w:lvl w:ilvl="0">
      <w:lvlJc w:val="left"/>
      <w:lvlText w:val="(%1)"/>
      <w:numFmt w:val="upperLetter"/>
      <w:start w:val="9"/>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6" Type="http://schemas.openxmlformats.org/officeDocument/2006/relationships/hyperlink" Target="https://www.sec.gov/Archives/edgar/data/723125/000110465919006069/a18-36862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2021-11-01T15:38:18Z</dcterms:created>
  <dcterms:modified xsi:type="dcterms:W3CDTF">2021-11-01T15:38:18Z</dcterms:modified>
</cp:coreProperties>
</file>