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jc w:val="right"/>
        <w:ind w:left="1100" w:right="2680"/>
        <w:spacing w:after="0" w:line="235" w:lineRule="auto"/>
        <w:rPr>
          <w:sz w:val="20"/>
          <w:szCs w:val="20"/>
          <w:color w:val="auto"/>
        </w:rPr>
      </w:pPr>
      <w:r>
        <w:rPr>
          <w:rFonts w:ascii="Courier New" w:cs="Courier New" w:eastAsia="Courier New" w:hAnsi="Courier New"/>
          <w:sz w:val="17"/>
          <w:szCs w:val="17"/>
          <w:color w:val="auto"/>
        </w:rPr>
        <w:t>As filed with the Securities and Exchange Commission on June 29, 1998 Registration No. 333-__________</w:t>
      </w:r>
    </w:p>
    <w:p>
      <w:pPr>
        <w:spacing w:after="0" w:line="5" w:lineRule="exact"/>
        <w:rPr>
          <w:sz w:val="24"/>
          <w:szCs w:val="24"/>
          <w:color w:val="auto"/>
        </w:rPr>
      </w:pPr>
    </w:p>
    <w:p>
      <w:pPr>
        <w:jc w:val="center"/>
        <w:ind w:right="26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jc w:val="center"/>
        <w:ind w:right="2880"/>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880"/>
        <w:spacing w:after="0" w:line="238" w:lineRule="auto"/>
        <w:rPr>
          <w:sz w:val="20"/>
          <w:szCs w:val="20"/>
          <w:color w:val="auto"/>
        </w:rPr>
      </w:pPr>
      <w:r>
        <w:rPr>
          <w:rFonts w:ascii="Courier New" w:cs="Courier New" w:eastAsia="Courier New" w:hAnsi="Courier New"/>
          <w:sz w:val="17"/>
          <w:szCs w:val="17"/>
          <w:color w:val="auto"/>
        </w:rPr>
        <w:t>Washington, D.C. 20549</w:t>
      </w:r>
    </w:p>
    <w:p>
      <w:pPr>
        <w:ind w:left="2980"/>
        <w:spacing w:after="0" w:line="238" w:lineRule="auto"/>
        <w:rPr>
          <w:sz w:val="20"/>
          <w:szCs w:val="20"/>
          <w:color w:val="auto"/>
        </w:rPr>
      </w:pPr>
      <w:r>
        <w:rPr>
          <w:rFonts w:ascii="Courier New" w:cs="Courier New" w:eastAsia="Courier New" w:hAnsi="Courier New"/>
          <w:sz w:val="17"/>
          <w:szCs w:val="17"/>
          <w:color w:val="auto"/>
        </w:rPr>
        <w:t>__________________</w:t>
      </w:r>
    </w:p>
    <w:p>
      <w:pPr>
        <w:jc w:val="center"/>
        <w:ind w:right="2880"/>
        <w:spacing w:after="0"/>
        <w:rPr>
          <w:sz w:val="20"/>
          <w:szCs w:val="20"/>
          <w:color w:val="auto"/>
        </w:rPr>
      </w:pPr>
      <w:r>
        <w:rPr>
          <w:rFonts w:ascii="Courier New" w:cs="Courier New" w:eastAsia="Courier New" w:hAnsi="Courier New"/>
          <w:sz w:val="17"/>
          <w:szCs w:val="17"/>
          <w:color w:val="auto"/>
        </w:rPr>
        <w:t>FORM S-3</w:t>
      </w:r>
    </w:p>
    <w:p>
      <w:pPr>
        <w:jc w:val="center"/>
        <w:ind w:right="2880"/>
        <w:spacing w:after="0" w:line="237" w:lineRule="auto"/>
        <w:rPr>
          <w:sz w:val="20"/>
          <w:szCs w:val="20"/>
          <w:color w:val="auto"/>
        </w:rPr>
      </w:pPr>
      <w:r>
        <w:rPr>
          <w:rFonts w:ascii="Courier New" w:cs="Courier New" w:eastAsia="Courier New" w:hAnsi="Courier New"/>
          <w:sz w:val="17"/>
          <w:szCs w:val="17"/>
          <w:color w:val="auto"/>
        </w:rPr>
        <w:t>REGISTRATION STATEMENT</w:t>
      </w:r>
    </w:p>
    <w:p>
      <w:pPr>
        <w:jc w:val="center"/>
        <w:ind w:right="2880"/>
        <w:spacing w:after="0" w:line="238" w:lineRule="auto"/>
        <w:rPr>
          <w:sz w:val="20"/>
          <w:szCs w:val="20"/>
          <w:color w:val="auto"/>
        </w:rPr>
      </w:pPr>
      <w:r>
        <w:rPr>
          <w:rFonts w:ascii="Courier New" w:cs="Courier New" w:eastAsia="Courier New" w:hAnsi="Courier New"/>
          <w:sz w:val="17"/>
          <w:szCs w:val="17"/>
          <w:color w:val="auto"/>
        </w:rPr>
        <w:t>UNDER THE SECURITIES ACT OF 1993</w:t>
      </w:r>
    </w:p>
    <w:p>
      <w:pPr>
        <w:ind w:left="2980"/>
        <w:spacing w:after="0"/>
        <w:rPr>
          <w:sz w:val="20"/>
          <w:szCs w:val="20"/>
          <w:color w:val="auto"/>
        </w:rPr>
      </w:pPr>
      <w:r>
        <w:rPr>
          <w:rFonts w:ascii="Courier New" w:cs="Courier New" w:eastAsia="Courier New" w:hAnsi="Courier New"/>
          <w:sz w:val="17"/>
          <w:szCs w:val="17"/>
          <w:color w:val="auto"/>
        </w:rPr>
        <w:t>__________________</w:t>
      </w:r>
    </w:p>
    <w:p>
      <w:pPr>
        <w:jc w:val="center"/>
        <w:ind w:right="2780"/>
        <w:spacing w:after="0" w:line="237" w:lineRule="auto"/>
        <w:rPr>
          <w:sz w:val="20"/>
          <w:szCs w:val="20"/>
          <w:color w:val="auto"/>
        </w:rPr>
      </w:pPr>
      <w:r>
        <w:rPr>
          <w:rFonts w:ascii="Courier New" w:cs="Courier New" w:eastAsia="Courier New" w:hAnsi="Courier New"/>
          <w:sz w:val="17"/>
          <w:szCs w:val="17"/>
          <w:color w:val="auto"/>
        </w:rPr>
        <w:t>MICRON TECHNOLOGY, INC.</w:t>
      </w:r>
    </w:p>
    <w:p>
      <w:pPr>
        <w:jc w:val="center"/>
        <w:ind w:right="288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86" w:orient="portrait"/>
          <w:cols w:equalWidth="0" w:num="1">
            <w:col w:w="10640"/>
          </w:cols>
          <w:pgMar w:left="240" w:top="626" w:right="1019" w:bottom="0" w:gutter="0" w:footer="0" w:header="0"/>
        </w:sectPr>
      </w:pPr>
    </w:p>
    <w:p>
      <w:pPr>
        <w:spacing w:after="0" w:line="189"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238" w:lineRule="auto"/>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ind w:left="380"/>
        <w:spacing w:after="0"/>
        <w:rPr>
          <w:sz w:val="20"/>
          <w:szCs w:val="20"/>
          <w:color w:val="auto"/>
        </w:rPr>
      </w:pPr>
      <w:r>
        <w:rPr>
          <w:rFonts w:ascii="Courier New" w:cs="Courier New" w:eastAsia="Courier New" w:hAnsi="Courier New"/>
          <w:sz w:val="17"/>
          <w:szCs w:val="17"/>
          <w:color w:val="auto"/>
        </w:rPr>
        <w:t>75-1618004</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238" w:lineRule="auto"/>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86" w:orient="portrait"/>
          <w:cols w:equalWidth="0" w:num="2">
            <w:col w:w="4860" w:space="720"/>
            <w:col w:w="5060"/>
          </w:cols>
          <w:pgMar w:left="240" w:top="626" w:right="1019" w:bottom="0" w:gutter="0" w:footer="0" w:header="0"/>
          <w:type w:val="continuous"/>
        </w:sectPr>
      </w:pPr>
    </w:p>
    <w:p>
      <w:pPr>
        <w:spacing w:after="0" w:line="181" w:lineRule="exact"/>
        <w:rPr>
          <w:sz w:val="24"/>
          <w:szCs w:val="24"/>
          <w:color w:val="auto"/>
        </w:rPr>
      </w:pPr>
    </w:p>
    <w:p>
      <w:pPr>
        <w:ind w:left="2180"/>
        <w:spacing w:after="0"/>
        <w:rPr>
          <w:sz w:val="20"/>
          <w:szCs w:val="20"/>
          <w:color w:val="auto"/>
        </w:rPr>
      </w:pPr>
      <w:r>
        <w:rPr>
          <w:rFonts w:ascii="Courier New" w:cs="Courier New" w:eastAsia="Courier New" w:hAnsi="Courier New"/>
          <w:sz w:val="17"/>
          <w:szCs w:val="17"/>
          <w:color w:val="auto"/>
        </w:rPr>
        <w:t>8000 South Federal Way, P.O. Box 6</w:t>
      </w:r>
    </w:p>
    <w:p>
      <w:pPr>
        <w:ind w:left="2780"/>
        <w:spacing w:after="0" w:line="238" w:lineRule="auto"/>
        <w:rPr>
          <w:sz w:val="20"/>
          <w:szCs w:val="20"/>
          <w:color w:val="auto"/>
        </w:rPr>
      </w:pPr>
      <w:r>
        <w:rPr>
          <w:rFonts w:ascii="Courier New" w:cs="Courier New" w:eastAsia="Courier New" w:hAnsi="Courier New"/>
          <w:sz w:val="17"/>
          <w:szCs w:val="17"/>
          <w:color w:val="auto"/>
        </w:rPr>
        <w:t>Boise, Idaho 83707-0006</w:t>
      </w:r>
    </w:p>
    <w:p>
      <w:pPr>
        <w:ind w:left="3180"/>
        <w:spacing w:after="0" w:line="238" w:lineRule="auto"/>
        <w:rPr>
          <w:sz w:val="20"/>
          <w:szCs w:val="20"/>
          <w:color w:val="auto"/>
        </w:rPr>
      </w:pPr>
      <w:r>
        <w:rPr>
          <w:rFonts w:ascii="Courier New" w:cs="Courier New" w:eastAsia="Courier New" w:hAnsi="Courier New"/>
          <w:sz w:val="17"/>
          <w:szCs w:val="17"/>
          <w:color w:val="auto"/>
        </w:rPr>
        <w:t>(208) 368-4000</w:t>
      </w:r>
    </w:p>
    <w:p>
      <w:pPr>
        <w:jc w:val="center"/>
        <w:ind w:right="2880"/>
        <w:spacing w:after="0"/>
        <w:rPr>
          <w:sz w:val="20"/>
          <w:szCs w:val="20"/>
          <w:color w:val="auto"/>
        </w:rPr>
      </w:pPr>
      <w:r>
        <w:rPr>
          <w:rFonts w:ascii="Courier New" w:cs="Courier New" w:eastAsia="Courier New" w:hAnsi="Courier New"/>
          <w:sz w:val="17"/>
          <w:szCs w:val="17"/>
          <w:color w:val="auto"/>
        </w:rPr>
        <w:t>(Address, including zip code, and telephone number, including area</w:t>
      </w:r>
    </w:p>
    <w:p>
      <w:pPr>
        <w:jc w:val="center"/>
        <w:ind w:right="2880"/>
        <w:spacing w:after="0" w:line="237" w:lineRule="auto"/>
        <w:rPr>
          <w:sz w:val="20"/>
          <w:szCs w:val="20"/>
          <w:color w:val="auto"/>
        </w:rPr>
      </w:pPr>
      <w:r>
        <w:rPr>
          <w:rFonts w:ascii="Courier New" w:cs="Courier New" w:eastAsia="Courier New" w:hAnsi="Courier New"/>
          <w:sz w:val="17"/>
          <w:szCs w:val="17"/>
          <w:color w:val="auto"/>
        </w:rPr>
        <w:t>code, of Registrant's principal executive offices)</w:t>
      </w:r>
    </w:p>
    <w:p>
      <w:pPr>
        <w:spacing w:after="0" w:line="190"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__________________</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RODERIC W. LEWIS, ESQ.</w:t>
      </w:r>
    </w:p>
    <w:p>
      <w:pPr>
        <w:ind w:left="300"/>
        <w:spacing w:after="0" w:line="238" w:lineRule="auto"/>
        <w:rPr>
          <w:sz w:val="20"/>
          <w:szCs w:val="20"/>
          <w:color w:val="auto"/>
        </w:rPr>
      </w:pPr>
      <w:r>
        <w:rPr>
          <w:rFonts w:ascii="Courier New" w:cs="Courier New" w:eastAsia="Courier New" w:hAnsi="Courier New"/>
          <w:sz w:val="17"/>
          <w:szCs w:val="17"/>
          <w:color w:val="auto"/>
        </w:rPr>
        <w:t>Vice President of Legal Affairs, General Counsel and Corporate Secretary</w:t>
      </w:r>
    </w:p>
    <w:p>
      <w:pPr>
        <w:ind w:left="2780"/>
        <w:spacing w:after="0" w:line="238" w:lineRule="auto"/>
        <w:rPr>
          <w:sz w:val="20"/>
          <w:szCs w:val="20"/>
          <w:color w:val="auto"/>
        </w:rPr>
      </w:pPr>
      <w:r>
        <w:rPr>
          <w:rFonts w:ascii="Courier New" w:cs="Courier New" w:eastAsia="Courier New" w:hAnsi="Courier New"/>
          <w:sz w:val="17"/>
          <w:szCs w:val="17"/>
          <w:color w:val="auto"/>
        </w:rPr>
        <w:t>Micron Technology, Inc.</w:t>
      </w:r>
    </w:p>
    <w:p>
      <w:pPr>
        <w:ind w:left="2180"/>
        <w:spacing w:after="0"/>
        <w:rPr>
          <w:sz w:val="20"/>
          <w:szCs w:val="20"/>
          <w:color w:val="auto"/>
        </w:rPr>
      </w:pPr>
      <w:r>
        <w:rPr>
          <w:rFonts w:ascii="Courier New" w:cs="Courier New" w:eastAsia="Courier New" w:hAnsi="Courier New"/>
          <w:sz w:val="17"/>
          <w:szCs w:val="17"/>
          <w:color w:val="auto"/>
        </w:rPr>
        <w:t>8000 South Federal Way, P.O. Box 6</w:t>
      </w:r>
    </w:p>
    <w:p>
      <w:pPr>
        <w:ind w:left="2680"/>
        <w:spacing w:after="0"/>
        <w:tabs>
          <w:tab w:leader="none" w:pos="4060" w:val="left"/>
        </w:tabs>
        <w:rPr>
          <w:sz w:val="20"/>
          <w:szCs w:val="20"/>
          <w:color w:val="auto"/>
        </w:rPr>
      </w:pPr>
      <w:r>
        <w:rPr>
          <w:rFonts w:ascii="Courier New" w:cs="Courier New" w:eastAsia="Courier New" w:hAnsi="Courier New"/>
          <w:sz w:val="17"/>
          <w:szCs w:val="17"/>
          <w:color w:val="auto"/>
        </w:rPr>
        <w:t>Boise, Idaho</w:t>
      </w:r>
      <w:r>
        <w:rPr>
          <w:sz w:val="20"/>
          <w:szCs w:val="20"/>
          <w:color w:val="auto"/>
        </w:rPr>
        <w:tab/>
      </w:r>
      <w:r>
        <w:rPr>
          <w:rFonts w:ascii="Courier New" w:cs="Courier New" w:eastAsia="Courier New" w:hAnsi="Courier New"/>
          <w:sz w:val="16"/>
          <w:szCs w:val="16"/>
          <w:color w:val="auto"/>
        </w:rPr>
        <w:t>83707-0006</w:t>
      </w:r>
    </w:p>
    <w:p>
      <w:pPr>
        <w:ind w:left="3180"/>
        <w:spacing w:after="0" w:line="238" w:lineRule="auto"/>
        <w:rPr>
          <w:sz w:val="20"/>
          <w:szCs w:val="20"/>
          <w:color w:val="auto"/>
        </w:rPr>
      </w:pPr>
      <w:r>
        <w:rPr>
          <w:rFonts w:ascii="Courier New" w:cs="Courier New" w:eastAsia="Courier New" w:hAnsi="Courier New"/>
          <w:sz w:val="17"/>
          <w:szCs w:val="17"/>
          <w:color w:val="auto"/>
        </w:rPr>
        <w:t>(208) 368-4000</w:t>
      </w:r>
    </w:p>
    <w:p>
      <w:pPr>
        <w:jc w:val="center"/>
        <w:ind w:right="2780"/>
        <w:spacing w:after="0"/>
        <w:rPr>
          <w:sz w:val="20"/>
          <w:szCs w:val="20"/>
          <w:color w:val="auto"/>
        </w:rPr>
      </w:pPr>
      <w:r>
        <w:rPr>
          <w:rFonts w:ascii="Courier New" w:cs="Courier New" w:eastAsia="Courier New" w:hAnsi="Courier New"/>
          <w:sz w:val="17"/>
          <w:szCs w:val="17"/>
          <w:color w:val="auto"/>
        </w:rPr>
        <w:t>(Name, address, including zip code, and</w:t>
      </w:r>
    </w:p>
    <w:p>
      <w:pPr>
        <w:jc w:val="center"/>
        <w:ind w:right="2880"/>
        <w:spacing w:after="0" w:line="237" w:lineRule="auto"/>
        <w:rPr>
          <w:sz w:val="20"/>
          <w:szCs w:val="20"/>
          <w:color w:val="auto"/>
        </w:rPr>
      </w:pPr>
      <w:r>
        <w:rPr>
          <w:rFonts w:ascii="Courier New" w:cs="Courier New" w:eastAsia="Courier New" w:hAnsi="Courier New"/>
          <w:sz w:val="17"/>
          <w:szCs w:val="17"/>
          <w:color w:val="auto"/>
        </w:rPr>
        <w:t>telephone number, including area code, of agent for service)</w:t>
      </w:r>
    </w:p>
    <w:p>
      <w:pPr>
        <w:spacing w:after="0" w:line="190"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__________________</w:t>
      </w:r>
    </w:p>
    <w:p>
      <w:pPr>
        <w:ind w:left="3380"/>
        <w:spacing w:after="0" w:line="238" w:lineRule="auto"/>
        <w:rPr>
          <w:sz w:val="20"/>
          <w:szCs w:val="20"/>
          <w:color w:val="auto"/>
        </w:rPr>
      </w:pPr>
      <w:r>
        <w:rPr>
          <w:rFonts w:ascii="Courier New" w:cs="Courier New" w:eastAsia="Courier New" w:hAnsi="Courier New"/>
          <w:sz w:val="17"/>
          <w:szCs w:val="17"/>
          <w:color w:val="auto"/>
        </w:rPr>
        <w:t>Copies to:</w:t>
      </w:r>
    </w:p>
    <w:p>
      <w:pPr>
        <w:spacing w:after="0" w:line="381"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3780" w:type="dxa"/>
            <w:vAlign w:val="bottom"/>
          </w:tcPr>
          <w:p>
            <w:pPr>
              <w:jc w:val="center"/>
              <w:ind w:right="517"/>
              <w:spacing w:after="0"/>
              <w:rPr>
                <w:sz w:val="20"/>
                <w:szCs w:val="20"/>
                <w:color w:val="auto"/>
              </w:rPr>
            </w:pPr>
            <w:r>
              <w:rPr>
                <w:rFonts w:ascii="Courier New" w:cs="Courier New" w:eastAsia="Courier New" w:hAnsi="Courier New"/>
                <w:sz w:val="17"/>
                <w:szCs w:val="17"/>
                <w:color w:val="auto"/>
                <w:w w:val="96"/>
              </w:rPr>
              <w:t>John A. Fore, Esq.</w:t>
            </w:r>
          </w:p>
        </w:tc>
        <w:tc>
          <w:tcPr>
            <w:tcW w:w="3480" w:type="dxa"/>
            <w:vAlign w:val="bottom"/>
          </w:tcPr>
          <w:p>
            <w:pPr>
              <w:spacing w:after="0"/>
              <w:rPr>
                <w:sz w:val="16"/>
                <w:szCs w:val="16"/>
                <w:color w:val="auto"/>
              </w:rPr>
            </w:pPr>
          </w:p>
        </w:tc>
      </w:tr>
      <w:tr>
        <w:trPr>
          <w:trHeight w:val="191"/>
        </w:trPr>
        <w:tc>
          <w:tcPr>
            <w:tcW w:w="37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Patrick J. Schultheis, Esq.</w:t>
            </w:r>
          </w:p>
        </w:tc>
        <w:tc>
          <w:tcPr>
            <w:tcW w:w="3480" w:type="dxa"/>
            <w:vAlign w:val="bottom"/>
          </w:tcPr>
          <w:p>
            <w:pPr>
              <w:jc w:val="center"/>
              <w:ind w:left="617"/>
              <w:spacing w:after="0" w:line="191" w:lineRule="exact"/>
              <w:rPr>
                <w:sz w:val="20"/>
                <w:szCs w:val="20"/>
                <w:color w:val="auto"/>
              </w:rPr>
            </w:pPr>
            <w:r>
              <w:rPr>
                <w:rFonts w:ascii="Courier New" w:cs="Courier New" w:eastAsia="Courier New" w:hAnsi="Courier New"/>
                <w:sz w:val="17"/>
                <w:szCs w:val="17"/>
                <w:color w:val="auto"/>
                <w:w w:val="97"/>
              </w:rPr>
              <w:t>Jacques K. Meguire, Esq.</w:t>
            </w:r>
          </w:p>
        </w:tc>
      </w:tr>
      <w:tr>
        <w:trPr>
          <w:trHeight w:val="191"/>
        </w:trPr>
        <w:tc>
          <w:tcPr>
            <w:tcW w:w="37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Stephen F. Diamond, Esq.</w:t>
            </w:r>
          </w:p>
        </w:tc>
        <w:tc>
          <w:tcPr>
            <w:tcW w:w="348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6"/>
              </w:rPr>
              <w:t>Sonnenschein Nath &amp; Rosenthal</w:t>
            </w:r>
          </w:p>
        </w:tc>
      </w:tr>
      <w:tr>
        <w:trPr>
          <w:trHeight w:val="191"/>
        </w:trPr>
        <w:tc>
          <w:tcPr>
            <w:tcW w:w="37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Wilson Sonsini Goodrich &amp; Rosati</w:t>
            </w:r>
          </w:p>
        </w:tc>
        <w:tc>
          <w:tcPr>
            <w:tcW w:w="3480" w:type="dxa"/>
            <w:vAlign w:val="bottom"/>
          </w:tcPr>
          <w:p>
            <w:pPr>
              <w:jc w:val="center"/>
              <w:ind w:left="617"/>
              <w:spacing w:after="0" w:line="191" w:lineRule="exact"/>
              <w:rPr>
                <w:sz w:val="20"/>
                <w:szCs w:val="20"/>
                <w:color w:val="auto"/>
              </w:rPr>
            </w:pPr>
            <w:r>
              <w:rPr>
                <w:rFonts w:ascii="Courier New" w:cs="Courier New" w:eastAsia="Courier New" w:hAnsi="Courier New"/>
                <w:sz w:val="17"/>
                <w:szCs w:val="17"/>
                <w:color w:val="auto"/>
                <w:w w:val="96"/>
              </w:rPr>
              <w:t>8000 Sears Tower</w:t>
            </w:r>
          </w:p>
        </w:tc>
      </w:tr>
      <w:tr>
        <w:trPr>
          <w:trHeight w:val="191"/>
        </w:trPr>
        <w:tc>
          <w:tcPr>
            <w:tcW w:w="37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Professional Corporation</w:t>
            </w:r>
          </w:p>
        </w:tc>
        <w:tc>
          <w:tcPr>
            <w:tcW w:w="3480" w:type="dxa"/>
            <w:vAlign w:val="bottom"/>
          </w:tcPr>
          <w:p>
            <w:pPr>
              <w:jc w:val="center"/>
              <w:ind w:left="617"/>
              <w:spacing w:after="0" w:line="191" w:lineRule="exact"/>
              <w:rPr>
                <w:sz w:val="20"/>
                <w:szCs w:val="20"/>
                <w:color w:val="auto"/>
              </w:rPr>
            </w:pPr>
            <w:r>
              <w:rPr>
                <w:rFonts w:ascii="Courier New" w:cs="Courier New" w:eastAsia="Courier New" w:hAnsi="Courier New"/>
                <w:sz w:val="17"/>
                <w:szCs w:val="17"/>
                <w:color w:val="auto"/>
                <w:w w:val="97"/>
              </w:rPr>
              <w:t>Chicago, Illinois 60606-6404</w:t>
            </w:r>
          </w:p>
        </w:tc>
      </w:tr>
      <w:tr>
        <w:trPr>
          <w:trHeight w:val="191"/>
        </w:trPr>
        <w:tc>
          <w:tcPr>
            <w:tcW w:w="37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6"/>
              </w:rPr>
              <w:t>650 Page Mill Road</w:t>
            </w:r>
          </w:p>
        </w:tc>
        <w:tc>
          <w:tcPr>
            <w:tcW w:w="3480" w:type="dxa"/>
            <w:vAlign w:val="bottom"/>
          </w:tcPr>
          <w:p>
            <w:pPr>
              <w:jc w:val="center"/>
              <w:ind w:left="617"/>
              <w:spacing w:after="0" w:line="191" w:lineRule="exact"/>
              <w:rPr>
                <w:sz w:val="20"/>
                <w:szCs w:val="20"/>
                <w:color w:val="auto"/>
              </w:rPr>
            </w:pPr>
            <w:r>
              <w:rPr>
                <w:rFonts w:ascii="Courier New" w:cs="Courier New" w:eastAsia="Courier New" w:hAnsi="Courier New"/>
                <w:sz w:val="17"/>
                <w:szCs w:val="17"/>
                <w:color w:val="auto"/>
                <w:w w:val="96"/>
              </w:rPr>
              <w:t>(312) 876-8000</w:t>
            </w:r>
          </w:p>
        </w:tc>
      </w:tr>
      <w:tr>
        <w:trPr>
          <w:trHeight w:val="191"/>
        </w:trPr>
        <w:tc>
          <w:tcPr>
            <w:tcW w:w="37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Palo Alto, California 94304-1050</w:t>
            </w:r>
          </w:p>
        </w:tc>
        <w:tc>
          <w:tcPr>
            <w:tcW w:w="3480" w:type="dxa"/>
            <w:vAlign w:val="bottom"/>
          </w:tcPr>
          <w:p>
            <w:pPr>
              <w:spacing w:after="0"/>
              <w:rPr>
                <w:sz w:val="16"/>
                <w:szCs w:val="16"/>
                <w:color w:val="auto"/>
              </w:rPr>
            </w:pPr>
          </w:p>
        </w:tc>
      </w:tr>
      <w:tr>
        <w:trPr>
          <w:trHeight w:val="191"/>
        </w:trPr>
        <w:tc>
          <w:tcPr>
            <w:tcW w:w="37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6"/>
              </w:rPr>
              <w:t>(650) 493-9300</w:t>
            </w:r>
          </w:p>
        </w:tc>
        <w:tc>
          <w:tcPr>
            <w:tcW w:w="3480" w:type="dxa"/>
            <w:vAlign w:val="bottom"/>
          </w:tcPr>
          <w:p>
            <w:pPr>
              <w:spacing w:after="0"/>
              <w:rPr>
                <w:sz w:val="16"/>
                <w:szCs w:val="16"/>
                <w:color w:val="auto"/>
              </w:rPr>
            </w:pPr>
          </w:p>
        </w:tc>
      </w:tr>
    </w:tbl>
    <w:p>
      <w:pPr>
        <w:ind w:left="2980"/>
        <w:spacing w:after="0" w:line="238" w:lineRule="auto"/>
        <w:rPr>
          <w:sz w:val="20"/>
          <w:szCs w:val="20"/>
          <w:color w:val="auto"/>
        </w:rPr>
      </w:pPr>
      <w:r>
        <w:rPr>
          <w:rFonts w:ascii="Courier New" w:cs="Courier New" w:eastAsia="Courier New" w:hAnsi="Courier New"/>
          <w:sz w:val="17"/>
          <w:szCs w:val="17"/>
          <w:color w:val="auto"/>
        </w:rPr>
        <w:t>__________________</w:t>
      </w:r>
    </w:p>
    <w:p>
      <w:pPr>
        <w:jc w:val="center"/>
        <w:ind w:right="2880"/>
        <w:spacing w:after="0" w:line="238" w:lineRule="auto"/>
        <w:rPr>
          <w:sz w:val="20"/>
          <w:szCs w:val="20"/>
          <w:color w:val="auto"/>
        </w:rPr>
      </w:pPr>
      <w:r>
        <w:rPr>
          <w:rFonts w:ascii="Courier New" w:cs="Courier New" w:eastAsia="Courier New" w:hAnsi="Courier New"/>
          <w:sz w:val="17"/>
          <w:szCs w:val="17"/>
          <w:color w:val="auto"/>
        </w:rPr>
        <w:t>Approximate date of commencement of proposed sale to the public:</w:t>
      </w:r>
    </w:p>
    <w:p>
      <w:pPr>
        <w:jc w:val="center"/>
        <w:ind w:right="2880"/>
        <w:spacing w:after="0"/>
        <w:rPr>
          <w:sz w:val="20"/>
          <w:szCs w:val="20"/>
          <w:color w:val="auto"/>
        </w:rPr>
      </w:pPr>
      <w:r>
        <w:rPr>
          <w:rFonts w:ascii="Courier New" w:cs="Courier New" w:eastAsia="Courier New" w:hAnsi="Courier New"/>
          <w:sz w:val="17"/>
          <w:szCs w:val="17"/>
          <w:color w:val="auto"/>
        </w:rPr>
        <w:t>From time to time after the effective date of this Registration Statement.</w:t>
      </w:r>
    </w:p>
    <w:p>
      <w:pPr>
        <w:ind w:left="2980"/>
        <w:spacing w:after="0" w:line="237" w:lineRule="auto"/>
        <w:rPr>
          <w:sz w:val="20"/>
          <w:szCs w:val="20"/>
          <w:color w:val="auto"/>
        </w:rPr>
      </w:pPr>
      <w:r>
        <w:rPr>
          <w:rFonts w:ascii="Courier New" w:cs="Courier New" w:eastAsia="Courier New" w:hAnsi="Courier New"/>
          <w:sz w:val="17"/>
          <w:szCs w:val="17"/>
          <w:color w:val="auto"/>
        </w:rPr>
        <w:t>__________________</w:t>
      </w:r>
    </w:p>
    <w:p>
      <w:pPr>
        <w:spacing w:after="0" w:line="5" w:lineRule="exact"/>
        <w:rPr>
          <w:sz w:val="24"/>
          <w:szCs w:val="24"/>
          <w:color w:val="auto"/>
        </w:rPr>
      </w:pPr>
    </w:p>
    <w:p>
      <w:pPr>
        <w:ind w:right="2780" w:firstLine="199"/>
        <w:spacing w:after="0" w:line="236"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[_]</w:t>
      </w:r>
    </w:p>
    <w:p>
      <w:pPr>
        <w:spacing w:after="0" w:line="197" w:lineRule="exact"/>
        <w:rPr>
          <w:sz w:val="24"/>
          <w:szCs w:val="24"/>
          <w:color w:val="auto"/>
        </w:rPr>
      </w:pPr>
    </w:p>
    <w:p>
      <w:pPr>
        <w:ind w:right="2680" w:firstLine="199"/>
        <w:spacing w:after="0" w:line="236"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9" w:lineRule="exact"/>
        <w:rPr>
          <w:sz w:val="24"/>
          <w:szCs w:val="24"/>
          <w:color w:val="auto"/>
        </w:rPr>
      </w:pPr>
    </w:p>
    <w:p>
      <w:pPr>
        <w:ind w:right="2680" w:firstLine="199"/>
        <w:spacing w:after="0" w:line="236"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99" w:lineRule="exact"/>
        <w:rPr>
          <w:sz w:val="24"/>
          <w:szCs w:val="24"/>
          <w:color w:val="auto"/>
        </w:rPr>
      </w:pPr>
    </w:p>
    <w:p>
      <w:pPr>
        <w:ind w:right="2680" w:firstLine="199"/>
        <w:spacing w:after="0" w:line="236"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99" w:lineRule="exact"/>
        <w:rPr>
          <w:sz w:val="24"/>
          <w:szCs w:val="24"/>
          <w:color w:val="auto"/>
        </w:rPr>
      </w:pPr>
    </w:p>
    <w:p>
      <w:pPr>
        <w:ind w:right="3080" w:firstLine="199"/>
        <w:spacing w:after="0" w:line="235"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[_]</w:t>
      </w:r>
    </w:p>
    <w:p>
      <w:pPr>
        <w:ind w:left="2980"/>
        <w:spacing w:after="0" w:line="238" w:lineRule="auto"/>
        <w:rPr>
          <w:sz w:val="20"/>
          <w:szCs w:val="20"/>
          <w:color w:val="auto"/>
        </w:rPr>
      </w:pPr>
      <w:r>
        <w:rPr>
          <w:rFonts w:ascii="Courier New" w:cs="Courier New" w:eastAsia="Courier New" w:hAnsi="Courier New"/>
          <w:sz w:val="17"/>
          <w:szCs w:val="17"/>
          <w:color w:val="auto"/>
        </w:rPr>
        <w:t>__________________</w:t>
      </w:r>
    </w:p>
    <w:p>
      <w:pPr>
        <w:ind w:left="2380"/>
        <w:spacing w:after="0"/>
        <w:rPr>
          <w:sz w:val="20"/>
          <w:szCs w:val="20"/>
          <w:color w:val="auto"/>
        </w:rPr>
      </w:pPr>
      <w:r>
        <w:rPr>
          <w:rFonts w:ascii="Courier New" w:cs="Courier New" w:eastAsia="Courier New" w:hAnsi="Courier New"/>
          <w:sz w:val="17"/>
          <w:szCs w:val="17"/>
          <w:color w:val="auto"/>
        </w:rPr>
        <w:t>CALCULATION OF REGISTRATION FEE</w:t>
      </w: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640" w:type="dxa"/>
            <w:vAlign w:val="bottom"/>
          </w:tcPr>
          <w:p>
            <w:pPr>
              <w:spacing w:after="0"/>
              <w:rPr>
                <w:sz w:val="20"/>
                <w:szCs w:val="20"/>
                <w:color w:val="auto"/>
              </w:rPr>
            </w:pPr>
            <w:r>
              <w:rPr>
                <w:rFonts w:ascii="Courier New" w:cs="Courier New" w:eastAsia="Courier New" w:hAnsi="Courier New"/>
                <w:sz w:val="17"/>
                <w:szCs w:val="17"/>
                <w:color w:val="auto"/>
              </w:rPr>
              <w:t>TITLE OF EACH CLASS OF</w:t>
            </w:r>
          </w:p>
        </w:tc>
        <w:tc>
          <w:tcPr>
            <w:tcW w:w="18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8"/>
              </w:rPr>
              <w:t>AMOUNT TO BE</w:t>
            </w:r>
          </w:p>
        </w:tc>
        <w:tc>
          <w:tcPr>
            <w:tcW w:w="2140" w:type="dxa"/>
            <w:vAlign w:val="bottom"/>
          </w:tcPr>
          <w:p>
            <w:pPr>
              <w:jc w:val="center"/>
              <w:spacing w:after="0"/>
              <w:rPr>
                <w:sz w:val="20"/>
                <w:szCs w:val="20"/>
                <w:color w:val="auto"/>
              </w:rPr>
            </w:pPr>
            <w:r>
              <w:rPr>
                <w:rFonts w:ascii="Courier New" w:cs="Courier New" w:eastAsia="Courier New" w:hAnsi="Courier New"/>
                <w:sz w:val="17"/>
                <w:szCs w:val="17"/>
                <w:color w:val="auto"/>
                <w:w w:val="96"/>
              </w:rPr>
              <w:t>PROPOSED MAXIMUM</w:t>
            </w:r>
          </w:p>
        </w:tc>
        <w:tc>
          <w:tcPr>
            <w:tcW w:w="2140" w:type="dxa"/>
            <w:vAlign w:val="bottom"/>
          </w:tcPr>
          <w:p>
            <w:pPr>
              <w:jc w:val="center"/>
              <w:spacing w:after="0"/>
              <w:rPr>
                <w:sz w:val="20"/>
                <w:szCs w:val="20"/>
                <w:color w:val="auto"/>
              </w:rPr>
            </w:pPr>
            <w:r>
              <w:rPr>
                <w:rFonts w:ascii="Courier New" w:cs="Courier New" w:eastAsia="Courier New" w:hAnsi="Courier New"/>
                <w:sz w:val="17"/>
                <w:szCs w:val="17"/>
                <w:color w:val="auto"/>
                <w:w w:val="98"/>
              </w:rPr>
              <w:t>PROPOSED MAXIMUM</w:t>
            </w:r>
          </w:p>
        </w:tc>
        <w:tc>
          <w:tcPr>
            <w:tcW w:w="1380" w:type="dxa"/>
            <w:vAlign w:val="bottom"/>
          </w:tcPr>
          <w:p>
            <w:pPr>
              <w:jc w:val="center"/>
              <w:ind w:left="17"/>
              <w:spacing w:after="0"/>
              <w:rPr>
                <w:sz w:val="20"/>
                <w:szCs w:val="20"/>
                <w:color w:val="auto"/>
              </w:rPr>
            </w:pPr>
            <w:r>
              <w:rPr>
                <w:rFonts w:ascii="Courier New" w:cs="Courier New" w:eastAsia="Courier New" w:hAnsi="Courier New"/>
                <w:sz w:val="17"/>
                <w:szCs w:val="17"/>
                <w:color w:val="auto"/>
                <w:w w:val="95"/>
              </w:rPr>
              <w:t>AMOUNT OF</w:t>
            </w:r>
          </w:p>
        </w:tc>
      </w:tr>
      <w:tr>
        <w:trPr>
          <w:trHeight w:val="191"/>
        </w:trPr>
        <w:tc>
          <w:tcPr>
            <w:tcW w:w="2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SECURITIES</w:t>
            </w:r>
          </w:p>
        </w:tc>
        <w:tc>
          <w:tcPr>
            <w:tcW w:w="1840" w:type="dxa"/>
            <w:vAlign w:val="bottom"/>
          </w:tcPr>
          <w:p>
            <w:pPr>
              <w:jc w:val="center"/>
              <w:ind w:left="157"/>
              <w:spacing w:after="0" w:line="191" w:lineRule="exact"/>
              <w:rPr>
                <w:sz w:val="20"/>
                <w:szCs w:val="20"/>
                <w:color w:val="auto"/>
              </w:rPr>
            </w:pPr>
            <w:r>
              <w:rPr>
                <w:rFonts w:ascii="Courier New" w:cs="Courier New" w:eastAsia="Courier New" w:hAnsi="Courier New"/>
                <w:sz w:val="17"/>
                <w:szCs w:val="17"/>
                <w:color w:val="auto"/>
                <w:w w:val="97"/>
              </w:rPr>
              <w:t>REGISTERED</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6"/>
              </w:rPr>
              <w:t>OFFERING PRICE PER</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AGGREGATE OFFERING</w:t>
            </w:r>
          </w:p>
        </w:tc>
        <w:tc>
          <w:tcPr>
            <w:tcW w:w="13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4"/>
              </w:rPr>
              <w:t>REGISTRATION</w:t>
            </w: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TO BE REGISTERED</w:t>
            </w:r>
          </w:p>
        </w:tc>
        <w:tc>
          <w:tcPr>
            <w:tcW w:w="1840" w:type="dxa"/>
            <w:vAlign w:val="bottom"/>
          </w:tcPr>
          <w:p>
            <w:pPr>
              <w:spacing w:after="0"/>
              <w:rPr>
                <w:sz w:val="16"/>
                <w:szCs w:val="16"/>
                <w:color w:val="auto"/>
              </w:rPr>
            </w:pP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5"/>
              </w:rPr>
              <w:t>SHARE(1)</w:t>
            </w:r>
          </w:p>
        </w:tc>
        <w:tc>
          <w:tcPr>
            <w:tcW w:w="2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PRICE(1)</w:t>
            </w:r>
          </w:p>
        </w:tc>
        <w:tc>
          <w:tcPr>
            <w:tcW w:w="13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1"/>
              </w:rPr>
              <w:t>FEE</w:t>
            </w:r>
          </w:p>
        </w:tc>
      </w:tr>
    </w:tbl>
    <w:p>
      <w:pPr>
        <w:spacing w:after="0" w:line="5"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Common Stock, $0.10 par</w:t>
      </w:r>
    </w:p>
    <w:p>
      <w:pPr>
        <w:sectPr>
          <w:pgSz w:w="11900" w:h="16886" w:orient="portrait"/>
          <w:cols w:equalWidth="0" w:num="1">
            <w:col w:w="10640"/>
          </w:cols>
          <w:pgMar w:left="240" w:top="626" w:right="101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193"/>
        </w:trPr>
        <w:tc>
          <w:tcPr>
            <w:tcW w:w="2880" w:type="dxa"/>
            <w:vAlign w:val="bottom"/>
          </w:tcPr>
          <w:p>
            <w:pPr>
              <w:spacing w:after="0"/>
              <w:rPr>
                <w:sz w:val="20"/>
                <w:szCs w:val="20"/>
                <w:color w:val="auto"/>
              </w:rPr>
            </w:pPr>
            <w:r>
              <w:rPr>
                <w:rFonts w:ascii="Courier New" w:cs="Courier New" w:eastAsia="Courier New" w:hAnsi="Courier New"/>
                <w:sz w:val="17"/>
                <w:szCs w:val="17"/>
                <w:color w:val="auto"/>
              </w:rPr>
              <w:t>value per share............</w:t>
            </w:r>
          </w:p>
        </w:tc>
        <w:tc>
          <w:tcPr>
            <w:tcW w:w="190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7,600,000</w:t>
            </w:r>
          </w:p>
        </w:tc>
        <w:tc>
          <w:tcPr>
            <w:tcW w:w="19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$23.15625</w:t>
            </w:r>
          </w:p>
        </w:tc>
        <w:tc>
          <w:tcPr>
            <w:tcW w:w="2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$175,987,500.00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$51,916</w:t>
            </w:r>
          </w:p>
        </w:tc>
      </w:tr>
      <w:tr>
        <w:trPr>
          <w:trHeight w:val="191"/>
        </w:trPr>
        <w:tc>
          <w:tcPr>
            <w:tcW w:w="2880" w:type="dxa"/>
            <w:vAlign w:val="bottom"/>
          </w:tcPr>
          <w:p>
            <w:pPr>
              <w:spacing w:after="0"/>
              <w:rPr>
                <w:sz w:val="16"/>
                <w:szCs w:val="16"/>
                <w:color w:val="auto"/>
              </w:rPr>
            </w:pPr>
          </w:p>
        </w:tc>
        <w:tc>
          <w:tcPr>
            <w:tcW w:w="190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shares</w:t>
            </w:r>
          </w:p>
        </w:tc>
        <w:tc>
          <w:tcPr>
            <w:tcW w:w="19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jc w:val="both"/>
        <w:ind w:left="400" w:right="2480" w:hanging="398"/>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computing the amount of the registration fee, based on the average of the high and low prices for the Common Stock as reported on the New York Stock Exchange on June 22, 1998, in accordance with Rule 457 (c) promulgated under the Securities Act of 1933, as amended.</w:t>
      </w:r>
    </w:p>
    <w:p>
      <w:pPr>
        <w:spacing w:after="0" w:line="17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REGISTRANT HEREBY AMENDS THIS REGISTRATION STATEMENT ON SUCH DATE OR</w:t>
      </w:r>
    </w:p>
    <w:p>
      <w:pPr>
        <w:spacing w:after="0" w:line="238" w:lineRule="auto"/>
        <w:rPr>
          <w:sz w:val="20"/>
          <w:szCs w:val="20"/>
          <w:color w:val="auto"/>
        </w:rPr>
      </w:pPr>
      <w:r>
        <w:rPr>
          <w:rFonts w:ascii="Courier New" w:cs="Courier New" w:eastAsia="Courier New" w:hAnsi="Courier New"/>
          <w:sz w:val="17"/>
          <w:szCs w:val="17"/>
          <w:color w:val="auto"/>
        </w:rPr>
        <w:t>DATES AS MAY BE NECESSARY TO DELAY ITS EFFECTIVE DATE UNTIL THE REGISTRANT SHALL</w:t>
      </w:r>
    </w:p>
    <w:p>
      <w:pPr>
        <w:spacing w:after="0" w:line="238" w:lineRule="auto"/>
        <w:rPr>
          <w:sz w:val="20"/>
          <w:szCs w:val="20"/>
          <w:color w:val="auto"/>
        </w:rPr>
      </w:pPr>
      <w:r>
        <w:rPr>
          <w:rFonts w:ascii="Courier New" w:cs="Courier New" w:eastAsia="Courier New" w:hAnsi="Courier New"/>
          <w:sz w:val="17"/>
          <w:szCs w:val="17"/>
          <w:color w:val="auto"/>
        </w:rPr>
        <w:t>FILE A FURTHER AMENDMENT WHICH SPECIFICALLY STATES THAT THIS REGISTRATION</w:t>
      </w:r>
    </w:p>
    <w:p>
      <w:pPr>
        <w:spacing w:after="0"/>
        <w:rPr>
          <w:sz w:val="20"/>
          <w:szCs w:val="20"/>
          <w:color w:val="auto"/>
        </w:rPr>
      </w:pPr>
      <w:r>
        <w:rPr>
          <w:rFonts w:ascii="Courier New" w:cs="Courier New" w:eastAsia="Courier New" w:hAnsi="Courier New"/>
          <w:sz w:val="17"/>
          <w:szCs w:val="17"/>
          <w:color w:val="auto"/>
        </w:rPr>
        <w:t>STATEMENT SHALL THEREAFTER BECOME EFFECTIVE IN ACCORDANCE WITH SECTION 8(a) OF</w:t>
      </w:r>
    </w:p>
    <w:p>
      <w:pPr>
        <w:spacing w:after="0" w:line="237" w:lineRule="auto"/>
        <w:rPr>
          <w:sz w:val="20"/>
          <w:szCs w:val="20"/>
          <w:color w:val="auto"/>
        </w:rPr>
      </w:pPr>
      <w:r>
        <w:rPr>
          <w:rFonts w:ascii="Courier New" w:cs="Courier New" w:eastAsia="Courier New" w:hAnsi="Courier New"/>
          <w:sz w:val="17"/>
          <w:szCs w:val="17"/>
          <w:color w:val="auto"/>
        </w:rPr>
        <w:t>THE SECURITIES ACT OF 1933, AS AMENDED, OR UNTIL THE REGISTRATION STATEMENT</w:t>
      </w:r>
    </w:p>
    <w:p>
      <w:pPr>
        <w:spacing w:after="0" w:line="238" w:lineRule="auto"/>
        <w:rPr>
          <w:sz w:val="20"/>
          <w:szCs w:val="20"/>
          <w:color w:val="auto"/>
        </w:rPr>
      </w:pPr>
      <w:r>
        <w:rPr>
          <w:rFonts w:ascii="Courier New" w:cs="Courier New" w:eastAsia="Courier New" w:hAnsi="Courier New"/>
          <w:sz w:val="17"/>
          <w:szCs w:val="17"/>
          <w:color w:val="auto"/>
        </w:rPr>
        <w:t>SHALL BECOME EFFECTIVE ON SUCH DATE AS THE COMMISSION, ACTING PURSUANT TO SAID</w:t>
      </w:r>
    </w:p>
    <w:p>
      <w:pPr>
        <w:spacing w:after="0"/>
        <w:rPr>
          <w:sz w:val="20"/>
          <w:szCs w:val="20"/>
          <w:color w:val="auto"/>
        </w:rPr>
      </w:pPr>
      <w:r>
        <w:rPr>
          <w:rFonts w:ascii="Courier New" w:cs="Courier New" w:eastAsia="Courier New" w:hAnsi="Courier New"/>
          <w:sz w:val="17"/>
          <w:szCs w:val="17"/>
          <w:color w:val="auto"/>
        </w:rPr>
        <w:t>SECTION 8(a), MAY DETERMINE.</w:t>
      </w:r>
    </w:p>
    <w:p>
      <w:pPr>
        <w:spacing w:after="0" w:line="237"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440"/>
          </w:cols>
          <w:pgMar w:left="240" w:top="135" w:right="1219" w:bottom="1440" w:gutter="0" w:footer="0" w:header="0"/>
        </w:sectPr>
      </w:pPr>
    </w:p>
    <w:bookmarkStart w:id="2" w:name="page3"/>
    <w:bookmarkEnd w:id="2"/>
    <w:p>
      <w:pPr>
        <w:ind w:right="2359"/>
        <w:spacing w:after="0" w:line="254"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80"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SUBJECT TO COMPLETION, DATED JUNE 29, 1998</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7,600,000 SHARES</w:t>
      </w:r>
    </w:p>
    <w:p>
      <w:pPr>
        <w:ind w:left="2780"/>
        <w:spacing w:after="0" w:line="238" w:lineRule="auto"/>
        <w:rPr>
          <w:sz w:val="20"/>
          <w:szCs w:val="20"/>
          <w:color w:val="auto"/>
        </w:rPr>
      </w:pPr>
      <w:r>
        <w:rPr>
          <w:rFonts w:ascii="Courier New" w:cs="Courier New" w:eastAsia="Courier New" w:hAnsi="Courier New"/>
          <w:sz w:val="17"/>
          <w:szCs w:val="17"/>
          <w:color w:val="auto"/>
        </w:rPr>
        <w:t>MICRON TECHNOLOGY, INC.</w:t>
      </w:r>
    </w:p>
    <w:p>
      <w:pPr>
        <w:ind w:left="3280"/>
        <w:spacing w:after="0" w:line="238" w:lineRule="auto"/>
        <w:rPr>
          <w:sz w:val="20"/>
          <w:szCs w:val="20"/>
          <w:color w:val="auto"/>
        </w:rPr>
      </w:pPr>
      <w:r>
        <w:rPr>
          <w:rFonts w:ascii="Courier New" w:cs="Courier New" w:eastAsia="Courier New" w:hAnsi="Courier New"/>
          <w:sz w:val="17"/>
          <w:szCs w:val="17"/>
          <w:color w:val="auto"/>
        </w:rPr>
        <w:t>COMMON STOCK</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of the 7,600,000 shares of Common Stock (the "Shares") of Micron Technology, Inc. ("Micron" or the "Company") offered hereby are being offered for sale from time to time by one of the Company's stockholders (the "Selling Stockholder"). See "Selling Stockholder." The Company has been advised that the Selling Stockholder expects to deliver the shares to close out short positions entered into in the course of hedging transactions. See "Plan of Distribution." The Company will not receive any of the proceeds from the sales of shares by the Selling Stockholder.</w:t>
      </w:r>
    </w:p>
    <w:p>
      <w:pPr>
        <w:spacing w:after="0" w:line="193"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__________________</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SEE "RISK FACTORS" COMMENCING ON PAGE 3 FOR A DISCUSSION OF CERTAIN FACTORS THAT SHOULD BE CONSIDERED BY PROSPECTIVE PURCHASERS OF THE COMMON STOCK OFFERED HEREBY.</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__________________</w:t>
      </w:r>
    </w:p>
    <w:p>
      <w:pPr>
        <w:spacing w:after="0" w:line="1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THE SELLING STOCKHOLDER WILL BEAR ALL DISCOUNTS AND COMMISSIONS PAID TO BROKERS,</w:t>
      </w:r>
    </w:p>
    <w:p>
      <w:pPr>
        <w:spacing w:after="0" w:line="10" w:lineRule="exact"/>
        <w:rPr>
          <w:sz w:val="20"/>
          <w:szCs w:val="20"/>
          <w:color w:val="auto"/>
        </w:rPr>
      </w:pPr>
    </w:p>
    <w:p>
      <w:pPr>
        <w:jc w:val="center"/>
        <w:ind w:right="2259"/>
        <w:spacing w:after="0" w:line="236" w:lineRule="auto"/>
        <w:rPr>
          <w:sz w:val="20"/>
          <w:szCs w:val="20"/>
          <w:color w:val="auto"/>
        </w:rPr>
      </w:pPr>
      <w:r>
        <w:rPr>
          <w:rFonts w:ascii="Courier New" w:cs="Courier New" w:eastAsia="Courier New" w:hAnsi="Courier New"/>
          <w:sz w:val="17"/>
          <w:szCs w:val="17"/>
          <w:color w:val="auto"/>
        </w:rPr>
        <w:t>DEALERS OR AGENTS IN CONNECTION WITH THE SALE OF THE SHARES AND THE FEES AND EXPENSES OF ANY COUNSEL AND OTHER ADVISERS THAT THE SELLING STOCKHOLDER MAY EMPLOY TO REPRESENT IT IN THIS OFFERING.</w:t>
      </w:r>
    </w:p>
    <w:p>
      <w:pPr>
        <w:spacing w:after="0" w:line="190"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__________________</w:t>
      </w:r>
    </w:p>
    <w:p>
      <w:pPr>
        <w:spacing w:after="0" w:line="196" w:lineRule="exact"/>
        <w:rPr>
          <w:sz w:val="20"/>
          <w:szCs w:val="20"/>
          <w:color w:val="auto"/>
        </w:rPr>
      </w:pPr>
    </w:p>
    <w:p>
      <w:pPr>
        <w:jc w:val="center"/>
        <w:ind w:right="2359"/>
        <w:spacing w:after="0" w:line="236" w:lineRule="auto"/>
        <w:rPr>
          <w:sz w:val="20"/>
          <w:szCs w:val="20"/>
          <w:color w:val="auto"/>
        </w:rPr>
      </w:pPr>
      <w:r>
        <w:rPr>
          <w:rFonts w:ascii="Courier New" w:cs="Courier New" w:eastAsia="Courier New" w:hAnsi="Courier New"/>
          <w:sz w:val="17"/>
          <w:szCs w:val="17"/>
          <w:color w:val="auto"/>
        </w:rPr>
        <w:t>THE COMMON STOCK IS QUOTED ON THE NEW YORK STOCK EXCHANGE UNDER THE TRADING SYMBOL "MU." ON JUNE __, 1998, THE LAST SALE PRICE OF THE COMMON STOCK AS REPORTED BY THE NEW YORK STOCK EXCHANGE</w:t>
      </w:r>
    </w:p>
    <w:p>
      <w:pPr>
        <w:ind w:left="2000"/>
        <w:spacing w:after="0"/>
        <w:rPr>
          <w:sz w:val="20"/>
          <w:szCs w:val="20"/>
          <w:color w:val="auto"/>
        </w:rPr>
      </w:pPr>
      <w:r>
        <w:rPr>
          <w:rFonts w:ascii="Courier New" w:cs="Courier New" w:eastAsia="Courier New" w:hAnsi="Courier New"/>
          <w:sz w:val="17"/>
          <w:szCs w:val="17"/>
          <w:color w:val="auto"/>
        </w:rPr>
        <w:t>TRANSACTIONS TAPE WAS $____ PER SHARE.</w:t>
      </w:r>
    </w:p>
    <w:p>
      <w:pPr>
        <w:spacing w:after="0" w:line="189"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__________________</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THESE SECURITIES HAVE NOT BEEN APPROVED OR DISAPPROVED BY THE SECURITIES AND</w:t>
      </w:r>
    </w:p>
    <w:p>
      <w:pPr>
        <w:ind w:left="600"/>
        <w:spacing w:after="0" w:line="238" w:lineRule="auto"/>
        <w:rPr>
          <w:sz w:val="20"/>
          <w:szCs w:val="20"/>
          <w:color w:val="auto"/>
        </w:rPr>
      </w:pPr>
      <w:r>
        <w:rPr>
          <w:rFonts w:ascii="Courier New" w:cs="Courier New" w:eastAsia="Courier New" w:hAnsi="Courier New"/>
          <w:sz w:val="17"/>
          <w:szCs w:val="17"/>
          <w:color w:val="auto"/>
        </w:rPr>
        <w:t>EXCHANGE COMMISSION OR ANY STATE SECURITIES COMMISSION NOR HAS THE</w:t>
      </w:r>
    </w:p>
    <w:p>
      <w:pPr>
        <w:ind w:left="1000"/>
        <w:spacing w:after="0" w:line="238" w:lineRule="auto"/>
        <w:rPr>
          <w:sz w:val="20"/>
          <w:szCs w:val="20"/>
          <w:color w:val="auto"/>
        </w:rPr>
      </w:pPr>
      <w:r>
        <w:rPr>
          <w:rFonts w:ascii="Courier New" w:cs="Courier New" w:eastAsia="Courier New" w:hAnsi="Courier New"/>
          <w:sz w:val="17"/>
          <w:szCs w:val="17"/>
          <w:color w:val="auto"/>
        </w:rPr>
        <w:t>SECURITIES AND EXCHANGE COMMISSION OR ANY STATE SECURITIES</w:t>
      </w:r>
    </w:p>
    <w:p>
      <w:pPr>
        <w:ind w:left="1400"/>
        <w:spacing w:after="0"/>
        <w:rPr>
          <w:sz w:val="20"/>
          <w:szCs w:val="20"/>
          <w:color w:val="auto"/>
        </w:rPr>
      </w:pPr>
      <w:r>
        <w:rPr>
          <w:rFonts w:ascii="Courier New" w:cs="Courier New" w:eastAsia="Courier New" w:hAnsi="Courier New"/>
          <w:sz w:val="17"/>
          <w:szCs w:val="17"/>
          <w:color w:val="auto"/>
        </w:rPr>
        <w:t>COMMISSION PASSED UPON THE ACCURACY OR ADEQUACY OF</w:t>
      </w:r>
    </w:p>
    <w:p>
      <w:pPr>
        <w:ind w:left="1800"/>
        <w:spacing w:after="0" w:line="237" w:lineRule="auto"/>
        <w:rPr>
          <w:sz w:val="20"/>
          <w:szCs w:val="20"/>
          <w:color w:val="auto"/>
        </w:rPr>
      </w:pPr>
      <w:r>
        <w:rPr>
          <w:rFonts w:ascii="Courier New" w:cs="Courier New" w:eastAsia="Courier New" w:hAnsi="Courier New"/>
          <w:sz w:val="17"/>
          <w:szCs w:val="17"/>
          <w:color w:val="auto"/>
        </w:rPr>
        <w:t>THIS PROSPECTUS. ANY REPRESENTATION TO THE</w:t>
      </w:r>
    </w:p>
    <w:p>
      <w:pPr>
        <w:ind w:left="2380"/>
        <w:spacing w:after="0" w:line="238" w:lineRule="auto"/>
        <w:rPr>
          <w:sz w:val="20"/>
          <w:szCs w:val="20"/>
          <w:color w:val="auto"/>
        </w:rPr>
      </w:pPr>
      <w:r>
        <w:rPr>
          <w:rFonts w:ascii="Courier New" w:cs="Courier New" w:eastAsia="Courier New" w:hAnsi="Courier New"/>
          <w:sz w:val="17"/>
          <w:szCs w:val="17"/>
          <w:color w:val="auto"/>
        </w:rPr>
        <w:t>CONTRARY IS A CRIMINAL OFFENSE.</w:t>
      </w:r>
    </w:p>
    <w:p>
      <w:pPr>
        <w:spacing w:after="0" w:line="382"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_____ __, 1998</w:t>
      </w:r>
    </w:p>
    <w:p>
      <w:pPr>
        <w:sectPr>
          <w:pgSz w:w="11900" w:h="16838" w:orient="portrait"/>
          <w:cols w:equalWidth="0" w:num="1">
            <w:col w:w="10219"/>
          </w:cols>
          <w:pgMar w:left="240" w:top="690" w:right="1440" w:bottom="1440" w:gutter="0" w:footer="0" w:header="0"/>
        </w:sectPr>
      </w:pPr>
    </w:p>
    <w:bookmarkStart w:id="3" w:name="page4"/>
    <w:bookmarkEnd w:id="3"/>
    <w:p>
      <w:pPr>
        <w:ind w:left="2880"/>
        <w:spacing w:after="0"/>
        <w:rPr>
          <w:sz w:val="20"/>
          <w:szCs w:val="20"/>
          <w:color w:val="auto"/>
        </w:rPr>
      </w:pPr>
      <w:r>
        <w:rPr>
          <w:rFonts w:ascii="Courier New" w:cs="Courier New" w:eastAsia="Courier New" w:hAnsi="Courier New"/>
          <w:sz w:val="17"/>
          <w:szCs w:val="17"/>
          <w:color w:val="auto"/>
        </w:rPr>
        <w:t>AVAILABLE INFORMATION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Citicorp Center, 500 West Madison Street, Suite 1400, Chicago, Illinois 60661 and 7 World Trade Center, Suite 1300, New York, New York 10048. Copies of such material can be obtained from the Public Reference Section of the Commission, 450 Fifth Street, NW, Washington, D.C. 20549, at prescribed rates. The Common Stock is listed on the New York Stock Exchange. Reports, proxy statements and other information concerning the Company may be inspected at the offices of the New York Stock Exchange, Inc., 20 Broad Street, New York, New York 10005. The Commission maintains a World Wide Web site that contains reports, proxy statements and information statements and other information regarding registrants that file electronically with the Commission. The address of the World Wide Web site is http://www.sec.gov.</w:t>
      </w:r>
    </w:p>
    <w:p>
      <w:pPr>
        <w:spacing w:after="0" w:line="19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has filed with the Commission a registration statement on Form S-3 (herein, together with all amendments and exhibits, referred to as the "Registration Statement") under the Securities Act of 1933, as amended (the "Securities Act"), with respect to the Shares. This Prospectus which constitutes part of the Registration Statement does not contain all of the information set forth in the Registration Statement, certain parts of which are omitted in accordance with the rules and regulations of the Commission. For further information, reference is made to the Registration Statement. Statements contained in this Prospectus as to the contents of any contract or other document are not necessarily complete, and in each instance, reference is made to the copy of such contract or document filed as an exhibit to the Registration Statement, each such statement being qualified in all respects by such reference. For further information with respect to the Company, reference is made to the Registration Statement.</w:t>
      </w:r>
    </w:p>
    <w:p>
      <w:pPr>
        <w:spacing w:after="0" w:line="391"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6" w:lineRule="exact"/>
        <w:rPr>
          <w:sz w:val="20"/>
          <w:szCs w:val="20"/>
          <w:color w:val="auto"/>
        </w:rPr>
      </w:pPr>
    </w:p>
    <w:p>
      <w:pPr>
        <w:ind w:right="3059" w:firstLine="497"/>
        <w:spacing w:after="0" w:line="235" w:lineRule="auto"/>
        <w:rPr>
          <w:sz w:val="20"/>
          <w:szCs w:val="20"/>
          <w:color w:val="auto"/>
        </w:rPr>
      </w:pPr>
      <w:r>
        <w:rPr>
          <w:rFonts w:ascii="Courier New" w:cs="Courier New" w:eastAsia="Courier New" w:hAnsi="Courier New"/>
          <w:sz w:val="17"/>
          <w:szCs w:val="17"/>
          <w:color w:val="auto"/>
        </w:rPr>
        <w:t>The following documents have been filed with the Commission and are incorporated herein by reference:</w:t>
      </w:r>
    </w:p>
    <w:p>
      <w:pPr>
        <w:spacing w:after="0" w:line="197" w:lineRule="exact"/>
        <w:rPr>
          <w:sz w:val="20"/>
          <w:szCs w:val="20"/>
          <w:color w:val="auto"/>
        </w:rPr>
      </w:pPr>
    </w:p>
    <w:p>
      <w:pPr>
        <w:ind w:right="2759" w:firstLine="499"/>
        <w:spacing w:after="0" w:line="235" w:lineRule="auto"/>
        <w:tabs>
          <w:tab w:leader="none" w:pos="89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fiscal year ended August 28, 1997;</w:t>
      </w:r>
    </w:p>
    <w:p>
      <w:pPr>
        <w:spacing w:after="0" w:line="196" w:lineRule="exact"/>
        <w:rPr>
          <w:rFonts w:ascii="Courier New" w:cs="Courier New" w:eastAsia="Courier New" w:hAnsi="Courier New"/>
          <w:sz w:val="17"/>
          <w:szCs w:val="17"/>
          <w:color w:val="auto"/>
        </w:rPr>
      </w:pPr>
    </w:p>
    <w:p>
      <w:pPr>
        <w:ind w:right="2659" w:firstLine="499"/>
        <w:spacing w:after="0" w:line="235" w:lineRule="auto"/>
        <w:tabs>
          <w:tab w:leader="none" w:pos="89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fiscal quarters ended November 27, 1997, February 26, 1998; and</w:t>
      </w:r>
    </w:p>
    <w:p>
      <w:pPr>
        <w:spacing w:after="0" w:line="196" w:lineRule="exact"/>
        <w:rPr>
          <w:rFonts w:ascii="Courier New" w:cs="Courier New" w:eastAsia="Courier New" w:hAnsi="Courier New"/>
          <w:sz w:val="17"/>
          <w:szCs w:val="17"/>
          <w:color w:val="auto"/>
        </w:rPr>
      </w:pPr>
    </w:p>
    <w:p>
      <w:pPr>
        <w:ind w:right="3059" w:firstLine="499"/>
        <w:spacing w:after="0" w:line="235" w:lineRule="auto"/>
        <w:tabs>
          <w:tab w:leader="none" w:pos="89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Registration Statement on Form 8-A (No. 1-10658), declared effective by the Commission on November 28, 1990.</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documents filed by the Company pursuant to Sections 13(a), 13(c), 14 or 15(d) of the Exchange Act after the date of this Registration Statement of which this Prospectus forms a part and prior to the termination of the offering of the Securities offered hereby shall be deemed to be incorporated by reference into this Prospectus and to be a part of this Prospectus from the date of filing thereof.</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4" w:name="page5"/>
    <w:bookmarkEnd w:id="4"/>
    <w:p>
      <w:pPr>
        <w:jc w:val="both"/>
        <w:ind w:right="2559"/>
        <w:spacing w:after="0" w:line="236" w:lineRule="auto"/>
        <w:rPr>
          <w:sz w:val="20"/>
          <w:szCs w:val="20"/>
          <w:color w:val="auto"/>
        </w:rPr>
      </w:pPr>
      <w:r>
        <w:rPr>
          <w:rFonts w:ascii="Courier New" w:cs="Courier New" w:eastAsia="Courier New" w:hAnsi="Courier New"/>
          <w:sz w:val="17"/>
          <w:szCs w:val="17"/>
          <w:color w:val="auto"/>
        </w:rPr>
        <w:t>statement. Any such statement so modified or superseded shall not be deemed, except as so modified or superseded, to constitute a part of the Registration Statement or this Prospectus.</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Requests should be directed to Roderic W. Lewis, Vice President of Legal Affairs, General Counsel and Corporate Secretary, Micron Technology, Inc., 8000 South Federal Way, P.O. Box 6, Boise, Idaho 83707-0006, telephone (208) 368-4000.</w:t>
      </w:r>
    </w:p>
    <w:p>
      <w:pPr>
        <w:spacing w:after="0" w:line="38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THE COMPANY</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Micron Technology, Inc. ("Micron" or the "Company") designs, develops, manufactures and markets semiconductor memory products, primarily DRAM, and, through its approximately 64% owned subsidiary, Micron Electronics, Inc., the Company develops, markets, manufactures and supports PC systems. Micron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385"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RISK FACTORS</w:t>
      </w:r>
    </w:p>
    <w:p>
      <w:pPr>
        <w:spacing w:after="0" w:line="388" w:lineRule="exact"/>
        <w:rPr>
          <w:sz w:val="20"/>
          <w:szCs w:val="20"/>
          <w:color w:val="auto"/>
        </w:rPr>
      </w:pPr>
    </w:p>
    <w:p>
      <w:pPr>
        <w:ind w:right="2659" w:firstLine="199"/>
        <w:spacing w:after="0" w:line="236" w:lineRule="auto"/>
        <w:rPr>
          <w:sz w:val="20"/>
          <w:szCs w:val="20"/>
          <w:color w:val="auto"/>
        </w:rPr>
      </w:pPr>
      <w:r>
        <w:rPr>
          <w:rFonts w:ascii="Courier New" w:cs="Courier New" w:eastAsia="Courier New" w:hAnsi="Courier New"/>
          <w:sz w:val="17"/>
          <w:szCs w:val="17"/>
          <w:color w:val="auto"/>
        </w:rPr>
        <w:t>Prior to making an investment decision with respect to the Common Stock offered hereby, prospective investors should carefully consider the specific factors set forth below.</w:t>
      </w:r>
    </w:p>
    <w:p>
      <w:pPr>
        <w:spacing w:after="0" w:line="197" w:lineRule="exact"/>
        <w:rPr>
          <w:sz w:val="20"/>
          <w:szCs w:val="20"/>
          <w:color w:val="auto"/>
        </w:rPr>
      </w:pPr>
    </w:p>
    <w:p>
      <w:pPr>
        <w:ind w:right="2259" w:firstLine="199"/>
        <w:spacing w:after="0" w:line="237" w:lineRule="auto"/>
        <w:rPr>
          <w:sz w:val="20"/>
          <w:szCs w:val="20"/>
          <w:color w:val="auto"/>
        </w:rPr>
      </w:pPr>
      <w:r>
        <w:rPr>
          <w:rFonts w:ascii="Courier New" w:cs="Courier New" w:eastAsia="Courier New" w:hAnsi="Courier New"/>
          <w:sz w:val="17"/>
          <w:szCs w:val="17"/>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subsequent 25% and 26% declines in average selling prices for the first and second quarters of 1998 as compared to the preceding quarters.</w:t>
      </w:r>
    </w:p>
    <w:p>
      <w:pPr>
        <w:spacing w:after="0" w:line="205" w:lineRule="exact"/>
        <w:rPr>
          <w:sz w:val="20"/>
          <w:szCs w:val="20"/>
          <w:color w:val="auto"/>
        </w:rPr>
      </w:pPr>
    </w:p>
    <w:p>
      <w:pPr>
        <w:ind w:right="2259" w:firstLine="199"/>
        <w:spacing w:after="0" w:line="238" w:lineRule="auto"/>
        <w:rPr>
          <w:sz w:val="20"/>
          <w:szCs w:val="20"/>
          <w:color w:val="auto"/>
        </w:rPr>
      </w:pPr>
      <w:r>
        <w:rPr>
          <w:rFonts w:ascii="Courier New" w:cs="Courier New" w:eastAsia="Courier New" w:hAnsi="Courier New"/>
          <w:sz w:val="17"/>
          <w:szCs w:val="17"/>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six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Although worldwide excess capacity exists, certain Asian competitors continue to add capacity for the production of semiconductor memory products. The amount of capacity to be placed into production and future yield improvements by the Company's competitors could dramatically increase worldwide supply of</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semiconductor memory and increase downward pressure on pricing.</w:t>
      </w:r>
    </w:p>
    <w:p>
      <w:pPr>
        <w:spacing w:after="0" w:line="5"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6"/>
          <w:szCs w:val="16"/>
          <w:color w:val="auto"/>
        </w:rPr>
        <w:t>Further, the Company has no firm information with which to determine inventory levels of its competitors, or to determine the likelihood that substantial inventory liquidation may occur and cause further downward pressure on pricing.</w:t>
      </w:r>
    </w:p>
    <w:p>
      <w:pPr>
        <w:spacing w:after="0" w:line="185" w:lineRule="exact"/>
        <w:rPr>
          <w:sz w:val="20"/>
          <w:szCs w:val="20"/>
          <w:color w:val="auto"/>
        </w:rPr>
      </w:pPr>
    </w:p>
    <w:p>
      <w:pPr>
        <w:ind w:right="2259" w:firstLine="199"/>
        <w:spacing w:after="0" w:line="253" w:lineRule="auto"/>
        <w:rPr>
          <w:sz w:val="20"/>
          <w:szCs w:val="20"/>
          <w:color w:val="auto"/>
        </w:rPr>
      </w:pPr>
      <w:r>
        <w:rPr>
          <w:rFonts w:ascii="Courier New" w:cs="Courier New" w:eastAsia="Courier New" w:hAnsi="Courier New"/>
          <w:sz w:val="16"/>
          <w:szCs w:val="16"/>
          <w:color w:val="auto"/>
        </w:rPr>
        <w:t>Worldwide semiconductor pricing is influenced by currency fluctuations. In calendar 1997 the Korean Won, the New Taiwan Dollar and the Japanese Yen were devalued significantly, dropping approximately 100%, 20% and 10%, respectively, compared to the U.S. dollar. The devaluation of these currencies was particularly severe in the fourth quarter of calendar 1997 and contributed to the current South Korean credit crisis. South Korean semiconductor competitors are likely to be particularly affected by the currency devaluations as a result of substantial debt structures denominated in U.S. dollars. The currency devaluations and the credit crisis could have a significant adverse impact on DRAM pricing if the Company's Asian, and particularly Korean, competitors offer products at significantly lower prices in an effort to maximize cash flows to service near-term dollar denominated obligations. While the Company cannot predict the overall impact of the Asian currency devaluations and the Korean credit crisis, its products may be subject to further downward pricing pressure. If average selling prices for semiconductor memory products continue to decline, the Company's results of operations will continue to be adversely affected.</w:t>
      </w:r>
    </w:p>
    <w:p>
      <w:pPr>
        <w:spacing w:after="0" w:line="194" w:lineRule="exact"/>
        <w:rPr>
          <w:sz w:val="20"/>
          <w:szCs w:val="20"/>
          <w:color w:val="auto"/>
        </w:rPr>
      </w:pPr>
    </w:p>
    <w:p>
      <w:pPr>
        <w:ind w:right="2359" w:firstLine="199"/>
        <w:spacing w:after="0" w:line="254" w:lineRule="auto"/>
        <w:rPr>
          <w:sz w:val="20"/>
          <w:szCs w:val="20"/>
          <w:color w:val="auto"/>
        </w:rPr>
      </w:pPr>
      <w:r>
        <w:rPr>
          <w:rFonts w:ascii="Courier New" w:cs="Courier New" w:eastAsia="Courier New" w:hAnsi="Courier New"/>
          <w:sz w:val="16"/>
          <w:szCs w:val="16"/>
          <w:color w:val="auto"/>
        </w:rPr>
        <w:t>If pricing for the Company's semiconductor products remains at current levels for an extended period of time or declines further, the Company may be required to make changes in its operations, including but not limited to, reduction of the amount or changes in timing of its capital expenditures, renegotiation of existing debt agreements, reduction of production and workforce levels, reduction of research and development, or changes in the products produced.</w:t>
      </w:r>
    </w:p>
    <w:p>
      <w:pPr>
        <w:spacing w:after="0" w:line="188" w:lineRule="exact"/>
        <w:rPr>
          <w:sz w:val="20"/>
          <w:szCs w:val="20"/>
          <w:color w:val="auto"/>
        </w:rPr>
      </w:pPr>
    </w:p>
    <w:p>
      <w:pPr>
        <w:ind w:right="2259" w:firstLine="199"/>
        <w:spacing w:after="0" w:line="253" w:lineRule="auto"/>
        <w:rPr>
          <w:sz w:val="20"/>
          <w:szCs w:val="20"/>
          <w:color w:val="auto"/>
        </w:rPr>
      </w:pPr>
      <w:r>
        <w:rPr>
          <w:rFonts w:ascii="Courier New" w:cs="Courier New" w:eastAsia="Courier New" w:hAnsi="Courier New"/>
          <w:sz w:val="16"/>
          <w:szCs w:val="16"/>
          <w:color w:val="auto"/>
        </w:rPr>
        <w:t>Approximately 70% of the Company's sales of semiconductor memory products during the second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94" w:lineRule="exact"/>
        <w:rPr>
          <w:sz w:val="20"/>
          <w:szCs w:val="20"/>
          <w:color w:val="auto"/>
        </w:rPr>
      </w:pPr>
    </w:p>
    <w:p>
      <w:pPr>
        <w:ind w:right="2259" w:firstLine="199"/>
        <w:spacing w:after="0" w:line="237" w:lineRule="auto"/>
        <w:rPr>
          <w:sz w:val="20"/>
          <w:szCs w:val="20"/>
          <w:color w:val="auto"/>
        </w:rPr>
      </w:pPr>
      <w:r>
        <w:rPr>
          <w:rFonts w:ascii="Courier New" w:cs="Courier New" w:eastAsia="Courier New" w:hAnsi="Courier New"/>
          <w:sz w:val="17"/>
          <w:szCs w:val="17"/>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for its PC products, fluctuating market pricing for PCs and semiconductor memory products, MEI's ability to effectively manage inventory levels, the lead time and inventory exposure from shipments of products from OEM suppliers, fluctuating component costs, changes in product mix, inventory obsolescence, the timing of new product introductions by MEI and its competitors, seasonal government purchasing cycles, manufacturing and production constraints, the effects of product reviews and industry awards, seasonal cycles common in the PC industry and critical component availability. Changing circumstances, including but not limited to, changes in the Company's core operations, uses of capital, strategic objectives and market conditions, could result in the Company changing its ownership interest in its subsidiaries.</w:t>
      </w:r>
    </w:p>
    <w:p>
      <w:pPr>
        <w:spacing w:after="0" w:line="20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3" w:right="1440" w:bottom="1440" w:gutter="0" w:footer="0" w:header="0"/>
        </w:sectPr>
      </w:pPr>
    </w:p>
    <w:bookmarkStart w:id="6" w:name="page7"/>
    <w:bookmarkEnd w:id="6"/>
    <w:p>
      <w:pPr>
        <w:ind w:right="2259" w:firstLine="199"/>
        <w:spacing w:after="0" w:line="237" w:lineRule="auto"/>
        <w:rPr>
          <w:sz w:val="20"/>
          <w:szCs w:val="20"/>
          <w:color w:val="auto"/>
        </w:rPr>
      </w:pPr>
      <w:r>
        <w:rPr>
          <w:rFonts w:ascii="Courier New" w:cs="Courier New" w:eastAsia="Courier New" w:hAnsi="Courier New"/>
          <w:sz w:val="17"/>
          <w:szCs w:val="17"/>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207" w:lineRule="exact"/>
        <w:rPr>
          <w:sz w:val="20"/>
          <w:szCs w:val="20"/>
          <w:color w:val="auto"/>
        </w:rPr>
      </w:pPr>
    </w:p>
    <w:p>
      <w:pPr>
        <w:ind w:right="2259" w:firstLine="199"/>
        <w:spacing w:after="0" w:line="237" w:lineRule="auto"/>
        <w:rPr>
          <w:sz w:val="20"/>
          <w:szCs w:val="20"/>
          <w:color w:val="auto"/>
        </w:rPr>
      </w:pPr>
      <w:r>
        <w:rPr>
          <w:rFonts w:ascii="Courier New" w:cs="Courier New" w:eastAsia="Courier New" w:hAnsi="Courier New"/>
          <w:sz w:val="17"/>
          <w:szCs w:val="17"/>
          <w:color w:val="auto"/>
        </w:rPr>
        <w:t>The semiconductor memory industry is characterized by frequent product introductions and enhancements. The Company's transition to SDRAM products reached approximately 59% of DRAM wafer starts at the end of the second quarter of 1998. The Company's transition from the 16 Meg to the 64 Meg SDRAM as its primary memory product is expected to occur in late summer of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201" w:lineRule="exact"/>
        <w:rPr>
          <w:sz w:val="20"/>
          <w:szCs w:val="20"/>
          <w:color w:val="auto"/>
        </w:rPr>
      </w:pPr>
    </w:p>
    <w:p>
      <w:pPr>
        <w:ind w:right="2259" w:firstLine="199"/>
        <w:spacing w:after="0" w:line="238" w:lineRule="auto"/>
        <w:rPr>
          <w:sz w:val="20"/>
          <w:szCs w:val="20"/>
          <w:color w:val="auto"/>
        </w:rPr>
      </w:pPr>
      <w:r>
        <w:rPr>
          <w:rFonts w:ascii="Courier New" w:cs="Courier New" w:eastAsia="Courier New" w:hAnsi="Courier New"/>
          <w:sz w:val="17"/>
          <w:szCs w:val="17"/>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 Company has a $500 million unsecured revolving credit agreement which is available to finance its semiconductor operations. However, the agreement contains certain restrictive covenants, including a minimum fixed charge coverage ratio and a maximum operating losses covenant, which the Company may not be able to meet if semiconductor market conditions continue to deteriorate. In the event that the Company does not comply with the covenants, there can be no assurance that the Company would be able to successfully renegotiate the agreement or obtain a waiver to the covenants of the existing agreement. In either event, the Company may not be able to draw on the credit facility. Cash generated by, and credit lines available to, MEI are not anticipated to be available to finance other MTI operations.</w:t>
      </w:r>
    </w:p>
    <w:p>
      <w:pPr>
        <w:spacing w:after="0" w:line="197" w:lineRule="exact"/>
        <w:rPr>
          <w:sz w:val="20"/>
          <w:szCs w:val="20"/>
          <w:color w:val="auto"/>
        </w:rPr>
      </w:pPr>
    </w:p>
    <w:p>
      <w:pPr>
        <w:ind w:right="2259" w:firstLine="199"/>
        <w:spacing w:after="0" w:line="253" w:lineRule="auto"/>
        <w:rPr>
          <w:sz w:val="20"/>
          <w:szCs w:val="20"/>
          <w:color w:val="auto"/>
        </w:rPr>
      </w:pPr>
      <w:r>
        <w:rPr>
          <w:rFonts w:ascii="Courier New" w:cs="Courier New" w:eastAsia="Courier New" w:hAnsi="Courier New"/>
          <w:sz w:val="16"/>
          <w:szCs w:val="16"/>
          <w:color w:val="auto"/>
        </w:rPr>
        <w:t>Completion of the Company's semiconductor manufacturing facility in Lehi, Utah was suspended in February 1996, as a result of the decline in average selling prices for semiconductor memory products. As of February 26, 1998, the Company had invested approximately $655 million in the Lehi facility. The cost to complete the Lehi facility is estimated to approximate $1.6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w:t>
      </w:r>
    </w:p>
    <w:p>
      <w:pPr>
        <w:spacing w:after="0" w:line="1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of the improved market conditions.</w:t>
      </w:r>
    </w:p>
    <w:p>
      <w:pPr>
        <w:spacing w:after="0" w:line="196" w:lineRule="exact"/>
        <w:rPr>
          <w:sz w:val="20"/>
          <w:szCs w:val="20"/>
          <w:color w:val="auto"/>
        </w:rPr>
      </w:pPr>
    </w:p>
    <w:p>
      <w:pPr>
        <w:ind w:right="2259" w:firstLine="199"/>
        <w:spacing w:after="0" w:line="238" w:lineRule="auto"/>
        <w:rPr>
          <w:sz w:val="20"/>
          <w:szCs w:val="20"/>
          <w:color w:val="auto"/>
        </w:rPr>
      </w:pPr>
      <w:r>
        <w:rPr>
          <w:rFonts w:ascii="Courier New" w:cs="Courier New" w:eastAsia="Courier New" w:hAnsi="Courier New"/>
          <w:sz w:val="17"/>
          <w:szCs w:val="17"/>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97" w:lineRule="exact"/>
        <w:rPr>
          <w:sz w:val="20"/>
          <w:szCs w:val="20"/>
          <w:color w:val="auto"/>
        </w:rPr>
      </w:pPr>
    </w:p>
    <w:p>
      <w:pPr>
        <w:ind w:right="2259" w:firstLine="199"/>
        <w:spacing w:after="0" w:line="237" w:lineRule="auto"/>
        <w:rPr>
          <w:sz w:val="20"/>
          <w:szCs w:val="20"/>
          <w:color w:val="auto"/>
        </w:rPr>
      </w:pPr>
      <w:r>
        <w:rPr>
          <w:rFonts w:ascii="Courier New" w:cs="Courier New" w:eastAsia="Courier New" w:hAnsi="Courier New"/>
          <w:sz w:val="17"/>
          <w:szCs w:val="17"/>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3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USE OF PROCEEDS</w:t>
      </w:r>
    </w:p>
    <w:p>
      <w:pPr>
        <w:spacing w:after="0" w:line="196"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The Company will not receive any of the proceeds from the sale of the Shares by the Selling Stockholder.</w:t>
      </w:r>
    </w:p>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SELLING STOCKHOLDER</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following table sets forth the name of the Selling Stockholder, the number of shares of Common Stock that the Selling Stockholder beneficially owned as of June 26, 1998, the number of shares of Common Stock beneficially owned by the Selling Stockholder that may be offered for sale from time to time by this Prospectus, the number of shares of Common Stock to be beneficially owned by the Selling Stockholder assuming the sale of all the Common Stock offered hereby and the percentage of the outstanding shares of the Company's Common Stock to be beneficially owned by the Selling Stockholder after completion of the offering. Except as indicated, the Selling Stockholder has not held any position or office or had a material relationship with the Company or any of its affiliates within the past three years other than as a result of the ownership of the Company's Common Stock. The Company may amend or supplement this Prospectus from time to time to update the disclosure set forth herein.</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3" w:right="1440" w:bottom="1440" w:gutter="0" w:footer="0" w:header="0"/>
        </w:sectPr>
      </w:pPr>
    </w:p>
    <w:bookmarkStart w:id="8" w:name="page9"/>
    <w:bookmarkEnd w:id="8"/>
    <w:p>
      <w:pPr>
        <w:spacing w:after="0" w:line="389" w:lineRule="exact"/>
        <w:rPr>
          <w:sz w:val="20"/>
          <w:szCs w:val="20"/>
          <w:color w:val="auto"/>
        </w:rPr>
      </w:pPr>
    </w:p>
    <w:p>
      <w:pPr>
        <w:ind w:left="500" w:right="180"/>
        <w:spacing w:after="0" w:line="259" w:lineRule="auto"/>
        <w:rPr>
          <w:sz w:val="20"/>
          <w:szCs w:val="20"/>
          <w:color w:val="auto"/>
        </w:rPr>
      </w:pPr>
      <w:r>
        <w:rPr>
          <w:rFonts w:ascii="Courier New" w:cs="Courier New" w:eastAsia="Courier New" w:hAnsi="Courier New"/>
          <w:sz w:val="16"/>
          <w:szCs w:val="16"/>
          <w:color w:val="auto"/>
        </w:rPr>
        <w:t>Selling Stockholder -------------------</w:t>
      </w:r>
    </w:p>
    <w:p>
      <w:pPr>
        <w:spacing w:after="0" w:line="20" w:lineRule="exact"/>
        <w:rPr>
          <w:sz w:val="20"/>
          <w:szCs w:val="20"/>
          <w:color w:val="auto"/>
        </w:rPr>
      </w:pPr>
      <w:r>
        <w:rPr>
          <w:sz w:val="20"/>
          <w:szCs w:val="20"/>
          <w:color w:val="auto"/>
        </w:rPr>
        <w:br w:type="column"/>
      </w:r>
    </w:p>
    <w:p>
      <w:pPr>
        <w:jc w:val="center"/>
        <w:spacing w:after="0" w:line="236" w:lineRule="auto"/>
        <w:rPr>
          <w:sz w:val="20"/>
          <w:szCs w:val="20"/>
          <w:color w:val="auto"/>
        </w:rPr>
      </w:pPr>
      <w:r>
        <w:rPr>
          <w:rFonts w:ascii="Courier New" w:cs="Courier New" w:eastAsia="Courier New" w:hAnsi="Courier New"/>
          <w:sz w:val="17"/>
          <w:szCs w:val="17"/>
          <w:color w:val="auto"/>
        </w:rPr>
        <w:t>Prior to the Offering --------------------- Shares Owned     Percentage ------------     ----------</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jc w:val="both"/>
        <w:spacing w:after="0" w:line="259" w:lineRule="auto"/>
        <w:rPr>
          <w:sz w:val="20"/>
          <w:szCs w:val="20"/>
          <w:color w:val="auto"/>
        </w:rPr>
      </w:pPr>
      <w:r>
        <w:rPr>
          <w:rFonts w:ascii="Courier New" w:cs="Courier New" w:eastAsia="Courier New" w:hAnsi="Courier New"/>
          <w:sz w:val="16"/>
          <w:szCs w:val="16"/>
          <w:color w:val="auto"/>
        </w:rPr>
        <w:t>Shares Offered --------------</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Following the Offering</w:t>
      </w:r>
    </w:p>
    <w:p>
      <w:pPr>
        <w:ind w:left="200"/>
        <w:spacing w:after="0" w:line="238" w:lineRule="auto"/>
        <w:rPr>
          <w:sz w:val="20"/>
          <w:szCs w:val="20"/>
          <w:color w:val="auto"/>
        </w:rPr>
      </w:pPr>
      <w:r>
        <w:rPr>
          <w:rFonts w:ascii="Courier New" w:cs="Courier New" w:eastAsia="Courier New" w:hAnsi="Courier New"/>
          <w:sz w:val="17"/>
          <w:szCs w:val="17"/>
          <w:color w:val="auto"/>
        </w:rPr>
        <w:t>----------------------</w:t>
      </w:r>
    </w:p>
    <w:p>
      <w:pPr>
        <w:spacing w:after="0"/>
        <w:tabs>
          <w:tab w:leader="none" w:pos="1660" w:val="left"/>
        </w:tabs>
        <w:rPr>
          <w:sz w:val="20"/>
          <w:szCs w:val="20"/>
          <w:color w:val="auto"/>
        </w:rPr>
      </w:pPr>
      <w:r>
        <w:rPr>
          <w:rFonts w:ascii="Courier New" w:cs="Courier New" w:eastAsia="Courier New" w:hAnsi="Courier New"/>
          <w:sz w:val="17"/>
          <w:szCs w:val="17"/>
          <w:color w:val="auto"/>
        </w:rPr>
        <w:t>Shares Owned</w:t>
      </w:r>
      <w:r>
        <w:rPr>
          <w:sz w:val="20"/>
          <w:szCs w:val="20"/>
          <w:color w:val="auto"/>
        </w:rPr>
        <w:tab/>
      </w:r>
      <w:r>
        <w:rPr>
          <w:rFonts w:ascii="Courier New" w:cs="Courier New" w:eastAsia="Courier New" w:hAnsi="Courier New"/>
          <w:sz w:val="16"/>
          <w:szCs w:val="16"/>
          <w:color w:val="auto"/>
        </w:rPr>
        <w:t>Percentage</w:t>
      </w:r>
    </w:p>
    <w:p>
      <w:pPr>
        <w:spacing w:after="0" w:line="6"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ectPr>
          <w:pgSz w:w="11900" w:h="16838" w:orient="portrait"/>
          <w:cols w:equalWidth="0" w:num="4">
            <w:col w:w="2560" w:space="720"/>
            <w:col w:w="2680" w:space="300"/>
            <w:col w:w="1400" w:space="400"/>
            <w:col w:w="2680"/>
          </w:cols>
          <w:pgMar w:left="240" w:top="1066" w:right="919" w:bottom="0" w:gutter="0" w:footer="0" w:header="0"/>
        </w:sectPr>
      </w:pPr>
    </w:p>
    <w:p>
      <w:pPr>
        <w:spacing w:after="0"/>
        <w:rPr>
          <w:sz w:val="20"/>
          <w:szCs w:val="20"/>
          <w:color w:val="auto"/>
        </w:rPr>
      </w:pPr>
      <w:r>
        <w:rPr>
          <w:rFonts w:ascii="Courier New" w:cs="Courier New" w:eastAsia="Courier New" w:hAnsi="Courier New"/>
          <w:sz w:val="16"/>
          <w:szCs w:val="16"/>
          <w:color w:val="auto"/>
        </w:rPr>
        <w:t>Canadian Imperial Bank of</w:t>
      </w:r>
    </w:p>
    <w:p>
      <w:pPr>
        <w:sectPr>
          <w:pgSz w:w="11900" w:h="16838" w:orient="portrait"/>
          <w:cols w:equalWidth="0" w:num="1">
            <w:col w:w="10740"/>
          </w:cols>
          <w:pgMar w:left="240" w:top="1066" w:right="919" w:bottom="0" w:gutter="0" w:footer="0" w:header="0"/>
          <w:type w:val="continuous"/>
        </w:sectPr>
      </w:pP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Commerce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6"/>
          <w:szCs w:val="16"/>
          <w:color w:val="auto"/>
        </w:rPr>
        <w:t>7,600,000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195" w:lineRule="exact"/>
        <w:rPr>
          <w:sz w:val="20"/>
          <w:szCs w:val="20"/>
          <w:color w:val="auto"/>
        </w:rPr>
      </w:pPr>
    </w:p>
    <w:p>
      <w:pPr>
        <w:sectPr>
          <w:pgSz w:w="11900" w:h="16838" w:orient="portrait"/>
          <w:cols w:equalWidth="0" w:num="6">
            <w:col w:w="3060" w:space="720"/>
            <w:col w:w="880" w:space="720"/>
            <w:col w:w="460" w:space="720"/>
            <w:col w:w="1280" w:space="720"/>
            <w:col w:w="960" w:space="720"/>
            <w:col w:w="500"/>
          </w:cols>
          <w:pgMar w:left="240" w:top="1066" w:right="91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__________________</w:t>
      </w:r>
    </w:p>
    <w:p>
      <w:pPr>
        <w:spacing w:after="0" w:line="5" w:lineRule="exact"/>
        <w:rPr>
          <w:sz w:val="20"/>
          <w:szCs w:val="20"/>
          <w:color w:val="auto"/>
        </w:rPr>
      </w:pPr>
    </w:p>
    <w:p>
      <w:pPr>
        <w:ind w:left="500" w:right="2780" w:hanging="498"/>
        <w:spacing w:after="0" w:line="253" w:lineRule="auto"/>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being offered by this Prospectus are beneficially owned by J.R. Simplot &amp; Co. and are to be delivered to Canadian Imperial Bank of Commerce ("CIBC") as collateral for loans from CIBC. Including such Shares, J.R.</w:t>
      </w:r>
    </w:p>
    <w:p>
      <w:pPr>
        <w:ind w:left="500" w:right="2880"/>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Simplot Company beneficially owns an aggregate of 18,699,000 shares of Common Stock, constituting 8.8% of the shares of Common Stock outstanding on June 26, 1998. Mr. Don Simplot, a member of the Micron Board of Directors, may also be deemed to be the beneficial owner of shares beneficially owned by J.R. Simplot Company. He is a shareholder, a director and the Corporate Vice President of J.R. Simplot Company and is a member of its Office of the Chairman.</w:t>
      </w:r>
    </w:p>
    <w:p>
      <w:pPr>
        <w:spacing w:after="0" w:line="199" w:lineRule="exact"/>
        <w:rPr>
          <w:sz w:val="20"/>
          <w:szCs w:val="20"/>
          <w:color w:val="auto"/>
        </w:rPr>
      </w:pPr>
    </w:p>
    <w:p>
      <w:pPr>
        <w:ind w:right="2780" w:firstLine="497"/>
        <w:spacing w:after="0" w:line="254" w:lineRule="auto"/>
        <w:rPr>
          <w:sz w:val="20"/>
          <w:szCs w:val="20"/>
          <w:color w:val="auto"/>
        </w:rPr>
      </w:pPr>
      <w:r>
        <w:rPr>
          <w:rFonts w:ascii="Courier New" w:cs="Courier New" w:eastAsia="Courier New" w:hAnsi="Courier New"/>
          <w:sz w:val="16"/>
          <w:szCs w:val="16"/>
          <w:color w:val="auto"/>
        </w:rPr>
        <w:t>The preceding table has been prepared based upon the information furnished to the Company by the Selling Stockholder named therein. Only a Selling Stockholder identified in the foregoing table who owns the Shares set forth opposite their name may sell such Shares pursuant to this Registration Statement of which this Prospectus forms a part. Information concerning such Selling Stockholder may change from time to time and any such changed information will be set forth in a Prospectus Supplement if and when necessary.</w:t>
      </w:r>
    </w:p>
    <w:p>
      <w:pPr>
        <w:spacing w:after="0" w:line="372"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PLAN OF DISTRIBUTION</w:t>
      </w:r>
    </w:p>
    <w:p>
      <w:pPr>
        <w:spacing w:after="0" w:line="196" w:lineRule="exact"/>
        <w:rPr>
          <w:sz w:val="20"/>
          <w:szCs w:val="20"/>
          <w:color w:val="auto"/>
        </w:rPr>
      </w:pPr>
    </w:p>
    <w:p>
      <w:pPr>
        <w:ind w:right="2780" w:firstLine="497"/>
        <w:spacing w:after="0" w:line="253" w:lineRule="auto"/>
        <w:rPr>
          <w:sz w:val="20"/>
          <w:szCs w:val="20"/>
          <w:color w:val="auto"/>
        </w:rPr>
      </w:pPr>
      <w:r>
        <w:rPr>
          <w:rFonts w:ascii="Courier New" w:cs="Courier New" w:eastAsia="Courier New" w:hAnsi="Courier New"/>
          <w:sz w:val="16"/>
          <w:szCs w:val="16"/>
          <w:color w:val="auto"/>
        </w:rPr>
        <w:t>In June and July 1996, J.R. Simplot Company and an affiliate entered into derivative transactions with Canadian Imperial Bank of Commerce ("CIBC") relating to 7,600,000 of the shares of the Common Stock owned by J.R. Simplot Company and the affiliate. At that time, CIBC hedged its potential obligations pursuant to such transactions by engaging, directly or through its affiliates, in short sales of the Common Stock. Pursuant to a Revolving Loan Agreement and a Pledge Agreement, each dated June ___, 1998, (the "Loan Agreement" and "Pledge Agreement," respectively) CIBC has agreed to make revolving loans to J.R. Simplot Company in the aggregate amount of up to $__________, secured by a</w:t>
      </w:r>
    </w:p>
    <w:p>
      <w:pPr>
        <w:spacing w:after="0" w:line="2" w:lineRule="exact"/>
        <w:rPr>
          <w:sz w:val="20"/>
          <w:szCs w:val="20"/>
          <w:color w:val="auto"/>
        </w:rPr>
      </w:pPr>
    </w:p>
    <w:p>
      <w:pPr>
        <w:ind w:right="2780"/>
        <w:spacing w:after="0" w:line="237" w:lineRule="auto"/>
        <w:rPr>
          <w:sz w:val="20"/>
          <w:szCs w:val="20"/>
          <w:color w:val="auto"/>
        </w:rPr>
      </w:pPr>
      <w:r>
        <w:rPr>
          <w:rFonts w:ascii="Courier New" w:cs="Courier New" w:eastAsia="Courier New" w:hAnsi="Courier New"/>
          <w:sz w:val="17"/>
          <w:szCs w:val="17"/>
          <w:color w:val="auto"/>
        </w:rPr>
        <w:t>pledge by J.R. Simplot Company of certain shares of Common Stock owned by it. Pursuant to the Pledge Agreement, CIBC is authorized to rehypothecate the shares of Common Stock deposited with it as collateral for the revolving loans. The shares of Common Stock so deposited are the Shares being offered by this Prospectus. CIBC intends promptly to deliver all of such 7,600,000 pledged Shares pursuant to this Prospectus to repay stock loans incurred in connection with existing short sale positions of CIBC and its affiliates in the Common Stock. J.R. Simplot Company and CIBC have advised the Company that J.R. Simplot Company will not realize any proceeds from the transfer of the Shares covered by this Prospectus to CIBC or from their application by CIBC to repay existing stock loans.</w:t>
      </w:r>
    </w:p>
    <w:p>
      <w:pPr>
        <w:spacing w:after="0" w:line="203" w:lineRule="exact"/>
        <w:rPr>
          <w:sz w:val="20"/>
          <w:szCs w:val="20"/>
          <w:color w:val="auto"/>
        </w:rPr>
      </w:pPr>
    </w:p>
    <w:p>
      <w:pPr>
        <w:ind w:right="2780" w:firstLine="497"/>
        <w:spacing w:after="0" w:line="254" w:lineRule="auto"/>
        <w:rPr>
          <w:sz w:val="20"/>
          <w:szCs w:val="20"/>
          <w:color w:val="auto"/>
        </w:rPr>
      </w:pPr>
      <w:r>
        <w:rPr>
          <w:rFonts w:ascii="Courier New" w:cs="Courier New" w:eastAsia="Courier New" w:hAnsi="Courier New"/>
          <w:sz w:val="16"/>
          <w:szCs w:val="16"/>
          <w:color w:val="auto"/>
        </w:rPr>
        <w:t>The Shares covered by this Prospectus may be offered and sold from time to time. In effecting the transactions contemplated by this Prospectus, CIBC and J.R. Simplot Company will act independently of the Company and, except with respect to the Loan Agreement and the Pledge Agreement, will act independently of each other. CIBC and J.R. Simplot Company have advised the Company that they will act independently of each other in making decisions with respect to the timing, manner and size of each sale pursuant to this Prospectus.</w:t>
      </w:r>
    </w:p>
    <w:p>
      <w:pPr>
        <w:spacing w:after="0" w:line="187" w:lineRule="exact"/>
        <w:rPr>
          <w:sz w:val="20"/>
          <w:szCs w:val="20"/>
          <w:color w:val="auto"/>
        </w:rPr>
      </w:pPr>
    </w:p>
    <w:p>
      <w:pPr>
        <w:ind w:right="2880" w:firstLine="497"/>
        <w:spacing w:after="0" w:line="237" w:lineRule="auto"/>
        <w:rPr>
          <w:sz w:val="20"/>
          <w:szCs w:val="20"/>
          <w:color w:val="auto"/>
        </w:rPr>
      </w:pPr>
      <w:r>
        <w:rPr>
          <w:rFonts w:ascii="Courier New" w:cs="Courier New" w:eastAsia="Courier New" w:hAnsi="Courier New"/>
          <w:sz w:val="17"/>
          <w:szCs w:val="17"/>
          <w:color w:val="auto"/>
        </w:rPr>
        <w:t>In effecting sales of the Shares, CIBC may arrange for brokers, dealers or agents to participate. Brokers, dealers or agents may receive commissions, discounts or concessions from CIBC in amounts to be negotiated prior to the sale. Such brokers, dealers or agents and any other participating brokers, dealers or agents may be deemed to be "underwriters" within the meaning of the Securities Act in connection with such sales, and any such commissions, discounts or concessions may be deemed to be underwriting discounts or commissions under the Securities Act.</w:t>
      </w:r>
    </w:p>
    <w:p>
      <w:pPr>
        <w:spacing w:after="0" w:line="200" w:lineRule="exact"/>
        <w:rPr>
          <w:sz w:val="20"/>
          <w:szCs w:val="20"/>
          <w:color w:val="auto"/>
        </w:rPr>
      </w:pPr>
    </w:p>
    <w:p>
      <w:pPr>
        <w:ind w:right="2880" w:firstLine="497"/>
        <w:spacing w:after="0" w:line="237" w:lineRule="auto"/>
        <w:rPr>
          <w:sz w:val="20"/>
          <w:szCs w:val="20"/>
          <w:color w:val="auto"/>
        </w:rPr>
      </w:pPr>
      <w:r>
        <w:rPr>
          <w:rFonts w:ascii="Courier New" w:cs="Courier New" w:eastAsia="Courier New" w:hAnsi="Courier New"/>
          <w:sz w:val="17"/>
          <w:szCs w:val="17"/>
          <w:color w:val="auto"/>
        </w:rPr>
        <w:t>The Company has advised J.R. Simplot Company and CIBC that the anti-manipulation rules of Regulation M under the Exchange Act may apply to sales of Shares in the market and to the activities of J.R. Simplot Company, CIBC and their respective affiliates. In addition, the Company will make copies of this Prospectus available to CIBC and has informed CIBC of the need for delivery of copies of this Prospectus to purchasers at or prior to the time of any sale of the Shares offered hereby.</w:t>
      </w:r>
    </w:p>
    <w:p>
      <w:pPr>
        <w:spacing w:after="0" w:line="199" w:lineRule="exact"/>
        <w:rPr>
          <w:sz w:val="20"/>
          <w:szCs w:val="20"/>
          <w:color w:val="auto"/>
        </w:rPr>
      </w:pPr>
    </w:p>
    <w:p>
      <w:pPr>
        <w:ind w:right="2780" w:firstLine="497"/>
        <w:spacing w:after="0" w:line="236" w:lineRule="auto"/>
        <w:rPr>
          <w:sz w:val="20"/>
          <w:szCs w:val="20"/>
          <w:color w:val="auto"/>
        </w:rPr>
      </w:pPr>
      <w:r>
        <w:rPr>
          <w:rFonts w:ascii="Courier New" w:cs="Courier New" w:eastAsia="Courier New" w:hAnsi="Courier New"/>
          <w:sz w:val="17"/>
          <w:szCs w:val="17"/>
          <w:color w:val="auto"/>
        </w:rPr>
        <w:t>At the time a particular offer of Shares is made, if required, a Prospectus Supplement will be distributed that will set forth the number of Shares being offered and the terms of the offering.</w:t>
      </w:r>
    </w:p>
    <w:p>
      <w:pPr>
        <w:sectPr>
          <w:pgSz w:w="11900" w:h="16838" w:orient="portrait"/>
          <w:cols w:equalWidth="0" w:num="1">
            <w:col w:w="10740"/>
          </w:cols>
          <w:pgMar w:left="240" w:top="1066" w:right="919" w:bottom="0" w:gutter="0" w:footer="0" w:header="0"/>
          <w:type w:val="continuous"/>
        </w:sectPr>
      </w:pPr>
    </w:p>
    <w:bookmarkStart w:id="9" w:name="page10"/>
    <w:bookmarkEnd w:id="9"/>
    <w:p>
      <w:pPr>
        <w:ind w:left="2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33" w:right="1440" w:bottom="1440" w:gutter="0" w:footer="0" w:header="0"/>
        </w:sectPr>
      </w:pPr>
    </w:p>
    <w:bookmarkStart w:id="10" w:name="page11"/>
    <w:bookmarkEnd w:id="10"/>
    <w:p>
      <w:pPr>
        <w:ind w:right="2559" w:firstLine="497"/>
        <w:spacing w:after="0" w:line="235" w:lineRule="auto"/>
        <w:rPr>
          <w:sz w:val="20"/>
          <w:szCs w:val="20"/>
          <w:color w:val="auto"/>
        </w:rPr>
      </w:pPr>
      <w:r>
        <w:rPr>
          <w:rFonts w:ascii="Courier New" w:cs="Courier New" w:eastAsia="Courier New" w:hAnsi="Courier New"/>
          <w:sz w:val="17"/>
          <w:szCs w:val="17"/>
          <w:color w:val="auto"/>
        </w:rPr>
        <w:t>There can be no assurance that J.R. Simplot Company will pledge, or that CIBC will rehypothecate and deliver, all or any of the Shares.</w:t>
      </w:r>
    </w:p>
    <w:p>
      <w:pPr>
        <w:spacing w:after="0" w:line="200" w:lineRule="exact"/>
        <w:rPr>
          <w:sz w:val="20"/>
          <w:szCs w:val="20"/>
          <w:color w:val="auto"/>
        </w:rPr>
      </w:pPr>
    </w:p>
    <w:p>
      <w:pPr>
        <w:spacing w:after="0" w:line="37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LEGAL OPINIONS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validity of the Securities is being passed upon for the Company by Roderic W. Lewis, Esq., Vice President, Legal Affairs, General Counsel and Corporate Secretary, Micron Technology, Inc., 8000 South Federal Way, P.O. Box 6, Boise, Idaho 83707-0006, Telephone, (208) 368-4517.</w:t>
      </w:r>
    </w:p>
    <w:p>
      <w:pPr>
        <w:spacing w:after="0" w:line="38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EXPERTS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consolidated balance sheets of Micron Technology, Inc. and subsidiaries as of August 28, 1997 and August 29, 1996 and the consolidated statements of operations, shareholders' equity and cash flows for each of the three years in the period ended August 28, 1997 incorporated herein by reference to the Annual Report on Form 10-K of Micron Technology, Inc. for the year ended August 28, 1997 have been so incorporated in reliance upon the reports of Coopers &amp; Lybrand, L.L.P., independent accountants, given on the authority of that firm as experts in accounting and auditing.</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0" w:right="1440" w:bottom="1440" w:gutter="0" w:footer="0" w:header="0"/>
        </w:sectPr>
      </w:pPr>
    </w:p>
    <w:bookmarkStart w:id="11" w:name="page12"/>
    <w:bookmarkEnd w:id="11"/>
    <w:p>
      <w:pPr>
        <w:jc w:val="center"/>
        <w:ind w:right="3660"/>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INFORMATION NOT REQUIRED IN THE PROSPECTUS</w:t>
      </w:r>
    </w:p>
    <w:p>
      <w:pPr>
        <w:spacing w:after="0" w:line="19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The following table sets forth the expenses, other than any underwriting</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7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discount and commissions, in connection with the issuance and distribution of</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776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the Securities being registered.  All amounts indicated are estimates (other</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7760" w:type="dxa"/>
            <w:vAlign w:val="bottom"/>
          </w:tcPr>
          <w:p>
            <w:pPr>
              <w:spacing w:after="0" w:line="191" w:lineRule="exact"/>
              <w:rPr>
                <w:sz w:val="20"/>
                <w:szCs w:val="20"/>
                <w:color w:val="auto"/>
              </w:rPr>
            </w:pPr>
            <w:r>
              <w:rPr>
                <w:rFonts w:ascii="Courier New" w:cs="Courier New" w:eastAsia="Courier New" w:hAnsi="Courier New"/>
                <w:sz w:val="17"/>
                <w:szCs w:val="17"/>
                <w:color w:val="auto"/>
              </w:rPr>
              <w:t>than the registration fee).</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765"/>
        </w:trPr>
        <w:tc>
          <w:tcPr>
            <w:tcW w:w="776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AMOUNT TO BE PAID</w:t>
            </w:r>
          </w:p>
        </w:tc>
      </w:tr>
      <w:tr>
        <w:trPr>
          <w:trHeight w:val="383"/>
        </w:trPr>
        <w:tc>
          <w:tcPr>
            <w:tcW w:w="776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7"/>
              </w:rPr>
              <w:t>Registration fee.............................................................</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51,916</w:t>
            </w:r>
          </w:p>
        </w:tc>
      </w:tr>
      <w:tr>
        <w:trPr>
          <w:trHeight w:val="191"/>
        </w:trPr>
        <w:tc>
          <w:tcPr>
            <w:tcW w:w="7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Accounting fees and expenses.................................................</w:t>
            </w:r>
          </w:p>
        </w:tc>
        <w:tc>
          <w:tcPr>
            <w:tcW w:w="600" w:type="dxa"/>
            <w:vAlign w:val="bottom"/>
          </w:tcPr>
          <w:p>
            <w:pPr>
              <w:spacing w:after="0"/>
              <w:rPr>
                <w:sz w:val="16"/>
                <w:szCs w:val="16"/>
                <w:color w:val="auto"/>
              </w:rPr>
            </w:pPr>
          </w:p>
        </w:tc>
        <w:tc>
          <w:tcPr>
            <w:tcW w:w="11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3,000</w:t>
            </w:r>
          </w:p>
        </w:tc>
      </w:tr>
      <w:tr>
        <w:trPr>
          <w:trHeight w:val="191"/>
        </w:trPr>
        <w:tc>
          <w:tcPr>
            <w:tcW w:w="7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Printing and engraving.......................................................</w:t>
            </w:r>
          </w:p>
        </w:tc>
        <w:tc>
          <w:tcPr>
            <w:tcW w:w="600" w:type="dxa"/>
            <w:vAlign w:val="bottom"/>
          </w:tcPr>
          <w:p>
            <w:pPr>
              <w:spacing w:after="0"/>
              <w:rPr>
                <w:sz w:val="16"/>
                <w:szCs w:val="16"/>
                <w:color w:val="auto"/>
              </w:rPr>
            </w:pPr>
          </w:p>
        </w:tc>
        <w:tc>
          <w:tcPr>
            <w:tcW w:w="11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4,000</w:t>
            </w:r>
          </w:p>
        </w:tc>
      </w:tr>
      <w:tr>
        <w:trPr>
          <w:trHeight w:val="191"/>
        </w:trPr>
        <w:tc>
          <w:tcPr>
            <w:tcW w:w="7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Legal fees and expenses of the registrant....................................</w:t>
            </w:r>
          </w:p>
        </w:tc>
        <w:tc>
          <w:tcPr>
            <w:tcW w:w="600" w:type="dxa"/>
            <w:vAlign w:val="bottom"/>
          </w:tcPr>
          <w:p>
            <w:pPr>
              <w:spacing w:after="0"/>
              <w:rPr>
                <w:sz w:val="16"/>
                <w:szCs w:val="16"/>
                <w:color w:val="auto"/>
              </w:rPr>
            </w:pPr>
          </w:p>
        </w:tc>
        <w:tc>
          <w:tcPr>
            <w:tcW w:w="11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7,500</w:t>
            </w:r>
          </w:p>
        </w:tc>
      </w:tr>
      <w:tr>
        <w:trPr>
          <w:trHeight w:val="191"/>
        </w:trPr>
        <w:tc>
          <w:tcPr>
            <w:tcW w:w="7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Miscellaneous................................................................</w:t>
            </w:r>
          </w:p>
        </w:tc>
        <w:tc>
          <w:tcPr>
            <w:tcW w:w="600" w:type="dxa"/>
            <w:vAlign w:val="bottom"/>
          </w:tcPr>
          <w:p>
            <w:pPr>
              <w:spacing w:after="0"/>
              <w:rPr>
                <w:sz w:val="16"/>
                <w:szCs w:val="16"/>
                <w:color w:val="auto"/>
              </w:rPr>
            </w:pPr>
          </w:p>
        </w:tc>
        <w:tc>
          <w:tcPr>
            <w:tcW w:w="11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3,584</w:t>
            </w:r>
          </w:p>
        </w:tc>
      </w:tr>
      <w:tr>
        <w:trPr>
          <w:trHeight w:val="191"/>
        </w:trPr>
        <w:tc>
          <w:tcPr>
            <w:tcW w:w="7760" w:type="dxa"/>
            <w:vAlign w:val="bottom"/>
          </w:tcPr>
          <w:p>
            <w:pPr>
              <w:spacing w:after="0"/>
              <w:rPr>
                <w:sz w:val="16"/>
                <w:szCs w:val="16"/>
                <w:color w:val="auto"/>
              </w:rPr>
            </w:pPr>
          </w:p>
        </w:tc>
        <w:tc>
          <w:tcPr>
            <w:tcW w:w="1780" w:type="dxa"/>
            <w:vAlign w:val="bottom"/>
            <w:gridSpan w:val="2"/>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7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776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70,000</w:t>
            </w:r>
          </w:p>
        </w:tc>
      </w:tr>
      <w:tr>
        <w:trPr>
          <w:trHeight w:val="191"/>
        </w:trPr>
        <w:tc>
          <w:tcPr>
            <w:tcW w:w="7760" w:type="dxa"/>
            <w:vAlign w:val="bottom"/>
          </w:tcPr>
          <w:p>
            <w:pPr>
              <w:spacing w:after="0"/>
              <w:rPr>
                <w:sz w:val="16"/>
                <w:szCs w:val="16"/>
                <w:color w:val="auto"/>
              </w:rPr>
            </w:pPr>
          </w:p>
        </w:tc>
        <w:tc>
          <w:tcPr>
            <w:tcW w:w="1780" w:type="dxa"/>
            <w:vAlign w:val="bottom"/>
            <w:gridSpan w:val="2"/>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6" w:lineRule="exact"/>
        <w:rPr>
          <w:sz w:val="20"/>
          <w:szCs w:val="20"/>
          <w:color w:val="auto"/>
        </w:rPr>
      </w:pPr>
    </w:p>
    <w:p>
      <w:pPr>
        <w:ind w:right="3660" w:firstLine="497"/>
        <w:spacing w:after="0" w:line="237" w:lineRule="auto"/>
        <w:rPr>
          <w:sz w:val="20"/>
          <w:szCs w:val="20"/>
          <w:color w:val="auto"/>
        </w:rPr>
      </w:pPr>
      <w:r>
        <w:rPr>
          <w:rFonts w:ascii="Courier New" w:cs="Courier New" w:eastAsia="Courier New" w:hAnsi="Courier New"/>
          <w:sz w:val="17"/>
          <w:szCs w:val="17"/>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"Act").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38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40" w:type="dxa"/>
            <w:vAlign w:val="bottom"/>
            <w:gridSpan w:val="2"/>
          </w:tcPr>
          <w:p>
            <w:pPr>
              <w:jc w:val="right"/>
              <w:ind w:right="357"/>
              <w:spacing w:after="0"/>
              <w:rPr>
                <w:sz w:val="20"/>
                <w:szCs w:val="20"/>
                <w:color w:val="auto"/>
              </w:rPr>
            </w:pPr>
            <w:r>
              <w:rPr>
                <w:rFonts w:ascii="Courier New" w:cs="Courier New" w:eastAsia="Courier New" w:hAnsi="Courier New"/>
                <w:sz w:val="17"/>
                <w:szCs w:val="17"/>
                <w:color w:val="auto"/>
                <w:w w:val="96"/>
              </w:rPr>
              <w:t>EXHIBIT NUMBER</w:t>
            </w:r>
          </w:p>
        </w:tc>
        <w:tc>
          <w:tcPr>
            <w:tcW w:w="2100" w:type="dxa"/>
            <w:vAlign w:val="bottom"/>
          </w:tcPr>
          <w:p>
            <w:pPr>
              <w:spacing w:after="0"/>
              <w:rPr>
                <w:sz w:val="16"/>
                <w:szCs w:val="16"/>
                <w:color w:val="auto"/>
              </w:rPr>
            </w:pPr>
          </w:p>
        </w:tc>
        <w:tc>
          <w:tcPr>
            <w:tcW w:w="7580" w:type="dxa"/>
            <w:vAlign w:val="bottom"/>
          </w:tcPr>
          <w:p>
            <w:pPr>
              <w:ind w:left="1640"/>
              <w:spacing w:after="0"/>
              <w:rPr>
                <w:sz w:val="20"/>
                <w:szCs w:val="20"/>
                <w:color w:val="auto"/>
              </w:rPr>
            </w:pPr>
            <w:r>
              <w:rPr>
                <w:rFonts w:ascii="Courier New" w:cs="Courier New" w:eastAsia="Courier New" w:hAnsi="Courier New"/>
                <w:sz w:val="17"/>
                <w:szCs w:val="17"/>
                <w:color w:val="auto"/>
              </w:rPr>
              <w:t>DESCRIPTION OF EXHIBIT</w:t>
            </w:r>
          </w:p>
        </w:tc>
      </w:tr>
      <w:tr>
        <w:trPr>
          <w:trHeight w:val="383"/>
        </w:trPr>
        <w:tc>
          <w:tcPr>
            <w:tcW w:w="200" w:type="dxa"/>
            <w:vAlign w:val="bottom"/>
          </w:tcPr>
          <w:p>
            <w:pPr>
              <w:spacing w:after="0"/>
              <w:rPr>
                <w:sz w:val="24"/>
                <w:szCs w:val="24"/>
                <w:color w:val="auto"/>
              </w:rPr>
            </w:pPr>
          </w:p>
        </w:tc>
        <w:tc>
          <w:tcPr>
            <w:tcW w:w="1640" w:type="dxa"/>
            <w:vAlign w:val="bottom"/>
          </w:tcPr>
          <w:p>
            <w:pPr>
              <w:jc w:val="right"/>
              <w:ind w:right="957"/>
              <w:spacing w:after="0"/>
              <w:rPr>
                <w:sz w:val="20"/>
                <w:szCs w:val="20"/>
                <w:color w:val="auto"/>
              </w:rPr>
            </w:pPr>
            <w:r>
              <w:rPr>
                <w:rFonts w:ascii="Courier New" w:cs="Courier New" w:eastAsia="Courier New" w:hAnsi="Courier New"/>
                <w:sz w:val="17"/>
                <w:szCs w:val="17"/>
                <w:color w:val="auto"/>
              </w:rPr>
              <w:t>5.1*</w:t>
            </w:r>
          </w:p>
        </w:tc>
        <w:tc>
          <w:tcPr>
            <w:tcW w:w="2100" w:type="dxa"/>
            <w:vAlign w:val="bottom"/>
          </w:tcPr>
          <w:p>
            <w:pPr>
              <w:ind w:left="260"/>
              <w:spacing w:after="0"/>
              <w:rPr>
                <w:sz w:val="20"/>
                <w:szCs w:val="20"/>
                <w:color w:val="auto"/>
              </w:rPr>
            </w:pPr>
            <w:r>
              <w:rPr>
                <w:rFonts w:ascii="Courier New" w:cs="Courier New" w:eastAsia="Courier New" w:hAnsi="Courier New"/>
                <w:sz w:val="17"/>
                <w:szCs w:val="17"/>
                <w:color w:val="auto"/>
                <w:w w:val="99"/>
              </w:rPr>
              <w:t>Opinion of Roderic</w:t>
            </w:r>
          </w:p>
        </w:tc>
        <w:tc>
          <w:tcPr>
            <w:tcW w:w="7580" w:type="dxa"/>
            <w:vAlign w:val="bottom"/>
          </w:tcPr>
          <w:p>
            <w:pPr>
              <w:ind w:left="40"/>
              <w:spacing w:after="0"/>
              <w:rPr>
                <w:sz w:val="20"/>
                <w:szCs w:val="20"/>
                <w:color w:val="auto"/>
              </w:rPr>
            </w:pPr>
            <w:r>
              <w:rPr>
                <w:rFonts w:ascii="Courier New" w:cs="Courier New" w:eastAsia="Courier New" w:hAnsi="Courier New"/>
                <w:sz w:val="17"/>
                <w:szCs w:val="17"/>
                <w:color w:val="auto"/>
                <w:w w:val="97"/>
              </w:rPr>
              <w:t>W. Lewis, Esq., Vice President, Legal Affairs, General Counsel and Corporate</w:t>
            </w:r>
          </w:p>
        </w:tc>
      </w:tr>
      <w:tr>
        <w:trPr>
          <w:trHeight w:val="191"/>
        </w:trPr>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Secretary</w:t>
            </w:r>
          </w:p>
        </w:tc>
        <w:tc>
          <w:tcPr>
            <w:tcW w:w="7580" w:type="dxa"/>
            <w:vAlign w:val="bottom"/>
          </w:tcPr>
          <w:p>
            <w:pPr>
              <w:spacing w:after="0"/>
              <w:rPr>
                <w:sz w:val="16"/>
                <w:szCs w:val="16"/>
                <w:color w:val="auto"/>
              </w:rPr>
            </w:pPr>
          </w:p>
        </w:tc>
      </w:tr>
      <w:tr>
        <w:trPr>
          <w:trHeight w:val="191"/>
        </w:trPr>
        <w:tc>
          <w:tcPr>
            <w:tcW w:w="200" w:type="dxa"/>
            <w:vAlign w:val="bottom"/>
          </w:tcPr>
          <w:p>
            <w:pPr>
              <w:spacing w:after="0"/>
              <w:rPr>
                <w:sz w:val="16"/>
                <w:szCs w:val="16"/>
                <w:color w:val="auto"/>
              </w:rPr>
            </w:pPr>
          </w:p>
        </w:tc>
        <w:tc>
          <w:tcPr>
            <w:tcW w:w="164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23.1</w:t>
            </w:r>
          </w:p>
        </w:tc>
        <w:tc>
          <w:tcPr>
            <w:tcW w:w="968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Consent of Coopers &amp; Lybrand L.L.P.</w:t>
            </w:r>
          </w:p>
        </w:tc>
      </w:tr>
      <w:tr>
        <w:trPr>
          <w:trHeight w:val="191"/>
        </w:trPr>
        <w:tc>
          <w:tcPr>
            <w:tcW w:w="200" w:type="dxa"/>
            <w:vAlign w:val="bottom"/>
          </w:tcPr>
          <w:p>
            <w:pPr>
              <w:spacing w:after="0"/>
              <w:rPr>
                <w:sz w:val="16"/>
                <w:szCs w:val="16"/>
                <w:color w:val="auto"/>
              </w:rPr>
            </w:pPr>
          </w:p>
        </w:tc>
        <w:tc>
          <w:tcPr>
            <w:tcW w:w="164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23.2</w:t>
            </w:r>
          </w:p>
        </w:tc>
        <w:tc>
          <w:tcPr>
            <w:tcW w:w="968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Consent of Roderic W. Lewis, Esq. (included in Exhibit 5.1)</w:t>
            </w:r>
          </w:p>
        </w:tc>
      </w:tr>
      <w:tr>
        <w:trPr>
          <w:trHeight w:val="191"/>
        </w:trPr>
        <w:tc>
          <w:tcPr>
            <w:tcW w:w="200" w:type="dxa"/>
            <w:vAlign w:val="bottom"/>
          </w:tcPr>
          <w:p>
            <w:pPr>
              <w:spacing w:after="0"/>
              <w:rPr>
                <w:sz w:val="16"/>
                <w:szCs w:val="16"/>
                <w:color w:val="auto"/>
              </w:rPr>
            </w:pPr>
          </w:p>
        </w:tc>
        <w:tc>
          <w:tcPr>
            <w:tcW w:w="164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24.1</w:t>
            </w:r>
          </w:p>
        </w:tc>
        <w:tc>
          <w:tcPr>
            <w:tcW w:w="9680" w:type="dxa"/>
            <w:vAlign w:val="bottom"/>
            <w:gridSpan w:val="2"/>
          </w:tcPr>
          <w:p>
            <w:pPr>
              <w:ind w:left="260"/>
              <w:spacing w:after="0" w:line="191" w:lineRule="exact"/>
              <w:rPr>
                <w:sz w:val="20"/>
                <w:szCs w:val="20"/>
                <w:color w:val="auto"/>
              </w:rPr>
            </w:pPr>
            <w:r>
              <w:rPr>
                <w:rFonts w:ascii="Courier New" w:cs="Courier New" w:eastAsia="Courier New" w:hAnsi="Courier New"/>
                <w:sz w:val="17"/>
                <w:szCs w:val="17"/>
                <w:color w:val="auto"/>
              </w:rPr>
              <w:t>Powers of Attorney of certain directors and officers of the Company (contained on Page II-4)</w:t>
            </w:r>
          </w:p>
        </w:tc>
      </w:tr>
      <w:tr>
        <w:trPr>
          <w:trHeight w:val="383"/>
        </w:trPr>
        <w:tc>
          <w:tcPr>
            <w:tcW w:w="184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210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191"/>
        </w:trPr>
        <w:tc>
          <w:tcPr>
            <w:tcW w:w="2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37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To be filed by amendment.</w:t>
            </w:r>
          </w:p>
        </w:tc>
        <w:tc>
          <w:tcPr>
            <w:tcW w:w="7580" w:type="dxa"/>
            <w:vAlign w:val="bottom"/>
          </w:tcPr>
          <w:p>
            <w:pPr>
              <w:spacing w:after="0"/>
              <w:rPr>
                <w:sz w:val="16"/>
                <w:szCs w:val="16"/>
                <w:color w:val="auto"/>
              </w:rPr>
            </w:pPr>
          </w:p>
        </w:tc>
      </w:tr>
    </w:tbl>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1520"/>
          </w:cols>
          <w:pgMar w:left="240" w:top="683" w:right="139" w:bottom="1440" w:gutter="0" w:footer="0" w:header="0"/>
        </w:sectPr>
      </w:pPr>
    </w:p>
    <w:bookmarkStart w:id="12" w:name="page13"/>
    <w:bookmarkEnd w:id="12"/>
    <w:p>
      <w:pPr>
        <w:spacing w:after="0"/>
        <w:tabs>
          <w:tab w:leader="none" w:pos="980" w:val="left"/>
        </w:tabs>
        <w:rPr>
          <w:sz w:val="20"/>
          <w:szCs w:val="20"/>
          <w:color w:val="auto"/>
        </w:rPr>
      </w:pPr>
      <w:r>
        <w:rPr>
          <w:rFonts w:ascii="Courier New" w:cs="Courier New" w:eastAsia="Courier New" w:hAnsi="Courier New"/>
          <w:sz w:val="17"/>
          <w:szCs w:val="17"/>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190" w:lineRule="exact"/>
        <w:rPr>
          <w:sz w:val="20"/>
          <w:szCs w:val="20"/>
          <w:color w:val="auto"/>
        </w:rPr>
      </w:pPr>
    </w:p>
    <w:p>
      <w:pPr>
        <w:ind w:left="900" w:hanging="401"/>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6" w:lineRule="exact"/>
        <w:rPr>
          <w:rFonts w:ascii="Courier New" w:cs="Courier New" w:eastAsia="Courier New" w:hAnsi="Courier New"/>
          <w:sz w:val="17"/>
          <w:szCs w:val="17"/>
          <w:color w:val="auto"/>
        </w:rPr>
      </w:pPr>
    </w:p>
    <w:p>
      <w:pPr>
        <w:ind w:right="2259" w:firstLine="897"/>
        <w:spacing w:after="0" w:line="235" w:lineRule="auto"/>
        <w:tabs>
          <w:tab w:leader="none" w:pos="1293"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6" w:lineRule="exact"/>
        <w:rPr>
          <w:rFonts w:ascii="Courier New" w:cs="Courier New" w:eastAsia="Courier New" w:hAnsi="Courier New"/>
          <w:sz w:val="17"/>
          <w:szCs w:val="17"/>
          <w:color w:val="auto"/>
        </w:rPr>
      </w:pPr>
    </w:p>
    <w:p>
      <w:pPr>
        <w:ind w:left="1900" w:hanging="605"/>
        <w:spacing w:after="0"/>
        <w:tabs>
          <w:tab w:leader="none" w:pos="190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w:t>
      </w:r>
    </w:p>
    <w:p>
      <w:pPr>
        <w:spacing w:after="0" w:line="4" w:lineRule="exact"/>
        <w:rPr>
          <w:rFonts w:ascii="Courier New" w:cs="Courier New" w:eastAsia="Courier New" w:hAnsi="Courier New"/>
          <w:sz w:val="16"/>
          <w:szCs w:val="16"/>
          <w:color w:val="auto"/>
        </w:rPr>
      </w:pP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Act;</w:t>
      </w:r>
    </w:p>
    <w:p>
      <w:pPr>
        <w:spacing w:after="0" w:line="196" w:lineRule="exact"/>
        <w:rPr>
          <w:rFonts w:ascii="Courier New" w:cs="Courier New" w:eastAsia="Courier New" w:hAnsi="Courier New"/>
          <w:sz w:val="16"/>
          <w:szCs w:val="16"/>
          <w:color w:val="auto"/>
        </w:rPr>
      </w:pPr>
    </w:p>
    <w:p>
      <w:pPr>
        <w:ind w:left="900" w:right="2259" w:firstLine="395"/>
        <w:spacing w:after="0" w:line="253" w:lineRule="auto"/>
        <w:tabs>
          <w:tab w:leader="none" w:pos="1895"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3" w:lineRule="exact"/>
        <w:rPr>
          <w:rFonts w:ascii="Courier New" w:cs="Courier New" w:eastAsia="Courier New" w:hAnsi="Courier New"/>
          <w:sz w:val="16"/>
          <w:szCs w:val="16"/>
          <w:color w:val="auto"/>
        </w:rPr>
      </w:pPr>
    </w:p>
    <w:p>
      <w:pPr>
        <w:jc w:val="both"/>
        <w:ind w:left="900" w:right="2359" w:firstLine="395"/>
        <w:spacing w:after="0" w:line="236" w:lineRule="auto"/>
        <w:tabs>
          <w:tab w:leader="none" w:pos="1895" w:val="left"/>
        </w:tabs>
        <w:numPr>
          <w:ilvl w:val="2"/>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9"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98" w:lineRule="exact"/>
        <w:rPr>
          <w:sz w:val="20"/>
          <w:szCs w:val="20"/>
          <w:color w:val="auto"/>
        </w:rPr>
      </w:pPr>
    </w:p>
    <w:p>
      <w:pPr>
        <w:ind w:right="2459" w:firstLine="897"/>
        <w:spacing w:after="0" w:line="237" w:lineRule="auto"/>
        <w:tabs>
          <w:tab w:leader="none" w:pos="1293"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Courier New" w:cs="Courier New" w:eastAsia="Courier New" w:hAnsi="Courier New"/>
          <w:sz w:val="17"/>
          <w:szCs w:val="17"/>
          <w:color w:val="auto"/>
        </w:rPr>
      </w:pPr>
    </w:p>
    <w:p>
      <w:pPr>
        <w:ind w:right="2259" w:firstLine="897"/>
        <w:spacing w:after="0" w:line="236" w:lineRule="auto"/>
        <w:tabs>
          <w:tab w:leader="none" w:pos="1293"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8" w:lineRule="exact"/>
        <w:rPr>
          <w:rFonts w:ascii="Courier New" w:cs="Courier New" w:eastAsia="Courier New" w:hAnsi="Courier New"/>
          <w:sz w:val="17"/>
          <w:szCs w:val="17"/>
          <w:color w:val="auto"/>
        </w:rPr>
      </w:pPr>
    </w:p>
    <w:p>
      <w:pPr>
        <w:ind w:right="2259" w:firstLine="499"/>
        <w:spacing w:after="0" w:line="253" w:lineRule="auto"/>
        <w:tabs>
          <w:tab w:leader="none" w:pos="89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of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18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683" w:right="1440" w:bottom="1440" w:gutter="0" w:footer="0" w:header="0"/>
        </w:sectPr>
      </w:pPr>
    </w:p>
    <w:bookmarkStart w:id="13" w:name="page14"/>
    <w:bookmarkEnd w:id="13"/>
    <w:p>
      <w:pPr>
        <w:ind w:right="2259"/>
        <w:spacing w:after="0" w:line="237" w:lineRule="auto"/>
        <w:rPr>
          <w:sz w:val="20"/>
          <w:szCs w:val="20"/>
          <w:color w:val="auto"/>
        </w:rPr>
      </w:pPr>
      <w:r>
        <w:rPr>
          <w:rFonts w:ascii="Courier New" w:cs="Courier New" w:eastAsia="Courier New" w:hAnsi="Courier New"/>
          <w:sz w:val="17"/>
          <w:szCs w:val="17"/>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690" w:right="1440" w:bottom="1440" w:gutter="0" w:footer="0" w:header="0"/>
        </w:sectPr>
      </w:pPr>
    </w:p>
    <w:bookmarkStart w:id="14" w:name="page15"/>
    <w:bookmarkEnd w:id="14"/>
    <w:p>
      <w:pPr>
        <w:ind w:left="33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380" w:firstLine="497"/>
        <w:spacing w:after="0" w:line="254"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26 day of June, 1998.</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MICRON TECHNOLOGY, INC.</w:t>
      </w:r>
    </w:p>
    <w:p>
      <w:pPr>
        <w:spacing w:after="0" w:line="190" w:lineRule="exact"/>
        <w:rPr>
          <w:sz w:val="20"/>
          <w:szCs w:val="20"/>
          <w:color w:val="auto"/>
        </w:rPr>
      </w:pPr>
    </w:p>
    <w:p>
      <w:pPr>
        <w:jc w:val="center"/>
        <w:spacing w:after="0"/>
        <w:tabs>
          <w:tab w:leader="none" w:pos="280" w:val="left"/>
          <w:tab w:leader="none" w:pos="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Wilbur G. Stover, Jr.</w:t>
      </w:r>
    </w:p>
    <w:p>
      <w:pPr>
        <w:ind w:left="4080"/>
        <w:spacing w:after="0" w:line="238" w:lineRule="auto"/>
        <w:rPr>
          <w:sz w:val="20"/>
          <w:szCs w:val="20"/>
          <w:color w:val="auto"/>
        </w:rPr>
      </w:pPr>
      <w:r>
        <w:rPr>
          <w:rFonts w:ascii="Courier New" w:cs="Courier New" w:eastAsia="Courier New" w:hAnsi="Courier New"/>
          <w:sz w:val="17"/>
          <w:szCs w:val="17"/>
          <w:color w:val="auto"/>
        </w:rPr>
        <w:t>------------------------------------</w:t>
      </w:r>
    </w:p>
    <w:p>
      <w:pPr>
        <w:ind w:left="4080"/>
        <w:spacing w:after="0" w:line="238" w:lineRule="auto"/>
        <w:rPr>
          <w:sz w:val="20"/>
          <w:szCs w:val="20"/>
          <w:color w:val="auto"/>
        </w:rPr>
      </w:pPr>
      <w:r>
        <w:rPr>
          <w:rFonts w:ascii="Courier New" w:cs="Courier New" w:eastAsia="Courier New" w:hAnsi="Courier New"/>
          <w:sz w:val="17"/>
          <w:szCs w:val="17"/>
          <w:color w:val="auto"/>
        </w:rPr>
        <w:t>Wilbur G. Stover, Jr.</w:t>
      </w:r>
    </w:p>
    <w:p>
      <w:pPr>
        <w:ind w:left="4080"/>
        <w:spacing w:after="0"/>
        <w:rPr>
          <w:sz w:val="20"/>
          <w:szCs w:val="20"/>
          <w:color w:val="auto"/>
        </w:rPr>
      </w:pPr>
      <w:r>
        <w:rPr>
          <w:rFonts w:ascii="Courier New" w:cs="Courier New" w:eastAsia="Courier New" w:hAnsi="Courier New"/>
          <w:sz w:val="17"/>
          <w:szCs w:val="17"/>
          <w:color w:val="auto"/>
        </w:rPr>
        <w:t>Vice President of Finance</w:t>
      </w:r>
    </w:p>
    <w:p>
      <w:pPr>
        <w:ind w:left="4080"/>
        <w:spacing w:after="0" w:line="237" w:lineRule="auto"/>
        <w:rPr>
          <w:sz w:val="20"/>
          <w:szCs w:val="20"/>
          <w:color w:val="auto"/>
        </w:rPr>
      </w:pPr>
      <w:r>
        <w:rPr>
          <w:rFonts w:ascii="Courier New" w:cs="Courier New" w:eastAsia="Courier New" w:hAnsi="Courier New"/>
          <w:sz w:val="17"/>
          <w:szCs w:val="17"/>
          <w:color w:val="auto"/>
        </w:rPr>
        <w:t>and Chief Financial Officer</w:t>
      </w:r>
    </w:p>
    <w:p>
      <w:pPr>
        <w:spacing w:after="0" w:line="197" w:lineRule="exact"/>
        <w:rPr>
          <w:sz w:val="20"/>
          <w:szCs w:val="20"/>
          <w:color w:val="auto"/>
        </w:rPr>
      </w:pPr>
    </w:p>
    <w:p>
      <w:pPr>
        <w:ind w:right="2280" w:firstLine="497"/>
        <w:spacing w:after="0" w:line="237" w:lineRule="auto"/>
        <w:rPr>
          <w:sz w:val="20"/>
          <w:szCs w:val="20"/>
          <w:color w:val="auto"/>
        </w:rPr>
      </w:pPr>
      <w:r>
        <w:rPr>
          <w:rFonts w:ascii="Courier New" w:cs="Courier New" w:eastAsia="Courier New" w:hAnsi="Courier New"/>
          <w:sz w:val="17"/>
          <w:szCs w:val="17"/>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S-3, and to file the same, with exhibits thereto and other documents in connection therewith, with the Securities and Exchange Commission, thereby ratifying and confirming all that each of said attorneys-in-fact, or his substitute or substitutes, may do or cause to be done by virtue hereof.</w:t>
      </w:r>
    </w:p>
    <w:p>
      <w:pPr>
        <w:spacing w:after="0" w:line="201" w:lineRule="exact"/>
        <w:rPr>
          <w:sz w:val="20"/>
          <w:szCs w:val="20"/>
          <w:color w:val="auto"/>
        </w:rPr>
      </w:pPr>
    </w:p>
    <w:p>
      <w:pPr>
        <w:jc w:val="both"/>
        <w:ind w:right="3280"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Pr>
          <w:p>
            <w:pPr>
              <w:ind w:left="1400"/>
              <w:spacing w:after="0"/>
              <w:rPr>
                <w:sz w:val="20"/>
                <w:szCs w:val="20"/>
                <w:color w:val="auto"/>
              </w:rPr>
            </w:pPr>
            <w:r>
              <w:rPr>
                <w:rFonts w:ascii="Courier New" w:cs="Courier New" w:eastAsia="Courier New" w:hAnsi="Courier New"/>
                <w:sz w:val="17"/>
                <w:szCs w:val="17"/>
                <w:color w:val="auto"/>
              </w:rPr>
              <w:t>SIGNATURE</w:t>
            </w:r>
          </w:p>
        </w:tc>
        <w:tc>
          <w:tcPr>
            <w:tcW w:w="4180" w:type="dxa"/>
            <w:vAlign w:val="bottom"/>
          </w:tcPr>
          <w:p>
            <w:pPr>
              <w:ind w:left="1800"/>
              <w:spacing w:after="0"/>
              <w:rPr>
                <w:sz w:val="20"/>
                <w:szCs w:val="20"/>
                <w:color w:val="auto"/>
              </w:rPr>
            </w:pPr>
            <w:r>
              <w:rPr>
                <w:rFonts w:ascii="Courier New" w:cs="Courier New" w:eastAsia="Courier New" w:hAnsi="Courier New"/>
                <w:sz w:val="17"/>
                <w:szCs w:val="17"/>
                <w:color w:val="auto"/>
              </w:rPr>
              <w:t>TITLE</w:t>
            </w:r>
          </w:p>
        </w:tc>
        <w:tc>
          <w:tcPr>
            <w:tcW w:w="2080" w:type="dxa"/>
            <w:vAlign w:val="bottom"/>
          </w:tcPr>
          <w:p>
            <w:pPr>
              <w:ind w:left="1680"/>
              <w:spacing w:after="0"/>
              <w:rPr>
                <w:sz w:val="20"/>
                <w:szCs w:val="20"/>
                <w:color w:val="auto"/>
              </w:rPr>
            </w:pPr>
            <w:r>
              <w:rPr>
                <w:rFonts w:ascii="Courier New" w:cs="Courier New" w:eastAsia="Courier New" w:hAnsi="Courier New"/>
                <w:sz w:val="17"/>
                <w:szCs w:val="17"/>
                <w:color w:val="auto"/>
                <w:w w:val="93"/>
              </w:rPr>
              <w:t>DATE</w:t>
            </w:r>
          </w:p>
        </w:tc>
      </w:tr>
      <w:tr>
        <w:trPr>
          <w:trHeight w:val="383"/>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 Steven R. Appleton</w:t>
            </w:r>
          </w:p>
        </w:tc>
        <w:tc>
          <w:tcPr>
            <w:tcW w:w="4180" w:type="dxa"/>
            <w:vAlign w:val="bottom"/>
          </w:tcPr>
          <w:p>
            <w:pPr>
              <w:spacing w:after="0"/>
              <w:rPr>
                <w:sz w:val="20"/>
                <w:szCs w:val="20"/>
                <w:color w:val="auto"/>
              </w:rPr>
            </w:pPr>
            <w:r>
              <w:rPr>
                <w:rFonts w:ascii="Courier New" w:cs="Courier New" w:eastAsia="Courier New" w:hAnsi="Courier New"/>
                <w:sz w:val="17"/>
                <w:szCs w:val="17"/>
                <w:color w:val="auto"/>
              </w:rPr>
              <w:t>Chairman of the Board, Chief Executive</w:t>
            </w:r>
          </w:p>
        </w:tc>
        <w:tc>
          <w:tcPr>
            <w:tcW w:w="2080" w:type="dxa"/>
            <w:vAlign w:val="bottom"/>
          </w:tcPr>
          <w:p>
            <w:pPr>
              <w:ind w:left="200"/>
              <w:spacing w:after="0"/>
              <w:rPr>
                <w:sz w:val="20"/>
                <w:szCs w:val="20"/>
                <w:color w:val="auto"/>
              </w:rPr>
            </w:pPr>
            <w:r>
              <w:rPr>
                <w:rFonts w:ascii="Courier New" w:cs="Courier New" w:eastAsia="Courier New" w:hAnsi="Courier New"/>
                <w:sz w:val="17"/>
                <w:szCs w:val="17"/>
                <w:color w:val="auto"/>
              </w:rPr>
              <w:t>June 26, 1998</w:t>
            </w: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Officer and President</w:t>
            </w:r>
          </w:p>
        </w:tc>
        <w:tc>
          <w:tcPr>
            <w:tcW w:w="2080" w:type="dxa"/>
            <w:vAlign w:val="bottom"/>
          </w:tcPr>
          <w:p>
            <w:pPr>
              <w:spacing w:after="0"/>
              <w:rPr>
                <w:sz w:val="16"/>
                <w:szCs w:val="16"/>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Steven R. Appleton</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83"/>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 Wilbur G. Stover, Jr.</w:t>
            </w:r>
          </w:p>
        </w:tc>
        <w:tc>
          <w:tcPr>
            <w:tcW w:w="4180" w:type="dxa"/>
            <w:vAlign w:val="bottom"/>
          </w:tcPr>
          <w:p>
            <w:pPr>
              <w:spacing w:after="0"/>
              <w:rPr>
                <w:sz w:val="20"/>
                <w:szCs w:val="20"/>
                <w:color w:val="auto"/>
              </w:rPr>
            </w:pPr>
            <w:r>
              <w:rPr>
                <w:rFonts w:ascii="Courier New" w:cs="Courier New" w:eastAsia="Courier New" w:hAnsi="Courier New"/>
                <w:sz w:val="17"/>
                <w:szCs w:val="17"/>
                <w:color w:val="auto"/>
              </w:rPr>
              <w:t>Vice President of Finance and Chief</w:t>
            </w:r>
          </w:p>
        </w:tc>
        <w:tc>
          <w:tcPr>
            <w:tcW w:w="2080" w:type="dxa"/>
            <w:vAlign w:val="bottom"/>
          </w:tcPr>
          <w:p>
            <w:pPr>
              <w:ind w:left="200"/>
              <w:spacing w:after="0"/>
              <w:rPr>
                <w:sz w:val="20"/>
                <w:szCs w:val="20"/>
                <w:color w:val="auto"/>
              </w:rPr>
            </w:pPr>
            <w:r>
              <w:rPr>
                <w:rFonts w:ascii="Courier New" w:cs="Courier New" w:eastAsia="Courier New" w:hAnsi="Courier New"/>
                <w:sz w:val="17"/>
                <w:szCs w:val="17"/>
                <w:color w:val="auto"/>
              </w:rPr>
              <w:t>June 26, 1998</w:t>
            </w: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41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Financial Officer (Principal Financial</w:t>
            </w:r>
          </w:p>
        </w:tc>
        <w:tc>
          <w:tcPr>
            <w:tcW w:w="2080" w:type="dxa"/>
            <w:vAlign w:val="bottom"/>
          </w:tcPr>
          <w:p>
            <w:pPr>
              <w:spacing w:after="0"/>
              <w:rPr>
                <w:sz w:val="16"/>
                <w:szCs w:val="16"/>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Wilbur G. Stover, Jr.</w:t>
            </w:r>
          </w:p>
        </w:tc>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and Accounting Officer)</w:t>
            </w:r>
          </w:p>
        </w:tc>
        <w:tc>
          <w:tcPr>
            <w:tcW w:w="2080" w:type="dxa"/>
            <w:vAlign w:val="bottom"/>
          </w:tcPr>
          <w:p>
            <w:pPr>
              <w:spacing w:after="0"/>
              <w:rPr>
                <w:sz w:val="16"/>
                <w:szCs w:val="16"/>
                <w:color w:val="auto"/>
              </w:rPr>
            </w:pPr>
          </w:p>
        </w:tc>
      </w:tr>
      <w:tr>
        <w:trPr>
          <w:trHeight w:val="383"/>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 James W. Bagley</w:t>
            </w:r>
          </w:p>
        </w:tc>
        <w:tc>
          <w:tcPr>
            <w:tcW w:w="418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2080" w:type="dxa"/>
            <w:vAlign w:val="bottom"/>
          </w:tcPr>
          <w:p>
            <w:pPr>
              <w:ind w:left="200"/>
              <w:spacing w:after="0"/>
              <w:rPr>
                <w:sz w:val="20"/>
                <w:szCs w:val="20"/>
                <w:color w:val="auto"/>
              </w:rPr>
            </w:pPr>
            <w:r>
              <w:rPr>
                <w:rFonts w:ascii="Courier New" w:cs="Courier New" w:eastAsia="Courier New" w:hAnsi="Courier New"/>
                <w:sz w:val="17"/>
                <w:szCs w:val="17"/>
                <w:color w:val="auto"/>
              </w:rPr>
              <w:t>June 26, 1998</w:t>
            </w: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James W. Bagley</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83"/>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 Jerry M. Hess</w:t>
            </w:r>
          </w:p>
        </w:tc>
        <w:tc>
          <w:tcPr>
            <w:tcW w:w="418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2080" w:type="dxa"/>
            <w:vAlign w:val="bottom"/>
          </w:tcPr>
          <w:p>
            <w:pPr>
              <w:ind w:left="200"/>
              <w:spacing w:after="0"/>
              <w:rPr>
                <w:sz w:val="20"/>
                <w:szCs w:val="20"/>
                <w:color w:val="auto"/>
              </w:rPr>
            </w:pPr>
            <w:r>
              <w:rPr>
                <w:rFonts w:ascii="Courier New" w:cs="Courier New" w:eastAsia="Courier New" w:hAnsi="Courier New"/>
                <w:sz w:val="17"/>
                <w:szCs w:val="17"/>
                <w:color w:val="auto"/>
              </w:rPr>
              <w:t>June 26, 1998</w:t>
            </w: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Jerry M. Hess</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83"/>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  Robert Lothrop</w:t>
            </w:r>
          </w:p>
        </w:tc>
        <w:tc>
          <w:tcPr>
            <w:tcW w:w="418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2080" w:type="dxa"/>
            <w:vAlign w:val="bottom"/>
          </w:tcPr>
          <w:p>
            <w:pPr>
              <w:ind w:left="200"/>
              <w:spacing w:after="0"/>
              <w:rPr>
                <w:sz w:val="20"/>
                <w:szCs w:val="20"/>
                <w:color w:val="auto"/>
              </w:rPr>
            </w:pPr>
            <w:r>
              <w:rPr>
                <w:rFonts w:ascii="Courier New" w:cs="Courier New" w:eastAsia="Courier New" w:hAnsi="Courier New"/>
                <w:sz w:val="17"/>
                <w:szCs w:val="17"/>
                <w:color w:val="auto"/>
              </w:rPr>
              <w:t>June 26, 1998</w:t>
            </w: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Robert Lothrop</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383"/>
        </w:trPr>
        <w:tc>
          <w:tcPr>
            <w:tcW w:w="3980" w:type="dxa"/>
            <w:vAlign w:val="bottom"/>
          </w:tcPr>
          <w:p>
            <w:pPr>
              <w:ind w:left="200"/>
              <w:spacing w:after="0"/>
              <w:rPr>
                <w:sz w:val="20"/>
                <w:szCs w:val="20"/>
                <w:color w:val="auto"/>
              </w:rPr>
            </w:pPr>
            <w:r>
              <w:rPr>
                <w:rFonts w:ascii="Courier New" w:cs="Courier New" w:eastAsia="Courier New" w:hAnsi="Courier New"/>
                <w:sz w:val="17"/>
                <w:szCs w:val="17"/>
                <w:color w:val="auto"/>
              </w:rPr>
              <w:t>/s/ Thomas T. Nicholson</w:t>
            </w:r>
          </w:p>
        </w:tc>
        <w:tc>
          <w:tcPr>
            <w:tcW w:w="418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2080" w:type="dxa"/>
            <w:vAlign w:val="bottom"/>
          </w:tcPr>
          <w:p>
            <w:pPr>
              <w:ind w:left="200"/>
              <w:spacing w:after="0"/>
              <w:rPr>
                <w:sz w:val="20"/>
                <w:szCs w:val="20"/>
                <w:color w:val="auto"/>
              </w:rPr>
            </w:pPr>
            <w:r>
              <w:rPr>
                <w:rFonts w:ascii="Courier New" w:cs="Courier New" w:eastAsia="Courier New" w:hAnsi="Courier New"/>
                <w:sz w:val="17"/>
                <w:szCs w:val="17"/>
                <w:color w:val="auto"/>
              </w:rPr>
              <w:t>June 26, 1998</w:t>
            </w:r>
          </w:p>
        </w:tc>
      </w:tr>
      <w:tr>
        <w:trPr>
          <w:trHeight w:val="191"/>
        </w:trPr>
        <w:tc>
          <w:tcPr>
            <w:tcW w:w="39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3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Thomas T. Nicholson</w:t>
            </w:r>
          </w:p>
        </w:tc>
        <w:tc>
          <w:tcPr>
            <w:tcW w:w="4180" w:type="dxa"/>
            <w:vAlign w:val="bottom"/>
          </w:tcPr>
          <w:p>
            <w:pPr>
              <w:spacing w:after="0"/>
              <w:rPr>
                <w:sz w:val="16"/>
                <w:szCs w:val="16"/>
                <w:color w:val="auto"/>
              </w:rPr>
            </w:pPr>
          </w:p>
        </w:tc>
        <w:tc>
          <w:tcPr>
            <w:tcW w:w="2080" w:type="dxa"/>
            <w:vAlign w:val="bottom"/>
          </w:tcPr>
          <w:p>
            <w:pPr>
              <w:spacing w:after="0"/>
              <w:rPr>
                <w:sz w:val="16"/>
                <w:szCs w:val="16"/>
                <w:color w:val="auto"/>
              </w:rPr>
            </w:pPr>
          </w:p>
        </w:tc>
      </w:tr>
    </w:tbl>
    <w:p>
      <w:pPr>
        <w:spacing w:after="0" w:line="1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Director</w:t>
      </w:r>
    </w:p>
    <w:p>
      <w:pPr>
        <w:ind w:left="200" w:hanging="198"/>
        <w:spacing w:after="0" w:line="238" w:lineRule="auto"/>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Don J. Simplot</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40"/>
          </w:cols>
          <w:pgMar w:left="240" w:top="683" w:right="1419" w:bottom="1440" w:gutter="0" w:footer="0" w:header="0"/>
        </w:sectPr>
      </w:pPr>
    </w:p>
    <w:bookmarkStart w:id="15" w:name="page16"/>
    <w:bookmarkEnd w:id="15"/>
    <w:p>
      <w:pPr>
        <w:ind w:left="1398"/>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5058" w:space="720"/>
            <w:col w:w="3340" w:space="720"/>
            <w:col w:w="400"/>
          </w:cols>
          <w:pgMar w:left="242" w:top="1072" w:right="1419" w:bottom="1440" w:gutter="0" w:footer="0" w:header="0"/>
        </w:sectPr>
      </w:pPr>
    </w:p>
    <w:p>
      <w:pPr>
        <w:spacing w:after="0" w:line="193" w:lineRule="exact"/>
        <w:rPr>
          <w:sz w:val="20"/>
          <w:szCs w:val="20"/>
          <w:color w:val="auto"/>
        </w:rPr>
      </w:pPr>
    </w:p>
    <w:p>
      <w:pPr>
        <w:ind w:left="198"/>
        <w:spacing w:after="0"/>
        <w:rPr>
          <w:sz w:val="20"/>
          <w:szCs w:val="20"/>
          <w:color w:val="auto"/>
        </w:rPr>
      </w:pPr>
      <w:r>
        <w:rPr>
          <w:rFonts w:ascii="Courier New" w:cs="Courier New" w:eastAsia="Courier New" w:hAnsi="Courier New"/>
          <w:sz w:val="16"/>
          <w:szCs w:val="16"/>
          <w:color w:val="auto"/>
        </w:rPr>
        <w:t>/s/ John R. Simplot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1998</w:t>
      </w:r>
    </w:p>
    <w:p>
      <w:pPr>
        <w:spacing w:after="0" w:line="3" w:lineRule="exact"/>
        <w:rPr>
          <w:sz w:val="20"/>
          <w:szCs w:val="20"/>
          <w:color w:val="auto"/>
        </w:rPr>
      </w:pPr>
    </w:p>
    <w:p>
      <w:pPr>
        <w:sectPr>
          <w:pgSz w:w="11900" w:h="16838" w:orient="portrait"/>
          <w:cols w:equalWidth="0" w:num="3">
            <w:col w:w="3258" w:space="720"/>
            <w:col w:w="3660" w:space="720"/>
            <w:col w:w="1880"/>
          </w:cols>
          <w:pgMar w:left="242" w:top="1072" w:right="1419" w:bottom="1440" w:gutter="0" w:footer="0" w:header="0"/>
          <w:type w:val="continuous"/>
        </w:sectPr>
      </w:pPr>
    </w:p>
    <w:p>
      <w:pPr>
        <w:ind w:left="198" w:hanging="198"/>
        <w:spacing w:after="0"/>
        <w:tabs>
          <w:tab w:leader="none" w:pos="198"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98"/>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John R. Simplot</w:t>
      </w:r>
    </w:p>
    <w:p>
      <w:pPr>
        <w:spacing w:after="0" w:line="190" w:lineRule="exact"/>
        <w:rPr>
          <w:sz w:val="20"/>
          <w:szCs w:val="20"/>
          <w:color w:val="auto"/>
        </w:rPr>
      </w:pPr>
    </w:p>
    <w:p>
      <w:pPr>
        <w:ind w:left="198"/>
        <w:spacing w:after="0"/>
        <w:tabs>
          <w:tab w:leader="none" w:pos="3958" w:val="left"/>
          <w:tab w:leader="none" w:pos="8338" w:val="left"/>
        </w:tabs>
        <w:rPr>
          <w:sz w:val="20"/>
          <w:szCs w:val="20"/>
          <w:color w:val="auto"/>
        </w:rPr>
      </w:pPr>
      <w:r>
        <w:rPr>
          <w:rFonts w:ascii="Courier New" w:cs="Courier New" w:eastAsia="Courier New" w:hAnsi="Courier New"/>
          <w:sz w:val="17"/>
          <w:szCs w:val="17"/>
          <w:color w:val="auto"/>
        </w:rPr>
        <w:t>/s/ Gordon C. Smith</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June 26, 1998</w:t>
      </w:r>
    </w:p>
    <w:p>
      <w:pPr>
        <w:ind w:left="198" w:hanging="198"/>
        <w:spacing w:after="0" w:line="238" w:lineRule="auto"/>
        <w:tabs>
          <w:tab w:leader="none" w:pos="1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98"/>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Gordon C. Smith</w:t>
      </w:r>
    </w:p>
    <w:p>
      <w:pPr>
        <w:spacing w:after="0" w:line="381" w:lineRule="exact"/>
        <w:rPr>
          <w:sz w:val="20"/>
          <w:szCs w:val="20"/>
          <w:color w:val="auto"/>
        </w:rPr>
      </w:pPr>
    </w:p>
    <w:p>
      <w:pPr>
        <w:ind w:left="3778"/>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38"/>
          </w:cols>
          <w:pgMar w:left="242" w:top="1072" w:right="141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6060" w:type="dxa"/>
            <w:vAlign w:val="bottom"/>
            <w:gridSpan w:val="2"/>
          </w:tcPr>
          <w:p>
            <w:pPr>
              <w:ind w:left="1580"/>
              <w:spacing w:after="0"/>
              <w:rPr>
                <w:sz w:val="20"/>
                <w:szCs w:val="20"/>
                <w:color w:val="auto"/>
              </w:rPr>
            </w:pPr>
            <w:r>
              <w:rPr>
                <w:rFonts w:ascii="Courier New" w:cs="Courier New" w:eastAsia="Courier New" w:hAnsi="Courier New"/>
                <w:sz w:val="17"/>
                <w:szCs w:val="17"/>
                <w:color w:val="auto"/>
              </w:rPr>
              <w:t>INDEX TO EXHIBITS</w:t>
            </w:r>
          </w:p>
        </w:tc>
      </w:tr>
      <w:tr>
        <w:trPr>
          <w:trHeight w:val="383"/>
        </w:trPr>
        <w:tc>
          <w:tcPr>
            <w:tcW w:w="1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EXHIBIT NUMBER</w:t>
            </w:r>
          </w:p>
        </w:tc>
        <w:tc>
          <w:tcPr>
            <w:tcW w:w="1940" w:type="dxa"/>
            <w:vAlign w:val="bottom"/>
          </w:tcPr>
          <w:p>
            <w:pPr>
              <w:spacing w:after="0"/>
              <w:rPr>
                <w:sz w:val="24"/>
                <w:szCs w:val="24"/>
                <w:color w:val="auto"/>
              </w:rPr>
            </w:pPr>
          </w:p>
        </w:tc>
        <w:tc>
          <w:tcPr>
            <w:tcW w:w="4120" w:type="dxa"/>
            <w:vAlign w:val="bottom"/>
          </w:tcPr>
          <w:p>
            <w:pPr>
              <w:ind w:left="440"/>
              <w:spacing w:after="0"/>
              <w:rPr>
                <w:sz w:val="20"/>
                <w:szCs w:val="20"/>
                <w:color w:val="auto"/>
              </w:rPr>
            </w:pPr>
            <w:r>
              <w:rPr>
                <w:rFonts w:ascii="Courier New" w:cs="Courier New" w:eastAsia="Courier New" w:hAnsi="Courier New"/>
                <w:sz w:val="17"/>
                <w:szCs w:val="17"/>
                <w:color w:val="auto"/>
              </w:rPr>
              <w:t>DESCRIPTION OF EXHIBIT</w:t>
            </w:r>
          </w:p>
        </w:tc>
      </w:tr>
      <w:tr>
        <w:trPr>
          <w:trHeight w:val="383"/>
        </w:trPr>
        <w:tc>
          <w:tcPr>
            <w:tcW w:w="15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23.1</w:t>
            </w:r>
          </w:p>
        </w:tc>
        <w:tc>
          <w:tcPr>
            <w:tcW w:w="1940" w:type="dxa"/>
            <w:vAlign w:val="bottom"/>
          </w:tcPr>
          <w:p>
            <w:pPr>
              <w:ind w:left="100"/>
              <w:spacing w:after="0"/>
              <w:rPr>
                <w:sz w:val="20"/>
                <w:szCs w:val="20"/>
                <w:color w:val="auto"/>
              </w:rPr>
            </w:pPr>
            <w:r>
              <w:rPr>
                <w:rFonts w:ascii="Courier New" w:cs="Courier New" w:eastAsia="Courier New" w:hAnsi="Courier New"/>
                <w:sz w:val="17"/>
                <w:szCs w:val="17"/>
                <w:color w:val="auto"/>
                <w:w w:val="99"/>
              </w:rPr>
              <w:t>Consent of Coopers</w:t>
            </w:r>
          </w:p>
        </w:tc>
        <w:tc>
          <w:tcPr>
            <w:tcW w:w="4120" w:type="dxa"/>
            <w:vAlign w:val="bottom"/>
          </w:tcPr>
          <w:p>
            <w:pPr>
              <w:ind w:left="40"/>
              <w:spacing w:after="0"/>
              <w:rPr>
                <w:sz w:val="20"/>
                <w:szCs w:val="20"/>
                <w:color w:val="auto"/>
              </w:rPr>
            </w:pPr>
            <w:r>
              <w:rPr>
                <w:rFonts w:ascii="Courier New" w:cs="Courier New" w:eastAsia="Courier New" w:hAnsi="Courier New"/>
                <w:sz w:val="17"/>
                <w:szCs w:val="17"/>
                <w:color w:val="auto"/>
              </w:rPr>
              <w:t>&amp; Lybrand L.L.P.</w:t>
            </w:r>
          </w:p>
        </w:tc>
      </w:tr>
      <w:tr>
        <w:trPr>
          <w:trHeight w:val="191"/>
        </w:trPr>
        <w:tc>
          <w:tcPr>
            <w:tcW w:w="15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23.2</w:t>
            </w:r>
          </w:p>
        </w:tc>
        <w:tc>
          <w:tcPr>
            <w:tcW w:w="1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Consent of Roderic</w:t>
            </w:r>
          </w:p>
        </w:tc>
        <w:tc>
          <w:tcPr>
            <w:tcW w:w="41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7"/>
              </w:rPr>
              <w:t>W. Lewis, Esq.  (included in Exhibit 5.1)</w:t>
            </w:r>
          </w:p>
        </w:tc>
      </w:tr>
      <w:tr>
        <w:trPr>
          <w:trHeight w:val="191"/>
        </w:trPr>
        <w:tc>
          <w:tcPr>
            <w:tcW w:w="15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24.1</w:t>
            </w:r>
          </w:p>
        </w:tc>
        <w:tc>
          <w:tcPr>
            <w:tcW w:w="1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Powers of Attorney</w:t>
            </w:r>
          </w:p>
        </w:tc>
        <w:tc>
          <w:tcPr>
            <w:tcW w:w="41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9"/>
              </w:rPr>
              <w:t>of certain directors and officers of the</w:t>
            </w:r>
          </w:p>
        </w:tc>
      </w:tr>
      <w:tr>
        <w:trPr>
          <w:trHeight w:val="191"/>
        </w:trPr>
        <w:tc>
          <w:tcPr>
            <w:tcW w:w="1500" w:type="dxa"/>
            <w:vAlign w:val="bottom"/>
          </w:tcPr>
          <w:p>
            <w:pPr>
              <w:spacing w:after="0"/>
              <w:rPr>
                <w:sz w:val="16"/>
                <w:szCs w:val="16"/>
                <w:color w:val="auto"/>
              </w:rPr>
            </w:pPr>
          </w:p>
        </w:tc>
        <w:tc>
          <w:tcPr>
            <w:tcW w:w="1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9"/>
              </w:rPr>
              <w:t>Company (contained</w:t>
            </w:r>
          </w:p>
        </w:tc>
        <w:tc>
          <w:tcPr>
            <w:tcW w:w="41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on Page II-4)</w:t>
            </w:r>
          </w:p>
        </w:tc>
      </w:tr>
    </w:tbl>
    <w:p>
      <w:pPr>
        <w:sectPr>
          <w:pgSz w:w="11900" w:h="16838" w:orient="portrait"/>
          <w:cols w:equalWidth="0" w:num="1">
            <w:col w:w="10219"/>
          </w:cols>
          <w:pgMar w:left="240" w:top="683" w:right="1440" w:bottom="1440" w:gutter="0" w:footer="0" w:header="0"/>
        </w:sectPr>
      </w:pPr>
    </w:p>
    <w:bookmarkStart w:id="17" w:name="page18"/>
    <w:bookmarkEnd w:id="17"/>
    <w:p>
      <w:pPr>
        <w:jc w:val="right"/>
        <w:ind w:right="2259"/>
        <w:spacing w:after="0"/>
        <w:rPr>
          <w:sz w:val="20"/>
          <w:szCs w:val="20"/>
          <w:color w:val="auto"/>
        </w:rPr>
      </w:pPr>
      <w:r>
        <w:rPr>
          <w:rFonts w:ascii="Courier New" w:cs="Courier New" w:eastAsia="Courier New" w:hAnsi="Courier New"/>
          <w:sz w:val="17"/>
          <w:szCs w:val="17"/>
          <w:color w:val="auto"/>
        </w:rPr>
        <w:t>EXHIBIT 23.1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of Micron Technology, Inc. on Form S-3 to be filed on June 29, 1998 of our report dated October 2, 1997 on our audits of the consolidated financial statements of Micron Technology, Inc. and subsidiaries, as of August 28, 1997 and August 29, 1996 and for each of the three years in the period ended August 28, 1997, which report is included in the Annual Report on Form 10-K of Micron Technology, Inc. filed with the Securities and Exchange Commission pursuant to the Securities Exchange Act of 1934. We also consent to the reference to our firm under the caption "Experts".</w:t>
      </w:r>
    </w:p>
    <w:p>
      <w:pPr>
        <w:spacing w:after="0" w:line="1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Coopers &amp; Lybrand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Boise, ID</w:t>
      </w:r>
    </w:p>
    <w:p>
      <w:pPr>
        <w:spacing w:after="0" w:line="238" w:lineRule="auto"/>
        <w:rPr>
          <w:sz w:val="20"/>
          <w:szCs w:val="20"/>
          <w:color w:val="auto"/>
        </w:rPr>
      </w:pPr>
      <w:r>
        <w:rPr>
          <w:rFonts w:ascii="Courier New" w:cs="Courier New" w:eastAsia="Courier New" w:hAnsi="Courier New"/>
          <w:sz w:val="17"/>
          <w:szCs w:val="17"/>
          <w:color w:val="auto"/>
        </w:rPr>
        <w:t>June 26, 1998</w:t>
      </w:r>
    </w:p>
    <w:sectPr>
      <w:pgSz w:w="11900" w:h="16838" w:orient="portrait"/>
      <w:cols w:equalWidth="0" w:num="1">
        <w:col w:w="10219"/>
      </w:cols>
      <w:pgMar w:left="240" w:top="5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5">
    <w:nsid w:val="7545E146"/>
    <w:multiLevelType w:val="hybridMultilevel"/>
    <w:lvl w:ilvl="0">
      <w:lvlJc w:val="left"/>
      <w:lvlText w:val="%1"/>
      <w:numFmt w:val="decimal"/>
      <w:start w:val="1"/>
    </w:lvl>
    <w:lvl w:ilvl="1">
      <w:lvlJc w:val="left"/>
      <w:lvlText w:val="(%2)"/>
      <w:numFmt w:val="decimal"/>
      <w:start w:val="2"/>
    </w:lvl>
  </w:abstractNum>
  <w:abstractNum w:abstractNumId="6">
    <w:nsid w:val="515F007C"/>
    <w:multiLevelType w:val="hybridMultilevel"/>
    <w:lvl w:ilvl="0">
      <w:lvlJc w:val="left"/>
      <w:lvlText w:val="%1."/>
      <w:numFmt w:val="decimal"/>
      <w:start w:val="2"/>
    </w:lvl>
    <w:lvl w:ilvl="1">
      <w:lvlJc w:val="left"/>
      <w:lvlText w:val="%2"/>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2019-12-13T13:30:50Z</dcterms:created>
  <dcterms:modified xsi:type="dcterms:W3CDTF">2019-12-13T13:30:50Z</dcterms:modified>
</cp:coreProperties>
</file>