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May 7, 2010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0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00" w:type="dxa"/>
            <w:vAlign w:val="bottom"/>
          </w:tcPr>
          <w:p>
            <w:pPr>
              <w:jc w:val="center"/>
              <w:ind w:left="33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40" w:type="dxa"/>
            <w:vAlign w:val="bottom"/>
          </w:tcPr>
          <w:p>
            <w:pPr>
              <w:jc w:val="right"/>
              <w:ind w:right="45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40" w:type="dxa"/>
            <w:vAlign w:val="bottom"/>
          </w:tcPr>
          <w:p>
            <w:pPr>
              <w:spacing w:after="0"/>
              <w:rPr>
                <w:sz w:val="24"/>
                <w:szCs w:val="24"/>
                <w:color w:val="auto"/>
              </w:rPr>
            </w:pPr>
          </w:p>
        </w:tc>
      </w:tr>
      <w:tr>
        <w:trPr>
          <w:trHeight w:val="23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20"/>
                <w:szCs w:val="20"/>
                <w:color w:val="auto"/>
              </w:rPr>
            </w:pPr>
          </w:p>
        </w:tc>
      </w:tr>
      <w:tr>
        <w:trPr>
          <w:trHeight w:val="217"/>
        </w:trPr>
        <w:tc>
          <w:tcPr>
            <w:tcW w:w="38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18415</wp:posOffset>
            </wp:positionV>
            <wp:extent cx="32861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676275</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1168400</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620" w:val="left"/>
        </w:tabs>
        <w:rPr>
          <w:sz w:val="20"/>
          <w:szCs w:val="20"/>
          <w:color w:val="auto"/>
        </w:rPr>
      </w:pPr>
      <w:r>
        <w:rPr>
          <w:rFonts w:ascii="Arial" w:cs="Arial" w:eastAsia="Arial" w:hAnsi="Arial"/>
          <w:sz w:val="17"/>
          <w:szCs w:val="17"/>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May 7, 2010, in connection with the consummation of the Share Purchase (as defined and described in Item 2.01 below), Micron Technology, Inc.</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Micron</w:t>
      </w:r>
      <w:r>
        <w:rPr>
          <w:rFonts w:ascii="Arial" w:cs="Arial" w:eastAsia="Arial" w:hAnsi="Arial"/>
          <w:sz w:val="16"/>
          <w:szCs w:val="16"/>
          <w:color w:val="auto"/>
        </w:rPr>
        <w:t>”), Intel Corporation (“</w:t>
      </w:r>
      <w:r>
        <w:rPr>
          <w:rFonts w:ascii="Arial" w:cs="Arial" w:eastAsia="Arial" w:hAnsi="Arial"/>
          <w:sz w:val="16"/>
          <w:szCs w:val="16"/>
          <w:b w:val="1"/>
          <w:bCs w:val="1"/>
          <w:color w:val="auto"/>
        </w:rPr>
        <w:t>Intel</w:t>
      </w:r>
      <w:r>
        <w:rPr>
          <w:rFonts w:ascii="Arial" w:cs="Arial" w:eastAsia="Arial" w:hAnsi="Arial"/>
          <w:sz w:val="16"/>
          <w:szCs w:val="16"/>
          <w:color w:val="auto"/>
        </w:rPr>
        <w:t>”), Intel Technology Asia Pte Ltd (“</w:t>
      </w:r>
      <w:r>
        <w:rPr>
          <w:rFonts w:ascii="Arial" w:cs="Arial" w:eastAsia="Arial" w:hAnsi="Arial"/>
          <w:sz w:val="16"/>
          <w:szCs w:val="16"/>
          <w:b w:val="1"/>
          <w:bCs w:val="1"/>
          <w:color w:val="auto"/>
        </w:rPr>
        <w:t>ITA</w:t>
      </w:r>
      <w:r>
        <w:rPr>
          <w:rFonts w:ascii="Arial" w:cs="Arial" w:eastAsia="Arial" w:hAnsi="Arial"/>
          <w:sz w:val="16"/>
          <w:szCs w:val="16"/>
          <w:color w:val="auto"/>
        </w:rPr>
        <w:t>”), STMicroelectronics N.V. (“</w:t>
      </w:r>
      <w:r>
        <w:rPr>
          <w:rFonts w:ascii="Arial" w:cs="Arial" w:eastAsia="Arial" w:hAnsi="Arial"/>
          <w:sz w:val="16"/>
          <w:szCs w:val="16"/>
          <w:b w:val="1"/>
          <w:bCs w:val="1"/>
          <w:color w:val="auto"/>
        </w:rPr>
        <w:t>ST</w:t>
      </w:r>
      <w:r>
        <w:rPr>
          <w:rFonts w:ascii="Arial" w:cs="Arial" w:eastAsia="Arial" w:hAnsi="Arial"/>
          <w:sz w:val="16"/>
          <w:szCs w:val="16"/>
          <w:color w:val="auto"/>
        </w:rPr>
        <w:t>”), Redwood Blocker S.a.r.l. (“</w:t>
      </w:r>
      <w:r>
        <w:rPr>
          <w:rFonts w:ascii="Arial" w:cs="Arial" w:eastAsia="Arial" w:hAnsi="Arial"/>
          <w:sz w:val="16"/>
          <w:szCs w:val="16"/>
          <w:b w:val="1"/>
          <w:bCs w:val="1"/>
          <w:color w:val="auto"/>
        </w:rPr>
        <w:t>Redwood</w:t>
      </w:r>
      <w:r>
        <w:rPr>
          <w:rFonts w:ascii="Arial" w:cs="Arial" w:eastAsia="Arial" w:hAnsi="Arial"/>
          <w:sz w:val="16"/>
          <w:szCs w:val="16"/>
          <w:color w:val="auto"/>
        </w:rPr>
        <w:t>”) and PK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Flash, LLC (“</w:t>
      </w:r>
      <w:r>
        <w:rPr>
          <w:rFonts w:ascii="Arial" w:cs="Arial" w:eastAsia="Arial" w:hAnsi="Arial"/>
          <w:sz w:val="16"/>
          <w:szCs w:val="16"/>
          <w:b w:val="1"/>
          <w:bCs w:val="1"/>
          <w:color w:val="auto"/>
        </w:rPr>
        <w:t>PK</w:t>
      </w:r>
      <w:r>
        <w:rPr>
          <w:rFonts w:ascii="Arial" w:cs="Arial" w:eastAsia="Arial" w:hAnsi="Arial"/>
          <w:sz w:val="16"/>
          <w:szCs w:val="16"/>
          <w:color w:val="auto"/>
        </w:rPr>
        <w:t>”, and collectively with Intel, ITA, ST and Redwood, the “</w:t>
      </w:r>
      <w:r>
        <w:rPr>
          <w:rFonts w:ascii="Arial" w:cs="Arial" w:eastAsia="Arial" w:hAnsi="Arial"/>
          <w:sz w:val="16"/>
          <w:szCs w:val="16"/>
          <w:b w:val="1"/>
          <w:bCs w:val="1"/>
          <w:color w:val="auto"/>
        </w:rPr>
        <w:t>Sellers</w:t>
      </w:r>
      <w:r>
        <w:rPr>
          <w:rFonts w:ascii="Arial" w:cs="Arial" w:eastAsia="Arial" w:hAnsi="Arial"/>
          <w:sz w:val="16"/>
          <w:szCs w:val="16"/>
          <w:color w:val="auto"/>
        </w:rPr>
        <w:t>”), entered into a stockholder rights and restrictions agreement (the “</w:t>
      </w:r>
      <w:r>
        <w:rPr>
          <w:rFonts w:ascii="Arial" w:cs="Arial" w:eastAsia="Arial" w:hAnsi="Arial"/>
          <w:sz w:val="16"/>
          <w:szCs w:val="16"/>
          <w:b w:val="1"/>
          <w:bCs w:val="1"/>
          <w:color w:val="auto"/>
        </w:rPr>
        <w:t>SHRRA</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pursuant to which, among other things, Micron may be required under certain conditions to prepare and file with the Securities and Exchange Commission a</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registration statement covering the resale of Micron Shares (as defined in Item 2.01 below), subject to certain customary rights enabling Micron to postpone the filing</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of the registration statement and suspend the effectiveness of such registration for certain periods and subject to customary cross-indemnification and expense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provisions. Pursuant to the SHRRA, Micron has agreed to use commercially reasonable efforts to file a registration statement on Form S-3 (a “</w:t>
      </w:r>
      <w:r>
        <w:rPr>
          <w:rFonts w:ascii="Arial" w:cs="Arial" w:eastAsia="Arial" w:hAnsi="Arial"/>
          <w:sz w:val="15"/>
          <w:szCs w:val="15"/>
          <w:b w:val="1"/>
          <w:bCs w:val="1"/>
          <w:color w:val="auto"/>
        </w:rPr>
        <w:t>Shelf Registration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Statement</w:t>
      </w:r>
      <w:r>
        <w:rPr>
          <w:rFonts w:ascii="Arial" w:cs="Arial" w:eastAsia="Arial" w:hAnsi="Arial"/>
          <w:sz w:val="15"/>
          <w:szCs w:val="15"/>
          <w:color w:val="auto"/>
        </w:rPr>
        <w:t>”) to effect the registration under the Securities Act of any Micron Shares held by any Seller who, as a result of being considered an affiliate of Micron for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purposes of Rule 144 under the Securities Act (“</w:t>
      </w:r>
      <w:r>
        <w:rPr>
          <w:rFonts w:ascii="Arial" w:cs="Arial" w:eastAsia="Arial" w:hAnsi="Arial"/>
          <w:sz w:val="16"/>
          <w:szCs w:val="16"/>
          <w:b w:val="1"/>
          <w:bCs w:val="1"/>
          <w:color w:val="auto"/>
        </w:rPr>
        <w:t>Rule 144</w:t>
      </w:r>
      <w:r>
        <w:rPr>
          <w:rFonts w:ascii="Arial" w:cs="Arial" w:eastAsia="Arial" w:hAnsi="Arial"/>
          <w:sz w:val="16"/>
          <w:szCs w:val="16"/>
          <w:color w:val="auto"/>
        </w:rPr>
        <w:t>”), is unable to sell its Micron Shares within a three-month period due to the volume limitations generally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applicable to affiliates of an issuer under Rule 144 (the “</w:t>
      </w:r>
      <w:r>
        <w:rPr>
          <w:rFonts w:ascii="Arial" w:cs="Arial" w:eastAsia="Arial" w:hAnsi="Arial"/>
          <w:sz w:val="16"/>
          <w:szCs w:val="16"/>
          <w:b w:val="1"/>
          <w:bCs w:val="1"/>
          <w:color w:val="auto"/>
        </w:rPr>
        <w:t>Registration Conditions</w:t>
      </w:r>
      <w:r>
        <w:rPr>
          <w:rFonts w:ascii="Arial" w:cs="Arial" w:eastAsia="Arial" w:hAnsi="Arial"/>
          <w:sz w:val="16"/>
          <w:szCs w:val="16"/>
          <w:color w:val="auto"/>
        </w:rPr>
        <w:t>”), upon the request of any Seller meeting the Registration Conditions which 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made between November 7, 2011 and May 6, 2013.</w:t>
      </w:r>
    </w:p>
    <w:p>
      <w:pPr>
        <w:spacing w:after="0" w:line="23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The SHRRA also contains a prohibition on the transfer of Micron Shares by the Sellers prior to the expiration of a six-month lock-up period, subject to customary exceptions for certain permitted transfers. Subject to certain limited exceptions, ST has agreed that in respect of any matter to be voted on by Micron’s stockholders, so long as ST and its affiliates beneficially own 5% or more of Micron’s outstanding common stock, ST will vote its Micron Shares (and any other Micron voting securities owned by it at such time) in the same manner as recommended by the board of directors of Micron to Micron’s shareholders in respect of such matter.</w:t>
      </w:r>
    </w:p>
    <w:p>
      <w:pPr>
        <w:spacing w:after="0" w:line="206"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In addition, each Seller and its controlled affiliates are subject to certain standstill restrictions under the SHRRA whereby the Sellers have agreed not to, and have agreed to cause their controlled affiliates not to, among other things, acquire any Micron securities, assets or businesses, make or participate in any proxy solicitation in respect of Micron’s common stock, or seek to influence or control Micron’s board of directors. The standstill restrictions apply until the earlier to occur of (a) May 7, 2013; (b) the consummation of a change in control of Micron; and (c) the date on which such Seller and its affiliates no longer beneficially own 5% or more of Micron’s outstanding common stock.</w:t>
      </w:r>
    </w:p>
    <w:p>
      <w:pPr>
        <w:spacing w:after="0" w:line="200" w:lineRule="exact"/>
        <w:rPr>
          <w:sz w:val="20"/>
          <w:szCs w:val="20"/>
          <w:color w:val="auto"/>
        </w:rPr>
      </w:pPr>
    </w:p>
    <w:p>
      <w:pPr>
        <w:spacing w:after="0" w:line="232" w:lineRule="exact"/>
        <w:rPr>
          <w:sz w:val="20"/>
          <w:szCs w:val="20"/>
          <w:color w:val="auto"/>
        </w:rPr>
      </w:pPr>
    </w:p>
    <w:p>
      <w:pPr>
        <w:spacing w:after="0"/>
        <w:tabs>
          <w:tab w:leader="none" w:pos="1620" w:val="left"/>
        </w:tabs>
        <w:rPr>
          <w:sz w:val="20"/>
          <w:szCs w:val="20"/>
          <w:color w:val="auto"/>
        </w:rPr>
      </w:pPr>
      <w:r>
        <w:rPr>
          <w:rFonts w:ascii="Arial" w:cs="Arial" w:eastAsia="Arial" w:hAnsi="Arial"/>
          <w:sz w:val="17"/>
          <w:szCs w:val="17"/>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43" w:lineRule="exact"/>
        <w:rPr>
          <w:sz w:val="20"/>
          <w:szCs w:val="20"/>
          <w:color w:val="auto"/>
        </w:rPr>
      </w:pPr>
    </w:p>
    <w:p>
      <w:pPr>
        <w:jc w:val="both"/>
        <w:ind w:firstLine="620"/>
        <w:spacing w:after="0" w:line="277" w:lineRule="auto"/>
        <w:rPr>
          <w:sz w:val="20"/>
          <w:szCs w:val="20"/>
          <w:color w:val="auto"/>
        </w:rPr>
      </w:pPr>
      <w:r>
        <w:rPr>
          <w:rFonts w:ascii="Arial" w:cs="Arial" w:eastAsia="Arial" w:hAnsi="Arial"/>
          <w:sz w:val="16"/>
          <w:szCs w:val="16"/>
          <w:color w:val="auto"/>
        </w:rPr>
        <w:t>Pursuant to the Share Purchase Agreement (the “</w:t>
      </w:r>
      <w:r>
        <w:rPr>
          <w:rFonts w:ascii="Arial" w:cs="Arial" w:eastAsia="Arial" w:hAnsi="Arial"/>
          <w:sz w:val="16"/>
          <w:szCs w:val="16"/>
          <w:b w:val="1"/>
          <w:bCs w:val="1"/>
          <w:color w:val="auto"/>
        </w:rPr>
        <w:t>Purchase Agreement</w:t>
      </w:r>
      <w:r>
        <w:rPr>
          <w:rFonts w:ascii="Arial" w:cs="Arial" w:eastAsia="Arial" w:hAnsi="Arial"/>
          <w:sz w:val="16"/>
          <w:szCs w:val="16"/>
          <w:color w:val="auto"/>
        </w:rPr>
        <w:t>”), dated February 9, 2010, by and among Micron, Micron Semiconductor, B.V. (“</w:t>
      </w:r>
      <w:r>
        <w:rPr>
          <w:rFonts w:ascii="Arial" w:cs="Arial" w:eastAsia="Arial" w:hAnsi="Arial"/>
          <w:sz w:val="16"/>
          <w:szCs w:val="16"/>
          <w:b w:val="1"/>
          <w:bCs w:val="1"/>
          <w:color w:val="auto"/>
        </w:rPr>
        <w:t>MNL</w:t>
      </w:r>
      <w:r>
        <w:rPr>
          <w:rFonts w:ascii="Arial" w:cs="Arial" w:eastAsia="Arial" w:hAnsi="Arial"/>
          <w:sz w:val="16"/>
          <w:szCs w:val="16"/>
          <w:color w:val="auto"/>
        </w:rPr>
        <w:t>”), a wholly-owned subsidiary of Micron, and the Sellers, on May 7, 2010, Micron completed its acquisition (the “</w:t>
      </w:r>
      <w:r>
        <w:rPr>
          <w:rFonts w:ascii="Arial" w:cs="Arial" w:eastAsia="Arial" w:hAnsi="Arial"/>
          <w:sz w:val="16"/>
          <w:szCs w:val="16"/>
          <w:b w:val="1"/>
          <w:bCs w:val="1"/>
          <w:color w:val="auto"/>
        </w:rPr>
        <w:t>Share Purchase</w:t>
      </w:r>
      <w:r>
        <w:rPr>
          <w:rFonts w:ascii="Arial" w:cs="Arial" w:eastAsia="Arial" w:hAnsi="Arial"/>
          <w:sz w:val="16"/>
          <w:szCs w:val="16"/>
          <w:color w:val="auto"/>
        </w:rPr>
        <w:t>”) of all of the outstanding shares of capital stock of Numonyx Holdings B.V. (“</w:t>
      </w:r>
      <w:r>
        <w:rPr>
          <w:rFonts w:ascii="Arial" w:cs="Arial" w:eastAsia="Arial" w:hAnsi="Arial"/>
          <w:sz w:val="16"/>
          <w:szCs w:val="16"/>
          <w:b w:val="1"/>
          <w:bCs w:val="1"/>
          <w:color w:val="auto"/>
        </w:rPr>
        <w:t>Numonyx</w:t>
      </w:r>
      <w:r>
        <w:rPr>
          <w:rFonts w:ascii="Arial" w:cs="Arial" w:eastAsia="Arial" w:hAnsi="Arial"/>
          <w:sz w:val="16"/>
          <w:szCs w:val="16"/>
          <w:color w:val="auto"/>
        </w:rPr>
        <w:t>”) from the Sellers for a total consideration consisting of 137,710,146 shares of Micron common stock (the “</w:t>
      </w:r>
      <w:r>
        <w:rPr>
          <w:rFonts w:ascii="Arial" w:cs="Arial" w:eastAsia="Arial" w:hAnsi="Arial"/>
          <w:sz w:val="16"/>
          <w:szCs w:val="16"/>
          <w:b w:val="1"/>
          <w:bCs w:val="1"/>
          <w:color w:val="auto"/>
        </w:rPr>
        <w:t>Micron Shares</w:t>
      </w:r>
      <w:r>
        <w:rPr>
          <w:rFonts w:ascii="Arial" w:cs="Arial" w:eastAsia="Arial" w:hAnsi="Arial"/>
          <w:sz w:val="16"/>
          <w:szCs w:val="16"/>
          <w:color w:val="auto"/>
        </w:rPr>
        <w:t>”). Of these M icron Shares, 21,000,000 shares have been placed in escrow for a 12 month period following the closing of the Share Purchase as partial security for the Sellers’ indemnity obligations under the Purchase Agreement. In addition, Micron assumed all outstanding 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held by Numonyx employees representing approximately 4.8 million shares of Micron common stock. Micron announced the completion of the Share Purchase in a press release dated May 7, 2010, a copy of which is filed as Exhibit 99.1 and incorporated herein by reference.</w:t>
      </w:r>
    </w:p>
    <w:p>
      <w:pPr>
        <w:spacing w:after="0" w:line="197"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foregoing description of the Share Purchase is qualified in its entirety by reference to the Purchase Agreement, which was previously filed as Exhibit 10.88 to Micron’s Quarterly Report on Form 10-Q filed with the SEC on April 10, 2010.</w:t>
      </w:r>
    </w:p>
    <w:p>
      <w:pPr>
        <w:spacing w:after="0" w:line="18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Micron’s offer and sale of the Micron Shares was conducted as a private placement pursuant to an exemption from registration provided by Section 4(2)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based on the limited nature of the offering and the Sellers’ status as accredited investors. Accordingly, the Micron Shares issued in the Share Purchase are restricted within the meaning of Rule 144 of the Securities Act. Subject to certain conditions, the Sellers may require Micron to register the Micron Shares for resale on a Form S-3 registration statement pursuant to the SHRRA as described under Item 1.01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529590</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 w:name="page3"/>
    <w:bookmarkEnd w:id="2"/>
    <w:p>
      <w:pPr>
        <w:spacing w:after="0"/>
        <w:tabs>
          <w:tab w:leader="none" w:pos="1620" w:val="left"/>
        </w:tabs>
        <w:rPr>
          <w:sz w:val="20"/>
          <w:szCs w:val="20"/>
          <w:color w:val="auto"/>
        </w:rPr>
      </w:pPr>
      <w:r>
        <w:rPr>
          <w:rFonts w:ascii="Arial" w:cs="Arial" w:eastAsia="Arial" w:hAnsi="Arial"/>
          <w:sz w:val="17"/>
          <w:szCs w:val="17"/>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information set forth in Item 2.01 related to the issuance of the Micron Shares is hereby incorporated by reference under this Item 3.02.</w:t>
      </w:r>
    </w:p>
    <w:p>
      <w:pPr>
        <w:spacing w:after="0" w:line="200" w:lineRule="exact"/>
        <w:rPr>
          <w:sz w:val="20"/>
          <w:szCs w:val="20"/>
          <w:color w:val="auto"/>
        </w:rPr>
      </w:pPr>
    </w:p>
    <w:p>
      <w:pPr>
        <w:spacing w:after="0" w:line="270" w:lineRule="exact"/>
        <w:rPr>
          <w:sz w:val="20"/>
          <w:szCs w:val="20"/>
          <w:color w:val="auto"/>
        </w:rPr>
      </w:pPr>
    </w:p>
    <w:p>
      <w:pPr>
        <w:spacing w:after="0"/>
        <w:tabs>
          <w:tab w:leader="none" w:pos="16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Financial Statements of Business Acquired.</w:t>
      </w:r>
    </w:p>
    <w:p>
      <w:pPr>
        <w:spacing w:after="0" w:line="243"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financial statements required by Item 9.01(a) of Form 8-K will be filed by amendment within 71 calendar days after the date this report on Form 8-K must be filed.</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 Pro Forma Financial Information.</w:t>
      </w:r>
    </w:p>
    <w:p>
      <w:pPr>
        <w:spacing w:after="0" w:line="243"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pro forma financial information required by Item 9.01(b) of Form 8-K will be filed by amendment within 71 calendar days after the date this report on Form 8-K must be filed.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40" w:type="dxa"/>
            <w:vAlign w:val="bottom"/>
            <w:gridSpan w:val="2"/>
          </w:tcPr>
          <w:p>
            <w:pPr>
              <w:jc w:val="right"/>
              <w:ind w:right="114"/>
              <w:spacing w:after="0"/>
              <w:rPr>
                <w:sz w:val="20"/>
                <w:szCs w:val="20"/>
                <w:color w:val="auto"/>
              </w:rPr>
            </w:pPr>
            <w:r>
              <w:rPr>
                <w:rFonts w:ascii="Arial" w:cs="Arial" w:eastAsia="Arial" w:hAnsi="Arial"/>
                <w:sz w:val="17"/>
                <w:szCs w:val="17"/>
                <w:b w:val="1"/>
                <w:bCs w:val="1"/>
                <w:color w:val="auto"/>
                <w:w w:val="92"/>
              </w:rPr>
              <w:t>Exhibit No.</w:t>
            </w:r>
          </w:p>
        </w:tc>
        <w:tc>
          <w:tcPr>
            <w:tcW w:w="10380" w:type="dxa"/>
            <w:vAlign w:val="bottom"/>
          </w:tcPr>
          <w:p>
            <w:pPr>
              <w:ind w:left="22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1020" w:type="dxa"/>
            <w:vAlign w:val="bottom"/>
            <w:tcBorders>
              <w:top w:val="single" w:sz="8" w:color="auto"/>
            </w:tcBorders>
          </w:tcPr>
          <w:p>
            <w:pPr>
              <w:jc w:val="right"/>
              <w:ind w:right="254"/>
              <w:spacing w:after="0"/>
              <w:rPr>
                <w:sz w:val="20"/>
                <w:szCs w:val="20"/>
                <w:color w:val="auto"/>
              </w:rPr>
            </w:pPr>
            <w:r>
              <w:rPr>
                <w:rFonts w:ascii="Arial" w:cs="Arial" w:eastAsia="Arial" w:hAnsi="Arial"/>
                <w:sz w:val="17"/>
                <w:szCs w:val="17"/>
                <w:color w:val="auto"/>
              </w:rPr>
              <w:t>99.1</w:t>
            </w:r>
          </w:p>
        </w:tc>
        <w:tc>
          <w:tcPr>
            <w:tcW w:w="10380" w:type="dxa"/>
            <w:vAlign w:val="bottom"/>
            <w:tcBorders>
              <w:top w:val="single" w:sz="8" w:color="auto"/>
            </w:tcBorders>
          </w:tcPr>
          <w:p>
            <w:pPr>
              <w:ind w:left="200"/>
              <w:spacing w:after="0"/>
              <w:rPr>
                <w:sz w:val="20"/>
                <w:szCs w:val="20"/>
                <w:color w:val="auto"/>
              </w:rPr>
            </w:pPr>
            <w:r>
              <w:rPr>
                <w:rFonts w:ascii="Arial" w:cs="Arial" w:eastAsia="Arial" w:hAnsi="Arial"/>
                <w:sz w:val="17"/>
                <w:szCs w:val="17"/>
                <w:color w:val="auto"/>
              </w:rPr>
              <w:t>Press Release issued on May 7, 2010</w:t>
            </w:r>
          </w:p>
        </w:tc>
      </w:tr>
      <w:tr>
        <w:trPr>
          <w:trHeight w:val="825"/>
        </w:trPr>
        <w:tc>
          <w:tcPr>
            <w:tcW w:w="20" w:type="dxa"/>
            <w:vAlign w:val="bottom"/>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0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4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40" w:type="dxa"/>
            <w:vAlign w:val="bottom"/>
          </w:tcPr>
          <w:p>
            <w:pPr>
              <w:spacing w:after="0"/>
              <w:rPr>
                <w:sz w:val="19"/>
                <w:szCs w:val="19"/>
                <w:color w:val="auto"/>
              </w:rPr>
            </w:pPr>
          </w:p>
        </w:tc>
        <w:tc>
          <w:tcPr>
            <w:tcW w:w="7680" w:type="dxa"/>
            <w:vAlign w:val="bottom"/>
            <w:gridSpan w:val="2"/>
          </w:tcPr>
          <w:p>
            <w:pPr>
              <w:ind w:left="2220"/>
              <w:spacing w:after="0"/>
              <w:rPr>
                <w:sz w:val="20"/>
                <w:szCs w:val="20"/>
                <w:color w:val="auto"/>
              </w:rPr>
            </w:pPr>
            <w:r>
              <w:rPr>
                <w:rFonts w:ascii="Arial" w:cs="Arial" w:eastAsia="Arial" w:hAnsi="Arial"/>
                <w:sz w:val="17"/>
                <w:szCs w:val="17"/>
                <w:b w:val="1"/>
                <w:bCs w:val="1"/>
                <w:color w:val="auto"/>
              </w:rPr>
              <w:t>MICRON TECHNOLOGY, INC.</w:t>
            </w:r>
          </w:p>
        </w:tc>
      </w:tr>
      <w:tr>
        <w:trPr>
          <w:trHeight w:val="619"/>
        </w:trPr>
        <w:tc>
          <w:tcPr>
            <w:tcW w:w="3740" w:type="dxa"/>
            <w:vAlign w:val="bottom"/>
          </w:tcPr>
          <w:p>
            <w:pPr>
              <w:spacing w:after="0"/>
              <w:rPr>
                <w:sz w:val="20"/>
                <w:szCs w:val="20"/>
                <w:color w:val="auto"/>
              </w:rPr>
            </w:pPr>
            <w:r>
              <w:rPr>
                <w:rFonts w:ascii="Arial" w:cs="Arial" w:eastAsia="Arial" w:hAnsi="Arial"/>
                <w:sz w:val="17"/>
                <w:szCs w:val="17"/>
                <w:color w:val="auto"/>
              </w:rPr>
              <w:t>Date:   May 13, 2010</w:t>
            </w:r>
          </w:p>
        </w:tc>
        <w:tc>
          <w:tcPr>
            <w:tcW w:w="3020" w:type="dxa"/>
            <w:vAlign w:val="bottom"/>
          </w:tcPr>
          <w:p>
            <w:pPr>
              <w:ind w:left="2220"/>
              <w:spacing w:after="0"/>
              <w:rPr>
                <w:sz w:val="20"/>
                <w:szCs w:val="20"/>
                <w:color w:val="auto"/>
              </w:rPr>
            </w:pPr>
            <w:r>
              <w:rPr>
                <w:rFonts w:ascii="Arial" w:cs="Arial" w:eastAsia="Arial" w:hAnsi="Arial"/>
                <w:sz w:val="17"/>
                <w:szCs w:val="17"/>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89"/>
        </w:trPr>
        <w:tc>
          <w:tcPr>
            <w:tcW w:w="3740" w:type="dxa"/>
            <w:vAlign w:val="bottom"/>
          </w:tcPr>
          <w:p>
            <w:pPr>
              <w:spacing w:after="0"/>
              <w:rPr>
                <w:sz w:val="16"/>
                <w:szCs w:val="16"/>
                <w:color w:val="auto"/>
              </w:rPr>
            </w:pPr>
          </w:p>
        </w:tc>
        <w:tc>
          <w:tcPr>
            <w:tcW w:w="3020" w:type="dxa"/>
            <w:vAlign w:val="bottom"/>
          </w:tcPr>
          <w:p>
            <w:pPr>
              <w:ind w:left="2220"/>
              <w:spacing w:after="0" w:line="189" w:lineRule="exact"/>
              <w:rPr>
                <w:sz w:val="20"/>
                <w:szCs w:val="20"/>
                <w:color w:val="auto"/>
              </w:rPr>
            </w:pPr>
            <w:r>
              <w:rPr>
                <w:rFonts w:ascii="Arial" w:cs="Arial" w:eastAsia="Arial" w:hAnsi="Arial"/>
                <w:sz w:val="17"/>
                <w:szCs w:val="17"/>
                <w:color w:val="auto"/>
              </w:rPr>
              <w:t>Name:</w:t>
            </w:r>
          </w:p>
        </w:tc>
        <w:tc>
          <w:tcPr>
            <w:tcW w:w="4660" w:type="dxa"/>
            <w:vAlign w:val="bottom"/>
          </w:tcPr>
          <w:p>
            <w:pPr>
              <w:spacing w:after="0" w:line="189" w:lineRule="exact"/>
              <w:rPr>
                <w:sz w:val="20"/>
                <w:szCs w:val="20"/>
                <w:color w:val="auto"/>
              </w:rPr>
            </w:pPr>
            <w:r>
              <w:rPr>
                <w:rFonts w:ascii="Arial" w:cs="Arial" w:eastAsia="Arial" w:hAnsi="Arial"/>
                <w:sz w:val="17"/>
                <w:szCs w:val="17"/>
                <w:color w:val="auto"/>
              </w:rPr>
              <w:t>Ronald C. Foster</w:t>
            </w:r>
          </w:p>
        </w:tc>
      </w:tr>
      <w:tr>
        <w:trPr>
          <w:trHeight w:val="206"/>
        </w:trPr>
        <w:tc>
          <w:tcPr>
            <w:tcW w:w="3740" w:type="dxa"/>
            <w:vAlign w:val="bottom"/>
          </w:tcPr>
          <w:p>
            <w:pPr>
              <w:spacing w:after="0"/>
              <w:rPr>
                <w:sz w:val="17"/>
                <w:szCs w:val="17"/>
                <w:color w:val="auto"/>
              </w:rPr>
            </w:pPr>
          </w:p>
        </w:tc>
        <w:tc>
          <w:tcPr>
            <w:tcW w:w="3020" w:type="dxa"/>
            <w:vAlign w:val="bottom"/>
          </w:tcPr>
          <w:p>
            <w:pPr>
              <w:ind w:left="2220"/>
              <w:spacing w:after="0"/>
              <w:rPr>
                <w:sz w:val="20"/>
                <w:szCs w:val="20"/>
                <w:color w:val="auto"/>
              </w:rPr>
            </w:pPr>
            <w:r>
              <w:rPr>
                <w:rFonts w:ascii="Arial" w:cs="Arial" w:eastAsia="Arial" w:hAnsi="Arial"/>
                <w:sz w:val="17"/>
                <w:szCs w:val="17"/>
                <w:color w:val="auto"/>
              </w:rPr>
              <w:t>Title:</w:t>
            </w:r>
          </w:p>
        </w:tc>
        <w:tc>
          <w:tcPr>
            <w:tcW w:w="4660" w:type="dxa"/>
            <w:vAlign w:val="bottom"/>
          </w:tcPr>
          <w:p>
            <w:pPr>
              <w:spacing w:after="0"/>
              <w:rPr>
                <w:sz w:val="20"/>
                <w:szCs w:val="20"/>
                <w:color w:val="auto"/>
              </w:rPr>
            </w:pPr>
            <w:r>
              <w:rPr>
                <w:rFonts w:ascii="Arial" w:cs="Arial" w:eastAsia="Arial" w:hAnsi="Arial"/>
                <w:sz w:val="17"/>
                <w:szCs w:val="17"/>
                <w:color w:val="auto"/>
              </w:rPr>
              <w:t>Chief Financial Officer and</w:t>
            </w:r>
          </w:p>
        </w:tc>
      </w:tr>
      <w:tr>
        <w:trPr>
          <w:trHeight w:val="217"/>
        </w:trPr>
        <w:tc>
          <w:tcPr>
            <w:tcW w:w="37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7"/>
                <w:szCs w:val="17"/>
                <w:color w:val="auto"/>
              </w:rPr>
              <w:t>Vice President of Finance</w:t>
            </w:r>
          </w:p>
        </w:tc>
      </w:tr>
      <w:tr>
        <w:trPr>
          <w:trHeight w:val="1069"/>
        </w:trPr>
        <w:tc>
          <w:tcPr>
            <w:tcW w:w="374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INDEX TO EXHIBITS FILED WITH</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CURRENT REPORT ON FORM 8-K DATED MAY 7,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20" w:type="dxa"/>
            <w:vAlign w:val="bottom"/>
            <w:gridSpan w:val="2"/>
          </w:tcPr>
          <w:p>
            <w:pPr>
              <w:jc w:val="right"/>
              <w:ind w:right="194"/>
              <w:spacing w:after="0"/>
              <w:rPr>
                <w:sz w:val="20"/>
                <w:szCs w:val="20"/>
                <w:color w:val="auto"/>
              </w:rPr>
            </w:pPr>
            <w:r>
              <w:rPr>
                <w:rFonts w:ascii="Arial" w:cs="Arial" w:eastAsia="Arial" w:hAnsi="Arial"/>
                <w:sz w:val="17"/>
                <w:szCs w:val="17"/>
                <w:b w:val="1"/>
                <w:bCs w:val="1"/>
                <w:color w:val="auto"/>
                <w:w w:val="92"/>
              </w:rPr>
              <w:t>Exhibit No.</w:t>
            </w:r>
          </w:p>
        </w:tc>
        <w:tc>
          <w:tcPr>
            <w:tcW w:w="10300" w:type="dxa"/>
            <w:vAlign w:val="bottom"/>
          </w:tcPr>
          <w:p>
            <w:pPr>
              <w:ind w:left="26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1100" w:type="dxa"/>
            <w:vAlign w:val="bottom"/>
            <w:tcBorders>
              <w:top w:val="single" w:sz="8" w:color="auto"/>
            </w:tcBorders>
          </w:tcPr>
          <w:p>
            <w:pPr>
              <w:jc w:val="right"/>
              <w:ind w:right="254"/>
              <w:spacing w:after="0"/>
              <w:rPr>
                <w:sz w:val="20"/>
                <w:szCs w:val="20"/>
                <w:color w:val="auto"/>
              </w:rPr>
            </w:pPr>
            <w:r>
              <w:rPr>
                <w:rFonts w:ascii="Arial" w:cs="Arial" w:eastAsia="Arial" w:hAnsi="Arial"/>
                <w:sz w:val="17"/>
                <w:szCs w:val="17"/>
                <w:color w:val="auto"/>
              </w:rPr>
              <w:t>99.1</w:t>
            </w:r>
          </w:p>
        </w:tc>
        <w:tc>
          <w:tcPr>
            <w:tcW w:w="10300" w:type="dxa"/>
            <w:vAlign w:val="bottom"/>
            <w:tcBorders>
              <w:top w:val="single" w:sz="8" w:color="auto"/>
            </w:tcBorders>
          </w:tcPr>
          <w:p>
            <w:pPr>
              <w:ind w:left="260"/>
              <w:spacing w:after="0"/>
              <w:rPr>
                <w:sz w:val="20"/>
                <w:szCs w:val="20"/>
                <w:color w:val="auto"/>
              </w:rPr>
            </w:pPr>
            <w:r>
              <w:rPr>
                <w:rFonts w:ascii="Arial" w:cs="Arial" w:eastAsia="Arial" w:hAnsi="Arial"/>
                <w:sz w:val="17"/>
                <w:szCs w:val="17"/>
                <w:color w:val="auto"/>
              </w:rPr>
              <w:t>Press Release issued on May 7, 2010</w:t>
            </w:r>
          </w:p>
        </w:tc>
      </w:tr>
      <w:tr>
        <w:trPr>
          <w:trHeight w:val="566"/>
        </w:trPr>
        <w:tc>
          <w:tcPr>
            <w:tcW w:w="20" w:type="dxa"/>
            <w:vAlign w:val="bottom"/>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0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 w:name="page6"/>
    <w:bookmarkEnd w:id="5"/>
    <w:p>
      <w:pPr>
        <w:ind w:left="10120"/>
        <w:spacing w:after="0"/>
        <w:rPr>
          <w:sz w:val="20"/>
          <w:szCs w:val="20"/>
          <w:color w:val="auto"/>
        </w:rPr>
      </w:pPr>
      <w:r>
        <w:rPr>
          <w:rFonts w:ascii="Arial" w:cs="Arial" w:eastAsia="Arial" w:hAnsi="Arial"/>
          <w:sz w:val="21"/>
          <w:szCs w:val="21"/>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2240" w:type="dxa"/>
            <w:vAlign w:val="bottom"/>
          </w:tcPr>
          <w:p>
            <w:pPr>
              <w:spacing w:after="0"/>
              <w:rPr>
                <w:sz w:val="19"/>
                <w:szCs w:val="19"/>
                <w:color w:val="auto"/>
              </w:rPr>
            </w:pPr>
          </w:p>
        </w:tc>
      </w:tr>
      <w:tr>
        <w:trPr>
          <w:trHeight w:val="428"/>
        </w:trPr>
        <w:tc>
          <w:tcPr>
            <w:tcW w:w="1140" w:type="dxa"/>
            <w:vAlign w:val="bottom"/>
          </w:tcPr>
          <w:p>
            <w:pPr>
              <w:spacing w:after="0"/>
              <w:rPr>
                <w:sz w:val="20"/>
                <w:szCs w:val="20"/>
                <w:color w:val="auto"/>
              </w:rPr>
            </w:pPr>
            <w:r>
              <w:rPr>
                <w:rFonts w:ascii="Arial" w:cs="Arial" w:eastAsia="Arial" w:hAnsi="Arial"/>
                <w:sz w:val="17"/>
                <w:szCs w:val="17"/>
                <w:color w:val="auto"/>
              </w:rPr>
              <w:t>Contacts:</w:t>
            </w:r>
          </w:p>
        </w:tc>
        <w:tc>
          <w:tcPr>
            <w:tcW w:w="2560" w:type="dxa"/>
            <w:vAlign w:val="bottom"/>
          </w:tcPr>
          <w:p>
            <w:pPr>
              <w:ind w:left="480"/>
              <w:spacing w:after="0"/>
              <w:rPr>
                <w:sz w:val="20"/>
                <w:szCs w:val="20"/>
                <w:color w:val="auto"/>
              </w:rPr>
            </w:pPr>
            <w:r>
              <w:rPr>
                <w:rFonts w:ascii="Arial" w:cs="Arial" w:eastAsia="Arial" w:hAnsi="Arial"/>
                <w:sz w:val="17"/>
                <w:szCs w:val="17"/>
                <w:color w:val="auto"/>
              </w:rPr>
              <w:t>Kipp A. Bedard</w:t>
            </w:r>
          </w:p>
        </w:tc>
        <w:tc>
          <w:tcPr>
            <w:tcW w:w="2240" w:type="dxa"/>
            <w:vAlign w:val="bottom"/>
          </w:tcPr>
          <w:p>
            <w:pPr>
              <w:ind w:left="540"/>
              <w:spacing w:after="0"/>
              <w:rPr>
                <w:sz w:val="20"/>
                <w:szCs w:val="20"/>
                <w:color w:val="auto"/>
              </w:rPr>
            </w:pPr>
            <w:r>
              <w:rPr>
                <w:rFonts w:ascii="Arial" w:cs="Arial" w:eastAsia="Arial" w:hAnsi="Arial"/>
                <w:sz w:val="17"/>
                <w:szCs w:val="17"/>
                <w:color w:val="auto"/>
              </w:rPr>
              <w:t>Daniel Francisco</w:t>
            </w:r>
          </w:p>
        </w:tc>
      </w:tr>
      <w:tr>
        <w:trPr>
          <w:trHeight w:val="206"/>
        </w:trPr>
        <w:tc>
          <w:tcPr>
            <w:tcW w:w="1140" w:type="dxa"/>
            <w:vAlign w:val="bottom"/>
          </w:tcPr>
          <w:p>
            <w:pPr>
              <w:spacing w:after="0"/>
              <w:rPr>
                <w:sz w:val="17"/>
                <w:szCs w:val="17"/>
                <w:color w:val="auto"/>
              </w:rPr>
            </w:pPr>
          </w:p>
        </w:tc>
        <w:tc>
          <w:tcPr>
            <w:tcW w:w="2560" w:type="dxa"/>
            <w:vAlign w:val="bottom"/>
          </w:tcPr>
          <w:p>
            <w:pPr>
              <w:ind w:left="480"/>
              <w:spacing w:after="0"/>
              <w:rPr>
                <w:sz w:val="20"/>
                <w:szCs w:val="20"/>
                <w:color w:val="auto"/>
              </w:rPr>
            </w:pPr>
            <w:r>
              <w:rPr>
                <w:rFonts w:ascii="Arial" w:cs="Arial" w:eastAsia="Arial" w:hAnsi="Arial"/>
                <w:sz w:val="17"/>
                <w:szCs w:val="17"/>
                <w:color w:val="auto"/>
              </w:rPr>
              <w:t>Investor Relations</w:t>
            </w:r>
          </w:p>
        </w:tc>
        <w:tc>
          <w:tcPr>
            <w:tcW w:w="2240" w:type="dxa"/>
            <w:vAlign w:val="bottom"/>
          </w:tcPr>
          <w:p>
            <w:pPr>
              <w:ind w:left="540"/>
              <w:spacing w:after="0"/>
              <w:rPr>
                <w:sz w:val="20"/>
                <w:szCs w:val="20"/>
                <w:color w:val="auto"/>
              </w:rPr>
            </w:pPr>
            <w:r>
              <w:rPr>
                <w:rFonts w:ascii="Arial" w:cs="Arial" w:eastAsia="Arial" w:hAnsi="Arial"/>
                <w:sz w:val="17"/>
                <w:szCs w:val="17"/>
                <w:color w:val="auto"/>
              </w:rPr>
              <w:t>Media Relations</w:t>
            </w:r>
          </w:p>
        </w:tc>
      </w:tr>
      <w:tr>
        <w:trPr>
          <w:trHeight w:val="206"/>
        </w:trPr>
        <w:tc>
          <w:tcPr>
            <w:tcW w:w="1140" w:type="dxa"/>
            <w:vAlign w:val="bottom"/>
          </w:tcPr>
          <w:p>
            <w:pPr>
              <w:spacing w:after="0"/>
              <w:rPr>
                <w:sz w:val="17"/>
                <w:szCs w:val="17"/>
                <w:color w:val="auto"/>
              </w:rPr>
            </w:pPr>
          </w:p>
        </w:tc>
        <w:tc>
          <w:tcPr>
            <w:tcW w:w="2560" w:type="dxa"/>
            <w:vAlign w:val="bottom"/>
          </w:tcPr>
          <w:p>
            <w:pPr>
              <w:ind w:left="480"/>
              <w:spacing w:after="0"/>
              <w:rPr>
                <w:sz w:val="20"/>
                <w:szCs w:val="20"/>
                <w:color w:val="auto"/>
              </w:rPr>
            </w:pPr>
            <w:r>
              <w:rPr>
                <w:rFonts w:ascii="Arial" w:cs="Arial" w:eastAsia="Arial" w:hAnsi="Arial"/>
                <w:sz w:val="17"/>
                <w:szCs w:val="17"/>
                <w:color w:val="auto"/>
              </w:rPr>
              <w:t>kbedard@micron.com</w:t>
            </w:r>
          </w:p>
        </w:tc>
        <w:tc>
          <w:tcPr>
            <w:tcW w:w="2240" w:type="dxa"/>
            <w:vAlign w:val="bottom"/>
          </w:tcPr>
          <w:p>
            <w:pPr>
              <w:ind w:left="540"/>
              <w:spacing w:after="0"/>
              <w:rPr>
                <w:sz w:val="20"/>
                <w:szCs w:val="20"/>
                <w:color w:val="auto"/>
              </w:rPr>
            </w:pPr>
            <w:r>
              <w:rPr>
                <w:rFonts w:ascii="Arial" w:cs="Arial" w:eastAsia="Arial" w:hAnsi="Arial"/>
                <w:sz w:val="17"/>
                <w:szCs w:val="17"/>
                <w:color w:val="auto"/>
                <w:w w:val="91"/>
              </w:rPr>
              <w:t>dfrancisco@micron.com</w:t>
            </w:r>
          </w:p>
        </w:tc>
      </w:tr>
      <w:tr>
        <w:trPr>
          <w:trHeight w:val="217"/>
        </w:trPr>
        <w:tc>
          <w:tcPr>
            <w:tcW w:w="1140" w:type="dxa"/>
            <w:vAlign w:val="bottom"/>
          </w:tcPr>
          <w:p>
            <w:pPr>
              <w:spacing w:after="0"/>
              <w:rPr>
                <w:sz w:val="18"/>
                <w:szCs w:val="18"/>
                <w:color w:val="auto"/>
              </w:rPr>
            </w:pPr>
          </w:p>
        </w:tc>
        <w:tc>
          <w:tcPr>
            <w:tcW w:w="2560" w:type="dxa"/>
            <w:vAlign w:val="bottom"/>
          </w:tcPr>
          <w:p>
            <w:pPr>
              <w:ind w:left="480"/>
              <w:spacing w:after="0"/>
              <w:rPr>
                <w:sz w:val="20"/>
                <w:szCs w:val="20"/>
                <w:color w:val="auto"/>
              </w:rPr>
            </w:pPr>
            <w:r>
              <w:rPr>
                <w:rFonts w:ascii="Arial" w:cs="Arial" w:eastAsia="Arial" w:hAnsi="Arial"/>
                <w:sz w:val="17"/>
                <w:szCs w:val="17"/>
                <w:color w:val="auto"/>
              </w:rPr>
              <w:t>(208) 368-4465</w:t>
            </w:r>
          </w:p>
        </w:tc>
        <w:tc>
          <w:tcPr>
            <w:tcW w:w="2240" w:type="dxa"/>
            <w:vAlign w:val="bottom"/>
          </w:tcPr>
          <w:p>
            <w:pPr>
              <w:ind w:left="540"/>
              <w:spacing w:after="0"/>
              <w:rPr>
                <w:sz w:val="20"/>
                <w:szCs w:val="20"/>
                <w:color w:val="auto"/>
              </w:rPr>
            </w:pPr>
            <w:r>
              <w:rPr>
                <w:rFonts w:ascii="Arial" w:cs="Arial" w:eastAsia="Arial" w:hAnsi="Arial"/>
                <w:sz w:val="17"/>
                <w:szCs w:val="17"/>
                <w:color w:val="auto"/>
              </w:rPr>
              <w:t>(208) 368-5584</w:t>
            </w:r>
          </w:p>
        </w:tc>
      </w:tr>
    </w:tbl>
    <w:p>
      <w:pPr>
        <w:spacing w:after="0" w:line="200" w:lineRule="exact"/>
        <w:rPr>
          <w:sz w:val="20"/>
          <w:szCs w:val="20"/>
          <w:color w:val="auto"/>
        </w:rPr>
      </w:pPr>
    </w:p>
    <w:p>
      <w:pPr>
        <w:spacing w:after="0" w:line="248"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MICRON ANNOUNCES CLOSING OF NUMONYX ACQUISITION</w:t>
      </w:r>
    </w:p>
    <w:p>
      <w:pPr>
        <w:spacing w:after="0" w:line="249" w:lineRule="exact"/>
        <w:rPr>
          <w:sz w:val="20"/>
          <w:szCs w:val="20"/>
          <w:color w:val="auto"/>
        </w:rPr>
      </w:pPr>
    </w:p>
    <w:p>
      <w:pPr>
        <w:ind w:left="3860"/>
        <w:spacing w:after="0"/>
        <w:rPr>
          <w:sz w:val="20"/>
          <w:szCs w:val="20"/>
          <w:color w:val="auto"/>
        </w:rPr>
      </w:pPr>
      <w:r>
        <w:rPr>
          <w:rFonts w:ascii="Arial" w:cs="Arial" w:eastAsia="Arial" w:hAnsi="Arial"/>
          <w:sz w:val="17"/>
          <w:szCs w:val="17"/>
          <w:b w:val="1"/>
          <w:bCs w:val="1"/>
          <w:i w:val="1"/>
          <w:iCs w:val="1"/>
          <w:color w:val="auto"/>
        </w:rPr>
        <w:t>Micron Offers One of Most Comprehensive, Cost-Competitive</w:t>
      </w:r>
    </w:p>
    <w:p>
      <w:pPr>
        <w:spacing w:after="0" w:line="22" w:lineRule="exact"/>
        <w:rPr>
          <w:sz w:val="20"/>
          <w:szCs w:val="20"/>
          <w:color w:val="auto"/>
        </w:rPr>
      </w:pPr>
    </w:p>
    <w:p>
      <w:pPr>
        <w:ind w:left="3660"/>
        <w:spacing w:after="0"/>
        <w:rPr>
          <w:sz w:val="20"/>
          <w:szCs w:val="20"/>
          <w:color w:val="auto"/>
        </w:rPr>
      </w:pPr>
      <w:r>
        <w:rPr>
          <w:rFonts w:ascii="Arial" w:cs="Arial" w:eastAsia="Arial" w:hAnsi="Arial"/>
          <w:sz w:val="17"/>
          <w:szCs w:val="17"/>
          <w:b w:val="1"/>
          <w:bCs w:val="1"/>
          <w:i w:val="1"/>
          <w:iCs w:val="1"/>
          <w:color w:val="auto"/>
        </w:rPr>
        <w:t>Memory Product Portfolios in Industry with Numonyx Acquisition</w:t>
      </w:r>
    </w:p>
    <w:p>
      <w:pPr>
        <w:spacing w:after="0" w:line="227" w:lineRule="exact"/>
        <w:rPr>
          <w:sz w:val="20"/>
          <w:szCs w:val="20"/>
          <w:color w:val="auto"/>
        </w:rPr>
      </w:pPr>
    </w:p>
    <w:p>
      <w:pPr>
        <w:ind w:right="440"/>
        <w:spacing w:after="0" w:line="264" w:lineRule="auto"/>
        <w:rPr>
          <w:sz w:val="20"/>
          <w:szCs w:val="20"/>
          <w:color w:val="auto"/>
        </w:rPr>
      </w:pPr>
      <w:r>
        <w:rPr>
          <w:rFonts w:ascii="Arial" w:cs="Arial" w:eastAsia="Arial" w:hAnsi="Arial"/>
          <w:sz w:val="17"/>
          <w:szCs w:val="17"/>
          <w:b w:val="1"/>
          <w:bCs w:val="1"/>
          <w:color w:val="auto"/>
        </w:rPr>
        <w:t xml:space="preserve">BOISE, Idaho, and GENEVA, May 7, 2010 </w:t>
      </w:r>
      <w:r>
        <w:rPr>
          <w:rFonts w:ascii="Arial" w:cs="Arial" w:eastAsia="Arial" w:hAnsi="Arial"/>
          <w:sz w:val="17"/>
          <w:szCs w:val="17"/>
          <w:color w:val="auto"/>
        </w:rPr>
        <w:t>– Micron Technology, Inc., (NASDAQ: MU) announced today that the company has completed its acquisition of</w:t>
      </w:r>
      <w:r>
        <w:rPr>
          <w:rFonts w:ascii="Arial" w:cs="Arial" w:eastAsia="Arial" w:hAnsi="Arial"/>
          <w:sz w:val="17"/>
          <w:szCs w:val="17"/>
          <w:b w:val="1"/>
          <w:bCs w:val="1"/>
          <w:color w:val="auto"/>
        </w:rPr>
        <w:t xml:space="preserve"> </w:t>
      </w:r>
      <w:r>
        <w:rPr>
          <w:rFonts w:ascii="Arial" w:cs="Arial" w:eastAsia="Arial" w:hAnsi="Arial"/>
          <w:sz w:val="17"/>
          <w:szCs w:val="17"/>
          <w:color w:val="auto"/>
        </w:rPr>
        <w:t>Numonyx B.V. in an all stock transaction valued at approximately $1.2 billion USD. Under the agreement, Micron issued approximately 138 million shares of Micron common stock to Numonyx shareholders, Intel, STMicroelectronics, N.V. and Francisco Partners, and assumed outstanding restricted stock units held by Numonyx employees.</w:t>
      </w:r>
    </w:p>
    <w:p>
      <w:pPr>
        <w:spacing w:after="0" w:line="204"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“With this acquisition, Micron builds on its position as one of the world’s leading memory companies with increased scale, a broader product portfolio and industry-leading technology,” said Steve Appleton, Chairman and CEO of Micron.</w:t>
      </w:r>
    </w:p>
    <w:p>
      <w:pPr>
        <w:spacing w:after="0" w:line="189" w:lineRule="exact"/>
        <w:rPr>
          <w:sz w:val="20"/>
          <w:szCs w:val="20"/>
          <w:color w:val="auto"/>
        </w:rPr>
      </w:pPr>
    </w:p>
    <w:p>
      <w:pPr>
        <w:jc w:val="both"/>
        <w:ind w:right="620"/>
        <w:spacing w:after="0" w:line="266" w:lineRule="auto"/>
        <w:rPr>
          <w:sz w:val="20"/>
          <w:szCs w:val="20"/>
          <w:color w:val="auto"/>
        </w:rPr>
      </w:pPr>
      <w:r>
        <w:rPr>
          <w:rFonts w:ascii="Arial" w:cs="Arial" w:eastAsia="Arial" w:hAnsi="Arial"/>
          <w:sz w:val="17"/>
          <w:szCs w:val="17"/>
          <w:color w:val="auto"/>
        </w:rPr>
        <w:t>The transaction further strengthens Micron’s broad portfolio of DRAM, NAND and NOR memory products and strong expertise in developing and supporting memory system solutions. Micron also gains increased manufacturing and revenue scale along with access to Numonyx’s customer base, providing significant opportunities to increase multi-chip offerings in the embedded and mobile markets.</w:t>
      </w:r>
    </w:p>
    <w:p>
      <w:pPr>
        <w:spacing w:after="0" w:line="202"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As of Dec. 31, 2009, Numonyx reported net assets of $1.3 billion and cash and cash equivalents, net of debt to unrelated parties of $70 million. In the fourth calendar quarter, Numonyx generated $42 million in free cash flow based on quarterly revenues of approximately $550 million.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Micron</w:t>
      </w:r>
    </w:p>
    <w:p>
      <w:pPr>
        <w:spacing w:after="0" w:line="2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 full range of DRAM, NAND and NOR flash memory, as well as other innovative memory technologies, packaging solutions and semiconductor systems for use in lead edge computing, consumer, networking, embedded and mobile products. Micron’s common stock is traded on the NASDAQ under the MU symbol. To learn more abo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00" w:lineRule="exact"/>
        <w:rPr>
          <w:sz w:val="20"/>
          <w:szCs w:val="20"/>
          <w:color w:val="auto"/>
        </w:rPr>
      </w:pPr>
    </w:p>
    <w:p>
      <w:pPr>
        <w:spacing w:after="0" w:line="276"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i w:val="1"/>
          <w:iCs w:val="1"/>
          <w:color w:val="auto"/>
        </w:rPr>
        <w:t>This press release contains forward-looking statements regarding the impact of the acquisition on Micron’s results and operations. Actual events or results may differ materially from those contained in the forward-looking statements. Please refer to the documents Micron files on a consolidated basis from time to time with the Securities and Exchange Commission, specifically Micron's most recent Form 10-K and Form 10-Q. These documents contain and identify important factors that could cause the actual results for Micron on a consolidated basis to differ materially from those contained in our forward-looking statements (see Certain Factors). Although we believe that the expectations reflected in the forward-looking statements are reasonable, we cannot guarantee future results, levels of activity, performance or ach ievements.</w:t>
      </w:r>
    </w:p>
    <w:sectPr>
      <w:pgSz w:w="11900" w:h="16838" w:orient="portrait"/>
      <w:cols w:equalWidth="0" w:num="1">
        <w:col w:w="11520"/>
      </w:cols>
      <w:pgMar w:left="240" w:top="34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2019-12-10T05:16:05Z</dcterms:created>
  <dcterms:modified xsi:type="dcterms:W3CDTF">2019-12-10T05:16:05Z</dcterms:modified>
</cp:coreProperties>
</file>