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6995160" cy="87033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703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9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ARNZEN APRIL S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Chief People Officer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20" w:space="615"/>
            <w:col w:w="3345"/>
          </w:cols>
          <w:pgMar w:left="460" w:top="216" w:right="359" w:bottom="19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8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10/13/2024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24,785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160,615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10/13/2024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7"/>
              </w:rPr>
              <w:t>5,382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106.92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155,233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10/13/2024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7"/>
              </w:rPr>
              <w:t>4,501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106.92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150,732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10/13/2024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18,698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169,430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10/13/2024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7"/>
              </w:rPr>
              <w:t>8,394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106.92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161,036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10/13/2024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18,698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179,734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10/13/2024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7"/>
              </w:rPr>
              <w:t>8,394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106.92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171,340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10/13/2024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7"/>
              </w:rPr>
              <w:t>7,741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7"/>
                <w:vertAlign w:val="superscript"/>
              </w:rPr>
              <w:t>(4)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179,081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10/13/2024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7"/>
              </w:rPr>
              <w:t>3,350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106.92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175,731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10/13/2024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10,664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8"/>
                <w:vertAlign w:val="superscript"/>
              </w:rPr>
              <w:t>(5)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186,395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10/13/2024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7"/>
              </w:rPr>
              <w:t>5,055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106.92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181,340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10/13/2024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7"/>
              </w:rPr>
              <w:t>3,039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184,379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10/13/2024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7"/>
              </w:rPr>
              <w:t>1,441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106.92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182,938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10/13/2024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7"/>
              </w:rPr>
              <w:t>9,082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7"/>
                <w:vertAlign w:val="superscript"/>
              </w:rPr>
              <w:t>(7)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192,020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10/13/2024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7"/>
              </w:rPr>
              <w:t>4,305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106.92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187,715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10/15/2024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7"/>
              </w:rPr>
              <w:t>1,602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108.34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186,113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18,698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6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10/13/2024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3,747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7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18,698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6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10/13/2024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3,747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7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7"/>
              </w:rPr>
              <w:t>7,741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7"/>
                <w:vertAlign w:val="superscript"/>
              </w:rPr>
              <w:t>(4)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6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10/13/2024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6,294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7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-2596515</wp:posOffset>
            </wp:positionV>
            <wp:extent cx="28575" cy="28879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887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9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280670</wp:posOffset>
            </wp:positionH>
            <wp:positionV relativeFrom="page">
              <wp:posOffset>88900</wp:posOffset>
            </wp:positionV>
            <wp:extent cx="7047230" cy="25971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2597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(9)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10,664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10/13/2024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5,332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5,332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(9)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7"/>
              </w:rPr>
              <w:t>3,039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10/13/2024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5,332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5,332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(9)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7"/>
              </w:rPr>
              <w:t>9,082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7"/>
                <w:vertAlign w:val="superscript"/>
              </w:rPr>
              <w:t>(7)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10/13/2024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8,409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8,410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40" w:hanging="120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Awards vest in three equal annual installments beginning on the first anniversary of the grant date.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20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Withholding of common stock shares to satisfy tax withholding obligations in connection with the vesting of previously granted awards.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00"/>
        <w:spacing w:after="0" w:line="232" w:lineRule="auto"/>
        <w:tabs>
          <w:tab w:leader="none" w:pos="14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Compensation Committee certified achievement of pre-established performance goals related to High Value and Data Center NAND delivery and solutions each at 266% of target under the performance-based restricted stock units ("PRSU") with a 3-year performance period previously awarded on October 13, 2021. As reported at grant, the PRSUs could result in a payout (if earned) that varies (starting at 0%) based on actual achievement of the goals, subject to a 200% aggregate limit on the total target shares that may be received under the PRSUs awarded on October 13, 2021. 100% of any shares earned as a result of the achievement of the performance goals measured at the end of year 3 of the performance period as well as certain unvested shares earned as a result of the achievement of performance goals measured at the end of year 2 of the performance period which remained subject to vesting vested upon certification of the achievement of performance goals in year 3 of the performance period.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40"/>
        <w:spacing w:after="0" w:line="232" w:lineRule="auto"/>
        <w:tabs>
          <w:tab w:leader="none" w:pos="14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Compensation Committee certified achievement of pre-established performance goals related to relative total shareholder return at a level of 108% of target under the performance-based restricted stock units ("PRSU") with a 3-year performance period previously awarded on October 13, 2021. As reported at grant, the PRSUs could result in a payout (if earned) that varies (starting at 0%) based on actual achievement of the goals, subject to a 200% aggregate limit on the total target shares that may be received under the PRSUs awarded on October 13, 2021. 100% of any shares earned as a result of the achievement of the performance goals measured at the end of year 3 of the performance period as well as certain unvested shares earned as a result of the achievement of performance goals measured at the end of year 2 of the performance period which remained subject to vesting vested upon certification of the achievement of performance goals at the end of year 3 of the performance period.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40"/>
        <w:spacing w:after="0" w:line="234" w:lineRule="auto"/>
        <w:tabs>
          <w:tab w:leader="none" w:pos="14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Compensation Committee certified achievement of pre-established performance goals related to Data Center NAND delivery and solutions at a level of 200% of target under the performance-based restricted stock units ("PRSU") with a 3-year performance period previously awarded on October 13, 2022. As reported at grant, the PRSUs could result in a payout (if earned) that varies (starting at 0%) based on actual achievement of the goals, subject to a 200% aggregate limit on the total target shares that may be received under the PRSUs awarded on October 13, 2022. 50% of the shares earned vested upon certification of the performance and 50% remain subject to vesting until the certification of the achievement of performance goals at the end of year 3 of the performance period.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80"/>
        <w:spacing w:after="0" w:line="234" w:lineRule="auto"/>
        <w:tabs>
          <w:tab w:leader="none" w:pos="14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Compensation Committee certified achievement of pre-established performance goals related to DRAM revenue at a level of 57% of target under the performance-based restricted stock units ("PRSU") with a 3-year performance period previously awarded on October 13, 2022. As reported at grant, the PRSUs could result in a payout (if earned) that varies (starting at 0%) based on actual achievement of the goals, subject to a 200% aggregate limit on the total target shares that may be received under the PRSUs awarded on October 13, 2022. 50% of the shares earned vested upon certification of the performance and 50% remain subject to vesting until the certification of the achievement of performance goals at the end of year 3 of the performance period.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20" w:right="140"/>
        <w:spacing w:after="0" w:line="234" w:lineRule="auto"/>
        <w:tabs>
          <w:tab w:leader="none" w:pos="14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Compensation Committee certified achievement of pre-established performance goals related to relative total shareholder return at a level of 108% of target under the performance-based restricted stock units ("PRSU") with a 3-year performance period previously awarded on October 13, 2022. As reported at grant, the PRSUs could result in a payout (if earned) that varies (starting at 0%) based on actual achievement of the goals, subject to a 200% aggregate limit on the total target shares that may be received under the PRSU awarded on October 13, 2022. 50% of the shares earned vested upon certification of the performance and 50% remain subject to vesting until the certification of performance goals at the end of year 3 of the performance period.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20"/>
        <w:spacing w:after="0" w:line="238" w:lineRule="auto"/>
        <w:tabs>
          <w:tab w:leader="none" w:pos="14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performance-based restricted stock unit ("PRSU") represents the right to receive, following vesting, a percentage of one share of common stock based upon the achievement of pre-established performance goals over a 3-year period beginning September 3, 2021 and ending August 29, 2024 (subject to a 200% aggregate limit on the total target shares that may be received under the PRSUs awarded on October 13, 2021), and certification of such performance by the Compensation Committee.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20"/>
        <w:spacing w:after="0" w:line="238" w:lineRule="auto"/>
        <w:tabs>
          <w:tab w:leader="none" w:pos="14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performance-based restricted stock unit ("PRSU") represents the right to receive, following vesting, a percentage of one share of common stock based upon the achievement of pre-established performance goals over a 3-year performance period beginning September 2, 2022 and ending August 28, 2025 (subject to a 200% aggregate limit on the total target shares that may be received under the PRSUs awarded on October 13, 2022), and certification of such performance by the Compensation Committee.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Mai Lan Bui, Attorney-in-fact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10/16/2024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20" w:right="3680"/>
        <w:spacing w:after="0" w:line="331" w:lineRule="auto"/>
        <w:tabs>
          <w:tab w:leader="none" w:pos="15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90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32063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2024-10-16T17:11:57Z</dcterms:created>
  <dcterms:modified xsi:type="dcterms:W3CDTF">2024-10-16T17:11:57Z</dcterms:modified>
</cp:coreProperties>
</file>