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44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5410835</wp:posOffset>
            </wp:positionH>
            <wp:positionV relativeFrom="paragraph">
              <wp:posOffset>-627380</wp:posOffset>
            </wp:positionV>
            <wp:extent cx="58420" cy="640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4073525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15875</wp:posOffset>
            </wp:positionV>
            <wp:extent cx="7325995" cy="5718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571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2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spacing w:after="0" w:line="23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3"/>
                </w:rPr>
                <w:t>FOSTER RONALD C</w:t>
              </w:r>
            </w:hyperlink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ind w:left="60"/>
              <w:spacing w:after="0" w:line="104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MU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  <w:vMerge w:val="restart"/>
          </w:tcPr>
          <w:p>
            <w:pPr>
              <w:ind w:left="3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CFO &amp; VP OF FINANCE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10/20/2014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MAIL STOP 557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0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9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10/20/2014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24,182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28.765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537,316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10/20/2014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43,100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580,416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jointly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10/20/2015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28.765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13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10/20/2014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0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10/20/2022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Optin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Performance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25,900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25,900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36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10/20/2014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25,900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9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the anniversary of the grant.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Non-qualifed Stock Options vest in 25% increments annually on the anniversary of the grant.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2"/>
        <w:spacing w:after="0" w:line="23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performance-based restricted stock unit represents the right to receive, following vesting, between 0% and 200% of one share of common stock based upon the achievement of pre-established performance metrics related to relative TSR and ROA over a 3-year performance period beginning August 29, 2014 and ending on August 31, 2017, and certification of such performance by the Compensation Committee following the conclusion of the performance period.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Case, Attorney-in-fact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10/22/2014</w:t>
            </w:r>
          </w:p>
        </w:tc>
      </w:tr>
      <w:tr>
        <w:trPr>
          <w:trHeight w:val="225"/>
        </w:trPr>
        <w:tc>
          <w:tcPr>
            <w:tcW w:w="2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402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2019-12-16T04:21:34Z</dcterms:created>
  <dcterms:modified xsi:type="dcterms:W3CDTF">2019-12-16T04:21:34Z</dcterms:modified>
</cp:coreProperties>
</file>