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5"/>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25"/>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5"/>
        <w:spacing w:after="0"/>
        <w:rPr>
          <w:sz w:val="20"/>
          <w:szCs w:val="20"/>
          <w:color w:val="auto"/>
        </w:rPr>
      </w:pPr>
      <w:r>
        <w:rPr>
          <w:rFonts w:ascii="Courier New" w:cs="Courier New" w:eastAsia="Courier New" w:hAnsi="Courier New"/>
          <w:sz w:val="18"/>
          <w:szCs w:val="18"/>
          <w:color w:val="auto"/>
        </w:rPr>
        <w:t>595112103</w:t>
      </w:r>
    </w:p>
    <w:p>
      <w:pPr>
        <w:spacing w:after="0" w:line="201" w:lineRule="exact"/>
        <w:rPr>
          <w:sz w:val="24"/>
          <w:szCs w:val="24"/>
          <w:color w:val="auto"/>
        </w:rPr>
      </w:pPr>
    </w:p>
    <w:p>
      <w:pPr>
        <w:ind w:left="3165"/>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994"/>
        <w:spacing w:after="0"/>
        <w:rPr>
          <w:sz w:val="20"/>
          <w:szCs w:val="20"/>
          <w:color w:val="auto"/>
        </w:rPr>
      </w:pPr>
      <w:r>
        <w:rPr>
          <w:rFonts w:ascii="Courier New" w:cs="Courier New" w:eastAsia="Courier New" w:hAnsi="Courier New"/>
          <w:sz w:val="18"/>
          <w:szCs w:val="18"/>
          <w:color w:val="auto"/>
        </w:rPr>
        <w:t>December 29, 2000</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525" w:hanging="420"/>
        <w:spacing w:after="0"/>
        <w:tabs>
          <w:tab w:leader="none" w:pos="5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ectPr>
          <w:pgSz w:w="11900" w:h="16838" w:orient="portrait"/>
          <w:cols w:equalWidth="0" w:num="1">
            <w:col w:w="9684"/>
          </w:cols>
          <w:pgMar w:left="775" w:top="1440" w:right="1440" w:bottom="0" w:gutter="0" w:footer="0" w:header="0"/>
        </w:sectPr>
      </w:pPr>
    </w:p>
    <w:bookmarkStart w:id="1" w:name="page2"/>
    <w:bookmarkEnd w:id="1"/>
    <w:p>
      <w:pPr>
        <w:ind w:left="520" w:hanging="420"/>
        <w:spacing w:after="0"/>
        <w:tabs>
          <w:tab w:leader="none" w:pos="5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w:t>
      </w:r>
    </w:p>
    <w:p>
      <w:pPr>
        <w:sectPr>
          <w:pgSz w:w="11900" w:h="16838" w:orient="portrait"/>
          <w:cols w:equalWidth="0" w:num="1">
            <w:col w:w="9679"/>
          </w:cols>
          <w:pgMar w:left="780" w:top="344" w:right="1440" w:bottom="1440" w:gutter="0" w:footer="0" w:header="0"/>
        </w:sectPr>
      </w:pP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w:t>
      </w: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ectPr>
          <w:pgSz w:w="11900" w:h="16838" w:orient="portrait"/>
          <w:cols w:equalWidth="0" w:num="2">
            <w:col w:w="6340" w:space="720"/>
            <w:col w:w="2619"/>
          </w:cols>
          <w:pgMar w:left="780" w:top="344" w:right="1440" w:bottom="1440" w:gutter="0" w:footer="0" w:header="0"/>
          <w:type w:val="continuous"/>
        </w:sectPr>
      </w:pPr>
    </w:p>
    <w:p>
      <w:pPr>
        <w:spacing w:after="0" w:line="18" w:lineRule="exact"/>
        <w:rPr>
          <w:sz w:val="20"/>
          <w:szCs w:val="20"/>
          <w:color w:val="auto"/>
        </w:rPr>
      </w:pPr>
    </w:p>
    <w:p>
      <w:pPr>
        <w:ind w:left="520" w:hanging="420"/>
        <w:spacing w:after="0"/>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5999" w:hanging="430"/>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900" w:hanging="430"/>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31,429,600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09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31,429,600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9679"/>
          </w:cols>
          <w:pgMar w:left="780" w:top="344" w:right="1440" w:bottom="1440" w:gutter="0" w:footer="0" w:header="0"/>
          <w:type w:val="continuous"/>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P.O. Box 6</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spacing w:after="0" w:line="5" w:lineRule="exact"/>
        <w:rPr>
          <w:sz w:val="20"/>
          <w:szCs w:val="20"/>
          <w:color w:val="auto"/>
        </w:rPr>
      </w:pPr>
    </w:p>
    <w:p>
      <w:pPr>
        <w:ind w:left="1260" w:right="2519" w:hanging="528"/>
        <w:spacing w:after="0" w:line="235" w:lineRule="auto"/>
        <w:tabs>
          <w:tab w:leader="none" w:pos="147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60" w:hanging="728"/>
        <w:spacing w:after="0"/>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31,429,600 shares or 5.5% of the 567,667,000 shares of Common Stock believed to be outstanding as a result of acting as investment adviser to various investment companies registered under Section 8 of the Investment Company Act of 1940.</w:t>
      </w:r>
    </w:p>
    <w:p>
      <w:pPr>
        <w:sectPr>
          <w:pgSz w:w="11900" w:h="16838" w:orient="portrait"/>
          <w:cols w:equalWidth="0" w:num="1">
            <w:col w:w="9679"/>
          </w:cols>
          <w:pgMar w:left="780" w:top="919" w:right="1440" w:bottom="0" w:gutter="0" w:footer="0" w:header="0"/>
        </w:sectPr>
      </w:pPr>
    </w:p>
    <w:bookmarkStart w:id="3" w:name="page4"/>
    <w:bookmarkEnd w:id="3"/>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19, 2000 included as an Exhibit to Schedule 13G filed with the Securities and Exchange Commission by Capital Research and Management Company on February 9, 2001 with respect to 3COM Corporation</w:t>
      </w:r>
    </w:p>
    <w:sectPr>
      <w:pgSz w:w="11900" w:h="16838" w:orient="portrait"/>
      <w:cols w:equalWidth="0" w:num="1">
        <w:col w:w="9679"/>
      </w:cols>
      <w:pgMar w:left="7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8"/>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2019-12-11T19:50:37Z</dcterms:created>
  <dcterms:modified xsi:type="dcterms:W3CDTF">2019-12-11T19:50:37Z</dcterms:modified>
</cp:coreProperties>
</file>