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68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2115"/>
                    </a:xfrm>
                    <a:prstGeom prst="rect">
                      <a:avLst/>
                    </a:prstGeom>
                    <a:noFill/>
                  </pic:spPr>
                </pic:pic>
              </a:graphicData>
            </a:graphic>
          </wp:anchor>
        </w:drawing>
      </w:r>
    </w:p>
    <w:p>
      <w:pPr>
        <w:spacing w:after="0" w:line="43" w:lineRule="exact"/>
        <w:rPr>
          <w:sz w:val="24"/>
          <w:szCs w:val="24"/>
          <w:color w:val="auto"/>
        </w:rPr>
      </w:pPr>
    </w:p>
    <w:p>
      <w:pPr>
        <w:sectPr>
          <w:pgSz w:w="11900" w:h="16944" w:orient="portrait"/>
          <w:cols w:equalWidth="0" w:num="2">
            <w:col w:w="2180" w:space="480"/>
            <w:col w:w="842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gridSpan w:val="5"/>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Deboer Scott J</w:t>
              </w:r>
            </w:hyperlink>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MICRON TECHNOLOGY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MU</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8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5"/>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700" w:type="dxa"/>
            <w:vAlign w:val="bottom"/>
          </w:tcPr>
          <w:p>
            <w:pPr>
              <w:ind w:left="140"/>
              <w:spacing w:after="0" w:line="93" w:lineRule="exact"/>
              <w:rPr>
                <w:sz w:val="20"/>
                <w:szCs w:val="20"/>
                <w:color w:val="auto"/>
              </w:rPr>
            </w:pPr>
            <w:r>
              <w:rPr>
                <w:rFonts w:ascii="Arial" w:cs="Arial" w:eastAsia="Arial" w:hAnsi="Arial"/>
                <w:sz w:val="10"/>
                <w:szCs w:val="10"/>
                <w:color w:val="auto"/>
              </w:rPr>
              <w:t>below)</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ind w:left="96"/>
              <w:spacing w:after="0" w:line="93" w:lineRule="exact"/>
              <w:rPr>
                <w:sz w:val="20"/>
                <w:szCs w:val="20"/>
                <w:color w:val="auto"/>
              </w:rPr>
            </w:pPr>
            <w:r>
              <w:rPr>
                <w:rFonts w:ascii="Arial" w:cs="Arial" w:eastAsia="Arial" w:hAnsi="Arial"/>
                <w:sz w:val="10"/>
                <w:szCs w:val="10"/>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ind w:left="20"/>
              <w:spacing w:after="0" w:line="111" w:lineRule="exact"/>
              <w:rPr>
                <w:sz w:val="20"/>
                <w:szCs w:val="20"/>
                <w:color w:val="auto"/>
              </w:rPr>
            </w:pPr>
            <w:r>
              <w:rPr>
                <w:rFonts w:ascii="Arial" w:cs="Arial" w:eastAsia="Arial" w:hAnsi="Arial"/>
                <w:sz w:val="12"/>
                <w:szCs w:val="12"/>
                <w:color w:val="auto"/>
              </w:rPr>
              <w:t>(Last)</w:t>
            </w:r>
          </w:p>
        </w:tc>
        <w:tc>
          <w:tcPr>
            <w:tcW w:w="1740" w:type="dxa"/>
            <w:vAlign w:val="bottom"/>
            <w:gridSpan w:val="2"/>
          </w:tcPr>
          <w:p>
            <w:pPr>
              <w:ind w:left="540"/>
              <w:spacing w:after="0" w:line="111" w:lineRule="exact"/>
              <w:rPr>
                <w:sz w:val="20"/>
                <w:szCs w:val="20"/>
                <w:color w:val="auto"/>
              </w:rPr>
            </w:pPr>
            <w:r>
              <w:rPr>
                <w:rFonts w:ascii="Arial" w:cs="Arial" w:eastAsia="Arial" w:hAnsi="Arial"/>
                <w:sz w:val="12"/>
                <w:szCs w:val="12"/>
                <w:color w:val="auto"/>
              </w:rPr>
              <w:t>(First)</w:t>
            </w:r>
          </w:p>
        </w:tc>
        <w:tc>
          <w:tcPr>
            <w:tcW w:w="1080" w:type="dxa"/>
            <w:vAlign w:val="bottom"/>
          </w:tcPr>
          <w:p>
            <w:pPr>
              <w:ind w:left="20"/>
              <w:spacing w:after="0" w:line="111" w:lineRule="exact"/>
              <w:rPr>
                <w:sz w:val="20"/>
                <w:szCs w:val="20"/>
                <w:color w:val="auto"/>
              </w:rPr>
            </w:pPr>
            <w:r>
              <w:rPr>
                <w:rFonts w:ascii="Arial" w:cs="Arial" w:eastAsia="Arial" w:hAnsi="Arial"/>
                <w:sz w:val="12"/>
                <w:szCs w:val="12"/>
                <w:color w:val="auto"/>
              </w:rPr>
              <w:t>(Middle)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8"/>
            <w:vMerge w:val="restart"/>
          </w:tcPr>
          <w:p>
            <w:pPr>
              <w:ind w:left="180"/>
              <w:spacing w:after="0"/>
              <w:rPr>
                <w:sz w:val="20"/>
                <w:szCs w:val="20"/>
                <w:color w:val="auto"/>
              </w:rPr>
            </w:pPr>
            <w:r>
              <w:rPr>
                <w:rFonts w:ascii="Arial" w:cs="Arial" w:eastAsia="Arial" w:hAnsi="Arial"/>
                <w:sz w:val="16"/>
                <w:szCs w:val="16"/>
                <w:color w:val="0000FF"/>
              </w:rPr>
              <w:t>EVP, Technology Development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6"/>
                <w:szCs w:val="16"/>
                <w:color w:val="0000FF"/>
              </w:rPr>
              <w:t>8000 S. FEDERAL WAY</w:t>
            </w: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20" w:type="dxa"/>
            <w:vAlign w:val="bottom"/>
            <w:gridSpan w:val="5"/>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gridSpan w:val="3"/>
            <w:vMerge w:val="continue"/>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gridSpan w:val="4"/>
          </w:tcPr>
          <w:p>
            <w:pPr>
              <w:ind w:left="280"/>
              <w:spacing w:after="0"/>
              <w:rPr>
                <w:sz w:val="20"/>
                <w:szCs w:val="20"/>
                <w:color w:val="auto"/>
              </w:rPr>
            </w:pPr>
            <w:r>
              <w:rPr>
                <w:rFonts w:ascii="Arial" w:cs="Arial" w:eastAsia="Arial" w:hAnsi="Arial"/>
                <w:sz w:val="16"/>
                <w:szCs w:val="16"/>
                <w:color w:val="0000FF"/>
              </w:rPr>
              <w:t>10/16/2020</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0000FF"/>
                <w:w w:val="95"/>
              </w:rPr>
              <w:t>MS 1-372</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2C2C2C"/>
            </w:tcBorders>
            <w:gridSpan w:val="6"/>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80" w:type="dxa"/>
            <w:vAlign w:val="bottom"/>
            <w:tcBorders>
              <w:bottom w:val="single" w:sz="8" w:color="2C2C2C"/>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gridSpan w:val="6"/>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tcPr>
          <w:p>
            <w:pPr>
              <w:spacing w:after="0"/>
              <w:rPr>
                <w:sz w:val="16"/>
                <w:szCs w:val="16"/>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0000FF"/>
              </w:rPr>
              <w:t>BOISE</w:t>
            </w:r>
          </w:p>
        </w:tc>
        <w:tc>
          <w:tcPr>
            <w:tcW w:w="740" w:type="dxa"/>
            <w:vAlign w:val="bottom"/>
          </w:tcPr>
          <w:p>
            <w:pPr>
              <w:ind w:left="540"/>
              <w:spacing w:after="0"/>
              <w:rPr>
                <w:sz w:val="20"/>
                <w:szCs w:val="20"/>
                <w:color w:val="auto"/>
              </w:rPr>
            </w:pPr>
            <w:r>
              <w:rPr>
                <w:rFonts w:ascii="Arial" w:cs="Arial" w:eastAsia="Arial" w:hAnsi="Arial"/>
                <w:sz w:val="16"/>
                <w:szCs w:val="16"/>
                <w:color w:val="0000FF"/>
              </w:rPr>
              <w:t>ID</w:t>
            </w:r>
          </w:p>
        </w:tc>
        <w:tc>
          <w:tcPr>
            <w:tcW w:w="10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83716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8"/>
          </w:tcPr>
          <w:p>
            <w:pPr>
              <w:ind w:left="14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540"/>
              <w:spacing w:after="0"/>
              <w:rPr>
                <w:sz w:val="20"/>
                <w:szCs w:val="20"/>
                <w:color w:val="auto"/>
              </w:rPr>
            </w:pPr>
            <w:r>
              <w:rPr>
                <w:rFonts w:ascii="Arial" w:cs="Arial" w:eastAsia="Arial" w:hAnsi="Arial"/>
                <w:sz w:val="12"/>
                <w:szCs w:val="12"/>
                <w:color w:val="auto"/>
              </w:rPr>
              <w:t>(State)</w:t>
            </w:r>
          </w:p>
        </w:tc>
        <w:tc>
          <w:tcPr>
            <w:tcW w:w="1080" w:type="dxa"/>
            <w:vAlign w:val="bottom"/>
          </w:tcPr>
          <w:p>
            <w:pPr>
              <w:ind w:left="2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40" w:type="dxa"/>
            <w:vAlign w:val="bottom"/>
            <w:tcBorders>
              <w:bottom w:val="single" w:sz="8" w:color="2C2C2C"/>
            </w:tcBorders>
            <w:gridSpan w:val="7"/>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820"/>
              <w:spacing w:after="0" w:line="121"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jc w:val="center"/>
              <w:ind w:righ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4"/>
          </w:tcPr>
          <w:p>
            <w:pPr>
              <w:jc w:val="center"/>
              <w:ind w:left="672"/>
              <w:spacing w:after="0" w:line="124" w:lineRule="exact"/>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Arial" w:cs="Arial" w:eastAsia="Arial" w:hAnsi="Arial"/>
                <w:sz w:val="16"/>
                <w:szCs w:val="16"/>
                <w:color w:val="0000FF"/>
                <w:w w:val="92"/>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tcPr>
          <w:p>
            <w:pPr>
              <w:jc w:val="center"/>
              <w:ind w:left="78"/>
              <w:spacing w:after="0"/>
              <w:rPr>
                <w:sz w:val="20"/>
                <w:szCs w:val="20"/>
                <w:color w:val="auto"/>
              </w:rPr>
            </w:pPr>
            <w:r>
              <w:rPr>
                <w:rFonts w:ascii="Arial" w:cs="Arial" w:eastAsia="Arial" w:hAnsi="Arial"/>
                <w:sz w:val="16"/>
                <w:szCs w:val="16"/>
                <w:color w:val="0000FF"/>
                <w:w w:val="85"/>
              </w:rPr>
              <w:t>48,132</w:t>
            </w:r>
            <w:r>
              <w:rPr>
                <w:rFonts w:ascii="Arial" w:cs="Arial" w:eastAsia="Arial" w:hAnsi="Arial"/>
                <w:sz w:val="20"/>
                <w:szCs w:val="20"/>
                <w:color w:val="008000"/>
                <w:w w:val="8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176,500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Arial" w:cs="Arial" w:eastAsia="Arial" w:hAnsi="Arial"/>
                <w:sz w:val="16"/>
                <w:szCs w:val="16"/>
                <w:color w:val="0000FF"/>
                <w:w w:val="92"/>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740" w:type="dxa"/>
            <w:vAlign w:val="bottom"/>
            <w:tcBorders>
              <w:bottom w:val="single" w:sz="8" w:color="2C2C2C"/>
            </w:tcBorders>
          </w:tcPr>
          <w:p>
            <w:pPr>
              <w:jc w:val="center"/>
              <w:ind w:left="78"/>
              <w:spacing w:after="0"/>
              <w:rPr>
                <w:sz w:val="20"/>
                <w:szCs w:val="20"/>
                <w:color w:val="auto"/>
              </w:rPr>
            </w:pPr>
            <w:r>
              <w:rPr>
                <w:rFonts w:ascii="Arial" w:cs="Arial" w:eastAsia="Arial" w:hAnsi="Arial"/>
                <w:sz w:val="16"/>
                <w:szCs w:val="16"/>
                <w:color w:val="0000FF"/>
                <w:w w:val="85"/>
              </w:rPr>
              <w:t>9,999</w:t>
            </w:r>
            <w:r>
              <w:rPr>
                <w:rFonts w:ascii="Arial" w:cs="Arial" w:eastAsia="Arial" w:hAnsi="Arial"/>
                <w:sz w:val="20"/>
                <w:szCs w:val="20"/>
                <w:color w:val="008000"/>
                <w:w w:val="85"/>
                <w:vertAlign w:val="superscript"/>
              </w:rPr>
              <w:t>(2)</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51.94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166,501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Arial" w:cs="Arial" w:eastAsia="Arial" w:hAnsi="Arial"/>
                <w:sz w:val="16"/>
                <w:szCs w:val="16"/>
                <w:color w:val="0000FF"/>
                <w:w w:val="92"/>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740" w:type="dxa"/>
            <w:vAlign w:val="bottom"/>
            <w:tcBorders>
              <w:bottom w:val="single" w:sz="8" w:color="2C2C2C"/>
            </w:tcBorders>
          </w:tcPr>
          <w:p>
            <w:pPr>
              <w:jc w:val="center"/>
              <w:ind w:left="78"/>
              <w:spacing w:after="0"/>
              <w:rPr>
                <w:sz w:val="20"/>
                <w:szCs w:val="20"/>
                <w:color w:val="auto"/>
              </w:rPr>
            </w:pPr>
            <w:r>
              <w:rPr>
                <w:rFonts w:ascii="Arial" w:cs="Arial" w:eastAsia="Arial" w:hAnsi="Arial"/>
                <w:sz w:val="16"/>
                <w:szCs w:val="16"/>
                <w:color w:val="0000FF"/>
                <w:w w:val="85"/>
              </w:rPr>
              <w:t>19,486</w:t>
            </w:r>
            <w:r>
              <w:rPr>
                <w:rFonts w:ascii="Arial" w:cs="Arial" w:eastAsia="Arial" w:hAnsi="Arial"/>
                <w:sz w:val="20"/>
                <w:szCs w:val="20"/>
                <w:color w:val="008000"/>
                <w:w w:val="85"/>
                <w:vertAlign w:val="superscript"/>
              </w:rPr>
              <w:t>(3)</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185,987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Arial" w:cs="Arial" w:eastAsia="Arial" w:hAnsi="Arial"/>
                <w:sz w:val="16"/>
                <w:szCs w:val="16"/>
                <w:color w:val="0000FF"/>
                <w:w w:val="92"/>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2"/>
                <w:szCs w:val="12"/>
                <w:color w:val="0000FF"/>
              </w:rPr>
              <w:t>M</w:t>
            </w:r>
          </w:p>
        </w:tc>
        <w:tc>
          <w:tcPr>
            <w:tcW w:w="740" w:type="dxa"/>
            <w:vAlign w:val="bottom"/>
            <w:tcBorders>
              <w:bottom w:val="single" w:sz="8" w:color="2C2C2C"/>
            </w:tcBorders>
          </w:tcPr>
          <w:p>
            <w:pPr>
              <w:jc w:val="center"/>
              <w:ind w:left="78"/>
              <w:spacing w:after="0"/>
              <w:rPr>
                <w:sz w:val="20"/>
                <w:szCs w:val="20"/>
                <w:color w:val="auto"/>
              </w:rPr>
            </w:pPr>
            <w:r>
              <w:rPr>
                <w:rFonts w:ascii="Arial" w:cs="Arial" w:eastAsia="Arial" w:hAnsi="Arial"/>
                <w:sz w:val="16"/>
                <w:szCs w:val="16"/>
                <w:color w:val="0000FF"/>
                <w:w w:val="85"/>
              </w:rPr>
              <w:t>27,023</w:t>
            </w:r>
            <w:r>
              <w:rPr>
                <w:rFonts w:ascii="Arial" w:cs="Arial" w:eastAsia="Arial" w:hAnsi="Arial"/>
                <w:sz w:val="20"/>
                <w:szCs w:val="20"/>
                <w:color w:val="008000"/>
                <w:w w:val="85"/>
                <w:vertAlign w:val="superscript"/>
              </w:rPr>
              <w:t>(4)</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213,010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52"/>
              <w:spacing w:after="0"/>
              <w:rPr>
                <w:sz w:val="20"/>
                <w:szCs w:val="20"/>
                <w:color w:val="auto"/>
              </w:rPr>
            </w:pPr>
            <w:r>
              <w:rPr>
                <w:rFonts w:ascii="Arial" w:cs="Arial" w:eastAsia="Arial" w:hAnsi="Arial"/>
                <w:sz w:val="16"/>
                <w:szCs w:val="16"/>
                <w:color w:val="0000FF"/>
                <w:w w:val="92"/>
              </w:rPr>
              <w:t>10/16/2020</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F</w:t>
            </w:r>
          </w:p>
        </w:tc>
        <w:tc>
          <w:tcPr>
            <w:tcW w:w="740" w:type="dxa"/>
            <w:vAlign w:val="bottom"/>
            <w:tcBorders>
              <w:bottom w:val="single" w:sz="8" w:color="2C2C2C"/>
            </w:tcBorders>
          </w:tcPr>
          <w:p>
            <w:pPr>
              <w:jc w:val="center"/>
              <w:ind w:left="78"/>
              <w:spacing w:after="0"/>
              <w:rPr>
                <w:sz w:val="20"/>
                <w:szCs w:val="20"/>
                <w:color w:val="auto"/>
              </w:rPr>
            </w:pPr>
            <w:r>
              <w:rPr>
                <w:rFonts w:ascii="Arial" w:cs="Arial" w:eastAsia="Arial" w:hAnsi="Arial"/>
                <w:sz w:val="16"/>
                <w:szCs w:val="16"/>
                <w:color w:val="0000FF"/>
                <w:w w:val="85"/>
              </w:rPr>
              <w:t>21,685</w:t>
            </w:r>
            <w:r>
              <w:rPr>
                <w:rFonts w:ascii="Arial" w:cs="Arial" w:eastAsia="Arial" w:hAnsi="Arial"/>
                <w:sz w:val="20"/>
                <w:szCs w:val="20"/>
                <w:color w:val="008000"/>
                <w:w w:val="85"/>
                <w:vertAlign w:val="superscript"/>
              </w:rPr>
              <w:t>(5)</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gridSpan w:val="2"/>
          </w:tcPr>
          <w:p>
            <w:pPr>
              <w:jc w:val="center"/>
              <w:ind w:left="5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51.94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6"/>
                <w:szCs w:val="16"/>
                <w:color w:val="0000FF"/>
              </w:rPr>
              <w:t>191,325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jc w:val="center"/>
              <w:ind w:right="58"/>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jc w:val="center"/>
              <w:ind w:right="58"/>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Underlying Derivative</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Security (Instr. 3 and</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97"/>
              </w:rPr>
              <w:t>(6)</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(6)</w:t>
            </w:r>
          </w:p>
        </w:tc>
        <w:tc>
          <w:tcPr>
            <w:tcW w:w="540" w:type="dxa"/>
            <w:vAlign w:val="bottom"/>
            <w:vMerge w:val="restart"/>
          </w:tcPr>
          <w:p>
            <w:pPr>
              <w:jc w:val="center"/>
              <w:ind w:right="16"/>
              <w:spacing w:after="0"/>
              <w:rPr>
                <w:sz w:val="20"/>
                <w:szCs w:val="20"/>
                <w:color w:val="auto"/>
              </w:rPr>
            </w:pPr>
            <w:r>
              <w:rPr>
                <w:rFonts w:ascii="Arial" w:cs="Arial" w:eastAsia="Arial" w:hAnsi="Arial"/>
                <w:sz w:val="12"/>
                <w:szCs w:val="12"/>
                <w:color w:val="0000FF"/>
                <w:w w:val="94"/>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5"/>
              </w:rPr>
              <w:t>20,335</w:t>
            </w:r>
            <w:r>
              <w:rPr>
                <w:rFonts w:ascii="Arial" w:cs="Arial" w:eastAsia="Arial" w:hAnsi="Arial"/>
                <w:sz w:val="20"/>
                <w:szCs w:val="20"/>
                <w:color w:val="008000"/>
                <w:w w:val="85"/>
                <w:vertAlign w:val="superscript"/>
              </w:rPr>
              <w:t>(6)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jc w:val="right"/>
              <w:ind w:right="262"/>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w w:val="99"/>
              </w:rPr>
              <w:t>A</w:t>
            </w:r>
          </w:p>
        </w:tc>
        <w:tc>
          <w:tcPr>
            <w:tcW w:w="520" w:type="dxa"/>
            <w:vAlign w:val="bottom"/>
          </w:tcPr>
          <w:p>
            <w:pPr>
              <w:ind w:left="100"/>
              <w:spacing w:after="0" w:line="121" w:lineRule="exact"/>
              <w:rPr>
                <w:sz w:val="20"/>
                <w:szCs w:val="20"/>
                <w:color w:val="auto"/>
              </w:rPr>
            </w:pPr>
            <w:r>
              <w:rPr>
                <w:rFonts w:ascii="Arial" w:cs="Arial" w:eastAsia="Arial" w:hAnsi="Arial"/>
                <w:sz w:val="12"/>
                <w:szCs w:val="12"/>
                <w:color w:val="0000FF"/>
              </w:rPr>
              <w:t>20,335</w:t>
            </w:r>
          </w:p>
        </w:tc>
        <w:tc>
          <w:tcPr>
            <w:tcW w:w="5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21" w:lineRule="exact"/>
              <w:rPr>
                <w:sz w:val="20"/>
                <w:szCs w:val="20"/>
                <w:color w:val="auto"/>
              </w:rPr>
            </w:pPr>
            <w:r>
              <w:rPr>
                <w:rFonts w:ascii="Arial" w:cs="Arial" w:eastAsia="Arial" w:hAnsi="Arial"/>
                <w:sz w:val="12"/>
                <w:szCs w:val="12"/>
                <w:color w:val="0000FF"/>
                <w:w w:val="92"/>
              </w:rPr>
              <w:t>20,335</w:t>
            </w:r>
          </w:p>
        </w:tc>
        <w:tc>
          <w:tcPr>
            <w:tcW w:w="640" w:type="dxa"/>
            <w:vAlign w:val="bottom"/>
          </w:tcPr>
          <w:p>
            <w:pPr>
              <w:jc w:val="center"/>
              <w:ind w:left="56"/>
              <w:spacing w:after="0" w:line="121"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97"/>
              </w:rPr>
              <w:t>(7)</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(7)</w:t>
            </w:r>
          </w:p>
        </w:tc>
        <w:tc>
          <w:tcPr>
            <w:tcW w:w="540" w:type="dxa"/>
            <w:vAlign w:val="bottom"/>
            <w:vMerge w:val="restart"/>
          </w:tcPr>
          <w:p>
            <w:pPr>
              <w:jc w:val="center"/>
              <w:ind w:right="16"/>
              <w:spacing w:after="0"/>
              <w:rPr>
                <w:sz w:val="20"/>
                <w:szCs w:val="20"/>
                <w:color w:val="auto"/>
              </w:rPr>
            </w:pPr>
            <w:r>
              <w:rPr>
                <w:rFonts w:ascii="Arial" w:cs="Arial" w:eastAsia="Arial" w:hAnsi="Arial"/>
                <w:sz w:val="12"/>
                <w:szCs w:val="12"/>
                <w:color w:val="0000FF"/>
                <w:w w:val="94"/>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5"/>
              </w:rPr>
              <w:t>24,066</w:t>
            </w:r>
            <w:r>
              <w:rPr>
                <w:rFonts w:ascii="Arial" w:cs="Arial" w:eastAsia="Arial" w:hAnsi="Arial"/>
                <w:sz w:val="20"/>
                <w:szCs w:val="20"/>
                <w:color w:val="008000"/>
                <w:w w:val="85"/>
                <w:vertAlign w:val="superscript"/>
              </w:rPr>
              <w:t>(7)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jc w:val="right"/>
              <w:ind w:right="262"/>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w w:val="99"/>
              </w:rPr>
              <w:t>A</w:t>
            </w:r>
          </w:p>
        </w:tc>
        <w:tc>
          <w:tcPr>
            <w:tcW w:w="520" w:type="dxa"/>
            <w:vAlign w:val="bottom"/>
          </w:tcPr>
          <w:p>
            <w:pPr>
              <w:ind w:left="100"/>
              <w:spacing w:after="0" w:line="121" w:lineRule="exact"/>
              <w:rPr>
                <w:sz w:val="20"/>
                <w:szCs w:val="20"/>
                <w:color w:val="auto"/>
              </w:rPr>
            </w:pPr>
            <w:r>
              <w:rPr>
                <w:rFonts w:ascii="Arial" w:cs="Arial" w:eastAsia="Arial" w:hAnsi="Arial"/>
                <w:sz w:val="12"/>
                <w:szCs w:val="12"/>
                <w:color w:val="0000FF"/>
              </w:rPr>
              <w:t>24,066</w:t>
            </w:r>
          </w:p>
        </w:tc>
        <w:tc>
          <w:tcPr>
            <w:tcW w:w="5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21" w:lineRule="exact"/>
              <w:rPr>
                <w:sz w:val="20"/>
                <w:szCs w:val="20"/>
                <w:color w:val="auto"/>
              </w:rPr>
            </w:pPr>
            <w:r>
              <w:rPr>
                <w:rFonts w:ascii="Arial" w:cs="Arial" w:eastAsia="Arial" w:hAnsi="Arial"/>
                <w:sz w:val="12"/>
                <w:szCs w:val="12"/>
                <w:color w:val="0000FF"/>
                <w:w w:val="92"/>
              </w:rPr>
              <w:t>24,066</w:t>
            </w:r>
          </w:p>
        </w:tc>
        <w:tc>
          <w:tcPr>
            <w:tcW w:w="640" w:type="dxa"/>
            <w:vAlign w:val="bottom"/>
          </w:tcPr>
          <w:p>
            <w:pPr>
              <w:jc w:val="center"/>
              <w:ind w:left="56"/>
              <w:spacing w:after="0" w:line="121"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97"/>
              </w:rPr>
              <w:t>(8)</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(8)</w:t>
            </w:r>
          </w:p>
        </w:tc>
        <w:tc>
          <w:tcPr>
            <w:tcW w:w="540" w:type="dxa"/>
            <w:vAlign w:val="bottom"/>
            <w:vMerge w:val="restart"/>
          </w:tcPr>
          <w:p>
            <w:pPr>
              <w:jc w:val="center"/>
              <w:ind w:right="16"/>
              <w:spacing w:after="0"/>
              <w:rPr>
                <w:sz w:val="20"/>
                <w:szCs w:val="20"/>
                <w:color w:val="auto"/>
              </w:rPr>
            </w:pPr>
            <w:r>
              <w:rPr>
                <w:rFonts w:ascii="Arial" w:cs="Arial" w:eastAsia="Arial" w:hAnsi="Arial"/>
                <w:sz w:val="12"/>
                <w:szCs w:val="12"/>
                <w:color w:val="0000FF"/>
                <w:w w:val="94"/>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5"/>
              </w:rPr>
              <w:t>19,486</w:t>
            </w:r>
            <w:r>
              <w:rPr>
                <w:rFonts w:ascii="Arial" w:cs="Arial" w:eastAsia="Arial" w:hAnsi="Arial"/>
                <w:sz w:val="20"/>
                <w:szCs w:val="20"/>
                <w:color w:val="008000"/>
                <w:w w:val="85"/>
                <w:vertAlign w:val="superscript"/>
              </w:rPr>
              <w:t>(3)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jc w:val="right"/>
              <w:ind w:right="262"/>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rPr>
              <w:t>M</w:t>
            </w:r>
          </w:p>
        </w:tc>
        <w:tc>
          <w:tcPr>
            <w:tcW w:w="520" w:type="dxa"/>
            <w:vAlign w:val="bottom"/>
          </w:tcPr>
          <w:p>
            <w:pPr>
              <w:spacing w:after="0"/>
              <w:rPr>
                <w:sz w:val="10"/>
                <w:szCs w:val="10"/>
                <w:color w:val="auto"/>
              </w:rPr>
            </w:pPr>
          </w:p>
        </w:tc>
        <w:tc>
          <w:tcPr>
            <w:tcW w:w="500" w:type="dxa"/>
            <w:vAlign w:val="bottom"/>
          </w:tcPr>
          <w:p>
            <w:pPr>
              <w:jc w:val="center"/>
              <w:spacing w:after="0" w:line="121" w:lineRule="exact"/>
              <w:rPr>
                <w:sz w:val="20"/>
                <w:szCs w:val="20"/>
                <w:color w:val="auto"/>
              </w:rPr>
            </w:pPr>
            <w:r>
              <w:rPr>
                <w:rFonts w:ascii="Arial" w:cs="Arial" w:eastAsia="Arial" w:hAnsi="Arial"/>
                <w:sz w:val="12"/>
                <w:szCs w:val="12"/>
                <w:color w:val="0000FF"/>
                <w:w w:val="92"/>
              </w:rPr>
              <w:t>16,196</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22"/>
              <w:spacing w:after="0" w:line="121" w:lineRule="exact"/>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10"/>
                <w:szCs w:val="10"/>
                <w:color w:val="auto"/>
              </w:rPr>
            </w:pPr>
          </w:p>
        </w:tc>
        <w:tc>
          <w:tcPr>
            <w:tcW w:w="640" w:type="dxa"/>
            <w:vAlign w:val="bottom"/>
          </w:tcPr>
          <w:p>
            <w:pPr>
              <w:jc w:val="center"/>
              <w:ind w:left="56"/>
              <w:spacing w:after="0" w:line="121"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ind w:right="4"/>
              <w:spacing w:after="0"/>
              <w:rPr>
                <w:sz w:val="20"/>
                <w:szCs w:val="20"/>
                <w:color w:val="auto"/>
              </w:rPr>
            </w:pPr>
            <w:r>
              <w:rPr>
                <w:rFonts w:ascii="Arial" w:cs="Arial" w:eastAsia="Arial" w:hAnsi="Arial"/>
                <w:sz w:val="10"/>
                <w:szCs w:val="10"/>
                <w:color w:val="008000"/>
                <w:w w:val="97"/>
              </w:rPr>
              <w:t>(9)</w:t>
            </w:r>
          </w:p>
        </w:tc>
        <w:tc>
          <w:tcPr>
            <w:tcW w:w="740" w:type="dxa"/>
            <w:vAlign w:val="bottom"/>
            <w:vMerge w:val="restart"/>
          </w:tcPr>
          <w:p>
            <w:pPr>
              <w:jc w:val="center"/>
              <w:ind w:right="38"/>
              <w:spacing w:after="0"/>
              <w:rPr>
                <w:sz w:val="20"/>
                <w:szCs w:val="20"/>
                <w:color w:val="auto"/>
              </w:rPr>
            </w:pPr>
            <w:r>
              <w:rPr>
                <w:rFonts w:ascii="Arial" w:cs="Arial" w:eastAsia="Arial" w:hAnsi="Arial"/>
                <w:sz w:val="10"/>
                <w:szCs w:val="10"/>
                <w:color w:val="008000"/>
                <w:w w:val="97"/>
              </w:rPr>
              <w:t>(9)</w:t>
            </w:r>
          </w:p>
        </w:tc>
        <w:tc>
          <w:tcPr>
            <w:tcW w:w="540" w:type="dxa"/>
            <w:vAlign w:val="bottom"/>
            <w:vMerge w:val="restart"/>
          </w:tcPr>
          <w:p>
            <w:pPr>
              <w:jc w:val="center"/>
              <w:ind w:right="16"/>
              <w:spacing w:after="0"/>
              <w:rPr>
                <w:sz w:val="20"/>
                <w:szCs w:val="20"/>
                <w:color w:val="auto"/>
              </w:rPr>
            </w:pPr>
            <w:r>
              <w:rPr>
                <w:rFonts w:ascii="Arial" w:cs="Arial" w:eastAsia="Arial" w:hAnsi="Arial"/>
                <w:sz w:val="12"/>
                <w:szCs w:val="12"/>
                <w:color w:val="0000FF"/>
                <w:w w:val="94"/>
              </w:rPr>
              <w:t>Common</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5"/>
              </w:rPr>
              <w:t>27,023</w:t>
            </w:r>
            <w:r>
              <w:rPr>
                <w:rFonts w:ascii="Arial" w:cs="Arial" w:eastAsia="Arial" w:hAnsi="Arial"/>
                <w:sz w:val="20"/>
                <w:szCs w:val="20"/>
                <w:color w:val="008000"/>
                <w:w w:val="85"/>
                <w:vertAlign w:val="superscript"/>
              </w:rPr>
              <w:t>(4)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jc w:val="right"/>
              <w:ind w:right="262"/>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rPr>
              <w:t>M</w:t>
            </w:r>
          </w:p>
        </w:tc>
        <w:tc>
          <w:tcPr>
            <w:tcW w:w="520" w:type="dxa"/>
            <w:vAlign w:val="bottom"/>
          </w:tcPr>
          <w:p>
            <w:pPr>
              <w:spacing w:after="0"/>
              <w:rPr>
                <w:sz w:val="10"/>
                <w:szCs w:val="10"/>
                <w:color w:val="auto"/>
              </w:rPr>
            </w:pPr>
          </w:p>
        </w:tc>
        <w:tc>
          <w:tcPr>
            <w:tcW w:w="500" w:type="dxa"/>
            <w:vAlign w:val="bottom"/>
          </w:tcPr>
          <w:p>
            <w:pPr>
              <w:jc w:val="center"/>
              <w:spacing w:after="0" w:line="121" w:lineRule="exact"/>
              <w:rPr>
                <w:sz w:val="20"/>
                <w:szCs w:val="20"/>
                <w:color w:val="auto"/>
              </w:rPr>
            </w:pPr>
            <w:r>
              <w:rPr>
                <w:rFonts w:ascii="Arial" w:cs="Arial" w:eastAsia="Arial" w:hAnsi="Arial"/>
                <w:sz w:val="12"/>
                <w:szCs w:val="12"/>
                <w:color w:val="0000FF"/>
                <w:w w:val="92"/>
              </w:rPr>
              <w:t>13,732</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21" w:lineRule="exact"/>
              <w:rPr>
                <w:sz w:val="20"/>
                <w:szCs w:val="20"/>
                <w:color w:val="auto"/>
              </w:rPr>
            </w:pPr>
            <w:r>
              <w:rPr>
                <w:rFonts w:ascii="Arial" w:cs="Arial" w:eastAsia="Arial" w:hAnsi="Arial"/>
                <w:sz w:val="12"/>
                <w:szCs w:val="12"/>
                <w:color w:val="0000FF"/>
                <w:w w:val="92"/>
              </w:rPr>
              <w:t>19,486</w:t>
            </w:r>
          </w:p>
        </w:tc>
        <w:tc>
          <w:tcPr>
            <w:tcW w:w="640" w:type="dxa"/>
            <w:vAlign w:val="bottom"/>
          </w:tcPr>
          <w:p>
            <w:pPr>
              <w:jc w:val="center"/>
              <w:ind w:left="56"/>
              <w:spacing w:after="0" w:line="121"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740" w:type="dxa"/>
            <w:vAlign w:val="bottom"/>
            <w:vMerge w:val="restart"/>
          </w:tcPr>
          <w:p>
            <w:pPr>
              <w:jc w:val="center"/>
              <w:ind w:right="18"/>
              <w:spacing w:after="0"/>
              <w:rPr>
                <w:sz w:val="20"/>
                <w:szCs w:val="20"/>
                <w:color w:val="auto"/>
              </w:rPr>
            </w:pPr>
            <w:r>
              <w:rPr>
                <w:rFonts w:ascii="Arial" w:cs="Arial" w:eastAsia="Arial" w:hAnsi="Arial"/>
                <w:sz w:val="10"/>
                <w:szCs w:val="10"/>
                <w:color w:val="008000"/>
              </w:rPr>
              <w:t>(10)</w:t>
            </w:r>
          </w:p>
        </w:tc>
        <w:tc>
          <w:tcPr>
            <w:tcW w:w="540" w:type="dxa"/>
            <w:vAlign w:val="bottom"/>
            <w:vMerge w:val="restart"/>
          </w:tcPr>
          <w:p>
            <w:pPr>
              <w:jc w:val="center"/>
              <w:ind w:right="16"/>
              <w:spacing w:after="0"/>
              <w:rPr>
                <w:sz w:val="20"/>
                <w:szCs w:val="20"/>
                <w:color w:val="auto"/>
              </w:rPr>
            </w:pPr>
            <w:r>
              <w:rPr>
                <w:rFonts w:ascii="Arial" w:cs="Arial" w:eastAsia="Arial" w:hAnsi="Arial"/>
                <w:sz w:val="12"/>
                <w:szCs w:val="12"/>
                <w:color w:val="0000FF"/>
                <w:w w:val="94"/>
              </w:rPr>
              <w:t>Common</w:t>
            </w:r>
          </w:p>
        </w:tc>
        <w:tc>
          <w:tcPr>
            <w:tcW w:w="680" w:type="dxa"/>
            <w:vAlign w:val="bottom"/>
            <w:gridSpan w:val="2"/>
            <w:vMerge w:val="restart"/>
          </w:tcPr>
          <w:p>
            <w:pPr>
              <w:jc w:val="center"/>
              <w:spacing w:after="0" w:line="298" w:lineRule="exact"/>
              <w:rPr>
                <w:sz w:val="20"/>
                <w:szCs w:val="20"/>
                <w:color w:val="auto"/>
              </w:rPr>
            </w:pPr>
            <w:r>
              <w:rPr>
                <w:rFonts w:ascii="Arial" w:cs="Arial" w:eastAsia="Arial" w:hAnsi="Arial"/>
                <w:sz w:val="32"/>
                <w:szCs w:val="32"/>
                <w:color w:val="0000FF"/>
                <w:w w:val="78"/>
                <w:vertAlign w:val="subscript"/>
              </w:rPr>
              <w:t>846</w:t>
            </w:r>
            <w:r>
              <w:rPr>
                <w:rFonts w:ascii="Arial" w:cs="Arial" w:eastAsia="Arial" w:hAnsi="Arial"/>
                <w:sz w:val="10"/>
                <w:szCs w:val="10"/>
                <w:color w:val="008000"/>
                <w:w w:val="78"/>
              </w:rPr>
              <w:t>(12)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jc w:val="right"/>
              <w:ind w:right="262"/>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rPr>
              <w:t>F</w:t>
            </w:r>
          </w:p>
        </w:tc>
        <w:tc>
          <w:tcPr>
            <w:tcW w:w="520" w:type="dxa"/>
            <w:vAlign w:val="bottom"/>
          </w:tcPr>
          <w:p>
            <w:pPr>
              <w:spacing w:after="0"/>
              <w:rPr>
                <w:sz w:val="10"/>
                <w:szCs w:val="10"/>
                <w:color w:val="auto"/>
              </w:rPr>
            </w:pPr>
          </w:p>
        </w:tc>
        <w:tc>
          <w:tcPr>
            <w:tcW w:w="500" w:type="dxa"/>
            <w:vAlign w:val="bottom"/>
          </w:tcPr>
          <w:p>
            <w:pPr>
              <w:jc w:val="center"/>
              <w:spacing w:after="0" w:line="121" w:lineRule="exact"/>
              <w:rPr>
                <w:sz w:val="20"/>
                <w:szCs w:val="20"/>
                <w:color w:val="auto"/>
              </w:rPr>
            </w:pPr>
            <w:r>
              <w:rPr>
                <w:rFonts w:ascii="Arial" w:cs="Arial" w:eastAsia="Arial" w:hAnsi="Arial"/>
                <w:sz w:val="12"/>
                <w:szCs w:val="12"/>
                <w:color w:val="0000FF"/>
                <w:w w:val="89"/>
              </w:rPr>
              <w:t>846</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21" w:lineRule="exact"/>
              <w:rPr>
                <w:sz w:val="20"/>
                <w:szCs w:val="20"/>
                <w:color w:val="auto"/>
              </w:rPr>
            </w:pPr>
            <w:r>
              <w:rPr>
                <w:rFonts w:ascii="Arial" w:cs="Arial" w:eastAsia="Arial" w:hAnsi="Arial"/>
                <w:sz w:val="12"/>
                <w:szCs w:val="12"/>
                <w:color w:val="0000FF"/>
                <w:w w:val="92"/>
              </w:rPr>
              <w:t>19,333</w:t>
            </w:r>
          </w:p>
        </w:tc>
        <w:tc>
          <w:tcPr>
            <w:tcW w:w="640" w:type="dxa"/>
            <w:vAlign w:val="bottom"/>
          </w:tcPr>
          <w:p>
            <w:pPr>
              <w:jc w:val="center"/>
              <w:ind w:left="56"/>
              <w:spacing w:after="0" w:line="121"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color w:val="0000FF"/>
              </w:rPr>
              <w:t>Performance</w:t>
            </w: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740" w:type="dxa"/>
            <w:vAlign w:val="bottom"/>
            <w:vMerge w:val="restart"/>
          </w:tcPr>
          <w:p>
            <w:pPr>
              <w:jc w:val="center"/>
              <w:ind w:right="18"/>
              <w:spacing w:after="0"/>
              <w:rPr>
                <w:sz w:val="20"/>
                <w:szCs w:val="20"/>
                <w:color w:val="auto"/>
              </w:rPr>
            </w:pPr>
            <w:r>
              <w:rPr>
                <w:rFonts w:ascii="Arial" w:cs="Arial" w:eastAsia="Arial" w:hAnsi="Arial"/>
                <w:sz w:val="10"/>
                <w:szCs w:val="10"/>
                <w:color w:val="008000"/>
              </w:rPr>
              <w:t>(11)</w:t>
            </w:r>
          </w:p>
        </w:tc>
        <w:tc>
          <w:tcPr>
            <w:tcW w:w="540" w:type="dxa"/>
            <w:vAlign w:val="bottom"/>
            <w:vMerge w:val="restart"/>
          </w:tcPr>
          <w:p>
            <w:pPr>
              <w:jc w:val="center"/>
              <w:ind w:right="16"/>
              <w:spacing w:after="0"/>
              <w:rPr>
                <w:sz w:val="20"/>
                <w:szCs w:val="20"/>
                <w:color w:val="auto"/>
              </w:rPr>
            </w:pPr>
            <w:r>
              <w:rPr>
                <w:rFonts w:ascii="Arial" w:cs="Arial" w:eastAsia="Arial" w:hAnsi="Arial"/>
                <w:sz w:val="12"/>
                <w:szCs w:val="12"/>
                <w:color w:val="0000FF"/>
                <w:w w:val="94"/>
              </w:rPr>
              <w:t>Common</w:t>
            </w:r>
          </w:p>
        </w:tc>
        <w:tc>
          <w:tcPr>
            <w:tcW w:w="680" w:type="dxa"/>
            <w:vAlign w:val="bottom"/>
            <w:gridSpan w:val="2"/>
            <w:vMerge w:val="restart"/>
          </w:tcPr>
          <w:p>
            <w:pPr>
              <w:jc w:val="center"/>
              <w:spacing w:after="0" w:line="298" w:lineRule="exact"/>
              <w:rPr>
                <w:sz w:val="20"/>
                <w:szCs w:val="20"/>
                <w:color w:val="auto"/>
              </w:rPr>
            </w:pPr>
            <w:r>
              <w:rPr>
                <w:rFonts w:ascii="Arial" w:cs="Arial" w:eastAsia="Arial" w:hAnsi="Arial"/>
                <w:sz w:val="32"/>
                <w:szCs w:val="32"/>
                <w:color w:val="0000FF"/>
                <w:w w:val="81"/>
                <w:vertAlign w:val="subscript"/>
              </w:rPr>
              <w:t>79</w:t>
            </w:r>
            <w:r>
              <w:rPr>
                <w:rFonts w:ascii="Arial" w:cs="Arial" w:eastAsia="Arial" w:hAnsi="Arial"/>
                <w:sz w:val="10"/>
                <w:szCs w:val="10"/>
                <w:color w:val="008000"/>
                <w:w w:val="81"/>
              </w:rPr>
              <w:t>(12)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8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Restricted</w:t>
            </w:r>
          </w:p>
        </w:tc>
        <w:tc>
          <w:tcPr>
            <w:tcW w:w="740" w:type="dxa"/>
            <w:vAlign w:val="bottom"/>
          </w:tcPr>
          <w:p>
            <w:pPr>
              <w:jc w:val="right"/>
              <w:ind w:right="262"/>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00" w:type="dxa"/>
            <w:vAlign w:val="bottom"/>
          </w:tcPr>
          <w:p>
            <w:pPr>
              <w:jc w:val="center"/>
              <w:spacing w:after="0" w:line="121" w:lineRule="exact"/>
              <w:rPr>
                <w:sz w:val="20"/>
                <w:szCs w:val="20"/>
                <w:color w:val="auto"/>
              </w:rPr>
            </w:pPr>
            <w:r>
              <w:rPr>
                <w:rFonts w:ascii="Arial" w:cs="Arial" w:eastAsia="Arial" w:hAnsi="Arial"/>
                <w:sz w:val="12"/>
                <w:szCs w:val="12"/>
                <w:color w:val="0000FF"/>
                <w:w w:val="96"/>
              </w:rPr>
              <w:t>10/16/2020</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center"/>
              <w:ind w:right="420"/>
              <w:spacing w:after="0" w:line="121" w:lineRule="exact"/>
              <w:rPr>
                <w:sz w:val="20"/>
                <w:szCs w:val="20"/>
                <w:color w:val="auto"/>
              </w:rPr>
            </w:pPr>
            <w:r>
              <w:rPr>
                <w:rFonts w:ascii="Arial" w:cs="Arial" w:eastAsia="Arial" w:hAnsi="Arial"/>
                <w:sz w:val="12"/>
                <w:szCs w:val="12"/>
                <w:color w:val="0000FF"/>
              </w:rPr>
              <w:t>F</w:t>
            </w:r>
          </w:p>
        </w:tc>
        <w:tc>
          <w:tcPr>
            <w:tcW w:w="520" w:type="dxa"/>
            <w:vAlign w:val="bottom"/>
          </w:tcPr>
          <w:p>
            <w:pPr>
              <w:spacing w:after="0"/>
              <w:rPr>
                <w:sz w:val="10"/>
                <w:szCs w:val="10"/>
                <w:color w:val="auto"/>
              </w:rPr>
            </w:pPr>
          </w:p>
        </w:tc>
        <w:tc>
          <w:tcPr>
            <w:tcW w:w="500" w:type="dxa"/>
            <w:vAlign w:val="bottom"/>
          </w:tcPr>
          <w:p>
            <w:pPr>
              <w:jc w:val="center"/>
              <w:spacing w:after="0" w:line="121" w:lineRule="exact"/>
              <w:rPr>
                <w:sz w:val="20"/>
                <w:szCs w:val="20"/>
                <w:color w:val="auto"/>
              </w:rPr>
            </w:pPr>
            <w:r>
              <w:rPr>
                <w:rFonts w:ascii="Arial" w:cs="Arial" w:eastAsia="Arial" w:hAnsi="Arial"/>
                <w:sz w:val="12"/>
                <w:szCs w:val="12"/>
                <w:color w:val="0000FF"/>
              </w:rPr>
              <w:t>79</w:t>
            </w: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38"/>
              <w:spacing w:after="0" w:line="121"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21" w:lineRule="exact"/>
              <w:rPr>
                <w:sz w:val="20"/>
                <w:szCs w:val="20"/>
                <w:color w:val="auto"/>
              </w:rPr>
            </w:pPr>
            <w:r>
              <w:rPr>
                <w:rFonts w:ascii="Arial" w:cs="Arial" w:eastAsia="Arial" w:hAnsi="Arial"/>
                <w:sz w:val="12"/>
                <w:szCs w:val="12"/>
                <w:color w:val="0000FF"/>
                <w:w w:val="92"/>
              </w:rPr>
              <w:t>15,991</w:t>
            </w:r>
          </w:p>
        </w:tc>
        <w:tc>
          <w:tcPr>
            <w:tcW w:w="640" w:type="dxa"/>
            <w:vAlign w:val="bottom"/>
          </w:tcPr>
          <w:p>
            <w:pPr>
              <w:jc w:val="center"/>
              <w:ind w:left="56"/>
              <w:spacing w:after="0" w:line="121" w:lineRule="exact"/>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 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jc w:val="center"/>
              <w:ind w:right="36"/>
              <w:spacing w:after="0" w:line="137" w:lineRule="exact"/>
              <w:rPr>
                <w:sz w:val="20"/>
                <w:szCs w:val="20"/>
                <w:color w:val="auto"/>
              </w:rPr>
            </w:pPr>
            <w:r>
              <w:rPr>
                <w:rFonts w:ascii="Arial" w:cs="Arial" w:eastAsia="Arial" w:hAnsi="Arial"/>
                <w:sz w:val="12"/>
                <w:szCs w:val="12"/>
                <w:color w:val="0000FF"/>
                <w:w w:val="93"/>
              </w:rPr>
              <w:t>Stock</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-5147310</wp:posOffset>
            </wp:positionV>
            <wp:extent cx="7036435" cy="5187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51879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Awards vest in 33 1/3% increments annually on the anniversary of the grant.</w:t>
      </w:r>
    </w:p>
    <w:p>
      <w:pPr>
        <w:spacing w:after="0" w:line="48"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Withholding of shares of common stock to satisfy tax withholding obligations in connection with the vesting of restricted stock awarded under the Issuer's 2004 Equity Incentive Plan.</w:t>
      </w:r>
    </w:p>
    <w:p>
      <w:pPr>
        <w:spacing w:after="0" w:line="48" w:lineRule="exact"/>
        <w:rPr>
          <w:rFonts w:ascii="Arial" w:cs="Arial" w:eastAsia="Arial" w:hAnsi="Arial"/>
          <w:sz w:val="12"/>
          <w:szCs w:val="12"/>
          <w:color w:val="008000"/>
        </w:rPr>
      </w:pPr>
    </w:p>
    <w:p>
      <w:pPr>
        <w:ind w:left="40" w:right="340" w:hanging="3"/>
        <w:spacing w:after="0" w:line="270"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Compensation Committee certified achievement of the pre-established performance goals at a level resulting in a vest of 105% of target shares. As reported at grant, the performance-based restricted stock unit could result in a payout of 0% to 200% based on actual achievement of the goals.</w:t>
      </w:r>
    </w:p>
    <w:p>
      <w:pPr>
        <w:spacing w:after="0" w:line="12" w:lineRule="exact"/>
        <w:rPr>
          <w:rFonts w:ascii="Arial" w:cs="Arial" w:eastAsia="Arial" w:hAnsi="Arial"/>
          <w:sz w:val="12"/>
          <w:szCs w:val="12"/>
          <w:color w:val="008000"/>
        </w:rPr>
      </w:pPr>
    </w:p>
    <w:p>
      <w:pPr>
        <w:ind w:left="40" w:right="340" w:hanging="3"/>
        <w:spacing w:after="0" w:line="270"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Compensation Committee certified achievement of the pre-established performance goals at a level resulting in a vest of 178% of target shares. As reported at grant, the performance-based restricted stock unit could result in a payout of 0% to 200% based on actual achievement of the goals.</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Withholding of shares of common stock to satisfy tax withholding obligations in connection with the vesting of performance restricted stock units awarded under the Issuer's 2004 Equity Incentive Plan.</w:t>
      </w:r>
    </w:p>
    <w:p>
      <w:pPr>
        <w:spacing w:after="0" w:line="48" w:lineRule="exact"/>
        <w:rPr>
          <w:rFonts w:ascii="Arial" w:cs="Arial" w:eastAsia="Arial" w:hAnsi="Arial"/>
          <w:sz w:val="12"/>
          <w:szCs w:val="12"/>
          <w:color w:val="008000"/>
        </w:rPr>
      </w:pPr>
    </w:p>
    <w:p>
      <w:pPr>
        <w:ind w:left="40" w:right="16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period beginning September 3, 2020 and ending on August 31, 2023,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0" w:right="24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NAND delivery and solutions over a 3-year period beginning September 3, 2020 and ending on August 31, 2023,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0" w:right="28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DRAM, NAND and PE Ratio over a 3-year performance period beginning August 31, 2017 and ending on September 3, 2020,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0" w:right="440" w:hanging="3"/>
        <w:spacing w:after="0" w:line="254"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NAND, PE Ratio and FCF over a 3-year performance period beginning August 31, 2018 and ending on September 2, 2021, and certification of such performance by the Compensation Committee following the conclusion of the performance period.</w:t>
      </w:r>
    </w:p>
    <w:p>
      <w:pPr>
        <w:spacing w:after="0" w:line="22" w:lineRule="exact"/>
        <w:rPr>
          <w:rFonts w:ascii="Arial" w:cs="Arial" w:eastAsia="Arial" w:hAnsi="Arial"/>
          <w:sz w:val="12"/>
          <w:szCs w:val="12"/>
          <w:color w:val="008000"/>
        </w:rPr>
      </w:pPr>
    </w:p>
    <w:p>
      <w:pPr>
        <w:ind w:left="40" w:right="140" w:hanging="3"/>
        <w:spacing w:after="0" w:line="254" w:lineRule="auto"/>
        <w:tabs>
          <w:tab w:leader="none" w:pos="22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performance-based restricted stock unit represents the right to receive, following vesting, between 0% and 200% of one share of common stock based upon the achievement of pre-established performance metrics related to NAND over a 3-year performance period beginning August 29, 2019 and ending on September 1, 2022, and certification of such performance by the Compensation Committee following the conclusion of the performance period. Remaining performance-based restricted stock units subject to this award will vest on October 16, 2021.</w:t>
      </w:r>
    </w:p>
    <w:p>
      <w:pPr>
        <w:spacing w:after="0" w:line="22" w:lineRule="exact"/>
        <w:rPr>
          <w:rFonts w:ascii="Arial" w:cs="Arial" w:eastAsia="Arial" w:hAnsi="Arial"/>
          <w:sz w:val="12"/>
          <w:szCs w:val="12"/>
          <w:color w:val="008000"/>
        </w:rPr>
      </w:pPr>
    </w:p>
    <w:p>
      <w:pPr>
        <w:ind w:left="40" w:right="200" w:hanging="3"/>
        <w:spacing w:after="0" w:line="317" w:lineRule="auto"/>
        <w:tabs>
          <w:tab w:leader="none" w:pos="22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performance-based restricted stock unit represents the right to receive, following vesting, between 0% and 150% of one share of common stock based upon the achievement of pre-established performance metrics related to relative total shareholder return over a 3-year performance period beginning August 29, 2019 and ending on September 1, 2021, and certification of such performance by the Compensation Committee</w:t>
      </w:r>
    </w:p>
    <w:p>
      <w:pPr>
        <w:sectPr>
          <w:pgSz w:w="11900" w:h="16944" w:orient="portrait"/>
          <w:cols w:equalWidth="0" w:num="1">
            <w:col w:w="11080"/>
          </w:cols>
          <w:pgMar w:left="460" w:top="220" w:right="359" w:bottom="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2"/>
          <w:szCs w:val="12"/>
          <w:color w:val="008000"/>
        </w:rPr>
        <w:t>following the conclusion of the performance period.</w:t>
      </w:r>
    </w:p>
    <w:p>
      <w:pPr>
        <w:spacing w:after="0" w:line="49" w:lineRule="exact"/>
        <w:rPr>
          <w:sz w:val="20"/>
          <w:szCs w:val="20"/>
          <w:color w:val="auto"/>
        </w:rPr>
      </w:pPr>
    </w:p>
    <w:p>
      <w:pPr>
        <w:ind w:left="3" w:hanging="3"/>
        <w:spacing w:after="0" w:line="270" w:lineRule="auto"/>
        <w:tabs>
          <w:tab w:leader="none" w:pos="19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Performance-based restricted stock units withheld for employment tax (and related income tax) obligations upon a portion of the grant being earned by (but not yet payable to) the reporting person. Additional shares remain unvested.</w:t>
      </w:r>
    </w:p>
    <w:p>
      <w:pPr>
        <w:spacing w:after="0" w:line="24"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Greg Osborn, Attorney-in-fact</w:t>
            </w:r>
          </w:p>
        </w:tc>
        <w:tc>
          <w:tcPr>
            <w:tcW w:w="720" w:type="dxa"/>
            <w:vAlign w:val="bottom"/>
          </w:tcPr>
          <w:p>
            <w:pPr>
              <w:spacing w:after="0"/>
              <w:rPr>
                <w:sz w:val="20"/>
                <w:szCs w:val="20"/>
                <w:color w:val="auto"/>
              </w:rPr>
            </w:pPr>
            <w:r>
              <w:rPr>
                <w:rFonts w:ascii="Arial" w:cs="Arial" w:eastAsia="Arial" w:hAnsi="Arial"/>
                <w:sz w:val="16"/>
                <w:szCs w:val="16"/>
                <w:color w:val="0000FF"/>
                <w:w w:val="87"/>
              </w:rPr>
              <w:t>10/20/2020</w:t>
            </w:r>
          </w:p>
        </w:tc>
      </w:tr>
      <w:tr>
        <w:trPr>
          <w:trHeight w:val="215"/>
        </w:trPr>
        <w:tc>
          <w:tcPr>
            <w:tcW w:w="19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24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80" w:hanging="3"/>
        <w:spacing w:after="0" w:line="32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3"/>
      </w:cols>
      <w:pgMar w:left="497"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8238"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2020-10-20T20:44:56Z</dcterms:created>
  <dcterms:modified xsi:type="dcterms:W3CDTF">2020-10-20T20:44:56Z</dcterms:modified>
</cp:coreProperties>
</file>