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25,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June 25, 2009, the Company announced its financial results for the fiscal quarter ended June 4, 2009.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5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response to a severe downturn in the semiconductor memory industry and global economic conditions, the Company initiated restructure plans in 2009.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On February 23, 2009, the Company announced that it will phase out all remaining 200mm wafer manufacturing operations at its Boise, Idaho, facility, reducing employment there by as many as 2,000 positions by the end of fiscal 2009.</w:t>
      </w:r>
    </w:p>
    <w:p>
      <w:pPr>
        <w:spacing w:after="0" w:line="2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result of these actions, the Company recorded a net $66 million credit to restructure in the first quarter of fiscal 2009, and restructure charges of $105 million and $19 million in the second quarter and third quarter of fiscal 2009, respectively, primarily attributable to the Company’s Memory segment. The net credit in the first quarter of fiscal 2009 includes a $144 million gain in connection with the termination of the NAND Flash supply agreement, charges of $56 million to reduce the carrying value of certain 200mm wafer manufacturing equipment at its Boise, Idaho facility and charges of $22 million for severance and other termination benefits. The charge in the second quarter of fiscal 2009 includes charges of $87 million to reduce the carrying value of certain 200mm wafer manufacturing equipment at its Boise, Idaho facility and charges of $17 million for severance and other termination benefits. The charge in the third quarter of fiscal 2009 includes charges of $11 million for severance and other termination benefits and $7 million of additional asset write-downs. Excluding any gains or losses from sales of equipment, the Company expects to incur additional restructure costs through fiscal 2009 of approximately $7 million, comprised primarily of severance and other employee related costs.</w:t>
      </w:r>
    </w:p>
    <w:p>
      <w:pPr>
        <w:spacing w:after="0" w:line="20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This Current Report on Form 8-K contains forward-looking statements regarding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Risk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7140" w:type="dxa"/>
            <w:vAlign w:val="bottom"/>
            <w:gridSpan w:val="2"/>
          </w:tcPr>
          <w:p>
            <w:pPr>
              <w:ind w:left="270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280" w:type="dxa"/>
            <w:vAlign w:val="bottom"/>
          </w:tcPr>
          <w:p>
            <w:pPr>
              <w:spacing w:after="0"/>
              <w:rPr>
                <w:sz w:val="20"/>
                <w:szCs w:val="20"/>
                <w:color w:val="auto"/>
              </w:rPr>
            </w:pPr>
            <w:r>
              <w:rPr>
                <w:rFonts w:ascii="Arial" w:cs="Arial" w:eastAsia="Arial" w:hAnsi="Arial"/>
                <w:sz w:val="18"/>
                <w:szCs w:val="18"/>
                <w:color w:val="auto"/>
              </w:rPr>
              <w:t>Date:  June 25, 2009</w:t>
            </w:r>
          </w:p>
        </w:tc>
        <w:tc>
          <w:tcPr>
            <w:tcW w:w="3260" w:type="dxa"/>
            <w:vAlign w:val="bottom"/>
          </w:tcPr>
          <w:p>
            <w:pPr>
              <w:ind w:left="27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4280" w:type="dxa"/>
            <w:vAlign w:val="bottom"/>
          </w:tcPr>
          <w:p>
            <w:pPr>
              <w:spacing w:after="0"/>
              <w:rPr>
                <w:sz w:val="16"/>
                <w:szCs w:val="16"/>
                <w:color w:val="auto"/>
              </w:rPr>
            </w:pPr>
          </w:p>
        </w:tc>
        <w:tc>
          <w:tcPr>
            <w:tcW w:w="3260" w:type="dxa"/>
            <w:vAlign w:val="bottom"/>
          </w:tcPr>
          <w:p>
            <w:pPr>
              <w:ind w:left="270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4280" w:type="dxa"/>
            <w:vAlign w:val="bottom"/>
          </w:tcPr>
          <w:p>
            <w:pPr>
              <w:spacing w:after="0"/>
              <w:rPr>
                <w:sz w:val="18"/>
                <w:szCs w:val="18"/>
                <w:color w:val="auto"/>
              </w:rPr>
            </w:pPr>
          </w:p>
        </w:tc>
        <w:tc>
          <w:tcPr>
            <w:tcW w:w="3260" w:type="dxa"/>
            <w:vAlign w:val="bottom"/>
          </w:tcPr>
          <w:p>
            <w:pPr>
              <w:ind w:left="27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8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CURRENT REPORT ON FORM 8-K DATED JUNE 25,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509905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99"/>
          </w:cols>
          <w:pgMar w:left="36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ectPr>
          <w:pgSz w:w="11900" w:h="16838" w:orient="portrait"/>
          <w:cols w:equalWidth="0" w:num="1">
            <w:col w:w="11420"/>
          </w:cols>
          <w:pgMar w:left="240" w:top="35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Contacts: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Kipp A. Bedard Investor Relations kbedard@micron.com (208) 368-4465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Daniel Francisco</w:t>
      </w:r>
    </w:p>
    <w:p>
      <w:pPr>
        <w:spacing w:after="0" w:line="238" w:lineRule="auto"/>
        <w:rPr>
          <w:sz w:val="20"/>
          <w:szCs w:val="20"/>
          <w:color w:val="auto"/>
        </w:rPr>
      </w:pPr>
      <w:r>
        <w:rPr>
          <w:rFonts w:ascii="Arial" w:cs="Arial" w:eastAsia="Arial" w:hAnsi="Arial"/>
          <w:sz w:val="22"/>
          <w:szCs w:val="22"/>
          <w:color w:val="auto"/>
        </w:rPr>
        <w:t>Media Relations</w:t>
      </w:r>
    </w:p>
    <w:p>
      <w:pPr>
        <w:spacing w:after="0"/>
        <w:rPr>
          <w:sz w:val="20"/>
          <w:szCs w:val="20"/>
          <w:color w:val="auto"/>
        </w:rPr>
      </w:pPr>
      <w:r>
        <w:rPr>
          <w:rFonts w:ascii="Arial" w:cs="Arial" w:eastAsia="Arial" w:hAnsi="Arial"/>
          <w:sz w:val="19"/>
          <w:szCs w:val="19"/>
          <w:color w:val="auto"/>
        </w:rPr>
        <w:t>dfrancisco@micron.com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(208) 368-5584</w:t>
      </w:r>
    </w:p>
    <w:p>
      <w:pPr>
        <w:spacing w:after="0" w:line="244" w:lineRule="exact"/>
        <w:rPr>
          <w:sz w:val="20"/>
          <w:szCs w:val="20"/>
          <w:color w:val="auto"/>
        </w:rPr>
      </w:pPr>
    </w:p>
    <w:p>
      <w:pPr>
        <w:sectPr>
          <w:pgSz w:w="11900" w:h="16838" w:orient="portrait"/>
          <w:cols w:equalWidth="0" w:num="3">
            <w:col w:w="820" w:space="220"/>
            <w:col w:w="1940" w:space="360"/>
            <w:col w:w="8080"/>
          </w:cols>
          <w:pgMar w:left="240" w:top="3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u w:val="single" w:color="auto"/>
          <w:color w:val="auto"/>
        </w:rPr>
        <w:t>THIRD QUARTER OF FISCAL 2009</w:t>
      </w:r>
    </w:p>
    <w:p>
      <w:pPr>
        <w:spacing w:after="0" w:line="209" w:lineRule="exact"/>
        <w:rPr>
          <w:sz w:val="20"/>
          <w:szCs w:val="20"/>
          <w:color w:val="auto"/>
        </w:rPr>
      </w:pPr>
    </w:p>
    <w:p>
      <w:pPr>
        <w:ind w:right="660"/>
        <w:spacing w:after="0" w:line="239" w:lineRule="auto"/>
        <w:rPr>
          <w:sz w:val="20"/>
          <w:szCs w:val="20"/>
          <w:color w:val="auto"/>
        </w:rPr>
      </w:pPr>
      <w:r>
        <w:rPr>
          <w:rFonts w:ascii="Arial" w:cs="Arial" w:eastAsia="Arial" w:hAnsi="Arial"/>
          <w:sz w:val="22"/>
          <w:szCs w:val="22"/>
          <w:b w:val="1"/>
          <w:bCs w:val="1"/>
          <w:color w:val="auto"/>
        </w:rPr>
        <w:t>BOISE, Idaho</w:t>
      </w:r>
      <w:r>
        <w:rPr>
          <w:rFonts w:ascii="Arial" w:cs="Arial" w:eastAsia="Arial" w:hAnsi="Arial"/>
          <w:sz w:val="22"/>
          <w:szCs w:val="22"/>
          <w:color w:val="auto"/>
        </w:rPr>
        <w:t>, June 25, 2009 – Micron Technology, Inc., (NYSE: MU) today announced results of operations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third quarter of fiscal 2009, which ended June 4, 2009. For the third quarter of fiscal 2009, the company posted a net loss of $290 million, or $0.36 per diluted share, on net sales of $1.1 billion. The company ended the quarter with cash and investments of $1.3 billion.</w:t>
      </w:r>
    </w:p>
    <w:p>
      <w:pPr>
        <w:spacing w:after="0" w:line="214" w:lineRule="exact"/>
        <w:rPr>
          <w:sz w:val="20"/>
          <w:szCs w:val="20"/>
          <w:color w:val="auto"/>
        </w:rPr>
      </w:pPr>
    </w:p>
    <w:p>
      <w:pPr>
        <w:ind w:right="580" w:firstLine="324"/>
        <w:spacing w:after="0" w:line="279" w:lineRule="auto"/>
        <w:rPr>
          <w:sz w:val="20"/>
          <w:szCs w:val="20"/>
          <w:color w:val="auto"/>
        </w:rPr>
      </w:pPr>
      <w:r>
        <w:rPr>
          <w:rFonts w:ascii="Arial" w:cs="Arial" w:eastAsia="Arial" w:hAnsi="Arial"/>
          <w:sz w:val="19"/>
          <w:szCs w:val="19"/>
          <w:color w:val="auto"/>
        </w:rPr>
        <w:t>Revenue from sales of DRAM products increased 14 percent in the third quarter compared to the second quarter principally due to an increase in sales volumes for DRAM products. Revenue from sales of NAND Flash products was flat in the third quarter compared to the second quarter. Significant cost reductions in NAND Flash production contributed to comparably lower average selling prices to Intel Corporation, the company’s IM Flash joint venture partner. However, the effects of these lower average selling prices to Intel were offset by an overall 20 percent increase in NAND Flash sales volume and a significant increase in average selling prices to all other trade customers.</w:t>
      </w:r>
    </w:p>
    <w:p>
      <w:pPr>
        <w:spacing w:after="0" w:line="178" w:lineRule="exact"/>
        <w:rPr>
          <w:sz w:val="20"/>
          <w:szCs w:val="20"/>
          <w:color w:val="auto"/>
        </w:rPr>
      </w:pPr>
    </w:p>
    <w:p>
      <w:pPr>
        <w:ind w:right="600" w:firstLine="324"/>
        <w:spacing w:after="0"/>
        <w:rPr>
          <w:sz w:val="20"/>
          <w:szCs w:val="20"/>
          <w:color w:val="auto"/>
        </w:rPr>
      </w:pPr>
      <w:r>
        <w:rPr>
          <w:rFonts w:ascii="Arial" w:cs="Arial" w:eastAsia="Arial" w:hAnsi="Arial"/>
          <w:sz w:val="22"/>
          <w:szCs w:val="22"/>
          <w:color w:val="auto"/>
        </w:rPr>
        <w:t>Memory production in the third quarter was significantly higher compared to the preceding quarter. Increases in bit production resulted from the company’s continued transition to higher density 34 nanometer (nm) NAND Flash products and 50nm DRAM products.</w:t>
      </w:r>
    </w:p>
    <w:p>
      <w:pPr>
        <w:spacing w:after="0" w:line="213" w:lineRule="exact"/>
        <w:rPr>
          <w:sz w:val="20"/>
          <w:szCs w:val="20"/>
          <w:color w:val="auto"/>
        </w:rPr>
      </w:pPr>
    </w:p>
    <w:p>
      <w:pPr>
        <w:ind w:right="700" w:firstLine="324"/>
        <w:spacing w:after="0" w:line="277" w:lineRule="auto"/>
        <w:rPr>
          <w:sz w:val="20"/>
          <w:szCs w:val="20"/>
          <w:color w:val="auto"/>
        </w:rPr>
      </w:pPr>
      <w:r>
        <w:rPr>
          <w:rFonts w:ascii="Arial" w:cs="Arial" w:eastAsia="Arial" w:hAnsi="Arial"/>
          <w:sz w:val="19"/>
          <w:szCs w:val="19"/>
          <w:color w:val="auto"/>
        </w:rPr>
        <w:t>The company’s gross margin on sales of memory products improved from negative 30 percent in the second quarter of fiscal 2009 to positive 11 percent in the third quarter, resulting from significant decreases in per gigabit manufacturing costs and the benefit in the third quarter from sales of products previously written down. As a result of these decreases in per gigabit manufacturing costs and increases in average selling prices, there was no lower of cost or market write-down of memory inventories during the third quarter. Cost of goods sold in the third quarter includes approximately $30 million of charges for unused production capacity at the company’s Inotera and IM Flash joint ventures and an estimated benefit of $242 million from sales in the third quarter of products written down in previous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5" w:name="page6"/>
    <w:bookmarkEnd w:id="5"/>
    <w:p>
      <w:pPr>
        <w:ind w:right="20" w:firstLine="324"/>
        <w:spacing w:after="0" w:line="279" w:lineRule="auto"/>
        <w:rPr>
          <w:sz w:val="20"/>
          <w:szCs w:val="20"/>
          <w:color w:val="auto"/>
        </w:rPr>
      </w:pPr>
      <w:r>
        <w:rPr>
          <w:rFonts w:ascii="Arial" w:cs="Arial" w:eastAsia="Arial" w:hAnsi="Arial"/>
          <w:sz w:val="19"/>
          <w:szCs w:val="19"/>
          <w:color w:val="auto"/>
        </w:rPr>
        <w:t>Sales of CMOS image sensors in the third quarter increased 53 percent compared to the preceding quarter as a result of a significant increase in unit sales. The company’s gross margin on sales of CMOS image sensors was two percent in the third quarter and continues to be negatively impacted by underutilization of dedicated 200mm manufacturing capacity. In the third quarter, the company announced the signing of an agreement to sell a majority interest in its Aptina imaging solutions business, which is expected to be completed in the fourth quarter. In connection with the sale, the company recorded a $53 million charge, the estimated loss on the transaction, to write down the value of Aptina assets now classified as held for sale.</w:t>
      </w:r>
    </w:p>
    <w:p>
      <w:pPr>
        <w:spacing w:after="0" w:line="17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 xml:space="preserve">The company will host a conference call today at 2:30 p.m. MDT to discuss its financial results. The call, audio and slides will be available online at </w:t>
      </w:r>
      <w:r>
        <w:rPr>
          <w:rFonts w:ascii="Arial" w:cs="Arial" w:eastAsia="Arial" w:hAnsi="Arial"/>
          <w:sz w:val="19"/>
          <w:szCs w:val="19"/>
          <w:u w:val="single" w:color="auto"/>
          <w:color w:val="auto"/>
        </w:rPr>
        <w:t>www.micron.com</w:t>
      </w:r>
      <w:r>
        <w:rPr>
          <w:rFonts w:ascii="Arial" w:cs="Arial" w:eastAsia="Arial" w:hAnsi="Arial"/>
          <w:sz w:val="19"/>
          <w:szCs w:val="19"/>
          <w:color w:val="auto"/>
        </w:rPr>
        <w:t>. A webcast replay will be available on the company’s web site until June 25, 2010. A taped audio replay of the conference call will also be available at (706) 645-9291(conference number: 14636400) beginning at 5:30 p.m. MDT today and continuing until 5:30 p.m. MDT on July 2, 2009.</w:t>
      </w:r>
    </w:p>
    <w:p>
      <w:pPr>
        <w:spacing w:after="0" w:line="170"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15"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i w:val="1"/>
          <w:iCs w:val="1"/>
          <w:color w:val="auto"/>
        </w:rPr>
        <w:t>This press release contains forward-looking statements regarding the timing of the sale of a majority interest in the Company’s Aptina imaging solutions business and estimated loss.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Risk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361" w:right="81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6"/>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Jun. 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3"/>
              </w:rPr>
              <w:t>May 29,</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00"/>
              <w:spacing w:after="0" w:line="243" w:lineRule="exact"/>
              <w:rPr>
                <w:sz w:val="20"/>
                <w:szCs w:val="20"/>
                <w:color w:val="auto"/>
              </w:rPr>
            </w:pPr>
            <w:r>
              <w:rPr>
                <w:rFonts w:ascii="Arial" w:cs="Arial" w:eastAsia="Arial" w:hAnsi="Arial"/>
                <w:sz w:val="22"/>
                <w:szCs w:val="22"/>
                <w:b w:val="1"/>
                <w:bCs w:val="1"/>
                <w:color w:val="auto"/>
                <w:w w:val="98"/>
              </w:rPr>
              <w:t>May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2008</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3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1,106</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993</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1,498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3,501</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4,392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Cost of goods sold (1)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1,450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4,110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(609)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Restructure (2)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Goodwill impairment (3)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loss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1"/>
              </w:rPr>
              <w:t>Equity in net losses of equity method investees (6)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net (income) loss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loss</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(290)</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(751)</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(236)</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(1,747)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(1,275)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Loss per share:</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(0.36)</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(0.97)</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(0.30)</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(2.22)</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(0.30)</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4"/>
              </w:rPr>
              <w:t>Number of shares used in per share calculations: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813.3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773.9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772.8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786.5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772.4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813.3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772.8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786.5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6"/>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Jun. 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3"/>
              </w:rPr>
              <w:t>May 29,</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00"/>
              <w:spacing w:after="0" w:line="243" w:lineRule="exact"/>
              <w:rPr>
                <w:sz w:val="20"/>
                <w:szCs w:val="20"/>
                <w:color w:val="auto"/>
              </w:rPr>
            </w:pPr>
            <w:r>
              <w:rPr>
                <w:rFonts w:ascii="Arial" w:cs="Arial" w:eastAsia="Arial" w:hAnsi="Arial"/>
                <w:sz w:val="22"/>
                <w:szCs w:val="22"/>
                <w:b w:val="1"/>
                <w:bCs w:val="1"/>
                <w:color w:val="auto"/>
                <w:w w:val="98"/>
              </w:rPr>
              <w:t>May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2008</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Period-end inventory write-down</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234</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603</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line="222" w:lineRule="exact"/>
              <w:rPr>
                <w:sz w:val="20"/>
                <w:szCs w:val="20"/>
                <w:color w:val="auto"/>
              </w:rPr>
            </w:pPr>
            <w:r>
              <w:rPr>
                <w:rFonts w:ascii="Arial" w:cs="Arial" w:eastAsia="Arial" w:hAnsi="Arial"/>
                <w:sz w:val="22"/>
                <w:szCs w:val="22"/>
                <w:color w:val="auto"/>
              </w:rPr>
              <w:t>Estimated effect of previous inventory write-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80" w:type="dxa"/>
            <w:vAlign w:val="bottom"/>
          </w:tcPr>
          <w:p>
            <w:pPr>
              <w:ind w:left="320"/>
              <w:spacing w:after="0"/>
              <w:rPr>
                <w:sz w:val="20"/>
                <w:szCs w:val="20"/>
                <w:color w:val="auto"/>
              </w:rPr>
            </w:pPr>
            <w:r>
              <w:rPr>
                <w:rFonts w:ascii="Arial" w:cs="Arial" w:eastAsia="Arial" w:hAnsi="Arial"/>
                <w:sz w:val="22"/>
                <w:szCs w:val="22"/>
                <w:color w:val="auto"/>
              </w:rPr>
              <w:t>downs</w:t>
            </w:r>
          </w:p>
        </w:tc>
        <w:tc>
          <w:tcPr>
            <w:tcW w:w="1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(242)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2"/>
                <w:szCs w:val="22"/>
                <w:color w:val="auto"/>
              </w:rPr>
              <w:t>(277)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(21)</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(676)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Restructure</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line="243" w:lineRule="exact"/>
              <w:rPr>
                <w:sz w:val="20"/>
                <w:szCs w:val="20"/>
                <w:color w:val="auto"/>
              </w:rPr>
            </w:pPr>
            <w:r>
              <w:rPr>
                <w:rFonts w:ascii="Arial" w:cs="Arial" w:eastAsia="Arial" w:hAnsi="Arial"/>
                <w:sz w:val="22"/>
                <w:szCs w:val="22"/>
                <w:color w:val="auto"/>
              </w:rPr>
              <w:t>Goodwill impairment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Write-down of Aptina imaging assets</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(170)</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120</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96</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8"/>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Jun. 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8"/>
              </w:rPr>
              <w:t>Aug. 28,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1,306</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932</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 (1)</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2,523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3,779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7,536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7,910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8,811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11,526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1,637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(7)</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2,752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2,542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2,451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2,344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shareholders’ equity (8)</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4,697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4,742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6,178</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40"/>
              <w:spacing w:after="0"/>
              <w:rPr>
                <w:sz w:val="20"/>
                <w:szCs w:val="20"/>
                <w:color w:val="auto"/>
              </w:rPr>
            </w:pPr>
            <w:r>
              <w:rPr>
                <w:rFonts w:ascii="Arial" w:cs="Arial" w:eastAsia="Arial" w:hAnsi="Arial"/>
                <w:sz w:val="22"/>
                <w:szCs w:val="22"/>
                <w:b w:val="1"/>
                <w:bCs w:val="1"/>
                <w:color w:val="auto"/>
                <w:w w:val="95"/>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93"/>
              </w:rPr>
              <w:t>May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5"/>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849</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(paid to) received from noncontrolling interests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420" w:type="dxa"/>
            <w:vAlign w:val="bottom"/>
          </w:tcPr>
          <w:p>
            <w:pPr>
              <w:spacing w:after="0" w:line="222" w:lineRule="exact"/>
              <w:rPr>
                <w:sz w:val="20"/>
                <w:szCs w:val="20"/>
                <w:color w:val="auto"/>
              </w:rPr>
            </w:pPr>
            <w:r>
              <w:rPr>
                <w:rFonts w:ascii="Arial" w:cs="Arial" w:eastAsia="Arial" w:hAnsi="Arial"/>
                <w:sz w:val="22"/>
                <w:szCs w:val="22"/>
                <w:color w:val="auto"/>
              </w:rPr>
              <w:t>Noncash equipment acquisitions on contracts payable and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20" w:type="dxa"/>
            <w:vAlign w:val="bottom"/>
          </w:tcPr>
          <w:p>
            <w:pPr>
              <w:ind w:left="320"/>
              <w:spacing w:after="0"/>
              <w:rPr>
                <w:sz w:val="20"/>
                <w:szCs w:val="20"/>
                <w:color w:val="auto"/>
              </w:rPr>
            </w:pPr>
            <w:r>
              <w:rPr>
                <w:rFonts w:ascii="Arial" w:cs="Arial" w:eastAsia="Arial" w:hAnsi="Arial"/>
                <w:sz w:val="22"/>
                <w:szCs w:val="22"/>
                <w:color w:val="auto"/>
              </w:rPr>
              <w:t>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305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2"/>
                <w:szCs w:val="22"/>
                <w:color w:val="auto"/>
              </w:rPr>
              <w:t>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right="1220"/>
        <w:spacing w:after="0" w:line="328" w:lineRule="auto"/>
        <w:rPr>
          <w:sz w:val="20"/>
          <w:szCs w:val="20"/>
          <w:color w:val="auto"/>
        </w:rPr>
      </w:pPr>
      <w:r>
        <w:rPr>
          <w:rFonts w:ascii="Arial" w:cs="Arial" w:eastAsia="Arial" w:hAnsi="Arial"/>
          <w:sz w:val="19"/>
          <w:szCs w:val="19"/>
          <w:color w:val="auto"/>
        </w:rPr>
        <w:t>The company’s third quarters of fiscal 2009 and fiscal 2008 and second quarter of fiscal 2009 included 13 weeks. The company’s first nine months of fiscal 2009 and fiscal 2008 included 40 weeks and 39 weeks, respectively.</w:t>
      </w:r>
    </w:p>
    <w:p>
      <w:pPr>
        <w:spacing w:after="0" w:line="132" w:lineRule="exact"/>
        <w:rPr>
          <w:sz w:val="20"/>
          <w:szCs w:val="20"/>
          <w:color w:val="auto"/>
        </w:rPr>
      </w:pPr>
    </w:p>
    <w:p>
      <w:pPr>
        <w:ind w:left="380" w:right="20" w:hanging="367"/>
        <w:spacing w:after="0" w:line="238"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company’s results of operations for the second quarter of fiscal 2009, the first nine months of fiscal 2009 and the first nine months of fiscal 2008 include charges of $234 million, $603 million and $77 million, respectively, to write down the carrying value of work in process and finished goods inventories of memory products (both DRAM and NAND Flash) to their estimated market values.</w:t>
      </w:r>
    </w:p>
    <w:p>
      <w:pPr>
        <w:spacing w:after="0" w:line="212" w:lineRule="exact"/>
        <w:rPr>
          <w:rFonts w:ascii="Arial" w:cs="Arial" w:eastAsia="Arial" w:hAnsi="Arial"/>
          <w:sz w:val="22"/>
          <w:szCs w:val="22"/>
          <w:color w:val="auto"/>
        </w:rPr>
      </w:pPr>
    </w:p>
    <w:p>
      <w:pPr>
        <w:ind w:left="380" w:right="120" w:hanging="367"/>
        <w:spacing w:after="0" w:line="279"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In the first quarter of fiscal 2009, the company announced a restructuring of its memory operations. As part of the restructure announced in the first quarter, IM Flash Technologies (“IMFT”), a joint venture between the company and Intel Corporation, terminated its agreement with the company to supply NAND Flash memory from the company’s Boise facility, reducing IMFT’s NAND Flash production by approximately 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ind w:left="327" w:right="40"/>
        <w:spacing w:after="0"/>
        <w:rPr>
          <w:sz w:val="20"/>
          <w:szCs w:val="20"/>
          <w:color w:val="auto"/>
        </w:rPr>
      </w:pPr>
      <w:r>
        <w:rPr>
          <w:rFonts w:ascii="Arial" w:cs="Arial" w:eastAsia="Arial" w:hAnsi="Arial"/>
          <w:sz w:val="22"/>
          <w:szCs w:val="22"/>
          <w:color w:val="auto"/>
        </w:rPr>
        <w:t>200mm wafers per month. As a result of these actions, the company recorded a restructure charge of $19 million and $105 million in the third quarter and second quarter of fiscal 2009, respectively, and a net $66 million credit to restructure in the first quarter of fiscal 2009.</w:t>
      </w:r>
    </w:p>
    <w:p>
      <w:pPr>
        <w:spacing w:after="0" w:line="213" w:lineRule="exact"/>
        <w:rPr>
          <w:sz w:val="20"/>
          <w:szCs w:val="20"/>
          <w:color w:val="auto"/>
        </w:rPr>
      </w:pPr>
    </w:p>
    <w:p>
      <w:pPr>
        <w:ind w:left="367" w:hanging="367"/>
        <w:spacing w:after="0" w:line="236"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the second quarter of fiscal 2009, in accordance with FASB Statement No. 142, “Goodwill and Other Intangible Assets,” the company performed a test to determine whether its goodwill associated with its Imaging segment was impaired. Based on the results of the test, the company wrote off the $58 million of goodwill associated with its Imaging segment as of March 5, 2009. Additionally, in the second quarter of fiscal 2008, the company wrote off the $463 million of goodwill associated with its Memory segment as of February 28, 2008.</w:t>
      </w:r>
    </w:p>
    <w:p>
      <w:pPr>
        <w:spacing w:after="0" w:line="214" w:lineRule="exact"/>
        <w:rPr>
          <w:rFonts w:ascii="Arial" w:cs="Arial" w:eastAsia="Arial" w:hAnsi="Arial"/>
          <w:sz w:val="22"/>
          <w:szCs w:val="22"/>
          <w:color w:val="auto"/>
        </w:rPr>
      </w:pPr>
    </w:p>
    <w:p>
      <w:pPr>
        <w:ind w:left="367" w:right="20" w:hanging="367"/>
        <w:spacing w:after="0" w:line="275"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Other operating (income) expense for the third quarter and first nine months of fiscal 2009 includes losses of $12 million and $55 million, respectively, on disposals of semiconductor equipment and losses of $28 million and $25 million, respectively, from changes in currency exchange rates. Other operating (income) expense for the third quarter of fiscal 2009 includes a loss of $53 million to write down the carrying value of certain long-lived assets in connection with the company’s planned sale of a majority interest in its Aptina imaging solutions business. Other operating (income) expense for the third quarter and first nine months of 2008 included gains of $13 million and $70 million, respectively, on disposals of semiconductor equipment. Other operating (income) expense for the first nine months of 2008 included a gain of $38 million for receipts from the U.S. government in connection with anti-dumping tariffs and losses of $33 million from changes in currency exchange rates.</w:t>
      </w:r>
    </w:p>
    <w:p>
      <w:pPr>
        <w:spacing w:after="0" w:line="185" w:lineRule="exact"/>
        <w:rPr>
          <w:rFonts w:ascii="Arial" w:cs="Arial" w:eastAsia="Arial" w:hAnsi="Arial"/>
          <w:sz w:val="19"/>
          <w:szCs w:val="19"/>
          <w:color w:val="auto"/>
        </w:rPr>
      </w:pPr>
    </w:p>
    <w:p>
      <w:pPr>
        <w:ind w:left="367" w:right="360" w:hanging="367"/>
        <w:spacing w:after="0" w:line="297"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Income taxes for fiscal 2009 and 2008 primarily reflect taxes on the company’s non-U.S. operations and U.S. alternative minimum tax. The company has a valuation allowance for its net deferred tax asset associated with its U.S. operations. Tax attributable to U.S. operations in fiscal 2009 and 2008 were substantially offset by changes in the valuation allowance.</w:t>
      </w:r>
    </w:p>
    <w:p>
      <w:pPr>
        <w:spacing w:after="0" w:line="161" w:lineRule="exact"/>
        <w:rPr>
          <w:rFonts w:ascii="Arial" w:cs="Arial" w:eastAsia="Arial" w:hAnsi="Arial"/>
          <w:sz w:val="19"/>
          <w:szCs w:val="19"/>
          <w:color w:val="auto"/>
        </w:rPr>
      </w:pPr>
    </w:p>
    <w:p>
      <w:pPr>
        <w:ind w:left="367" w:hanging="367"/>
        <w:spacing w:after="0" w:line="236"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the first quarter of fiscal 2009, the company acquired from Qimonda AG approximately 35.5% of the outstanding common stock of Inotera Memories, Inc. (“Inotera”) in a series of transactions for $398 million. The company’s results of operations for the third quarter and second quarter of fiscal 2009 include charges of $43 million and $56 million, respectively, for its share of the equity in net losses of Inotera. The carrying value of the company’s investment in Inotera as of June 4, 2009 was $261 million.</w:t>
      </w:r>
    </w:p>
    <w:p>
      <w:pPr>
        <w:spacing w:after="0" w:line="215" w:lineRule="exact"/>
        <w:rPr>
          <w:sz w:val="20"/>
          <w:szCs w:val="20"/>
          <w:color w:val="auto"/>
        </w:rPr>
      </w:pPr>
    </w:p>
    <w:p>
      <w:pPr>
        <w:ind w:left="327" w:right="120"/>
        <w:spacing w:after="0" w:line="247" w:lineRule="auto"/>
        <w:rPr>
          <w:sz w:val="20"/>
          <w:szCs w:val="20"/>
          <w:color w:val="auto"/>
        </w:rPr>
      </w:pPr>
      <w:r>
        <w:rPr>
          <w:rFonts w:ascii="Arial" w:cs="Arial" w:eastAsia="Arial" w:hAnsi="Arial"/>
          <w:sz w:val="21"/>
          <w:szCs w:val="21"/>
          <w:color w:val="auto"/>
        </w:rPr>
        <w:t>In connection with the acquisition, the company entered into a loan agreement with Nan Ya Plastics Corporation (“NPC”), pursuant to which NPC made a loan to the company in the principal amount of $200 million, the proceeds of which were used to pay for a portion of the purchase price of the shares in Inotera. In addition, the company entered into a loan agreement with Inotera, pursuant to which Inotera made a loan to the company in the principal amount of $85 million. The loan from Inotera was repaid in the third quarter of fiscal 2009. The loans were recorded at their fair values and reflect an aggregate discount of $31 million from their face amounts. The aggregate discount was reflected as a reduction in the basis of the company’s investment in Inotera.</w:t>
      </w:r>
    </w:p>
    <w:p>
      <w:pPr>
        <w:spacing w:after="0" w:line="205" w:lineRule="exact"/>
        <w:rPr>
          <w:sz w:val="20"/>
          <w:szCs w:val="20"/>
          <w:color w:val="auto"/>
        </w:rPr>
      </w:pPr>
    </w:p>
    <w:p>
      <w:pPr>
        <w:ind w:left="367" w:right="160" w:hanging="367"/>
        <w:spacing w:after="0" w:line="277" w:lineRule="auto"/>
        <w:tabs>
          <w:tab w:leader="none" w:pos="367"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third and second quarters of fiscal 2009, the company received $104 million and $97 million, respectively, in proceeds from term loans from the Singapore Economic Development Board (“EDB”). The proceeds of the loans were used to make additional contributions into the company’s TECH Semiconductor joint venture subsidiary. The loan agreement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7"/>
          </w:cols>
          <w:pgMar w:left="253" w:top="361" w:right="299" w:bottom="1440" w:gutter="0" w:footer="0" w:header="0"/>
        </w:sectPr>
      </w:pPr>
    </w:p>
    <w:bookmarkStart w:id="9" w:name="page10"/>
    <w:bookmarkEnd w:id="9"/>
    <w:p>
      <w:pPr>
        <w:jc w:val="both"/>
        <w:ind w:left="327" w:right="120"/>
        <w:spacing w:after="0" w:line="273" w:lineRule="auto"/>
        <w:rPr>
          <w:sz w:val="20"/>
          <w:szCs w:val="20"/>
          <w:color w:val="auto"/>
        </w:rPr>
      </w:pPr>
      <w:r>
        <w:rPr>
          <w:rFonts w:ascii="Arial" w:cs="Arial" w:eastAsia="Arial" w:hAnsi="Arial"/>
          <w:sz w:val="19"/>
          <w:szCs w:val="19"/>
          <w:color w:val="auto"/>
        </w:rPr>
        <w:t>In the third quarter of fiscal 2009, the company issued $230 million of 4.25% Convertible Senior Notes due October 15, 2013 (the “Senior Notes”). The initial conversion rate for the Senior Notes is 196.7052 shares of common stock per $1,000 principal amount of Senior Notes. This is equivalent to an initial conversion price of approximately $5.08 per share of common stock.</w:t>
      </w:r>
    </w:p>
    <w:p>
      <w:pPr>
        <w:spacing w:after="0" w:line="2" w:lineRule="exact"/>
        <w:rPr>
          <w:sz w:val="20"/>
          <w:szCs w:val="20"/>
          <w:color w:val="auto"/>
        </w:rPr>
      </w:pPr>
    </w:p>
    <w:p>
      <w:pPr>
        <w:ind w:left="327" w:right="200"/>
        <w:spacing w:after="0" w:line="249" w:lineRule="auto"/>
        <w:rPr>
          <w:sz w:val="20"/>
          <w:szCs w:val="20"/>
          <w:color w:val="auto"/>
        </w:rPr>
      </w:pPr>
      <w:r>
        <w:rPr>
          <w:rFonts w:ascii="Arial" w:cs="Arial" w:eastAsia="Arial" w:hAnsi="Arial"/>
          <w:sz w:val="21"/>
          <w:szCs w:val="21"/>
          <w:color w:val="auto"/>
        </w:rPr>
        <w:t>Holders of the Senior Notes may convert the Senior Notes at any time prior to maturity, unless previously redeemed or repurchased. The company may redeem all or part of the Senior Notes at any time after April 19, 2012 if the last reported sale price of common stock has been at least 135% of the conversion price for a specified period of time.</w:t>
      </w:r>
    </w:p>
    <w:p>
      <w:pPr>
        <w:spacing w:after="0" w:line="203" w:lineRule="exact"/>
        <w:rPr>
          <w:sz w:val="20"/>
          <w:szCs w:val="20"/>
          <w:color w:val="auto"/>
        </w:rPr>
      </w:pPr>
    </w:p>
    <w:p>
      <w:pPr>
        <w:ind w:left="327" w:right="20"/>
        <w:spacing w:after="0" w:line="274" w:lineRule="auto"/>
        <w:rPr>
          <w:sz w:val="20"/>
          <w:szCs w:val="20"/>
          <w:color w:val="auto"/>
        </w:rPr>
      </w:pPr>
      <w:r>
        <w:rPr>
          <w:rFonts w:ascii="Arial" w:cs="Arial" w:eastAsia="Arial" w:hAnsi="Arial"/>
          <w:sz w:val="19"/>
          <w:szCs w:val="19"/>
          <w:color w:val="auto"/>
        </w:rPr>
        <w:t>Concurrent with the offering of the Senior Notes, the company entered into capped call transactions (the “Capped Calls”) that have an initial strike price of approximately $5.08 per share, subject to certain adjustments, which matches the initial conversion price of the Senior Notes. The Capped Calls have a cap price of $6.64 per share and cover, subject to anti-dilution adjustments similar to those contained in the Senior Notes, an approximate combined total of 45.2 million shares of common stock. The Capped Calls are intended to reduce the potential dilution upon conversion of the Senior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The company paid approximately $25 million from the net proceeds from the issuance and sale of the Senior Notes to purchase the Capped Calls. The Capped Calls expire in October and November 2012.</w:t>
      </w:r>
    </w:p>
    <w:p>
      <w:pPr>
        <w:spacing w:after="0" w:line="186" w:lineRule="exact"/>
        <w:rPr>
          <w:sz w:val="20"/>
          <w:szCs w:val="20"/>
          <w:color w:val="auto"/>
        </w:rPr>
      </w:pPr>
    </w:p>
    <w:p>
      <w:pPr>
        <w:ind w:left="367" w:hanging="367"/>
        <w:spacing w:after="0" w:line="251" w:lineRule="auto"/>
        <w:tabs>
          <w:tab w:leader="none" w:pos="367"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third quarter of fiscal 2009, the company completed the sale of 69.3 million shares of common stock at $4.15 per share in a registered public offering.</w:t>
      </w:r>
    </w:p>
    <w:sectPr>
      <w:pgSz w:w="11900" w:h="16838" w:orient="portrait"/>
      <w:cols w:equalWidth="0" w:num="1">
        <w:col w:w="11407"/>
      </w:cols>
      <w:pgMar w:left="253"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2019-12-10T04:16:43Z</dcterms:created>
  <dcterms:modified xsi:type="dcterms:W3CDTF">2019-12-10T04:16:43Z</dcterms:modified>
</cp:coreProperties>
</file>