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13D/A</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4)</w:t>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Interland,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595 100 10 8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W.G. Stover, Jr.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V.P of Finance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8000 South Federal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August 30, 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right="20" w:firstLine="176"/>
        <w:spacing w:after="0" w:line="268"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 /</w:t>
      </w:r>
    </w:p>
    <w:p>
      <w:pPr>
        <w:spacing w:after="0" w:line="186" w:lineRule="exact"/>
        <w:rPr>
          <w:sz w:val="24"/>
          <w:szCs w:val="24"/>
          <w:color w:val="auto"/>
        </w:rPr>
      </w:pPr>
    </w:p>
    <w:p>
      <w:pPr>
        <w:ind w:right="100" w:firstLine="172"/>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760" w:type="dxa"/>
            <w:vAlign w:val="bottom"/>
          </w:tcPr>
          <w:p>
            <w:pPr>
              <w:ind w:left="380"/>
              <w:spacing w:after="0"/>
              <w:rPr>
                <w:sz w:val="20"/>
                <w:szCs w:val="20"/>
                <w:color w:val="auto"/>
              </w:rPr>
            </w:pPr>
            <w:r>
              <w:rPr>
                <w:rFonts w:ascii="Arial" w:cs="Arial" w:eastAsia="Arial" w:hAnsi="Arial"/>
                <w:sz w:val="18"/>
                <w:szCs w:val="18"/>
                <w:b w:val="1"/>
                <w:bCs w:val="1"/>
                <w:color w:val="auto"/>
              </w:rPr>
              <w:t>SCHEDULE 13D</w:t>
            </w:r>
          </w:p>
        </w:tc>
      </w:tr>
      <w:tr>
        <w:trPr>
          <w:trHeight w:val="336"/>
        </w:trPr>
        <w:tc>
          <w:tcPr>
            <w:tcW w:w="32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r>
      <w:tr>
        <w:trPr>
          <w:trHeight w:val="307"/>
        </w:trPr>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1</w:t>
            </w:r>
          </w:p>
        </w:tc>
        <w:tc>
          <w:tcPr>
            <w:tcW w:w="4340" w:type="dxa"/>
            <w:vAlign w:val="bottom"/>
          </w:tcPr>
          <w:p>
            <w:pPr>
              <w:ind w:left="240"/>
              <w:spacing w:after="0"/>
              <w:rPr>
                <w:sz w:val="20"/>
                <w:szCs w:val="20"/>
                <w:color w:val="auto"/>
              </w:rPr>
            </w:pPr>
            <w:r>
              <w:rPr>
                <w:rFonts w:ascii="Arial" w:cs="Arial" w:eastAsia="Arial" w:hAnsi="Arial"/>
                <w:sz w:val="18"/>
                <w:szCs w:val="18"/>
                <w:b w:val="1"/>
                <w:bCs w:val="1"/>
                <w:color w:val="auto"/>
              </w:rPr>
              <w:t>Name of Reporting Persons</w:t>
            </w:r>
          </w:p>
        </w:tc>
        <w:tc>
          <w:tcPr>
            <w:tcW w:w="6760" w:type="dxa"/>
            <w:vAlign w:val="bottom"/>
          </w:tcPr>
          <w:p>
            <w:pPr>
              <w:spacing w:after="0"/>
              <w:rPr>
                <w:sz w:val="24"/>
                <w:szCs w:val="24"/>
                <w:color w:val="auto"/>
              </w:rPr>
            </w:pPr>
          </w:p>
        </w:tc>
      </w:tr>
      <w:tr>
        <w:trPr>
          <w:trHeight w:val="222"/>
        </w:trPr>
        <w:tc>
          <w:tcPr>
            <w:tcW w:w="3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b w:val="1"/>
                <w:bCs w:val="1"/>
                <w:color w:val="auto"/>
                <w:w w:val="97"/>
              </w:rPr>
              <w:t>S.S. or I.R.S. Identification No. Of Above Persons</w:t>
            </w:r>
          </w:p>
        </w:tc>
        <w:tc>
          <w:tcPr>
            <w:tcW w:w="6760" w:type="dxa"/>
            <w:vAlign w:val="bottom"/>
          </w:tcPr>
          <w:p>
            <w:pPr>
              <w:spacing w:after="0"/>
              <w:rPr>
                <w:sz w:val="19"/>
                <w:szCs w:val="19"/>
                <w:color w:val="auto"/>
              </w:rPr>
            </w:pPr>
          </w:p>
        </w:tc>
      </w:tr>
      <w:tr>
        <w:trPr>
          <w:trHeight w:val="222"/>
        </w:trPr>
        <w:tc>
          <w:tcPr>
            <w:tcW w:w="3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Micron Technology, Inc.</w:t>
            </w:r>
          </w:p>
        </w:tc>
        <w:tc>
          <w:tcPr>
            <w:tcW w:w="6760" w:type="dxa"/>
            <w:vAlign w:val="bottom"/>
          </w:tcPr>
          <w:p>
            <w:pPr>
              <w:ind w:left="4280"/>
              <w:spacing w:after="0"/>
              <w:rPr>
                <w:sz w:val="20"/>
                <w:szCs w:val="20"/>
                <w:color w:val="auto"/>
              </w:rPr>
            </w:pPr>
            <w:r>
              <w:rPr>
                <w:rFonts w:ascii="Arial" w:cs="Arial" w:eastAsia="Arial" w:hAnsi="Arial"/>
                <w:sz w:val="18"/>
                <w:szCs w:val="18"/>
                <w:color w:val="auto"/>
              </w:rPr>
              <w:t>IRS # 75-1618004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1"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1" w:lineRule="exact"/>
        <w:rPr>
          <w:rFonts w:ascii="Arial" w:cs="Arial" w:eastAsia="Arial" w:hAnsi="Arial"/>
          <w:sz w:val="18"/>
          <w:szCs w:val="18"/>
          <w:color w:val="auto"/>
        </w:rPr>
      </w:pPr>
    </w:p>
    <w:p>
      <w:pPr>
        <w:ind w:left="800" w:hanging="238"/>
        <w:spacing w:after="0"/>
        <w:tabs>
          <w:tab w:leader="none" w:pos="8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20" w:hanging="258"/>
        <w:spacing w:after="0"/>
        <w:tabs>
          <w:tab w:leader="none" w:pos="820" w:val="left"/>
        </w:tabs>
        <w:numPr>
          <w:ilvl w:val="1"/>
          <w:numId w:val="1"/>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0" w:lineRule="exact"/>
        <w:rPr>
          <w:sz w:val="24"/>
          <w:szCs w:val="24"/>
          <w:color w:val="auto"/>
        </w:rPr>
      </w:pPr>
    </w:p>
    <w:p>
      <w:pPr>
        <w:ind w:left="560" w:hanging="55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4"/>
          <w:szCs w:val="24"/>
          <w:color w:val="auto"/>
        </w:rPr>
      </w:pPr>
    </w:p>
    <w:p>
      <w:pPr>
        <w:ind w:left="560" w:right="9640" w:hanging="552"/>
        <w:spacing w:after="0" w:line="275"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Source of Funds </w:t>
      </w:r>
      <w:r>
        <w:rPr>
          <w:rFonts w:ascii="Arial" w:cs="Arial" w:eastAsia="Arial" w:hAnsi="Arial"/>
          <w:sz w:val="18"/>
          <w:szCs w:val="18"/>
          <w:color w:val="auto"/>
        </w:rPr>
        <w:t>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1" w:lineRule="exact"/>
        <w:rPr>
          <w:sz w:val="24"/>
          <w:szCs w:val="24"/>
          <w:color w:val="auto"/>
        </w:rPr>
      </w:pPr>
    </w:p>
    <w:p>
      <w:pPr>
        <w:spacing w:after="0"/>
        <w:tabs>
          <w:tab w:leader="none" w:pos="540" w:val="left"/>
          <w:tab w:leader="none" w:pos="89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Check Box If Disclosure of Legal Proceedings Is Required Pursuant to Items 2(d) or 2(e)</w:t>
      </w:r>
      <w:r>
        <w:rPr>
          <w:sz w:val="20"/>
          <w:szCs w:val="20"/>
          <w:color w:val="auto"/>
        </w:rPr>
        <w:tab/>
      </w:r>
      <w:r>
        <w:rPr>
          <w:rFonts w:ascii="Arial" w:cs="Arial" w:eastAsia="Arial" w:hAnsi="Arial"/>
          <w:sz w:val="16"/>
          <w:szCs w:val="16"/>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4"/>
          <w:szCs w:val="24"/>
          <w:color w:val="auto"/>
        </w:rPr>
      </w:pPr>
    </w:p>
    <w:p>
      <w:pPr>
        <w:ind w:left="560" w:right="8120" w:hanging="552"/>
        <w:spacing w:after="0" w:line="275"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1" w:lineRule="exact"/>
        <w:rPr>
          <w:sz w:val="24"/>
          <w:szCs w:val="24"/>
          <w:color w:val="auto"/>
        </w:rPr>
      </w:pPr>
    </w:p>
    <w:tbl>
      <w:tblPr>
        <w:tblLayout w:type="fixed"/>
        <w:tblInd w:w="560" w:type="dxa"/>
        <w:tblCellMar>
          <w:top w:w="0" w:type="dxa"/>
          <w:left w:w="0" w:type="dxa"/>
          <w:bottom w:w="0" w:type="dxa"/>
          <w:right w:w="0" w:type="dxa"/>
        </w:tblCellMar>
      </w:tblPr>
      <w:tr>
        <w:trPr>
          <w:trHeight w:val="222"/>
        </w:trPr>
        <w:tc>
          <w:tcPr>
            <w:tcW w:w="2080" w:type="dxa"/>
            <w:vAlign w:val="bottom"/>
            <w:vMerge w:val="restart"/>
          </w:tcPr>
          <w:p>
            <w:pPr>
              <w:jc w:val="center"/>
              <w:ind w:right="672"/>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7</w:t>
            </w:r>
          </w:p>
        </w:tc>
        <w:tc>
          <w:tcPr>
            <w:tcW w:w="8460" w:type="dxa"/>
            <w:vAlign w:val="bottom"/>
          </w:tcPr>
          <w:p>
            <w:pPr>
              <w:ind w:left="2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0"/>
        </w:trPr>
        <w:tc>
          <w:tcPr>
            <w:tcW w:w="20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46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2080" w:type="dxa"/>
            <w:vAlign w:val="bottom"/>
            <w:vMerge w:val="restart"/>
          </w:tcPr>
          <w:p>
            <w:pPr>
              <w:jc w:val="center"/>
              <w:ind w:right="692"/>
              <w:spacing w:after="0"/>
              <w:rPr>
                <w:sz w:val="20"/>
                <w:szCs w:val="20"/>
                <w:color w:val="auto"/>
              </w:rPr>
            </w:pPr>
            <w:r>
              <w:rPr>
                <w:rFonts w:ascii="Arial" w:cs="Arial" w:eastAsia="Arial" w:hAnsi="Arial"/>
                <w:sz w:val="18"/>
                <w:szCs w:val="18"/>
                <w:b w:val="1"/>
                <w:bCs w:val="1"/>
                <w:color w:val="auto"/>
                <w:w w:val="93"/>
              </w:rPr>
              <w:t>SHARES</w:t>
            </w:r>
          </w:p>
        </w:tc>
        <w:tc>
          <w:tcPr>
            <w:tcW w:w="320" w:type="dxa"/>
            <w:vAlign w:val="bottom"/>
            <w:tcBorders>
              <w:bottom w:val="single" w:sz="8" w:color="808080"/>
            </w:tcBorders>
          </w:tcPr>
          <w:p>
            <w:pPr>
              <w:spacing w:after="0"/>
              <w:rPr>
                <w:sz w:val="11"/>
                <w:szCs w:val="11"/>
                <w:color w:val="auto"/>
              </w:rPr>
            </w:pPr>
          </w:p>
        </w:tc>
        <w:tc>
          <w:tcPr>
            <w:tcW w:w="84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80" w:type="dxa"/>
            <w:vAlign w:val="bottom"/>
          </w:tcPr>
          <w:p>
            <w:pPr>
              <w:jc w:val="center"/>
              <w:ind w:right="672"/>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8</w:t>
            </w:r>
          </w:p>
        </w:tc>
        <w:tc>
          <w:tcPr>
            <w:tcW w:w="846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2080" w:type="dxa"/>
            <w:vAlign w:val="bottom"/>
          </w:tcPr>
          <w:p>
            <w:pPr>
              <w:jc w:val="center"/>
              <w:ind w:right="672"/>
              <w:spacing w:after="0"/>
              <w:rPr>
                <w:sz w:val="20"/>
                <w:szCs w:val="20"/>
                <w:color w:val="auto"/>
              </w:rPr>
            </w:pPr>
            <w:r>
              <w:rPr>
                <w:rFonts w:ascii="Arial" w:cs="Arial" w:eastAsia="Arial" w:hAnsi="Arial"/>
                <w:sz w:val="18"/>
                <w:szCs w:val="18"/>
                <w:b w:val="1"/>
                <w:bCs w:val="1"/>
                <w:color w:val="auto"/>
                <w:w w:val="95"/>
              </w:rPr>
              <w:t>OWNED BY-</w:t>
            </w:r>
          </w:p>
        </w:tc>
        <w:tc>
          <w:tcPr>
            <w:tcW w:w="320" w:type="dxa"/>
            <w:vAlign w:val="bottom"/>
          </w:tcPr>
          <w:p>
            <w:pPr>
              <w:spacing w:after="0"/>
              <w:rPr>
                <w:sz w:val="18"/>
                <w:szCs w:val="18"/>
                <w:color w:val="auto"/>
              </w:rPr>
            </w:pPr>
          </w:p>
        </w:tc>
        <w:tc>
          <w:tcPr>
            <w:tcW w:w="846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2080" w:type="dxa"/>
            <w:vAlign w:val="bottom"/>
            <w:vMerge w:val="restart"/>
          </w:tcPr>
          <w:p>
            <w:pPr>
              <w:jc w:val="center"/>
              <w:ind w:right="672"/>
              <w:spacing w:after="0"/>
              <w:rPr>
                <w:sz w:val="20"/>
                <w:szCs w:val="20"/>
                <w:color w:val="auto"/>
              </w:rPr>
            </w:pPr>
            <w:r>
              <w:rPr>
                <w:rFonts w:ascii="Arial" w:cs="Arial" w:eastAsia="Arial" w:hAnsi="Arial"/>
                <w:sz w:val="18"/>
                <w:szCs w:val="18"/>
                <w:b w:val="1"/>
                <w:bCs w:val="1"/>
                <w:color w:val="auto"/>
              </w:rPr>
              <w:t>EACH</w:t>
            </w:r>
          </w:p>
        </w:tc>
        <w:tc>
          <w:tcPr>
            <w:tcW w:w="320" w:type="dxa"/>
            <w:vAlign w:val="bottom"/>
            <w:tcBorders>
              <w:bottom w:val="single" w:sz="8" w:color="808080"/>
            </w:tcBorders>
          </w:tcPr>
          <w:p>
            <w:pPr>
              <w:spacing w:after="0"/>
              <w:rPr>
                <w:sz w:val="11"/>
                <w:szCs w:val="11"/>
                <w:color w:val="auto"/>
              </w:rPr>
            </w:pPr>
          </w:p>
        </w:tc>
        <w:tc>
          <w:tcPr>
            <w:tcW w:w="84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80" w:type="dxa"/>
            <w:vAlign w:val="bottom"/>
          </w:tcPr>
          <w:p>
            <w:pPr>
              <w:jc w:val="center"/>
              <w:ind w:right="692"/>
              <w:spacing w:after="0"/>
              <w:rPr>
                <w:sz w:val="20"/>
                <w:szCs w:val="20"/>
                <w:color w:val="auto"/>
              </w:rPr>
            </w:pPr>
            <w:r>
              <w:rPr>
                <w:rFonts w:ascii="Arial" w:cs="Arial" w:eastAsia="Arial" w:hAnsi="Arial"/>
                <w:sz w:val="18"/>
                <w:szCs w:val="18"/>
                <w:b w:val="1"/>
                <w:bCs w:val="1"/>
                <w:color w:val="auto"/>
                <w:w w:val="99"/>
              </w:rPr>
              <w:t>REPORTING</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9</w:t>
            </w:r>
          </w:p>
        </w:tc>
        <w:tc>
          <w:tcPr>
            <w:tcW w:w="8460" w:type="dxa"/>
            <w:vAlign w:val="bottom"/>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28"/>
        </w:trPr>
        <w:tc>
          <w:tcPr>
            <w:tcW w:w="2080" w:type="dxa"/>
            <w:vAlign w:val="bottom"/>
          </w:tcPr>
          <w:p>
            <w:pPr>
              <w:jc w:val="center"/>
              <w:ind w:right="672"/>
              <w:spacing w:after="0"/>
              <w:rPr>
                <w:sz w:val="20"/>
                <w:szCs w:val="20"/>
                <w:color w:val="auto"/>
              </w:rPr>
            </w:pPr>
            <w:r>
              <w:rPr>
                <w:rFonts w:ascii="Arial" w:cs="Arial" w:eastAsia="Arial" w:hAnsi="Arial"/>
                <w:sz w:val="18"/>
                <w:szCs w:val="18"/>
                <w:b w:val="1"/>
                <w:bCs w:val="1"/>
                <w:color w:val="auto"/>
                <w:w w:val="94"/>
              </w:rPr>
              <w:t>PERSON</w:t>
            </w:r>
          </w:p>
        </w:tc>
        <w:tc>
          <w:tcPr>
            <w:tcW w:w="320" w:type="dxa"/>
            <w:vAlign w:val="bottom"/>
          </w:tcPr>
          <w:p>
            <w:pPr>
              <w:spacing w:after="0"/>
              <w:rPr>
                <w:sz w:val="19"/>
                <w:szCs w:val="19"/>
                <w:color w:val="auto"/>
              </w:rPr>
            </w:pPr>
          </w:p>
        </w:tc>
        <w:tc>
          <w:tcPr>
            <w:tcW w:w="846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-782955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-353695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bookmarkStart w:id="1" w:name="page2"/>
    <w:bookmarkEnd w:id="1"/>
    <w:p>
      <w:pPr>
        <w:ind w:left="9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-121920</wp:posOffset>
            </wp:positionV>
            <wp:extent cx="557847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8475" cy="19050"/>
                    </a:xfrm>
                    <a:prstGeom prst="rect">
                      <a:avLst/>
                    </a:prstGeom>
                    <a:noFill/>
                  </pic:spPr>
                </pic:pic>
              </a:graphicData>
            </a:graphic>
          </wp:anchor>
        </w:drawing>
      </w:r>
    </w:p>
    <w:p>
      <w:pPr>
        <w:spacing w:after="0" w:line="1" w:lineRule="exact"/>
        <w:rPr>
          <w:sz w:val="20"/>
          <w:szCs w:val="20"/>
          <w:color w:val="auto"/>
        </w:rPr>
      </w:pPr>
    </w:p>
    <w:p>
      <w:pPr>
        <w:ind w:left="3200" w:right="6220" w:hanging="558"/>
        <w:spacing w:after="0" w:line="261" w:lineRule="auto"/>
        <w:tabs>
          <w:tab w:leader="none" w:pos="32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3" w:lineRule="exact"/>
        <w:rPr>
          <w:sz w:val="20"/>
          <w:szCs w:val="20"/>
          <w:color w:val="auto"/>
        </w:rPr>
      </w:pPr>
    </w:p>
    <w:p>
      <w:pPr>
        <w:ind w:left="560" w:right="5840" w:hanging="552"/>
        <w:spacing w:after="0" w:line="275"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1" w:lineRule="exact"/>
        <w:rPr>
          <w:sz w:val="20"/>
          <w:szCs w:val="20"/>
          <w:color w:val="auto"/>
        </w:rPr>
      </w:pPr>
    </w:p>
    <w:p>
      <w:pPr>
        <w:spacing w:after="0"/>
        <w:tabs>
          <w:tab w:leader="none" w:pos="540" w:val="left"/>
          <w:tab w:leader="none" w:pos="8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Check Box If the Aggregate Amount in Row (11) Excludes Certain Shares</w:t>
      </w:r>
      <w:r>
        <w:rPr>
          <w:sz w:val="20"/>
          <w:szCs w:val="20"/>
          <w:color w:val="auto"/>
        </w:rPr>
        <w:tab/>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ind w:left="560" w:right="6800" w:hanging="552"/>
        <w:spacing w:after="0" w:line="275"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(11) </w:t>
      </w:r>
      <w:r>
        <w:rPr>
          <w:rFonts w:ascii="Arial" w:cs="Arial" w:eastAsia="Arial" w:hAnsi="Arial"/>
          <w:sz w:val="18"/>
          <w:szCs w:val="18"/>
          <w:color w:val="auto"/>
        </w:rPr>
        <w:t>0%</w:t>
      </w:r>
    </w:p>
    <w:p>
      <w:pPr>
        <w:spacing w:after="0" w:line="200"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-354330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13D</w:t>
      </w:r>
    </w:p>
    <w:p>
      <w:pPr>
        <w:spacing w:after="0" w:line="231" w:lineRule="exact"/>
        <w:rPr>
          <w:sz w:val="20"/>
          <w:szCs w:val="20"/>
          <w:color w:val="auto"/>
        </w:rPr>
      </w:pPr>
    </w:p>
    <w:p>
      <w:pPr>
        <w:ind w:right="20" w:firstLine="172"/>
        <w:spacing w:after="0" w:line="291" w:lineRule="auto"/>
        <w:rPr>
          <w:sz w:val="20"/>
          <w:szCs w:val="20"/>
          <w:color w:val="auto"/>
        </w:rPr>
      </w:pPr>
      <w:r>
        <w:rPr>
          <w:rFonts w:ascii="Arial" w:cs="Arial" w:eastAsia="Arial" w:hAnsi="Arial"/>
          <w:sz w:val="16"/>
          <w:szCs w:val="16"/>
          <w:color w:val="auto"/>
        </w:rPr>
        <w:t>This Statement on Schedule 13D relates to Shares of Common Stock, $0.01 par value per share, of Interland, Inc, formerly known as Micron Electronics, Inc. The Statement on Schedule 13D originally filed with the Securities and Exchange Commission (the "SEC") by Micron Technology, Inc. ("Micron") on April 15, 1995, as amended by the Statement on Schedule 13D filed with the SEC by Micron on March 27, 1997, the Statement on Schedule 13D filed with the SEC on May 15, 2000 and the Statement on Schedule 13D filed with the SEC on April 4, 2001 (the "Micron Schedule 13D") is hereby further amended as set forth herein. This Statement on Schedule 13D constitutes amendment number 4 (this "Amendment No. 4") to the Micron Schedule 13D. Capitalized terms not defined herein have the meanings set forth in the Micron Schedule 13D.</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Amendment No. 4 has been filed to report that Micron has ceased to be the owner of more than 5% of the class of securities.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Security and Issuer.</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contained in Item 1 of the Micron Schedule 13D is hereby amended and restated in its entirety as follows: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 The title of the class of equity securities to which this statement relates is: common stock, par value $.01 per share (the "INLD Common Stock").</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w:t>
      </w:r>
    </w:p>
    <w:p>
      <w:pPr>
        <w:spacing w:after="0" w:line="15" w:lineRule="exact"/>
        <w:rPr>
          <w:sz w:val="20"/>
          <w:szCs w:val="20"/>
          <w:color w:val="auto"/>
        </w:rPr>
      </w:pPr>
    </w:p>
    <w:p>
      <w:pPr>
        <w:ind w:left="1080"/>
        <w:spacing w:after="0" w:line="261" w:lineRule="auto"/>
        <w:rPr>
          <w:sz w:val="20"/>
          <w:szCs w:val="20"/>
          <w:color w:val="auto"/>
        </w:rPr>
      </w:pPr>
      <w:r>
        <w:rPr>
          <w:rFonts w:ascii="Arial" w:cs="Arial" w:eastAsia="Arial" w:hAnsi="Arial"/>
          <w:sz w:val="18"/>
          <w:szCs w:val="18"/>
          <w:color w:val="auto"/>
        </w:rPr>
        <w:t>The name and address of the principal executive offices of the issuer of such securities is: Interland, Inc. ("INLD"), 303 Peachtree Center Avenue, Suite 500, Atlanta, Georgia 30303."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Identity and Background.</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contained in Item 2(c) of the Micron Schedule 13D is hereby amended and restated in its entirety as follows: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 Principal Business: Design, development, manufacture and marketing of semiconductor memory products."</w:t>
      </w:r>
    </w:p>
    <w:p>
      <w:pPr>
        <w:spacing w:after="0" w:line="225" w:lineRule="exact"/>
        <w:rPr>
          <w:sz w:val="20"/>
          <w:szCs w:val="20"/>
          <w:color w:val="auto"/>
        </w:rPr>
      </w:pPr>
    </w:p>
    <w:p>
      <w:pPr>
        <w:ind w:right="380" w:firstLine="172"/>
        <w:spacing w:after="0" w:line="268" w:lineRule="auto"/>
        <w:rPr>
          <w:sz w:val="20"/>
          <w:szCs w:val="20"/>
          <w:color w:val="auto"/>
        </w:rPr>
      </w:pPr>
      <w:r>
        <w:rPr>
          <w:rFonts w:ascii="Arial" w:cs="Arial" w:eastAsia="Arial" w:hAnsi="Arial"/>
          <w:sz w:val="18"/>
          <w:szCs w:val="18"/>
          <w:color w:val="auto"/>
        </w:rPr>
        <w:t>The information with respect to the directors and executive officers of Micron contained in Exhibit 1 of the Micron Schedule 13D is hereby amended and restated in its entirety by Exhibit 1 attached hereto.</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Source and Amount of Funds or Other Consideration.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contained in Item 3 of the Micron Schedule 13D is hereby amended by adding a new final paragraph as follows:</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"On August 6, 2001, Interland, Inc. merged with and into Micron Electronics, Inc. ("MEI") and MEI changed its name to Interland, Inc. (the "Merger")."</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Purpose of Transaction.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contained in Item 4 of the Micron Schedule 13D is hereby amended and restated in its entirety as follows:</w:t>
      </w:r>
    </w:p>
    <w:p>
      <w:pPr>
        <w:spacing w:after="0" w:line="225" w:lineRule="exact"/>
        <w:rPr>
          <w:sz w:val="20"/>
          <w:szCs w:val="20"/>
          <w:color w:val="auto"/>
        </w:rPr>
      </w:pPr>
    </w:p>
    <w:p>
      <w:pPr>
        <w:ind w:right="120" w:firstLine="176"/>
        <w:spacing w:after="0" w:line="255" w:lineRule="auto"/>
        <w:rPr>
          <w:sz w:val="20"/>
          <w:szCs w:val="20"/>
          <w:color w:val="auto"/>
        </w:rPr>
      </w:pPr>
      <w:r>
        <w:rPr>
          <w:rFonts w:ascii="Arial" w:cs="Arial" w:eastAsia="Arial" w:hAnsi="Arial"/>
          <w:sz w:val="18"/>
          <w:szCs w:val="18"/>
          <w:color w:val="auto"/>
        </w:rPr>
        <w:t>"In connection with the Merger, MEI and Micron entered into the Shareholder Agreement which placed certain restrictions on the 58,622,863 shares of MEI Common Stock (the "Securities") then held by Micron. Pursuant to Section 1 of the Shareholder Agreement, Micron agreed not to transfer any of the Securities during the nine-month period following the consummation of the Merger, subject to certain exceptions, including but not limited to, transfers (1) to MEI, (2) in response to a third party tender offer or exchange offer, (3) in a merger or consolidation, (4) to the Micron Technology Foundation, Inc. (the "Foundation"), or (5) controlled affiliates of Micron.</w:t>
      </w:r>
    </w:p>
    <w:p>
      <w:pPr>
        <w:spacing w:after="0" w:line="197" w:lineRule="exact"/>
        <w:rPr>
          <w:sz w:val="20"/>
          <w:szCs w:val="20"/>
          <w:color w:val="auto"/>
        </w:rPr>
      </w:pPr>
    </w:p>
    <w:p>
      <w:pPr>
        <w:ind w:right="20" w:firstLine="176"/>
        <w:spacing w:after="0" w:line="370" w:lineRule="auto"/>
        <w:rPr>
          <w:sz w:val="20"/>
          <w:szCs w:val="20"/>
          <w:color w:val="auto"/>
        </w:rPr>
      </w:pPr>
      <w:r>
        <w:rPr>
          <w:rFonts w:ascii="Arial" w:cs="Arial" w:eastAsia="Arial" w:hAnsi="Arial"/>
          <w:sz w:val="15"/>
          <w:szCs w:val="15"/>
          <w:color w:val="auto"/>
        </w:rPr>
        <w:t>In addition, pursuant to an Amended and Restated Registration Rights Agreement dated as of August 6, 2001 (the "Amended and Restated Registration Rights Agreement"), INLD granted demand registration rights, piggyback registration rights and Form S-3 registration rights to Micron with respect to the Securities.</w:t>
      </w:r>
    </w:p>
    <w:p>
      <w:pPr>
        <w:sectPr>
          <w:pgSz w:w="11900" w:h="16838" w:orient="portrait"/>
          <w:cols w:equalWidth="0" w:num="1">
            <w:col w:w="11340"/>
          </w:cols>
          <w:pgMar w:left="240" w:top="125" w:right="319" w:bottom="0" w:gutter="0" w:footer="0" w:header="0"/>
        </w:sectPr>
      </w:pPr>
    </w:p>
    <w:bookmarkStart w:id="2" w:name="page3"/>
    <w:bookmarkEnd w:id="2"/>
    <w:p>
      <w:pPr>
        <w:jc w:val="both"/>
        <w:ind w:firstLine="166"/>
        <w:spacing w:after="0" w:line="259" w:lineRule="auto"/>
        <w:rPr>
          <w:sz w:val="20"/>
          <w:szCs w:val="20"/>
          <w:color w:val="auto"/>
        </w:rPr>
      </w:pPr>
      <w:r>
        <w:rPr>
          <w:rFonts w:ascii="Arial" w:cs="Arial" w:eastAsia="Arial" w:hAnsi="Arial"/>
          <w:sz w:val="18"/>
          <w:szCs w:val="18"/>
          <w:color w:val="auto"/>
        </w:rPr>
        <w:t>A copy of each of the Shareholder Agreement and the Amended and Restated Registration Rights Agreement is attached hereto as Exhibit 2 and 3, respectively, and each is incorporated herein by reference. The foregoing descriptions of the Agreements are qualified in their entirety by reference to the Agreements attached as exhibits hereto.</w:t>
      </w:r>
    </w:p>
    <w:p>
      <w:pPr>
        <w:spacing w:after="0" w:line="194"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color w:val="auto"/>
        </w:rPr>
        <w:t>On August 30, 2001, Micron sold all of the Securities to Micron Semiconductor Products, Inc. ("MSP"), a wholly subsidiary of Micron, for $1.605 per share, for an aggregate purchase price of $94,089,695.12. Also on August 30, 2001, MSP donated all of the Securities to the Foundation. As required by the Shareholder Agreement, MSP and then the Foundation agreed to be bound by Section 1 of the Shareholder Agreement with respect to the Securities. As part of these transactions, Micron assigned its rights contained in the Amended and Restated Registration Rights Agreement to MSP and MSP then assigned these rights to the Foundation. As required by the Amended and Restated Registration Rights Agreement, MSP and then the Foundation agreed to be bound by and subject to the terms and conditions of the Amended and Restated Registration Rights Agreement.</w:t>
      </w:r>
    </w:p>
    <w:p>
      <w:pPr>
        <w:spacing w:after="0" w:line="174" w:lineRule="exact"/>
        <w:rPr>
          <w:sz w:val="20"/>
          <w:szCs w:val="20"/>
          <w:color w:val="auto"/>
        </w:rPr>
      </w:pPr>
    </w:p>
    <w:p>
      <w:pPr>
        <w:ind w:right="380" w:firstLine="172"/>
        <w:spacing w:after="0" w:line="259" w:lineRule="auto"/>
        <w:rPr>
          <w:sz w:val="20"/>
          <w:szCs w:val="20"/>
          <w:color w:val="auto"/>
        </w:rPr>
      </w:pPr>
      <w:r>
        <w:rPr>
          <w:rFonts w:ascii="Arial" w:cs="Arial" w:eastAsia="Arial" w:hAnsi="Arial"/>
          <w:sz w:val="18"/>
          <w:szCs w:val="18"/>
          <w:color w:val="auto"/>
        </w:rPr>
        <w:t>The Purchase Agreement between MTI and MSP dated August 30, 2001 and the Donation Agreement between MSP and the Foundation dated August 30, 2001, are attached hereto as Exhibits 4 and 5, respectively, and each is incorporated herein by reference. The foregoing descriptions of the Agreements are qualified in their entirety by reference to the Agreements attached as exhibits hereto.</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a result of these transactions, Micron has ceased to be the owner of more than 5% of INLD Common Stock."</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color w:val="auto"/>
        </w:rPr>
        <w:t>Interest in Securities of the Issuer.</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contained in Item 5 of the Micron Schedule 13D is hereby amended and restated in its entirety as follows:</w:t>
      </w:r>
    </w:p>
    <w:p>
      <w:pPr>
        <w:spacing w:after="0" w:line="225" w:lineRule="exact"/>
        <w:rPr>
          <w:sz w:val="20"/>
          <w:szCs w:val="20"/>
          <w:color w:val="auto"/>
        </w:rPr>
      </w:pPr>
    </w:p>
    <w:p>
      <w:pPr>
        <w:ind w:right="280" w:firstLine="176"/>
        <w:spacing w:after="0" w:line="268" w:lineRule="auto"/>
        <w:rPr>
          <w:sz w:val="20"/>
          <w:szCs w:val="20"/>
          <w:color w:val="auto"/>
        </w:rPr>
      </w:pPr>
      <w:r>
        <w:rPr>
          <w:rFonts w:ascii="Arial" w:cs="Arial" w:eastAsia="Arial" w:hAnsi="Arial"/>
          <w:sz w:val="18"/>
          <w:szCs w:val="18"/>
          <w:color w:val="auto"/>
        </w:rPr>
        <w:t>"(a) Number of shares beneficially owned: As of the date of this Amendment No. 4, Micron has ceased to be the owner of more than 5% of INLD Common Stock. Micron disclaims beneficial ownership of the shares of INLD Common Stock held by the Foundation.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Percent of Class: 0%</w:t>
      </w:r>
    </w:p>
    <w:p>
      <w:pPr>
        <w:spacing w:after="0" w:line="225" w:lineRule="exact"/>
        <w:rPr>
          <w:sz w:val="20"/>
          <w:szCs w:val="20"/>
          <w:color w:val="auto"/>
        </w:rPr>
      </w:pPr>
    </w:p>
    <w:p>
      <w:pPr>
        <w:ind w:right="100" w:firstLine="184"/>
        <w:spacing w:after="0" w:line="268"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there is sole power to vote or to direct the vote, sole power to dispose or to direct the disposition, or shared power to dispose or to direct the disposition: 0.</w:t>
      </w:r>
    </w:p>
    <w:p>
      <w:pPr>
        <w:spacing w:after="0" w:line="185" w:lineRule="exact"/>
        <w:rPr>
          <w:rFonts w:ascii="Arial" w:cs="Arial" w:eastAsia="Arial" w:hAnsi="Arial"/>
          <w:sz w:val="18"/>
          <w:szCs w:val="18"/>
          <w:color w:val="auto"/>
        </w:rPr>
      </w:pPr>
    </w:p>
    <w:p>
      <w:pPr>
        <w:ind w:right="160" w:firstLine="184"/>
        <w:spacing w:after="0" w:line="268" w:lineRule="auto"/>
        <w:tabs>
          <w:tab w:leader="none" w:pos="414"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than as described herein, Micron has not engaged in any transactions involving INLD Common Stock during the sixty day period before the date of this Amendment No. 4 to Schedule 13D.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40" w:hanging="256"/>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other person has the right to receive or the power to direct the receipt of dividends from, or the proceeds from the sale of, the Securities.</w:t>
      </w:r>
    </w:p>
    <w:p>
      <w:pPr>
        <w:spacing w:after="0" w:line="248" w:lineRule="exact"/>
        <w:rPr>
          <w:rFonts w:ascii="Arial" w:cs="Arial" w:eastAsia="Arial" w:hAnsi="Arial"/>
          <w:sz w:val="16"/>
          <w:szCs w:val="16"/>
          <w:color w:val="auto"/>
        </w:rPr>
      </w:pPr>
    </w:p>
    <w:p>
      <w:pPr>
        <w:ind w:left="420" w:hanging="236"/>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Micron ceased to be the beneficial owner of more than 5% of the class of securities on August 30, 2001."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Contracts, Arrangements, Understandings or Relationships With Respect to Securities of the Issuer.</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contained in Item 6 of the Micron Schedule 13D is hereby amended and restated in its entirety as follows: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"Reference is hereby made to the description of the Agreements described in Item 4 above."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Material to be Filed as Exhibits.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contained in Item 7 of the Micron Schedule 13D is hereby amended in its entirety by filing the following materials as exhibits: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Directors and Executive Officers of Micron Technology, Inc.</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Shareholder Agreement, dated as of March 22, 2001, by and among Micron Electronics, Inc. and Micron Technology, Inc.</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1080" w:right="420"/>
        <w:spacing w:after="0" w:line="261" w:lineRule="auto"/>
        <w:rPr>
          <w:sz w:val="20"/>
          <w:szCs w:val="20"/>
          <w:color w:val="auto"/>
        </w:rPr>
      </w:pPr>
      <w:r>
        <w:rPr>
          <w:rFonts w:ascii="Arial" w:cs="Arial" w:eastAsia="Arial" w:hAnsi="Arial"/>
          <w:sz w:val="18"/>
          <w:szCs w:val="18"/>
          <w:color w:val="auto"/>
        </w:rPr>
        <w:t>Amended and Restated Registration Rights Agreement, dated as of August 6, 2001, by and between Micron Electronics, Inc., Interland, Inc., Micron Technology, Inc. and certain other shareholders.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Purchase Agreement, dated as of August 30, 2001, between Micron Technology, Inc. and Micron Semiconductor Products, Inc.</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Donation Agreement, dated as of August 30, 2001, between Micron Semiconductor Products, Inc. and the Micron Technology Foundation, Inc.</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1400"/>
          </w:cols>
          <w:pgMar w:left="240" w:top="131" w:right="25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8"/>
                <w:szCs w:val="18"/>
                <w:color w:val="auto"/>
                <w:w w:val="95"/>
              </w:rPr>
              <w:t>Micron Technology, Inc.</w:t>
            </w:r>
          </w:p>
        </w:tc>
        <w:tc>
          <w:tcPr>
            <w:tcW w:w="4440" w:type="dxa"/>
            <w:vAlign w:val="bottom"/>
          </w:tcPr>
          <w:p>
            <w:pPr>
              <w:spacing w:after="0"/>
              <w:rPr>
                <w:sz w:val="19"/>
                <w:szCs w:val="19"/>
                <w:color w:val="auto"/>
              </w:rPr>
            </w:pP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Date:</w:t>
            </w:r>
          </w:p>
        </w:tc>
        <w:tc>
          <w:tcPr>
            <w:tcW w:w="4440" w:type="dxa"/>
            <w:vAlign w:val="bottom"/>
          </w:tcPr>
          <w:p>
            <w:pPr>
              <w:spacing w:after="0"/>
              <w:rPr>
                <w:sz w:val="20"/>
                <w:szCs w:val="20"/>
                <w:color w:val="auto"/>
              </w:rPr>
            </w:pPr>
            <w:r>
              <w:rPr>
                <w:rFonts w:ascii="Arial" w:cs="Arial" w:eastAsia="Arial" w:hAnsi="Arial"/>
                <w:sz w:val="18"/>
                <w:szCs w:val="18"/>
                <w:color w:val="auto"/>
              </w:rPr>
              <w:t>September 7, 2001</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Signature:</w:t>
            </w:r>
          </w:p>
        </w:tc>
        <w:tc>
          <w:tcPr>
            <w:tcW w:w="4440" w:type="dxa"/>
            <w:vAlign w:val="bottom"/>
          </w:tcPr>
          <w:p>
            <w:pPr>
              <w:spacing w:after="0"/>
              <w:rPr>
                <w:sz w:val="20"/>
                <w:szCs w:val="20"/>
                <w:color w:val="auto"/>
              </w:rPr>
            </w:pPr>
            <w:r>
              <w:rPr>
                <w:rFonts w:ascii="Arial" w:cs="Arial" w:eastAsia="Arial" w:hAnsi="Arial"/>
                <w:sz w:val="18"/>
                <w:szCs w:val="18"/>
                <w:color w:val="auto"/>
              </w:rPr>
              <w:t>/s/ W.G. Stover, Jr.</w:t>
            </w:r>
          </w:p>
        </w:tc>
      </w:tr>
      <w:tr>
        <w:trPr>
          <w:trHeight w:val="120"/>
        </w:trPr>
        <w:tc>
          <w:tcPr>
            <w:tcW w:w="184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r>
      <w:tr>
        <w:trPr>
          <w:trHeight w:val="535"/>
        </w:trPr>
        <w:tc>
          <w:tcPr>
            <w:tcW w:w="1840" w:type="dxa"/>
            <w:vAlign w:val="bottom"/>
          </w:tcPr>
          <w:p>
            <w:pPr>
              <w:spacing w:after="0"/>
              <w:rPr>
                <w:sz w:val="20"/>
                <w:szCs w:val="20"/>
                <w:color w:val="auto"/>
              </w:rPr>
            </w:pPr>
            <w:r>
              <w:rPr>
                <w:rFonts w:ascii="Arial" w:cs="Arial" w:eastAsia="Arial" w:hAnsi="Arial"/>
                <w:sz w:val="18"/>
                <w:szCs w:val="18"/>
                <w:color w:val="auto"/>
              </w:rPr>
              <w:t>Name/Title:</w:t>
            </w:r>
          </w:p>
        </w:tc>
        <w:tc>
          <w:tcPr>
            <w:tcW w:w="4440" w:type="dxa"/>
            <w:vAlign w:val="bottom"/>
          </w:tcPr>
          <w:p>
            <w:pPr>
              <w:spacing w:after="0"/>
              <w:rPr>
                <w:sz w:val="20"/>
                <w:szCs w:val="20"/>
                <w:color w:val="auto"/>
              </w:rPr>
            </w:pPr>
            <w:r>
              <w:rPr>
                <w:rFonts w:ascii="Arial" w:cs="Arial" w:eastAsia="Arial" w:hAnsi="Arial"/>
                <w:sz w:val="18"/>
                <w:szCs w:val="18"/>
                <w:color w:val="auto"/>
              </w:rPr>
              <w:t>W.G. Stover Jr./Vice President of Finance and CFO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-353695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-353695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SCHEDULE 13D</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Security and Issuer.</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2. Identity and Background.</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3. Source and Amount of Funds or Other Consideration.</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4. Purpose of Transaction.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5. Interest in Securities of the Issuer.</w:t>
        </w:r>
      </w:hyperlink>
    </w:p>
    <w:p>
      <w:pPr>
        <w:spacing w:after="0" w:line="9" w:lineRule="exact"/>
        <w:rPr>
          <w:sz w:val="20"/>
          <w:szCs w:val="20"/>
          <w:color w:val="auto"/>
        </w:rPr>
      </w:pPr>
    </w:p>
    <w:p>
      <w:pPr>
        <w:ind w:left="54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Item 6. Contracts, Arrangements, Understandings or Relationships With Respect to Securities of the Issuer.</w:t>
        </w:r>
      </w:hyperlink>
    </w:p>
    <w:p>
      <w:pPr>
        <w:spacing w:after="0" w:line="44"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7. Material to be Filed as Exhibits.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w:t>
        </w:r>
      </w:hyperlink>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22"/>
          <w:szCs w:val="22"/>
          <w:color w:val="0000EE"/>
        </w:rPr>
      </w:pPr>
      <w:hyperlink w:anchor="page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00"/>
        <w:spacing w:after="0"/>
        <w:rPr>
          <w:sz w:val="20"/>
          <w:szCs w:val="20"/>
          <w:color w:val="auto"/>
        </w:rPr>
      </w:pPr>
      <w:r>
        <w:rPr>
          <w:rFonts w:ascii="Arial" w:cs="Arial" w:eastAsia="Arial" w:hAnsi="Arial"/>
          <w:sz w:val="18"/>
          <w:szCs w:val="18"/>
          <w:b w:val="1"/>
          <w:bCs w:val="1"/>
          <w:color w:val="auto"/>
        </w:rPr>
        <w:t>EXHIBIT 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20" w:type="dxa"/>
            <w:vAlign w:val="bottom"/>
          </w:tcPr>
          <w:p>
            <w:pPr>
              <w:spacing w:after="0"/>
              <w:rPr>
                <w:sz w:val="19"/>
                <w:szCs w:val="19"/>
                <w:color w:val="auto"/>
              </w:rPr>
            </w:pPr>
          </w:p>
        </w:tc>
        <w:tc>
          <w:tcPr>
            <w:tcW w:w="7800" w:type="dxa"/>
            <w:vAlign w:val="bottom"/>
          </w:tcPr>
          <w:p>
            <w:pPr>
              <w:ind w:left="1560"/>
              <w:spacing w:after="0"/>
              <w:rPr>
                <w:sz w:val="20"/>
                <w:szCs w:val="20"/>
                <w:color w:val="auto"/>
              </w:rPr>
            </w:pPr>
            <w:r>
              <w:rPr>
                <w:rFonts w:ascii="Arial" w:cs="Arial" w:eastAsia="Arial" w:hAnsi="Arial"/>
                <w:sz w:val="18"/>
                <w:szCs w:val="18"/>
                <w:b w:val="1"/>
                <w:bCs w:val="1"/>
                <w:color w:val="auto"/>
              </w:rPr>
              <w:t>DIRECTORS</w:t>
            </w:r>
          </w:p>
        </w:tc>
      </w:tr>
      <w:tr>
        <w:trPr>
          <w:trHeight w:val="432"/>
        </w:trPr>
        <w:tc>
          <w:tcPr>
            <w:tcW w:w="11420" w:type="dxa"/>
            <w:vAlign w:val="bottom"/>
            <w:gridSpan w:val="2"/>
          </w:tcPr>
          <w:p>
            <w:pPr>
              <w:ind w:left="180"/>
              <w:spacing w:after="0"/>
              <w:rPr>
                <w:sz w:val="20"/>
                <w:szCs w:val="20"/>
                <w:color w:val="auto"/>
              </w:rPr>
            </w:pPr>
            <w:r>
              <w:rPr>
                <w:rFonts w:ascii="Arial" w:cs="Arial" w:eastAsia="Arial" w:hAnsi="Arial"/>
                <w:sz w:val="18"/>
                <w:szCs w:val="18"/>
                <w:color w:val="auto"/>
              </w:rPr>
              <w:t>The following is a list of all members of the Board of Directors of Micron Technology, Inc. All directors are United States citizens.</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Name:</w:t>
            </w:r>
          </w:p>
        </w:tc>
        <w:tc>
          <w:tcPr>
            <w:tcW w:w="7800" w:type="dxa"/>
            <w:vAlign w:val="bottom"/>
          </w:tcPr>
          <w:p>
            <w:pPr>
              <w:ind w:left="620"/>
              <w:spacing w:after="0"/>
              <w:rPr>
                <w:sz w:val="20"/>
                <w:szCs w:val="20"/>
                <w:color w:val="auto"/>
              </w:rPr>
            </w:pPr>
            <w:r>
              <w:rPr>
                <w:rFonts w:ascii="Arial" w:cs="Arial" w:eastAsia="Arial" w:hAnsi="Arial"/>
                <w:sz w:val="18"/>
                <w:szCs w:val="18"/>
                <w:color w:val="auto"/>
              </w:rPr>
              <w:t>Steven R. Appleton</w:t>
            </w:r>
          </w:p>
        </w:tc>
      </w:tr>
      <w:tr>
        <w:trPr>
          <w:trHeight w:val="426"/>
        </w:trPr>
        <w:tc>
          <w:tcPr>
            <w:tcW w:w="3620" w:type="dxa"/>
            <w:vAlign w:val="bottom"/>
          </w:tcPr>
          <w:p>
            <w:pPr>
              <w:spacing w:after="0"/>
              <w:rPr>
                <w:sz w:val="20"/>
                <w:szCs w:val="20"/>
                <w:color w:val="auto"/>
              </w:rPr>
            </w:pPr>
            <w:r>
              <w:rPr>
                <w:rFonts w:ascii="Arial" w:cs="Arial" w:eastAsia="Arial" w:hAnsi="Arial"/>
                <w:sz w:val="18"/>
                <w:szCs w:val="18"/>
                <w:color w:val="auto"/>
              </w:rPr>
              <w:t>Business Address:</w:t>
            </w:r>
          </w:p>
        </w:tc>
        <w:tc>
          <w:tcPr>
            <w:tcW w:w="7800" w:type="dxa"/>
            <w:vAlign w:val="bottom"/>
          </w:tcPr>
          <w:p>
            <w:pPr>
              <w:ind w:left="620"/>
              <w:spacing w:after="0"/>
              <w:rPr>
                <w:sz w:val="20"/>
                <w:szCs w:val="20"/>
                <w:color w:val="auto"/>
              </w:rPr>
            </w:pPr>
            <w:r>
              <w:rPr>
                <w:rFonts w:ascii="Arial" w:cs="Arial" w:eastAsia="Arial" w:hAnsi="Arial"/>
                <w:sz w:val="18"/>
                <w:szCs w:val="18"/>
                <w:color w:val="auto"/>
              </w:rPr>
              <w:t>8000 South Federal Way</w:t>
            </w:r>
          </w:p>
        </w:tc>
      </w:tr>
      <w:tr>
        <w:trPr>
          <w:trHeight w:val="222"/>
        </w:trPr>
        <w:tc>
          <w:tcPr>
            <w:tcW w:w="3620" w:type="dxa"/>
            <w:vAlign w:val="bottom"/>
          </w:tcPr>
          <w:p>
            <w:pPr>
              <w:spacing w:after="0"/>
              <w:rPr>
                <w:sz w:val="19"/>
                <w:szCs w:val="19"/>
                <w:color w:val="auto"/>
              </w:rPr>
            </w:pPr>
          </w:p>
        </w:tc>
        <w:tc>
          <w:tcPr>
            <w:tcW w:w="7800" w:type="dxa"/>
            <w:vAlign w:val="bottom"/>
          </w:tcPr>
          <w:p>
            <w:pPr>
              <w:ind w:left="620"/>
              <w:spacing w:after="0"/>
              <w:rPr>
                <w:sz w:val="20"/>
                <w:szCs w:val="20"/>
                <w:color w:val="auto"/>
              </w:rPr>
            </w:pPr>
            <w:r>
              <w:rPr>
                <w:rFonts w:ascii="Arial" w:cs="Arial" w:eastAsia="Arial" w:hAnsi="Arial"/>
                <w:sz w:val="18"/>
                <w:szCs w:val="18"/>
                <w:color w:val="auto"/>
              </w:rPr>
              <w:t>Boise, ID 83716-9632</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Principal Occupation:</w:t>
            </w:r>
          </w:p>
        </w:tc>
        <w:tc>
          <w:tcPr>
            <w:tcW w:w="7800" w:type="dxa"/>
            <w:vAlign w:val="bottom"/>
          </w:tcPr>
          <w:p>
            <w:pPr>
              <w:ind w:left="620"/>
              <w:spacing w:after="0"/>
              <w:rPr>
                <w:sz w:val="20"/>
                <w:szCs w:val="20"/>
                <w:color w:val="auto"/>
              </w:rPr>
            </w:pPr>
            <w:r>
              <w:rPr>
                <w:rFonts w:ascii="Arial" w:cs="Arial" w:eastAsia="Arial" w:hAnsi="Arial"/>
                <w:sz w:val="18"/>
                <w:szCs w:val="18"/>
                <w:color w:val="auto"/>
              </w:rPr>
              <w:t>Chairman, Chief Executive Officer and President of Micron Technology, Inc.</w:t>
            </w:r>
          </w:p>
        </w:tc>
      </w:tr>
      <w:tr>
        <w:trPr>
          <w:trHeight w:val="426"/>
        </w:trPr>
        <w:tc>
          <w:tcPr>
            <w:tcW w:w="3620" w:type="dxa"/>
            <w:vAlign w:val="bottom"/>
          </w:tcPr>
          <w:p>
            <w:pPr>
              <w:spacing w:after="0"/>
              <w:rPr>
                <w:sz w:val="20"/>
                <w:szCs w:val="20"/>
                <w:color w:val="auto"/>
              </w:rPr>
            </w:pPr>
            <w:r>
              <w:rPr>
                <w:rFonts w:ascii="Arial" w:cs="Arial" w:eastAsia="Arial" w:hAnsi="Arial"/>
                <w:sz w:val="18"/>
                <w:szCs w:val="18"/>
                <w:color w:val="auto"/>
              </w:rPr>
              <w:t>Name, principal business and address of</w:t>
            </w:r>
          </w:p>
        </w:tc>
        <w:tc>
          <w:tcPr>
            <w:tcW w:w="7800" w:type="dxa"/>
            <w:vAlign w:val="bottom"/>
          </w:tcPr>
          <w:p>
            <w:pPr>
              <w:ind w:left="620"/>
              <w:spacing w:after="0"/>
              <w:rPr>
                <w:sz w:val="20"/>
                <w:szCs w:val="20"/>
                <w:color w:val="auto"/>
              </w:rPr>
            </w:pPr>
            <w:r>
              <w:rPr>
                <w:rFonts w:ascii="Arial" w:cs="Arial" w:eastAsia="Arial" w:hAnsi="Arial"/>
                <w:sz w:val="18"/>
                <w:szCs w:val="18"/>
                <w:color w:val="auto"/>
              </w:rPr>
              <w:t>Micron Technology, Inc., a manufacturer of semiconductor memory products</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corporation or other organization on which</w:t>
            </w:r>
          </w:p>
        </w:tc>
        <w:tc>
          <w:tcPr>
            <w:tcW w:w="7800" w:type="dxa"/>
            <w:vAlign w:val="bottom"/>
          </w:tcPr>
          <w:p>
            <w:pPr>
              <w:ind w:left="620"/>
              <w:spacing w:after="0"/>
              <w:rPr>
                <w:sz w:val="20"/>
                <w:szCs w:val="20"/>
                <w:color w:val="auto"/>
              </w:rPr>
            </w:pPr>
            <w:r>
              <w:rPr>
                <w:rFonts w:ascii="Arial" w:cs="Arial" w:eastAsia="Arial" w:hAnsi="Arial"/>
                <w:sz w:val="18"/>
                <w:szCs w:val="18"/>
                <w:color w:val="auto"/>
              </w:rPr>
              <w:t>8000 South Federal Way</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employment is conducted:</w:t>
            </w:r>
          </w:p>
        </w:tc>
        <w:tc>
          <w:tcPr>
            <w:tcW w:w="7800" w:type="dxa"/>
            <w:vAlign w:val="bottom"/>
          </w:tcPr>
          <w:p>
            <w:pPr>
              <w:ind w:left="620"/>
              <w:spacing w:after="0"/>
              <w:rPr>
                <w:sz w:val="20"/>
                <w:szCs w:val="20"/>
                <w:color w:val="auto"/>
              </w:rPr>
            </w:pPr>
            <w:r>
              <w:rPr>
                <w:rFonts w:ascii="Arial" w:cs="Arial" w:eastAsia="Arial" w:hAnsi="Arial"/>
                <w:sz w:val="18"/>
                <w:szCs w:val="18"/>
                <w:color w:val="auto"/>
              </w:rPr>
              <w:t>Boise, ID 83716-9632</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Name:</w:t>
            </w:r>
          </w:p>
        </w:tc>
        <w:tc>
          <w:tcPr>
            <w:tcW w:w="7800" w:type="dxa"/>
            <w:vAlign w:val="bottom"/>
          </w:tcPr>
          <w:p>
            <w:pPr>
              <w:ind w:left="620"/>
              <w:spacing w:after="0"/>
              <w:rPr>
                <w:sz w:val="20"/>
                <w:szCs w:val="20"/>
                <w:color w:val="auto"/>
              </w:rPr>
            </w:pPr>
            <w:r>
              <w:rPr>
                <w:rFonts w:ascii="Arial" w:cs="Arial" w:eastAsia="Arial" w:hAnsi="Arial"/>
                <w:sz w:val="18"/>
                <w:szCs w:val="18"/>
                <w:color w:val="auto"/>
              </w:rPr>
              <w:t>James W. Bagley</w:t>
            </w:r>
          </w:p>
        </w:tc>
      </w:tr>
      <w:tr>
        <w:trPr>
          <w:trHeight w:val="426"/>
        </w:trPr>
        <w:tc>
          <w:tcPr>
            <w:tcW w:w="3620" w:type="dxa"/>
            <w:vAlign w:val="bottom"/>
          </w:tcPr>
          <w:p>
            <w:pPr>
              <w:spacing w:after="0"/>
              <w:rPr>
                <w:sz w:val="20"/>
                <w:szCs w:val="20"/>
                <w:color w:val="auto"/>
              </w:rPr>
            </w:pPr>
            <w:r>
              <w:rPr>
                <w:rFonts w:ascii="Arial" w:cs="Arial" w:eastAsia="Arial" w:hAnsi="Arial"/>
                <w:sz w:val="18"/>
                <w:szCs w:val="18"/>
                <w:color w:val="auto"/>
              </w:rPr>
              <w:t>Business Address:</w:t>
            </w:r>
          </w:p>
        </w:tc>
        <w:tc>
          <w:tcPr>
            <w:tcW w:w="7800" w:type="dxa"/>
            <w:vAlign w:val="bottom"/>
          </w:tcPr>
          <w:p>
            <w:pPr>
              <w:ind w:left="620"/>
              <w:spacing w:after="0"/>
              <w:rPr>
                <w:sz w:val="20"/>
                <w:szCs w:val="20"/>
                <w:color w:val="auto"/>
              </w:rPr>
            </w:pPr>
            <w:r>
              <w:rPr>
                <w:rFonts w:ascii="Arial" w:cs="Arial" w:eastAsia="Arial" w:hAnsi="Arial"/>
                <w:sz w:val="18"/>
                <w:szCs w:val="18"/>
                <w:color w:val="auto"/>
              </w:rPr>
              <w:t>4650 Cushing Parkway</w:t>
            </w:r>
          </w:p>
        </w:tc>
      </w:tr>
      <w:tr>
        <w:trPr>
          <w:trHeight w:val="222"/>
        </w:trPr>
        <w:tc>
          <w:tcPr>
            <w:tcW w:w="3620" w:type="dxa"/>
            <w:vAlign w:val="bottom"/>
          </w:tcPr>
          <w:p>
            <w:pPr>
              <w:spacing w:after="0"/>
              <w:rPr>
                <w:sz w:val="19"/>
                <w:szCs w:val="19"/>
                <w:color w:val="auto"/>
              </w:rPr>
            </w:pPr>
          </w:p>
        </w:tc>
        <w:tc>
          <w:tcPr>
            <w:tcW w:w="7800" w:type="dxa"/>
            <w:vAlign w:val="bottom"/>
          </w:tcPr>
          <w:p>
            <w:pPr>
              <w:ind w:left="620"/>
              <w:spacing w:after="0"/>
              <w:rPr>
                <w:sz w:val="20"/>
                <w:szCs w:val="20"/>
                <w:color w:val="auto"/>
              </w:rPr>
            </w:pPr>
            <w:r>
              <w:rPr>
                <w:rFonts w:ascii="Arial" w:cs="Arial" w:eastAsia="Arial" w:hAnsi="Arial"/>
                <w:sz w:val="18"/>
                <w:szCs w:val="18"/>
                <w:color w:val="auto"/>
              </w:rPr>
              <w:t>Fremont, CA 94538</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Principal Occupation:</w:t>
            </w:r>
          </w:p>
        </w:tc>
        <w:tc>
          <w:tcPr>
            <w:tcW w:w="7800" w:type="dxa"/>
            <w:vAlign w:val="bottom"/>
          </w:tcPr>
          <w:p>
            <w:pPr>
              <w:ind w:left="620"/>
              <w:spacing w:after="0"/>
              <w:rPr>
                <w:sz w:val="20"/>
                <w:szCs w:val="20"/>
                <w:color w:val="auto"/>
              </w:rPr>
            </w:pPr>
            <w:r>
              <w:rPr>
                <w:rFonts w:ascii="Arial" w:cs="Arial" w:eastAsia="Arial" w:hAnsi="Arial"/>
                <w:sz w:val="18"/>
                <w:szCs w:val="18"/>
                <w:color w:val="auto"/>
              </w:rPr>
              <w:t>Chairman and Chief Executive Officer of Lam Research Corporation</w:t>
            </w:r>
          </w:p>
        </w:tc>
      </w:tr>
      <w:tr>
        <w:trPr>
          <w:trHeight w:val="426"/>
        </w:trPr>
        <w:tc>
          <w:tcPr>
            <w:tcW w:w="3620" w:type="dxa"/>
            <w:vAlign w:val="bottom"/>
          </w:tcPr>
          <w:p>
            <w:pPr>
              <w:spacing w:after="0"/>
              <w:rPr>
                <w:sz w:val="20"/>
                <w:szCs w:val="20"/>
                <w:color w:val="auto"/>
              </w:rPr>
            </w:pPr>
            <w:r>
              <w:rPr>
                <w:rFonts w:ascii="Arial" w:cs="Arial" w:eastAsia="Arial" w:hAnsi="Arial"/>
                <w:sz w:val="18"/>
                <w:szCs w:val="18"/>
                <w:color w:val="auto"/>
              </w:rPr>
              <w:t>Name, principal business and address of</w:t>
            </w:r>
          </w:p>
        </w:tc>
        <w:tc>
          <w:tcPr>
            <w:tcW w:w="7800" w:type="dxa"/>
            <w:vAlign w:val="bottom"/>
          </w:tcPr>
          <w:p>
            <w:pPr>
              <w:ind w:left="620"/>
              <w:spacing w:after="0"/>
              <w:rPr>
                <w:sz w:val="20"/>
                <w:szCs w:val="20"/>
                <w:color w:val="auto"/>
              </w:rPr>
            </w:pPr>
            <w:r>
              <w:rPr>
                <w:rFonts w:ascii="Arial" w:cs="Arial" w:eastAsia="Arial" w:hAnsi="Arial"/>
                <w:sz w:val="18"/>
                <w:szCs w:val="18"/>
                <w:color w:val="auto"/>
              </w:rPr>
              <w:t>Lam Research Corporation, a manufacturer of semiconductor processing equipment</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corporation or other organization on which</w:t>
            </w:r>
          </w:p>
        </w:tc>
        <w:tc>
          <w:tcPr>
            <w:tcW w:w="7800" w:type="dxa"/>
            <w:vAlign w:val="bottom"/>
          </w:tcPr>
          <w:p>
            <w:pPr>
              <w:ind w:left="620"/>
              <w:spacing w:after="0"/>
              <w:rPr>
                <w:sz w:val="20"/>
                <w:szCs w:val="20"/>
                <w:color w:val="auto"/>
              </w:rPr>
            </w:pPr>
            <w:r>
              <w:rPr>
                <w:rFonts w:ascii="Arial" w:cs="Arial" w:eastAsia="Arial" w:hAnsi="Arial"/>
                <w:sz w:val="18"/>
                <w:szCs w:val="18"/>
                <w:color w:val="auto"/>
              </w:rPr>
              <w:t>4650 Cushing Parkway</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employment is conducted:</w:t>
            </w:r>
          </w:p>
        </w:tc>
        <w:tc>
          <w:tcPr>
            <w:tcW w:w="7800" w:type="dxa"/>
            <w:vAlign w:val="bottom"/>
          </w:tcPr>
          <w:p>
            <w:pPr>
              <w:ind w:left="620"/>
              <w:spacing w:after="0"/>
              <w:rPr>
                <w:sz w:val="20"/>
                <w:szCs w:val="20"/>
                <w:color w:val="auto"/>
              </w:rPr>
            </w:pPr>
            <w:r>
              <w:rPr>
                <w:rFonts w:ascii="Arial" w:cs="Arial" w:eastAsia="Arial" w:hAnsi="Arial"/>
                <w:sz w:val="18"/>
                <w:szCs w:val="18"/>
                <w:color w:val="auto"/>
              </w:rPr>
              <w:t>Fremont, CA 94538</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Name:</w:t>
            </w:r>
          </w:p>
        </w:tc>
        <w:tc>
          <w:tcPr>
            <w:tcW w:w="7800" w:type="dxa"/>
            <w:vAlign w:val="bottom"/>
          </w:tcPr>
          <w:p>
            <w:pPr>
              <w:ind w:left="620"/>
              <w:spacing w:after="0"/>
              <w:rPr>
                <w:sz w:val="20"/>
                <w:szCs w:val="20"/>
                <w:color w:val="auto"/>
              </w:rPr>
            </w:pPr>
            <w:r>
              <w:rPr>
                <w:rFonts w:ascii="Arial" w:cs="Arial" w:eastAsia="Arial" w:hAnsi="Arial"/>
                <w:sz w:val="18"/>
                <w:szCs w:val="18"/>
                <w:color w:val="auto"/>
              </w:rPr>
              <w:t>Robert A. Lothrop</w:t>
            </w:r>
          </w:p>
        </w:tc>
      </w:tr>
      <w:tr>
        <w:trPr>
          <w:trHeight w:val="426"/>
        </w:trPr>
        <w:tc>
          <w:tcPr>
            <w:tcW w:w="3620" w:type="dxa"/>
            <w:vAlign w:val="bottom"/>
          </w:tcPr>
          <w:p>
            <w:pPr>
              <w:spacing w:after="0"/>
              <w:rPr>
                <w:sz w:val="20"/>
                <w:szCs w:val="20"/>
                <w:color w:val="auto"/>
              </w:rPr>
            </w:pPr>
            <w:r>
              <w:rPr>
                <w:rFonts w:ascii="Arial" w:cs="Arial" w:eastAsia="Arial" w:hAnsi="Arial"/>
                <w:sz w:val="18"/>
                <w:szCs w:val="18"/>
                <w:color w:val="auto"/>
              </w:rPr>
              <w:t>Business Address:</w:t>
            </w:r>
          </w:p>
        </w:tc>
        <w:tc>
          <w:tcPr>
            <w:tcW w:w="7800" w:type="dxa"/>
            <w:vAlign w:val="bottom"/>
          </w:tcPr>
          <w:p>
            <w:pPr>
              <w:ind w:left="620"/>
              <w:spacing w:after="0"/>
              <w:rPr>
                <w:sz w:val="20"/>
                <w:szCs w:val="20"/>
                <w:color w:val="auto"/>
              </w:rPr>
            </w:pPr>
            <w:r>
              <w:rPr>
                <w:rFonts w:ascii="Arial" w:cs="Arial" w:eastAsia="Arial" w:hAnsi="Arial"/>
                <w:sz w:val="18"/>
                <w:szCs w:val="18"/>
                <w:color w:val="auto"/>
              </w:rPr>
              <w:t>3308 Catalina</w:t>
            </w:r>
          </w:p>
        </w:tc>
      </w:tr>
      <w:tr>
        <w:trPr>
          <w:trHeight w:val="222"/>
        </w:trPr>
        <w:tc>
          <w:tcPr>
            <w:tcW w:w="3620" w:type="dxa"/>
            <w:vAlign w:val="bottom"/>
          </w:tcPr>
          <w:p>
            <w:pPr>
              <w:spacing w:after="0"/>
              <w:rPr>
                <w:sz w:val="19"/>
                <w:szCs w:val="19"/>
                <w:color w:val="auto"/>
              </w:rPr>
            </w:pPr>
          </w:p>
        </w:tc>
        <w:tc>
          <w:tcPr>
            <w:tcW w:w="7800" w:type="dxa"/>
            <w:vAlign w:val="bottom"/>
          </w:tcPr>
          <w:p>
            <w:pPr>
              <w:ind w:left="620"/>
              <w:spacing w:after="0"/>
              <w:rPr>
                <w:sz w:val="20"/>
                <w:szCs w:val="20"/>
                <w:color w:val="auto"/>
              </w:rPr>
            </w:pPr>
            <w:r>
              <w:rPr>
                <w:rFonts w:ascii="Arial" w:cs="Arial" w:eastAsia="Arial" w:hAnsi="Arial"/>
                <w:sz w:val="18"/>
                <w:szCs w:val="18"/>
                <w:color w:val="auto"/>
              </w:rPr>
              <w:t>Boise, ID 83705</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Principal Occupation:</w:t>
            </w:r>
          </w:p>
        </w:tc>
        <w:tc>
          <w:tcPr>
            <w:tcW w:w="7800" w:type="dxa"/>
            <w:vAlign w:val="bottom"/>
          </w:tcPr>
          <w:p>
            <w:pPr>
              <w:ind w:left="620"/>
              <w:spacing w:after="0"/>
              <w:rPr>
                <w:sz w:val="20"/>
                <w:szCs w:val="20"/>
                <w:color w:val="auto"/>
              </w:rPr>
            </w:pPr>
            <w:r>
              <w:rPr>
                <w:rFonts w:ascii="Arial" w:cs="Arial" w:eastAsia="Arial" w:hAnsi="Arial"/>
                <w:sz w:val="18"/>
                <w:szCs w:val="18"/>
                <w:color w:val="auto"/>
              </w:rPr>
              <w:t>Retired, former Senior Vice President of J.R. Simplot Company</w:t>
            </w:r>
          </w:p>
        </w:tc>
      </w:tr>
      <w:tr>
        <w:trPr>
          <w:trHeight w:val="426"/>
        </w:trPr>
        <w:tc>
          <w:tcPr>
            <w:tcW w:w="3620" w:type="dxa"/>
            <w:vAlign w:val="bottom"/>
          </w:tcPr>
          <w:p>
            <w:pPr>
              <w:spacing w:after="0"/>
              <w:rPr>
                <w:sz w:val="20"/>
                <w:szCs w:val="20"/>
                <w:color w:val="auto"/>
              </w:rPr>
            </w:pPr>
            <w:r>
              <w:rPr>
                <w:rFonts w:ascii="Arial" w:cs="Arial" w:eastAsia="Arial" w:hAnsi="Arial"/>
                <w:sz w:val="18"/>
                <w:szCs w:val="18"/>
                <w:color w:val="auto"/>
              </w:rPr>
              <w:t>Name, principal business and address of</w:t>
            </w:r>
          </w:p>
        </w:tc>
        <w:tc>
          <w:tcPr>
            <w:tcW w:w="7800" w:type="dxa"/>
            <w:vAlign w:val="bottom"/>
          </w:tcPr>
          <w:p>
            <w:pPr>
              <w:spacing w:after="0"/>
              <w:rPr>
                <w:sz w:val="24"/>
                <w:szCs w:val="24"/>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corporation or other organization on which</w:t>
            </w:r>
          </w:p>
        </w:tc>
        <w:tc>
          <w:tcPr>
            <w:tcW w:w="7800" w:type="dxa"/>
            <w:vAlign w:val="bottom"/>
          </w:tcPr>
          <w:p>
            <w:pPr>
              <w:spacing w:after="0"/>
              <w:rPr>
                <w:sz w:val="18"/>
                <w:szCs w:val="18"/>
                <w:color w:val="auto"/>
              </w:rPr>
            </w:pP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employment is conducted:</w:t>
            </w:r>
          </w:p>
        </w:tc>
        <w:tc>
          <w:tcPr>
            <w:tcW w:w="7800" w:type="dxa"/>
            <w:vAlign w:val="bottom"/>
          </w:tcPr>
          <w:p>
            <w:pPr>
              <w:spacing w:after="0"/>
              <w:rPr>
                <w:sz w:val="19"/>
                <w:szCs w:val="19"/>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Name:</w:t>
            </w:r>
          </w:p>
        </w:tc>
        <w:tc>
          <w:tcPr>
            <w:tcW w:w="7800" w:type="dxa"/>
            <w:vAlign w:val="bottom"/>
          </w:tcPr>
          <w:p>
            <w:pPr>
              <w:ind w:left="620"/>
              <w:spacing w:after="0"/>
              <w:rPr>
                <w:sz w:val="20"/>
                <w:szCs w:val="20"/>
                <w:color w:val="auto"/>
              </w:rPr>
            </w:pPr>
            <w:r>
              <w:rPr>
                <w:rFonts w:ascii="Arial" w:cs="Arial" w:eastAsia="Arial" w:hAnsi="Arial"/>
                <w:sz w:val="18"/>
                <w:szCs w:val="18"/>
                <w:color w:val="auto"/>
              </w:rPr>
              <w:t>Thomas T. Nicholson</w:t>
            </w:r>
          </w:p>
        </w:tc>
      </w:tr>
      <w:tr>
        <w:trPr>
          <w:trHeight w:val="426"/>
        </w:trPr>
        <w:tc>
          <w:tcPr>
            <w:tcW w:w="3620" w:type="dxa"/>
            <w:vAlign w:val="bottom"/>
          </w:tcPr>
          <w:p>
            <w:pPr>
              <w:spacing w:after="0"/>
              <w:rPr>
                <w:sz w:val="20"/>
                <w:szCs w:val="20"/>
                <w:color w:val="auto"/>
              </w:rPr>
            </w:pPr>
            <w:r>
              <w:rPr>
                <w:rFonts w:ascii="Arial" w:cs="Arial" w:eastAsia="Arial" w:hAnsi="Arial"/>
                <w:sz w:val="18"/>
                <w:szCs w:val="18"/>
                <w:color w:val="auto"/>
              </w:rPr>
              <w:t>Business Address:</w:t>
            </w:r>
          </w:p>
        </w:tc>
        <w:tc>
          <w:tcPr>
            <w:tcW w:w="7800" w:type="dxa"/>
            <w:vAlign w:val="bottom"/>
          </w:tcPr>
          <w:p>
            <w:pPr>
              <w:ind w:left="620"/>
              <w:spacing w:after="0"/>
              <w:rPr>
                <w:sz w:val="20"/>
                <w:szCs w:val="20"/>
                <w:color w:val="auto"/>
              </w:rPr>
            </w:pPr>
            <w:r>
              <w:rPr>
                <w:rFonts w:ascii="Arial" w:cs="Arial" w:eastAsia="Arial" w:hAnsi="Arial"/>
                <w:sz w:val="18"/>
                <w:szCs w:val="18"/>
                <w:color w:val="auto"/>
              </w:rPr>
              <w:t>1015 Olive Way</w:t>
            </w:r>
          </w:p>
        </w:tc>
      </w:tr>
      <w:tr>
        <w:trPr>
          <w:trHeight w:val="222"/>
        </w:trPr>
        <w:tc>
          <w:tcPr>
            <w:tcW w:w="3620" w:type="dxa"/>
            <w:vAlign w:val="bottom"/>
          </w:tcPr>
          <w:p>
            <w:pPr>
              <w:spacing w:after="0"/>
              <w:rPr>
                <w:sz w:val="19"/>
                <w:szCs w:val="19"/>
                <w:color w:val="auto"/>
              </w:rPr>
            </w:pPr>
          </w:p>
        </w:tc>
        <w:tc>
          <w:tcPr>
            <w:tcW w:w="7800" w:type="dxa"/>
            <w:vAlign w:val="bottom"/>
          </w:tcPr>
          <w:p>
            <w:pPr>
              <w:ind w:left="620"/>
              <w:spacing w:after="0"/>
              <w:rPr>
                <w:sz w:val="20"/>
                <w:szCs w:val="20"/>
                <w:color w:val="auto"/>
              </w:rPr>
            </w:pPr>
            <w:r>
              <w:rPr>
                <w:rFonts w:ascii="Arial" w:cs="Arial" w:eastAsia="Arial" w:hAnsi="Arial"/>
                <w:sz w:val="18"/>
                <w:szCs w:val="18"/>
                <w:color w:val="auto"/>
              </w:rPr>
              <w:t>Seattle, WA 98101-1894</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Principal Occupation:</w:t>
            </w:r>
          </w:p>
        </w:tc>
        <w:tc>
          <w:tcPr>
            <w:tcW w:w="7800" w:type="dxa"/>
            <w:vAlign w:val="bottom"/>
          </w:tcPr>
          <w:p>
            <w:pPr>
              <w:ind w:left="620"/>
              <w:spacing w:after="0"/>
              <w:rPr>
                <w:sz w:val="20"/>
                <w:szCs w:val="20"/>
                <w:color w:val="auto"/>
              </w:rPr>
            </w:pPr>
            <w:r>
              <w:rPr>
                <w:rFonts w:ascii="Arial" w:cs="Arial" w:eastAsia="Arial" w:hAnsi="Arial"/>
                <w:sz w:val="18"/>
                <w:szCs w:val="18"/>
                <w:color w:val="auto"/>
                <w:w w:val="94"/>
              </w:rPr>
              <w:t>Vice President and member of the Board of Directors of Honda of Seattle and Toyota of Seattle</w:t>
            </w:r>
          </w:p>
        </w:tc>
      </w:tr>
      <w:tr>
        <w:trPr>
          <w:trHeight w:val="426"/>
        </w:trPr>
        <w:tc>
          <w:tcPr>
            <w:tcW w:w="3620" w:type="dxa"/>
            <w:vAlign w:val="bottom"/>
          </w:tcPr>
          <w:p>
            <w:pPr>
              <w:spacing w:after="0"/>
              <w:rPr>
                <w:sz w:val="20"/>
                <w:szCs w:val="20"/>
                <w:color w:val="auto"/>
              </w:rPr>
            </w:pPr>
            <w:r>
              <w:rPr>
                <w:rFonts w:ascii="Arial" w:cs="Arial" w:eastAsia="Arial" w:hAnsi="Arial"/>
                <w:sz w:val="18"/>
                <w:szCs w:val="18"/>
                <w:color w:val="auto"/>
              </w:rPr>
              <w:t>Name, principal business and address of</w:t>
            </w:r>
          </w:p>
        </w:tc>
        <w:tc>
          <w:tcPr>
            <w:tcW w:w="7800" w:type="dxa"/>
            <w:vAlign w:val="bottom"/>
          </w:tcPr>
          <w:p>
            <w:pPr>
              <w:ind w:left="620"/>
              <w:spacing w:after="0"/>
              <w:rPr>
                <w:sz w:val="20"/>
                <w:szCs w:val="20"/>
                <w:color w:val="auto"/>
              </w:rPr>
            </w:pPr>
            <w:r>
              <w:rPr>
                <w:rFonts w:ascii="Arial" w:cs="Arial" w:eastAsia="Arial" w:hAnsi="Arial"/>
                <w:sz w:val="18"/>
                <w:szCs w:val="18"/>
                <w:color w:val="auto"/>
              </w:rPr>
              <w:t>Honda of Seattle and Toyota of Seattle, car dealerships</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corporation or other organization on which</w:t>
            </w:r>
          </w:p>
        </w:tc>
        <w:tc>
          <w:tcPr>
            <w:tcW w:w="7800" w:type="dxa"/>
            <w:vAlign w:val="bottom"/>
          </w:tcPr>
          <w:p>
            <w:pPr>
              <w:ind w:left="620"/>
              <w:spacing w:after="0"/>
              <w:rPr>
                <w:sz w:val="20"/>
                <w:szCs w:val="20"/>
                <w:color w:val="auto"/>
              </w:rPr>
            </w:pPr>
            <w:r>
              <w:rPr>
                <w:rFonts w:ascii="Arial" w:cs="Arial" w:eastAsia="Arial" w:hAnsi="Arial"/>
                <w:sz w:val="18"/>
                <w:szCs w:val="18"/>
                <w:color w:val="auto"/>
              </w:rPr>
              <w:t>1015 Olive Way</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employment is conducted:</w:t>
            </w:r>
          </w:p>
        </w:tc>
        <w:tc>
          <w:tcPr>
            <w:tcW w:w="7800" w:type="dxa"/>
            <w:vAlign w:val="bottom"/>
          </w:tcPr>
          <w:p>
            <w:pPr>
              <w:ind w:left="620"/>
              <w:spacing w:after="0"/>
              <w:rPr>
                <w:sz w:val="20"/>
                <w:szCs w:val="20"/>
                <w:color w:val="auto"/>
              </w:rPr>
            </w:pPr>
            <w:r>
              <w:rPr>
                <w:rFonts w:ascii="Arial" w:cs="Arial" w:eastAsia="Arial" w:hAnsi="Arial"/>
                <w:sz w:val="18"/>
                <w:szCs w:val="18"/>
                <w:color w:val="auto"/>
              </w:rPr>
              <w:t>Seattle, WA 98101-1894</w:t>
            </w:r>
          </w:p>
        </w:tc>
      </w:tr>
      <w:tr>
        <w:trPr>
          <w:trHeight w:val="120"/>
        </w:trPr>
        <w:tc>
          <w:tcPr>
            <w:tcW w:w="3620" w:type="dxa"/>
            <w:vAlign w:val="bottom"/>
            <w:tcBorders>
              <w:bottom w:val="single" w:sz="8" w:color="808080"/>
            </w:tcBorders>
          </w:tcPr>
          <w:p>
            <w:pPr>
              <w:spacing w:after="0"/>
              <w:rPr>
                <w:sz w:val="10"/>
                <w:szCs w:val="10"/>
                <w:color w:val="auto"/>
              </w:rPr>
            </w:pPr>
          </w:p>
        </w:tc>
        <w:tc>
          <w:tcPr>
            <w:tcW w:w="7800" w:type="dxa"/>
            <w:vAlign w:val="bottom"/>
            <w:tcBorders>
              <w:bottom w:val="single" w:sz="8" w:color="808080"/>
            </w:tcBorders>
          </w:tcPr>
          <w:p>
            <w:pPr>
              <w:spacing w:after="0"/>
              <w:rPr>
                <w:sz w:val="10"/>
                <w:szCs w:val="10"/>
                <w:color w:val="auto"/>
              </w:rPr>
            </w:pPr>
          </w:p>
        </w:tc>
      </w:tr>
      <w:tr>
        <w:trPr>
          <w:trHeight w:val="535"/>
        </w:trPr>
        <w:tc>
          <w:tcPr>
            <w:tcW w:w="3620" w:type="dxa"/>
            <w:vAlign w:val="bottom"/>
          </w:tcPr>
          <w:p>
            <w:pPr>
              <w:spacing w:after="0"/>
              <w:rPr>
                <w:sz w:val="20"/>
                <w:szCs w:val="20"/>
                <w:color w:val="auto"/>
              </w:rPr>
            </w:pPr>
            <w:r>
              <w:rPr>
                <w:rFonts w:ascii="Arial" w:cs="Arial" w:eastAsia="Arial" w:hAnsi="Arial"/>
                <w:sz w:val="18"/>
                <w:szCs w:val="18"/>
                <w:color w:val="auto"/>
              </w:rPr>
              <w:t>Name:</w:t>
            </w:r>
          </w:p>
        </w:tc>
        <w:tc>
          <w:tcPr>
            <w:tcW w:w="7800" w:type="dxa"/>
            <w:vAlign w:val="bottom"/>
          </w:tcPr>
          <w:p>
            <w:pPr>
              <w:ind w:left="620"/>
              <w:spacing w:after="0"/>
              <w:rPr>
                <w:sz w:val="20"/>
                <w:szCs w:val="20"/>
                <w:color w:val="auto"/>
              </w:rPr>
            </w:pPr>
            <w:r>
              <w:rPr>
                <w:rFonts w:ascii="Arial" w:cs="Arial" w:eastAsia="Arial" w:hAnsi="Arial"/>
                <w:sz w:val="18"/>
                <w:szCs w:val="18"/>
                <w:color w:val="auto"/>
              </w:rPr>
              <w:t>Don J. Simplot</w:t>
            </w:r>
          </w:p>
        </w:tc>
      </w:tr>
      <w:tr>
        <w:trPr>
          <w:trHeight w:val="426"/>
        </w:trPr>
        <w:tc>
          <w:tcPr>
            <w:tcW w:w="3620" w:type="dxa"/>
            <w:vAlign w:val="bottom"/>
          </w:tcPr>
          <w:p>
            <w:pPr>
              <w:spacing w:after="0"/>
              <w:rPr>
                <w:sz w:val="20"/>
                <w:szCs w:val="20"/>
                <w:color w:val="auto"/>
              </w:rPr>
            </w:pPr>
            <w:r>
              <w:rPr>
                <w:rFonts w:ascii="Arial" w:cs="Arial" w:eastAsia="Arial" w:hAnsi="Arial"/>
                <w:sz w:val="18"/>
                <w:szCs w:val="18"/>
                <w:color w:val="auto"/>
              </w:rPr>
              <w:t>Business Address:</w:t>
            </w:r>
          </w:p>
        </w:tc>
        <w:tc>
          <w:tcPr>
            <w:tcW w:w="7800" w:type="dxa"/>
            <w:vAlign w:val="bottom"/>
          </w:tcPr>
          <w:p>
            <w:pPr>
              <w:ind w:left="620"/>
              <w:spacing w:after="0"/>
              <w:rPr>
                <w:sz w:val="20"/>
                <w:szCs w:val="20"/>
                <w:color w:val="auto"/>
              </w:rPr>
            </w:pPr>
            <w:r>
              <w:rPr>
                <w:rFonts w:ascii="Arial" w:cs="Arial" w:eastAsia="Arial" w:hAnsi="Arial"/>
                <w:sz w:val="18"/>
                <w:szCs w:val="18"/>
                <w:color w:val="auto"/>
              </w:rPr>
              <w:t>P.O. Box 27</w:t>
            </w:r>
          </w:p>
        </w:tc>
      </w:tr>
      <w:tr>
        <w:trPr>
          <w:trHeight w:val="222"/>
        </w:trPr>
        <w:tc>
          <w:tcPr>
            <w:tcW w:w="3620" w:type="dxa"/>
            <w:vAlign w:val="bottom"/>
          </w:tcPr>
          <w:p>
            <w:pPr>
              <w:spacing w:after="0"/>
              <w:rPr>
                <w:sz w:val="19"/>
                <w:szCs w:val="19"/>
                <w:color w:val="auto"/>
              </w:rPr>
            </w:pPr>
          </w:p>
        </w:tc>
        <w:tc>
          <w:tcPr>
            <w:tcW w:w="7800" w:type="dxa"/>
            <w:vAlign w:val="bottom"/>
          </w:tcPr>
          <w:p>
            <w:pPr>
              <w:ind w:left="620"/>
              <w:spacing w:after="0"/>
              <w:rPr>
                <w:sz w:val="20"/>
                <w:szCs w:val="20"/>
                <w:color w:val="auto"/>
              </w:rPr>
            </w:pPr>
            <w:r>
              <w:rPr>
                <w:rFonts w:ascii="Arial" w:cs="Arial" w:eastAsia="Arial" w:hAnsi="Arial"/>
                <w:sz w:val="18"/>
                <w:szCs w:val="18"/>
                <w:color w:val="auto"/>
              </w:rPr>
              <w:t>Boise, ID 83707-0027</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Principal Occupation:</w:t>
            </w:r>
          </w:p>
        </w:tc>
        <w:tc>
          <w:tcPr>
            <w:tcW w:w="7800" w:type="dxa"/>
            <w:vAlign w:val="bottom"/>
          </w:tcPr>
          <w:p>
            <w:pPr>
              <w:ind w:left="620"/>
              <w:spacing w:after="0"/>
              <w:rPr>
                <w:sz w:val="20"/>
                <w:szCs w:val="20"/>
                <w:color w:val="auto"/>
              </w:rPr>
            </w:pPr>
            <w:r>
              <w:rPr>
                <w:rFonts w:ascii="Arial" w:cs="Arial" w:eastAsia="Arial" w:hAnsi="Arial"/>
                <w:sz w:val="18"/>
                <w:szCs w:val="18"/>
                <w:color w:val="auto"/>
                <w:w w:val="95"/>
              </w:rPr>
              <w:t>Corporate Vice President and member of the Office of the Chairman of J.R. Simplot Company</w:t>
            </w:r>
          </w:p>
        </w:tc>
      </w:tr>
      <w:tr>
        <w:trPr>
          <w:trHeight w:val="426"/>
        </w:trPr>
        <w:tc>
          <w:tcPr>
            <w:tcW w:w="3620" w:type="dxa"/>
            <w:vAlign w:val="bottom"/>
          </w:tcPr>
          <w:p>
            <w:pPr>
              <w:spacing w:after="0"/>
              <w:rPr>
                <w:sz w:val="20"/>
                <w:szCs w:val="20"/>
                <w:color w:val="auto"/>
              </w:rPr>
            </w:pPr>
            <w:r>
              <w:rPr>
                <w:rFonts w:ascii="Arial" w:cs="Arial" w:eastAsia="Arial" w:hAnsi="Arial"/>
                <w:sz w:val="18"/>
                <w:szCs w:val="18"/>
                <w:color w:val="auto"/>
              </w:rPr>
              <w:t>Name, principal business and address of</w:t>
            </w:r>
          </w:p>
        </w:tc>
        <w:tc>
          <w:tcPr>
            <w:tcW w:w="7800" w:type="dxa"/>
            <w:vAlign w:val="bottom"/>
          </w:tcPr>
          <w:p>
            <w:pPr>
              <w:ind w:left="620"/>
              <w:spacing w:after="0"/>
              <w:rPr>
                <w:sz w:val="20"/>
                <w:szCs w:val="20"/>
                <w:color w:val="auto"/>
              </w:rPr>
            </w:pPr>
            <w:r>
              <w:rPr>
                <w:rFonts w:ascii="Arial" w:cs="Arial" w:eastAsia="Arial" w:hAnsi="Arial"/>
                <w:sz w:val="18"/>
                <w:szCs w:val="18"/>
                <w:color w:val="auto"/>
              </w:rPr>
              <w:t>J. R. Simplot Company, an agribusiness</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corporation or other organization on which</w:t>
            </w:r>
          </w:p>
        </w:tc>
        <w:tc>
          <w:tcPr>
            <w:tcW w:w="7800" w:type="dxa"/>
            <w:vAlign w:val="bottom"/>
          </w:tcPr>
          <w:p>
            <w:pPr>
              <w:ind w:left="620"/>
              <w:spacing w:after="0"/>
              <w:rPr>
                <w:sz w:val="20"/>
                <w:szCs w:val="20"/>
                <w:color w:val="auto"/>
              </w:rPr>
            </w:pPr>
            <w:r>
              <w:rPr>
                <w:rFonts w:ascii="Arial" w:cs="Arial" w:eastAsia="Arial" w:hAnsi="Arial"/>
                <w:sz w:val="18"/>
                <w:szCs w:val="18"/>
                <w:color w:val="auto"/>
              </w:rPr>
              <w:t>P.O. Box 27</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employment is conducted:</w:t>
            </w:r>
          </w:p>
        </w:tc>
        <w:tc>
          <w:tcPr>
            <w:tcW w:w="7800" w:type="dxa"/>
            <w:vAlign w:val="bottom"/>
          </w:tcPr>
          <w:p>
            <w:pPr>
              <w:ind w:left="620"/>
              <w:spacing w:after="0"/>
              <w:rPr>
                <w:sz w:val="20"/>
                <w:szCs w:val="20"/>
                <w:color w:val="auto"/>
              </w:rPr>
            </w:pPr>
            <w:r>
              <w:rPr>
                <w:rFonts w:ascii="Arial" w:cs="Arial" w:eastAsia="Arial" w:hAnsi="Arial"/>
                <w:sz w:val="18"/>
                <w:szCs w:val="18"/>
                <w:color w:val="auto"/>
              </w:rPr>
              <w:t>Boise, ID 83707-0027</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Name:</w:t>
            </w:r>
          </w:p>
        </w:tc>
        <w:tc>
          <w:tcPr>
            <w:tcW w:w="7800" w:type="dxa"/>
            <w:vAlign w:val="bottom"/>
          </w:tcPr>
          <w:p>
            <w:pPr>
              <w:ind w:left="620"/>
              <w:spacing w:after="0"/>
              <w:rPr>
                <w:sz w:val="20"/>
                <w:szCs w:val="20"/>
                <w:color w:val="auto"/>
              </w:rPr>
            </w:pPr>
            <w:r>
              <w:rPr>
                <w:rFonts w:ascii="Arial" w:cs="Arial" w:eastAsia="Arial" w:hAnsi="Arial"/>
                <w:sz w:val="18"/>
                <w:szCs w:val="18"/>
                <w:color w:val="auto"/>
              </w:rPr>
              <w:t>Gordon C. Smith</w:t>
            </w:r>
          </w:p>
        </w:tc>
      </w:tr>
      <w:tr>
        <w:trPr>
          <w:trHeight w:val="426"/>
        </w:trPr>
        <w:tc>
          <w:tcPr>
            <w:tcW w:w="3620" w:type="dxa"/>
            <w:vAlign w:val="bottom"/>
          </w:tcPr>
          <w:p>
            <w:pPr>
              <w:spacing w:after="0"/>
              <w:rPr>
                <w:sz w:val="20"/>
                <w:szCs w:val="20"/>
                <w:color w:val="auto"/>
              </w:rPr>
            </w:pPr>
            <w:r>
              <w:rPr>
                <w:rFonts w:ascii="Arial" w:cs="Arial" w:eastAsia="Arial" w:hAnsi="Arial"/>
                <w:sz w:val="18"/>
                <w:szCs w:val="18"/>
                <w:color w:val="auto"/>
              </w:rPr>
              <w:t>Business Address:</w:t>
            </w:r>
          </w:p>
        </w:tc>
        <w:tc>
          <w:tcPr>
            <w:tcW w:w="7800" w:type="dxa"/>
            <w:vAlign w:val="bottom"/>
          </w:tcPr>
          <w:p>
            <w:pPr>
              <w:ind w:left="620"/>
              <w:spacing w:after="0"/>
              <w:rPr>
                <w:sz w:val="20"/>
                <w:szCs w:val="20"/>
                <w:color w:val="auto"/>
              </w:rPr>
            </w:pPr>
            <w:r>
              <w:rPr>
                <w:rFonts w:ascii="Arial" w:cs="Arial" w:eastAsia="Arial" w:hAnsi="Arial"/>
                <w:sz w:val="18"/>
                <w:szCs w:val="18"/>
                <w:color w:val="auto"/>
              </w:rPr>
              <w:t>42874 Old Wingville Road</w:t>
            </w:r>
          </w:p>
        </w:tc>
      </w:tr>
      <w:tr>
        <w:trPr>
          <w:trHeight w:val="222"/>
        </w:trPr>
        <w:tc>
          <w:tcPr>
            <w:tcW w:w="3620" w:type="dxa"/>
            <w:vAlign w:val="bottom"/>
          </w:tcPr>
          <w:p>
            <w:pPr>
              <w:spacing w:after="0"/>
              <w:rPr>
                <w:sz w:val="19"/>
                <w:szCs w:val="19"/>
                <w:color w:val="auto"/>
              </w:rPr>
            </w:pPr>
          </w:p>
        </w:tc>
        <w:tc>
          <w:tcPr>
            <w:tcW w:w="7800" w:type="dxa"/>
            <w:vAlign w:val="bottom"/>
          </w:tcPr>
          <w:p>
            <w:pPr>
              <w:ind w:left="620"/>
              <w:spacing w:after="0"/>
              <w:rPr>
                <w:sz w:val="20"/>
                <w:szCs w:val="20"/>
                <w:color w:val="auto"/>
              </w:rPr>
            </w:pPr>
            <w:r>
              <w:rPr>
                <w:rFonts w:ascii="Arial" w:cs="Arial" w:eastAsia="Arial" w:hAnsi="Arial"/>
                <w:sz w:val="18"/>
                <w:szCs w:val="18"/>
                <w:color w:val="auto"/>
              </w:rPr>
              <w:t>Baker City, OR 97814</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Principal Occupation:</w:t>
            </w:r>
          </w:p>
        </w:tc>
        <w:tc>
          <w:tcPr>
            <w:tcW w:w="7800" w:type="dxa"/>
            <w:vAlign w:val="bottom"/>
          </w:tcPr>
          <w:p>
            <w:pPr>
              <w:ind w:left="620"/>
              <w:spacing w:after="0"/>
              <w:rPr>
                <w:sz w:val="20"/>
                <w:szCs w:val="20"/>
                <w:color w:val="auto"/>
              </w:rPr>
            </w:pPr>
            <w:r>
              <w:rPr>
                <w:rFonts w:ascii="Arial" w:cs="Arial" w:eastAsia="Arial" w:hAnsi="Arial"/>
                <w:sz w:val="18"/>
                <w:szCs w:val="18"/>
                <w:color w:val="auto"/>
              </w:rPr>
              <w:t>Chairman and Chief Executive Officer of G.C. Smith L.L.C.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Name, principal business and address of</w:t>
            </w:r>
          </w:p>
        </w:tc>
        <w:tc>
          <w:tcPr>
            <w:tcW w:w="7800" w:type="dxa"/>
            <w:vAlign w:val="bottom"/>
          </w:tcPr>
          <w:p>
            <w:pPr>
              <w:ind w:left="620"/>
              <w:spacing w:after="0"/>
              <w:rPr>
                <w:sz w:val="20"/>
                <w:szCs w:val="20"/>
                <w:color w:val="auto"/>
              </w:rPr>
            </w:pPr>
            <w:r>
              <w:rPr>
                <w:rFonts w:ascii="Arial" w:cs="Arial" w:eastAsia="Arial" w:hAnsi="Arial"/>
                <w:sz w:val="18"/>
                <w:szCs w:val="18"/>
                <w:color w:val="auto"/>
              </w:rPr>
              <w:t>G.C. Smith L.L.C., a holding company for ranch operations and other investments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-2823845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-2823845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5" w:name="page6"/>
    <w:bookmarkEnd w:id="5"/>
    <w:p>
      <w:pPr>
        <w:ind w:right="500"/>
        <w:spacing w:after="0" w:line="268" w:lineRule="auto"/>
        <w:rPr>
          <w:sz w:val="20"/>
          <w:szCs w:val="20"/>
          <w:color w:val="auto"/>
        </w:rPr>
      </w:pPr>
      <w:r>
        <w:rPr>
          <w:rFonts w:ascii="Arial" w:cs="Arial" w:eastAsia="Arial" w:hAnsi="Arial"/>
          <w:sz w:val="18"/>
          <w:szCs w:val="18"/>
          <w:color w:val="auto"/>
        </w:rPr>
        <w:t>corporation or other organization on which employment is conducted: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42874 Old Wingville Road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Baker City, OR 97814</w:t>
      </w:r>
    </w:p>
    <w:p>
      <w:pPr>
        <w:spacing w:after="0" w:line="218" w:lineRule="exact"/>
        <w:rPr>
          <w:sz w:val="20"/>
          <w:szCs w:val="20"/>
          <w:color w:val="auto"/>
        </w:rPr>
      </w:pPr>
    </w:p>
    <w:p>
      <w:pPr>
        <w:sectPr>
          <w:pgSz w:w="11900" w:h="16838" w:orient="portrait"/>
          <w:cols w:equalWidth="0" w:num="2">
            <w:col w:w="3520" w:space="720"/>
            <w:col w:w="7180"/>
          </w:cols>
          <w:pgMar w:left="240" w:top="131" w:right="239" w:bottom="1440" w:gutter="0" w:footer="0" w:header="0"/>
        </w:sect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William P. Weber</w:t>
      </w:r>
    </w:p>
    <w:p>
      <w:pPr>
        <w:spacing w:after="0" w:line="211" w:lineRule="exact"/>
        <w:rPr>
          <w:sz w:val="20"/>
          <w:szCs w:val="20"/>
          <w:color w:val="auto"/>
        </w:rPr>
      </w:pPr>
    </w:p>
    <w:p>
      <w:pPr>
        <w:sectPr>
          <w:pgSz w:w="11900" w:h="16838" w:orient="portrait"/>
          <w:cols w:equalWidth="0" w:num="2">
            <w:col w:w="3520" w:space="720"/>
            <w:col w:w="7180"/>
          </w:cols>
          <w:pgMar w:left="240" w:top="13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Business 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3921 Euclid Avenue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Dallas, TX 75205</w:t>
      </w:r>
    </w:p>
    <w:p>
      <w:pPr>
        <w:spacing w:after="0" w:line="200" w:lineRule="exact"/>
        <w:rPr>
          <w:sz w:val="20"/>
          <w:szCs w:val="20"/>
          <w:color w:val="auto"/>
        </w:rPr>
      </w:pPr>
    </w:p>
    <w:p>
      <w:pPr>
        <w:sectPr>
          <w:pgSz w:w="11900" w:h="16838" w:orient="portrait"/>
          <w:cols w:equalWidth="0" w:num="2">
            <w:col w:w="3520" w:space="720"/>
            <w:col w:w="7180"/>
          </w:cols>
          <w:pgMar w:left="240" w:top="131" w:right="2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Principal Occupation:</w:t>
      </w:r>
    </w:p>
    <w:p>
      <w:pPr>
        <w:spacing w:after="0" w:line="20" w:lineRule="exact"/>
        <w:rPr>
          <w:sz w:val="20"/>
          <w:szCs w:val="20"/>
          <w:color w:val="auto"/>
        </w:rPr>
      </w:pPr>
      <w:r>
        <w:rPr>
          <w:sz w:val="20"/>
          <w:szCs w:val="20"/>
          <w:color w:val="auto"/>
        </w:rPr>
        <w:br w:type="column"/>
      </w:r>
    </w:p>
    <w:p>
      <w:pPr>
        <w:jc w:val="center"/>
        <w:ind w:right="2540"/>
        <w:spacing w:after="0"/>
        <w:rPr>
          <w:sz w:val="20"/>
          <w:szCs w:val="20"/>
          <w:color w:val="auto"/>
        </w:rPr>
      </w:pPr>
      <w:r>
        <w:rPr>
          <w:rFonts w:ascii="Arial" w:cs="Arial" w:eastAsia="Arial" w:hAnsi="Arial"/>
          <w:sz w:val="15"/>
          <w:szCs w:val="15"/>
          <w:color w:val="auto"/>
        </w:rPr>
        <w:t>Retired, former Vice Chairman of Texas Instruments Incorporated</w:t>
      </w:r>
    </w:p>
    <w:p>
      <w:pPr>
        <w:spacing w:after="0" w:line="211" w:lineRule="exact"/>
        <w:rPr>
          <w:sz w:val="20"/>
          <w:szCs w:val="20"/>
          <w:color w:val="auto"/>
        </w:rPr>
      </w:pPr>
    </w:p>
    <w:p>
      <w:pPr>
        <w:sectPr>
          <w:pgSz w:w="11900" w:h="16838" w:orient="portrait"/>
          <w:cols w:equalWidth="0" w:num="2">
            <w:col w:w="3520" w:space="720"/>
            <w:col w:w="7180"/>
          </w:cols>
          <w:pgMar w:left="240" w:top="13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Name, principal business and address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corporation or other organization on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employment is conducted:</w:t>
      </w:r>
    </w:p>
    <w:p>
      <w:pPr>
        <w:sectPr>
          <w:pgSz w:w="11900" w:h="16838" w:orient="portrait"/>
          <w:cols w:equalWidth="0" w:num="1">
            <w:col w:w="11420"/>
          </w:cols>
          <w:pgMar w:left="240" w:top="131" w:right="2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1" w:lineRule="exact"/>
        <w:rPr>
          <w:sz w:val="20"/>
          <w:szCs w:val="20"/>
          <w:color w:val="auto"/>
        </w:rPr>
      </w:pPr>
    </w:p>
    <w:p>
      <w:pPr>
        <w:ind w:right="120" w:firstLine="172"/>
        <w:spacing w:after="0" w:line="259" w:lineRule="auto"/>
        <w:rPr>
          <w:sz w:val="20"/>
          <w:szCs w:val="20"/>
          <w:color w:val="auto"/>
        </w:rPr>
      </w:pPr>
      <w:r>
        <w:rPr>
          <w:rFonts w:ascii="Arial" w:cs="Arial" w:eastAsia="Arial" w:hAnsi="Arial"/>
          <w:sz w:val="18"/>
          <w:szCs w:val="18"/>
          <w:color w:val="auto"/>
        </w:rPr>
        <w:t>The following is a list of all executive officers of the Micron Technology, Inc., excluding executive officers who are also directors, information about which is listed in the director portion of this Exhibit 1. Each officer's business address is 8000 South Federal Way, Boise, ID 83716-9632, which address is Micron's business address. All executive officers are United States citizens.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7420" w:type="dxa"/>
            <w:vAlign w:val="bottom"/>
          </w:tcPr>
          <w:p>
            <w:pPr>
              <w:ind w:left="34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Kipp A. Bedard</w:t>
            </w:r>
          </w:p>
        </w:tc>
        <w:tc>
          <w:tcPr>
            <w:tcW w:w="34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Corporate Affairs</w:t>
            </w:r>
          </w:p>
        </w:tc>
        <w:tc>
          <w:tcPr>
            <w:tcW w:w="0" w:type="dxa"/>
            <w:vAlign w:val="bottom"/>
          </w:tcPr>
          <w:p>
            <w:pPr>
              <w:spacing w:after="0"/>
              <w:rPr>
                <w:sz w:val="1"/>
                <w:szCs w:val="1"/>
                <w:color w:val="auto"/>
              </w:rPr>
            </w:pPr>
          </w:p>
        </w:tc>
      </w:tr>
      <w:tr>
        <w:trPr>
          <w:trHeight w:val="431"/>
        </w:trPr>
        <w:tc>
          <w:tcPr>
            <w:tcW w:w="3660" w:type="dxa"/>
            <w:vAlign w:val="bottom"/>
            <w:gridSpan w:val="2"/>
          </w:tcPr>
          <w:p>
            <w:pPr>
              <w:spacing w:after="0"/>
              <w:rPr>
                <w:sz w:val="20"/>
                <w:szCs w:val="20"/>
                <w:color w:val="auto"/>
              </w:rPr>
            </w:pPr>
            <w:r>
              <w:rPr>
                <w:rFonts w:ascii="Arial" w:cs="Arial" w:eastAsia="Arial" w:hAnsi="Arial"/>
                <w:sz w:val="18"/>
                <w:szCs w:val="18"/>
                <w:color w:val="auto"/>
              </w:rPr>
              <w:t>Robert M. Donnelly</w:t>
            </w:r>
          </w:p>
        </w:tc>
        <w:tc>
          <w:tcPr>
            <w:tcW w:w="3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Vice President of Computing and Consumer Group</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 Mark Durcan</w:t>
            </w:r>
          </w:p>
        </w:tc>
        <w:tc>
          <w:tcPr>
            <w:tcW w:w="340" w:type="dxa"/>
            <w:vAlign w:val="bottom"/>
            <w:shd w:val="clear" w:color="auto" w:fill="CCEEFF"/>
          </w:tcPr>
          <w:p>
            <w:pPr>
              <w:spacing w:after="0"/>
              <w:rPr>
                <w:sz w:val="24"/>
                <w:szCs w:val="24"/>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Chief Technical Officer and Vice President of Research &amp; Development</w:t>
            </w:r>
          </w:p>
        </w:tc>
        <w:tc>
          <w:tcPr>
            <w:tcW w:w="0" w:type="dxa"/>
            <w:vAlign w:val="bottom"/>
          </w:tcPr>
          <w:p>
            <w:pPr>
              <w:spacing w:after="0"/>
              <w:rPr>
                <w:sz w:val="1"/>
                <w:szCs w:val="1"/>
                <w:color w:val="auto"/>
              </w:rPr>
            </w:pPr>
          </w:p>
        </w:tc>
      </w:tr>
      <w:tr>
        <w:trPr>
          <w:trHeight w:val="431"/>
        </w:trPr>
        <w:tc>
          <w:tcPr>
            <w:tcW w:w="3660" w:type="dxa"/>
            <w:vAlign w:val="bottom"/>
            <w:gridSpan w:val="2"/>
          </w:tcPr>
          <w:p>
            <w:pPr>
              <w:spacing w:after="0"/>
              <w:rPr>
                <w:sz w:val="20"/>
                <w:szCs w:val="20"/>
                <w:color w:val="auto"/>
              </w:rPr>
            </w:pPr>
            <w:r>
              <w:rPr>
                <w:rFonts w:ascii="Arial" w:cs="Arial" w:eastAsia="Arial" w:hAnsi="Arial"/>
                <w:sz w:val="18"/>
                <w:szCs w:val="18"/>
                <w:color w:val="auto"/>
              </w:rPr>
              <w:t>Jay L. Hawkins</w:t>
            </w:r>
          </w:p>
        </w:tc>
        <w:tc>
          <w:tcPr>
            <w:tcW w:w="3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Vice President of Operations</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Roderic W. Lewis</w:t>
            </w:r>
          </w:p>
        </w:tc>
        <w:tc>
          <w:tcPr>
            <w:tcW w:w="340" w:type="dxa"/>
            <w:vAlign w:val="bottom"/>
            <w:shd w:val="clear" w:color="auto" w:fill="CCEEFF"/>
          </w:tcPr>
          <w:p>
            <w:pPr>
              <w:spacing w:after="0"/>
              <w:rPr>
                <w:sz w:val="24"/>
                <w:szCs w:val="24"/>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Legal Affairs, General Counsel and Corporate Secretary</w:t>
            </w:r>
          </w:p>
        </w:tc>
        <w:tc>
          <w:tcPr>
            <w:tcW w:w="0" w:type="dxa"/>
            <w:vAlign w:val="bottom"/>
          </w:tcPr>
          <w:p>
            <w:pPr>
              <w:spacing w:after="0"/>
              <w:rPr>
                <w:sz w:val="1"/>
                <w:szCs w:val="1"/>
                <w:color w:val="auto"/>
              </w:rPr>
            </w:pPr>
          </w:p>
        </w:tc>
      </w:tr>
      <w:tr>
        <w:trPr>
          <w:trHeight w:val="431"/>
        </w:trPr>
        <w:tc>
          <w:tcPr>
            <w:tcW w:w="3660" w:type="dxa"/>
            <w:vAlign w:val="bottom"/>
            <w:gridSpan w:val="2"/>
          </w:tcPr>
          <w:p>
            <w:pPr>
              <w:spacing w:after="0"/>
              <w:rPr>
                <w:sz w:val="20"/>
                <w:szCs w:val="20"/>
                <w:color w:val="auto"/>
              </w:rPr>
            </w:pPr>
            <w:r>
              <w:rPr>
                <w:rFonts w:ascii="Arial" w:cs="Arial" w:eastAsia="Arial" w:hAnsi="Arial"/>
                <w:sz w:val="18"/>
                <w:szCs w:val="18"/>
                <w:color w:val="auto"/>
              </w:rPr>
              <w:t>Michael W. Sadler</w:t>
            </w:r>
          </w:p>
        </w:tc>
        <w:tc>
          <w:tcPr>
            <w:tcW w:w="3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Vice President of Sales</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Wilbur G. Stover, Jr.</w:t>
            </w:r>
          </w:p>
        </w:tc>
        <w:tc>
          <w:tcPr>
            <w:tcW w:w="340" w:type="dxa"/>
            <w:vAlign w:val="bottom"/>
            <w:shd w:val="clear" w:color="auto" w:fill="CCEEFF"/>
          </w:tcPr>
          <w:p>
            <w:pPr>
              <w:spacing w:after="0"/>
              <w:rPr>
                <w:sz w:val="24"/>
                <w:szCs w:val="24"/>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-1952625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-1952625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-1952625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EXHIBIT 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DIRECTORS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EXECUTIVE OFFICERS OF THE REGISTRANT</w:t>
        </w:r>
      </w:hyperlink>
    </w:p>
    <w:p>
      <w:pPr>
        <w:sectPr>
          <w:pgSz w:w="11900" w:h="16838" w:orient="portrait"/>
          <w:cols w:equalWidth="0" w:num="1">
            <w:col w:w="11420"/>
          </w:cols>
          <w:pgMar w:left="240" w:top="131" w:right="239" w:bottom="1440" w:gutter="0" w:footer="0" w:header="0"/>
          <w:type w:val="continuous"/>
        </w:sectPr>
      </w:pPr>
    </w:p>
    <w:bookmarkStart w:id="6" w:name="page7"/>
    <w:bookmarkEnd w:id="6"/>
    <w:p>
      <w:pPr>
        <w:spacing w:after="0" w:line="43" w:lineRule="exact"/>
        <w:rPr>
          <w:sz w:val="20"/>
          <w:szCs w:val="20"/>
          <w:color w:val="auto"/>
        </w:rPr>
      </w:pPr>
    </w:p>
    <w:p>
      <w:pPr>
        <w:spacing w:after="0"/>
        <w:rPr>
          <w:rFonts w:ascii="Arial" w:cs="Arial" w:eastAsia="Arial" w:hAnsi="Arial"/>
          <w:sz w:val="22"/>
          <w:szCs w:val="22"/>
          <w:color w:val="0000EE"/>
        </w:rPr>
      </w:pPr>
      <w:hyperlink w:anchor="page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00"/>
        <w:spacing w:after="0"/>
        <w:rPr>
          <w:sz w:val="20"/>
          <w:szCs w:val="20"/>
          <w:color w:val="auto"/>
        </w:rPr>
      </w:pPr>
      <w:r>
        <w:rPr>
          <w:rFonts w:ascii="Arial" w:cs="Arial" w:eastAsia="Arial" w:hAnsi="Arial"/>
          <w:sz w:val="18"/>
          <w:szCs w:val="18"/>
          <w:b w:val="1"/>
          <w:bCs w:val="1"/>
          <w:color w:val="auto"/>
        </w:rPr>
        <w:t>EXHIBIT 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MTI SHAREHOLDER AGREEMENT</w:t>
      </w:r>
    </w:p>
    <w:p>
      <w:pPr>
        <w:spacing w:after="0" w:line="231" w:lineRule="exact"/>
        <w:rPr>
          <w:sz w:val="20"/>
          <w:szCs w:val="20"/>
          <w:color w:val="auto"/>
        </w:rPr>
      </w:pPr>
    </w:p>
    <w:p>
      <w:pPr>
        <w:ind w:right="260" w:firstLine="172"/>
        <w:spacing w:after="0" w:line="268" w:lineRule="auto"/>
        <w:rPr>
          <w:sz w:val="20"/>
          <w:szCs w:val="20"/>
          <w:color w:val="auto"/>
        </w:rPr>
      </w:pPr>
      <w:r>
        <w:rPr>
          <w:rFonts w:ascii="Arial" w:cs="Arial" w:eastAsia="Arial" w:hAnsi="Arial"/>
          <w:sz w:val="18"/>
          <w:szCs w:val="18"/>
          <w:color w:val="auto"/>
        </w:rPr>
        <w:t>This Shareholder Agreement (the "AGREEMENT") is entered into as of March 22, 2001, by and among Micron Electronics, Inc., a Minnesota corporation, (the "COMPANY") and Micron Technology, Inc., a Delaware corporation ("MTI").</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60" w:firstLine="174"/>
        <w:spacing w:after="0" w:line="294"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Concurrently with the execution of this Agreement, the Company, Interland Acquisition Corporation, a Delaware corporation and a wholly owned first-tier subsidiary of the Company ("MERGER SUB"), and Interland, Inc., a Georgia corporation ("INTERLAND"), are entering into an Agreement and Plan of Merger (the "MERGER AGREEMENT") that provides for the merger of Merger Sub with and into Interland (the "MERGER"). Pursuant to the Merger, shares of common stock of Interland, no par value per share, will be converted into shares of the Company's Common Stock on the basis described in the Merger Agreement. Capitalized terms used but not defined herein shall have the meanings set forth in the Merger Agreement.</w:t>
      </w:r>
    </w:p>
    <w:p>
      <w:pPr>
        <w:spacing w:after="0" w:line="169" w:lineRule="exact"/>
        <w:rPr>
          <w:rFonts w:ascii="Arial" w:cs="Arial" w:eastAsia="Arial" w:hAnsi="Arial"/>
          <w:sz w:val="16"/>
          <w:szCs w:val="16"/>
          <w:color w:val="auto"/>
        </w:rPr>
      </w:pPr>
    </w:p>
    <w:p>
      <w:pPr>
        <w:ind w:right="200" w:firstLine="184"/>
        <w:spacing w:after="0" w:line="332" w:lineRule="auto"/>
        <w:tabs>
          <w:tab w:leader="none" w:pos="4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a material inducement for the Company and Interland to enter into the Merger Agreement, the Company and MTI desire to enter into this Agreement, which, among other things, places certain restrictions on MTI individually and on the Company's securities that MTI holds.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NOW, THEREFORE, in consideration of the above recitals and the mutual covenants hereinafter set forth, the parties hereby agree as follows: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RESTRICTIONS ON TRANSFER OF SHARES</w:t>
      </w:r>
    </w:p>
    <w:p>
      <w:pPr>
        <w:spacing w:after="0" w:line="225" w:lineRule="exact"/>
        <w:rPr>
          <w:sz w:val="20"/>
          <w:szCs w:val="20"/>
          <w:color w:val="auto"/>
        </w:rPr>
      </w:pPr>
    </w:p>
    <w:p>
      <w:pPr>
        <w:ind w:right="240" w:firstLine="176"/>
        <w:spacing w:after="0" w:line="283" w:lineRule="auto"/>
        <w:rPr>
          <w:sz w:val="20"/>
          <w:szCs w:val="20"/>
          <w:color w:val="auto"/>
        </w:rPr>
      </w:pPr>
      <w:r>
        <w:rPr>
          <w:rFonts w:ascii="Arial" w:cs="Arial" w:eastAsia="Arial" w:hAnsi="Arial"/>
          <w:sz w:val="16"/>
          <w:szCs w:val="16"/>
          <w:color w:val="auto"/>
        </w:rPr>
        <w:t>MTI hereby agrees that it shall not sell, transfer, assign, pledge, hypothecate or otherwise dispose of, directly or indirectly, any shares of capital stock of the Company (the "SHARES") held by MTI during the period beginning on the Effective Time and ending on the nine month anniversary of the Effective Time; PROVIDED, that following the nine month anniversary of the Effective Time, the obligations of MTI under this Section 1 shall terminate immediately; and PROVIDED, FURTHER, that notwithstanding the foregoing, any Shares held by MTI may be transferred (i) to the Company or to a person or persons that the Company has approved in writing; (ii) pursuant to a Bona Fide Public Offering (as defined below) that includes securities of the Company being sold by MTI;</w:t>
      </w:r>
    </w:p>
    <w:p>
      <w:pPr>
        <w:spacing w:after="0" w:line="2" w:lineRule="exact"/>
        <w:rPr>
          <w:sz w:val="20"/>
          <w:szCs w:val="20"/>
          <w:color w:val="auto"/>
        </w:rPr>
      </w:pPr>
    </w:p>
    <w:p>
      <w:pPr>
        <w:ind w:right="280" w:firstLine="8"/>
        <w:spacing w:after="0" w:line="281" w:lineRule="auto"/>
        <w:tabs>
          <w:tab w:leader="none" w:pos="307"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response to a Third Party tender offer or exchange offer; (iv) in a merger or consolidation; (v) pursuant to a plan of liquidation that is authorized by the Company's Board; (vi) from MTI to Micron Foundation; (vii) pursuant to a pledge of any Shares made pursuant to a bona fide loan transaction that creates a security interest; (viii) to any controlled Affiliate of MTI; or (ix) to any other transferee; provided, however, that with respect to clauses (vi), (vii), (viii) and</w:t>
      </w:r>
    </w:p>
    <w:p>
      <w:pPr>
        <w:spacing w:after="0" w:line="2" w:lineRule="exact"/>
        <w:rPr>
          <w:rFonts w:ascii="Arial" w:cs="Arial" w:eastAsia="Arial" w:hAnsi="Arial"/>
          <w:sz w:val="16"/>
          <w:szCs w:val="16"/>
          <w:color w:val="auto"/>
        </w:rPr>
      </w:pPr>
    </w:p>
    <w:p>
      <w:pPr>
        <w:ind w:right="20" w:firstLine="8"/>
        <w:spacing w:after="0" w:line="255" w:lineRule="auto"/>
        <w:tabs>
          <w:tab w:leader="none" w:pos="2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 this sentence, the transferee must agree in writing to be bound by this Section 1 with respect to any transferred Shares. As used in this Agreement, "BONA FIDE PUBLIC OFFERING" means a public offering of securities of the Company registered under the Securities Act in which registration has been declared effective by the Securities and Exchange Commission.</w:t>
      </w:r>
    </w:p>
    <w:p>
      <w:pPr>
        <w:spacing w:after="0" w:line="198" w:lineRule="exact"/>
        <w:rPr>
          <w:rFonts w:ascii="Arial" w:cs="Arial" w:eastAsia="Arial" w:hAnsi="Arial"/>
          <w:sz w:val="18"/>
          <w:szCs w:val="18"/>
          <w:color w:val="auto"/>
        </w:rPr>
      </w:pPr>
    </w:p>
    <w:p>
      <w:pPr>
        <w:ind w:left="400" w:hanging="216"/>
        <w:spacing w:after="0"/>
        <w:tabs>
          <w:tab w:leader="none" w:pos="4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STANDSTILL PROVISIONS.</w:t>
      </w:r>
    </w:p>
    <w:p>
      <w:pPr>
        <w:spacing w:after="0" w:line="225" w:lineRule="exact"/>
        <w:rPr>
          <w:sz w:val="20"/>
          <w:szCs w:val="20"/>
          <w:color w:val="auto"/>
        </w:rPr>
      </w:pPr>
    </w:p>
    <w:p>
      <w:pPr>
        <w:ind w:right="240" w:firstLine="176"/>
        <w:spacing w:after="0" w:line="254" w:lineRule="auto"/>
        <w:rPr>
          <w:sz w:val="20"/>
          <w:szCs w:val="20"/>
          <w:color w:val="auto"/>
        </w:rPr>
      </w:pPr>
      <w:r>
        <w:rPr>
          <w:rFonts w:ascii="Arial" w:cs="Arial" w:eastAsia="Arial" w:hAnsi="Arial"/>
          <w:sz w:val="18"/>
          <w:szCs w:val="18"/>
          <w:color w:val="auto"/>
        </w:rPr>
        <w:t>2.1 STANDSTILL. MTI hereby agrees that, until the eighteen-month anniversary of the Effective Time, MTI will not, without the Company's prior written consent, acquire, or enter into discussions, negotiations, arrangements or understandings with any third party to acquire, beneficial ownership (as defined in Rule 13d-3 promulgated under the Securities Exchange Act of 1934, as amended (the "EXCHANGE ACT")) of any securities of the Company entitled to vote with respect to the election of any directors of the Company ("VOTING STOCK"), any securities convertible into, exchangeable for or exercisable for, or that may otherwise become, Voting Stock, or any other right to acquire Voting Stock; other than (a) by way of stock dividend or other distribution or rights or offerings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available to holders of shares of Voting Stock generally, or (b) as a result of any exercise of stock purchase rights pursuant to any stockholder rights plan.</w:t>
      </w:r>
    </w:p>
    <w:p>
      <w:pPr>
        <w:spacing w:after="0" w:line="248" w:lineRule="exact"/>
        <w:rPr>
          <w:sz w:val="20"/>
          <w:szCs w:val="20"/>
          <w:color w:val="auto"/>
        </w:rPr>
      </w:pPr>
    </w:p>
    <w:p>
      <w:pPr>
        <w:ind w:right="80" w:firstLine="176"/>
        <w:spacing w:after="0" w:line="268" w:lineRule="auto"/>
        <w:rPr>
          <w:sz w:val="20"/>
          <w:szCs w:val="20"/>
          <w:color w:val="auto"/>
        </w:rPr>
      </w:pPr>
      <w:r>
        <w:rPr>
          <w:rFonts w:ascii="Arial" w:cs="Arial" w:eastAsia="Arial" w:hAnsi="Arial"/>
          <w:sz w:val="18"/>
          <w:szCs w:val="18"/>
          <w:color w:val="auto"/>
        </w:rPr>
        <w:t>For purposes of this Section 2, any Shares or options or rights to acquire such Shares acquired by Affiliates of MTI who are also employees or directors of the Company shall be excluded from the calculation of the number of shares of Voting Stock held by MTI.</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2.2 EXCEPTIONS TO STANDSTILL. Notwithstanding the restrictions set forth in Section 2.1 above:</w:t>
      </w:r>
    </w:p>
    <w:p>
      <w:pPr>
        <w:spacing w:after="0" w:line="225" w:lineRule="exact"/>
        <w:rPr>
          <w:sz w:val="20"/>
          <w:szCs w:val="20"/>
          <w:color w:val="auto"/>
        </w:rPr>
      </w:pPr>
    </w:p>
    <w:p>
      <w:pPr>
        <w:ind w:left="540" w:firstLine="184"/>
        <w:spacing w:after="0" w:line="286" w:lineRule="auto"/>
        <w:tabs>
          <w:tab w:leader="none" w:pos="954"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EXCEPTIONS. MTI may acquire Voting Stock, and the limitations of Section 2.1 shall be (x) suspended, upon the earlier of: (i) the date that a third party not affiliated with MTI commences a tender or exchange offer that is made and is not withdrawn or terminated to purchase, or to exchange for cash or other consideration, Voting Stock that, if accepted or if otherwise successful, would result in such person or group beneficially owning or having the right to acquire shares of Voting Stock (not counting any shares of Voting Stock originally acquired by such third party from MTI or any Affiliate of MTI) with aggregate Voting Power (as defined below) representing more than 50% of the Total Voting Power (as defined below) of the Company then in effect PROVIDED, HOWEVER, that the foregoing standstill limitation will be reinstated if any such tender or exchange offer is withdrawn or terminated, (ii) the public announcement by the Company that it has entered into any agreement with respect to a merger, consolidation, reorganization or similar transaction involving the Company in which all the shareholders of the Company before such transaction collectively will own less than 50% of the outstanding voting stock of the surviving or acquiring entity immediately after such transaction PROVIDED, HOWEVER; that the foregoing standstill limitation will be reinstated if such transaction is terminated prior to consummation thereof, or (iii) the public announcement by the Company that it has entered into any agreement with respect to the sale or disposition of all or substantially all of the Company's assets; PROVIDED, HOWEVER; that the foregoing standstill limitation will be reinstated if such transaction is terminated prior to consummation thereof, or (y) terminated upon the percentage of Voting Stock beneficially owned MTI falling below 5%.</w:t>
      </w:r>
    </w:p>
    <w:p>
      <w:pPr>
        <w:spacing w:after="0" w:line="174" w:lineRule="exact"/>
        <w:rPr>
          <w:rFonts w:ascii="Arial" w:cs="Arial" w:eastAsia="Arial" w:hAnsi="Arial"/>
          <w:sz w:val="16"/>
          <w:szCs w:val="16"/>
          <w:color w:val="auto"/>
        </w:rPr>
      </w:pPr>
    </w:p>
    <w:p>
      <w:pPr>
        <w:ind w:left="540" w:right="20" w:firstLine="184"/>
        <w:spacing w:after="0" w:line="294" w:lineRule="auto"/>
        <w:tabs>
          <w:tab w:leader="none" w:pos="961" w:val="left"/>
        </w:tabs>
        <w:numPr>
          <w:ilvl w:val="0"/>
          <w:numId w:val="13"/>
        </w:numPr>
        <w:rPr>
          <w:rFonts w:ascii="Arial" w:cs="Arial" w:eastAsia="Arial" w:hAnsi="Arial"/>
          <w:sz w:val="16"/>
          <w:szCs w:val="16"/>
          <w:color w:val="auto"/>
        </w:rPr>
      </w:pPr>
      <w:r>
        <w:rPr>
          <w:rFonts w:ascii="Arial" w:cs="Arial" w:eastAsia="Arial" w:hAnsi="Arial"/>
          <w:sz w:val="16"/>
          <w:szCs w:val="16"/>
          <w:color w:val="auto"/>
        </w:rPr>
        <w:t>VOTING POWER. As used in this Section 2, (i) the term "VOTING POWER" means the number of votes such Voting Stock is entitled to cast with respect to the election of directors of the Company at any meeting of shareholders of the Company; (ii) the term "TOTAL VOTING POWER" means the total number of votes which may be cast in the election of directors of the Company at any meeting of shareholders of the Company if all Voting Stock was represented and voted to the fullest extent possible at such meeting; and (iii) the term "AFFILIATE OF MTI" shall mean any entity or person controlling, controlled by or under common control with MTI (except as set forth in the last paragraph of Section 2.1).</w:t>
      </w:r>
    </w:p>
    <w:p>
      <w:pPr>
        <w:sectPr>
          <w:pgSz w:w="11900" w:h="16882" w:orient="portrait"/>
          <w:cols w:equalWidth="0" w:num="1">
            <w:col w:w="11380"/>
          </w:cols>
          <w:pgMar w:left="240" w:top="361" w:right="279" w:bottom="0" w:gutter="0" w:footer="0" w:header="0"/>
        </w:sectPr>
      </w:pPr>
    </w:p>
    <w:bookmarkStart w:id="7" w:name="page8"/>
    <w:bookmarkEnd w:id="7"/>
    <w:p>
      <w:pPr>
        <w:ind w:left="180"/>
        <w:spacing w:after="0"/>
        <w:rPr>
          <w:sz w:val="20"/>
          <w:szCs w:val="20"/>
          <w:color w:val="auto"/>
        </w:rPr>
      </w:pPr>
      <w:r>
        <w:rPr>
          <w:rFonts w:ascii="Arial" w:cs="Arial" w:eastAsia="Arial" w:hAnsi="Arial"/>
          <w:sz w:val="18"/>
          <w:szCs w:val="18"/>
          <w:color w:val="auto"/>
        </w:rPr>
        <w:t>3. COMPANY'S CALL OPTION</w:t>
      </w:r>
    </w:p>
    <w:p>
      <w:pPr>
        <w:spacing w:after="0" w:line="225" w:lineRule="exact"/>
        <w:rPr>
          <w:sz w:val="20"/>
          <w:szCs w:val="20"/>
          <w:color w:val="auto"/>
        </w:rPr>
      </w:pPr>
    </w:p>
    <w:p>
      <w:pPr>
        <w:ind w:right="40" w:firstLine="176"/>
        <w:spacing w:after="0" w:line="256" w:lineRule="auto"/>
        <w:rPr>
          <w:sz w:val="20"/>
          <w:szCs w:val="20"/>
          <w:color w:val="auto"/>
        </w:rPr>
      </w:pPr>
      <w:r>
        <w:rPr>
          <w:rFonts w:ascii="Arial" w:cs="Arial" w:eastAsia="Arial" w:hAnsi="Arial"/>
          <w:sz w:val="18"/>
          <w:szCs w:val="18"/>
          <w:color w:val="auto"/>
        </w:rPr>
        <w:t>3.1 CALL OPTION. At any time and from time to time during the period beginning at the Effective Time and ending on the second year anniversary of the Effective Time, the Company shall have the right to require MTI to sell to the Company in accordance with this Section 3, for cash, that number of shares held by MTI in excess of twenty five percent (25%) of the outstanding shares of capital stock of the Company as of the date of the Call Notice (as defined below) (the "CALL OPTION").</w:t>
      </w:r>
    </w:p>
    <w:p>
      <w:pPr>
        <w:spacing w:after="0" w:line="197" w:lineRule="exact"/>
        <w:rPr>
          <w:sz w:val="20"/>
          <w:szCs w:val="20"/>
          <w:color w:val="auto"/>
        </w:rPr>
      </w:pPr>
    </w:p>
    <w:p>
      <w:pPr>
        <w:ind w:right="180" w:firstLine="176"/>
        <w:spacing w:after="0" w:line="256" w:lineRule="auto"/>
        <w:rPr>
          <w:sz w:val="20"/>
          <w:szCs w:val="20"/>
          <w:color w:val="auto"/>
        </w:rPr>
      </w:pPr>
      <w:r>
        <w:rPr>
          <w:rFonts w:ascii="Arial" w:cs="Arial" w:eastAsia="Arial" w:hAnsi="Arial"/>
          <w:sz w:val="18"/>
          <w:szCs w:val="18"/>
          <w:color w:val="auto"/>
        </w:rPr>
        <w:t>3.2 NOTICE. The Company may exercise the Call Option after a ten day period beginning upon delivery of written notice to MTI (a "CALL NOTICE") specifying, (i) the Company's bona fide intention to exercise the Call Option, (ii) the number of shares that the Company shall purchase from MTI, (iii) the number of shares expected to represent twenty five percent (25%) of the outstanding shares of capital stock of the Company as of the expected date of payment, (iv) the proposed closing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date of the sale, which date shall be within ten days of the delivery of such Call Notice, and (v) the purchase price and other relevant terms of the sale; provided, however, that (A) the Company may not deliver more than one Call Notice during any 3 month period, (B) the Company shall purchase a minimum number of shares pursuant to such Call Notice equal to two and one-half percent (2.5%) of the outstanding shares of capital stock of the Company as of the expected date of closing of the sale, and (C) each Call Notice shall be an irrevocable offer to purchase such shares on the proposed closing date of the sale.</w:t>
      </w:r>
    </w:p>
    <w:p>
      <w:pPr>
        <w:spacing w:after="0" w:line="167" w:lineRule="exact"/>
        <w:rPr>
          <w:sz w:val="20"/>
          <w:szCs w:val="20"/>
          <w:color w:val="auto"/>
        </w:rPr>
      </w:pPr>
    </w:p>
    <w:p>
      <w:pPr>
        <w:ind w:firstLine="176"/>
        <w:spacing w:after="0" w:line="289" w:lineRule="auto"/>
        <w:rPr>
          <w:sz w:val="20"/>
          <w:szCs w:val="20"/>
          <w:color w:val="auto"/>
        </w:rPr>
      </w:pPr>
      <w:r>
        <w:rPr>
          <w:rFonts w:ascii="Arial" w:cs="Arial" w:eastAsia="Arial" w:hAnsi="Arial"/>
          <w:sz w:val="16"/>
          <w:szCs w:val="16"/>
          <w:color w:val="auto"/>
        </w:rPr>
        <w:t>3.3 PAYMENT OF PURCHASE PRICE.Subject to the notice requirement provided in Section 3.2, the Company shall deliver to MTI on the proposed closing date of the sale, which date shall be no later than ten days after the date of the Call Notice unless otherwise agreed by the parties, the purchase price of the shares being purchased by the Company in same day funds via wire transfer to the account specified by MTI and a certificate signed by an officer of the Company that verifies the number of issued and outstanding shares of the Company's capital stock as of the payment date. The purchase price of any shares purchased from MTI by the Company pursuant to this Section 3 shall be the shares are traded on a national securities exchange or the Nasdaq National Market, the average of the closing prices of the securities on such exchange over the 20 trading day period ending 2 days prior to the purchase of the shares under the Call Option; provided, however, if the shares are not traded on a national securities exchange or the Nasdaq National Market, the Company may not exercise its option to purchase shares pursuant to this Section 3.</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 ACCESS TO INFORMATION; COOPERATION.</w:t>
      </w:r>
    </w:p>
    <w:p>
      <w:pPr>
        <w:spacing w:after="0" w:line="225" w:lineRule="exact"/>
        <w:rPr>
          <w:sz w:val="20"/>
          <w:szCs w:val="20"/>
          <w:color w:val="auto"/>
        </w:rPr>
      </w:pPr>
    </w:p>
    <w:p>
      <w:pPr>
        <w:ind w:right="280" w:firstLine="176"/>
        <w:spacing w:after="0" w:line="294" w:lineRule="auto"/>
        <w:rPr>
          <w:sz w:val="20"/>
          <w:szCs w:val="20"/>
          <w:color w:val="auto"/>
        </w:rPr>
      </w:pPr>
      <w:r>
        <w:rPr>
          <w:rFonts w:ascii="Arial" w:cs="Arial" w:eastAsia="Arial" w:hAnsi="Arial"/>
          <w:sz w:val="16"/>
          <w:szCs w:val="16"/>
          <w:color w:val="auto"/>
        </w:rPr>
        <w:t>4.1 ACCESS; COOPERATION. So long as MTI holds that holds at least five percent (5%) of the outstanding Voting Stock, MTI shall have the right to visit and inspect any of the properties of the Company or any of its subsidiaries, and to discuss the affairs, finances and accounts of the Company or any of its subsidiaries with its officers, and to review the books and records of the Company and such other information as is reasonably requested all at such reasonable times and as often as may be reasonably requested; provided, however, that all requests for information shall be reasonably related to MTI's position as a stockholder. The Company shall cooperate with MTI with respect to any such requests.</w:t>
      </w:r>
    </w:p>
    <w:p>
      <w:pPr>
        <w:spacing w:after="0" w:line="170" w:lineRule="exact"/>
        <w:rPr>
          <w:sz w:val="20"/>
          <w:szCs w:val="20"/>
          <w:color w:val="auto"/>
        </w:rPr>
      </w:pPr>
    </w:p>
    <w:p>
      <w:pPr>
        <w:ind w:right="40" w:firstLine="176"/>
        <w:spacing w:after="0" w:line="268" w:lineRule="auto"/>
        <w:rPr>
          <w:sz w:val="20"/>
          <w:szCs w:val="20"/>
          <w:color w:val="auto"/>
        </w:rPr>
      </w:pPr>
      <w:r>
        <w:rPr>
          <w:rFonts w:ascii="Arial" w:cs="Arial" w:eastAsia="Arial" w:hAnsi="Arial"/>
          <w:sz w:val="18"/>
          <w:szCs w:val="18"/>
          <w:color w:val="auto"/>
        </w:rPr>
        <w:t>4.2 BASIC FINANCIAL INFORMATION. After the Effective Time, the Company will furnish the following reports to MTI so long as it holds at least 10% of the outstanding Voting Stock:</w:t>
      </w:r>
    </w:p>
    <w:p>
      <w:pPr>
        <w:spacing w:after="0" w:line="186" w:lineRule="exact"/>
        <w:rPr>
          <w:sz w:val="20"/>
          <w:szCs w:val="20"/>
          <w:color w:val="auto"/>
        </w:rPr>
      </w:pPr>
    </w:p>
    <w:p>
      <w:pPr>
        <w:ind w:left="540" w:right="120" w:firstLine="184"/>
        <w:spacing w:after="0" w:line="291" w:lineRule="auto"/>
        <w:tabs>
          <w:tab w:leader="none" w:pos="9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soon as practicable after the end of each fiscal month, and in any event within 30 days thereafter, a consolidated balance sheet of the Company and consolidated statement of stockholders' equity as of the end of each such fiscal month (including the number of outstanding shares of capital stock of the Company as of the end of such fiscal month), and a consolidated statement of income and a consolidated statement of cash flows of the Company for such fiscal month, prepared in accordance with generally accepted accounting principles, with the exception that no notes need be attached to such statements. In addition, the Company will furnish MTI, upon the reasonable request of MTI to comply with applicable law and the rules of any national stock exchange or national stock market.</w:t>
      </w:r>
    </w:p>
    <w:p>
      <w:pPr>
        <w:spacing w:after="0" w:line="174" w:lineRule="exact"/>
        <w:rPr>
          <w:rFonts w:ascii="Arial" w:cs="Arial" w:eastAsia="Arial" w:hAnsi="Arial"/>
          <w:sz w:val="16"/>
          <w:szCs w:val="16"/>
          <w:color w:val="auto"/>
        </w:rPr>
      </w:pPr>
    </w:p>
    <w:p>
      <w:pPr>
        <w:ind w:left="540" w:right="80" w:firstLine="184"/>
        <w:spacing w:after="0" w:line="298" w:lineRule="auto"/>
        <w:tabs>
          <w:tab w:leader="none" w:pos="9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soon as practicable after the end of the first, second and third quarterly accounting periods in each fiscal year of the Company, and in any event within forty-five (45) days thereafter, the Company will furnish MTI a consolidated balance sheet of the Company and consolidated statement of stockholders' equity as of the end of each such quarterly period, and a consolidated statement of income and a consolidated statement of cash flows of the Company for such period, prepared in accordance with generally accepted accounting principles.</w:t>
      </w:r>
    </w:p>
    <w:p>
      <w:pPr>
        <w:spacing w:after="0" w:line="166" w:lineRule="exact"/>
        <w:rPr>
          <w:rFonts w:ascii="Arial" w:cs="Arial" w:eastAsia="Arial" w:hAnsi="Arial"/>
          <w:sz w:val="16"/>
          <w:szCs w:val="16"/>
          <w:color w:val="auto"/>
        </w:rPr>
      </w:pPr>
    </w:p>
    <w:p>
      <w:pPr>
        <w:ind w:left="540" w:right="500" w:firstLine="184"/>
        <w:spacing w:after="0" w:line="268" w:lineRule="auto"/>
        <w:tabs>
          <w:tab w:leader="none" w:pos="9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soon as practicable after the end of each fiscal year of the Company, and in any event within ninety (90) days thereafter, the Company will furnish MTI a consolidated balance sheet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the Company and consolidated statement of stockholders' equity, as at the end of such fiscal year, and a consolidated statement of income and a consolidated statement of cash flows of the Company, for such year, all prepared in accordance with generally accepted accounting principles consistently applied. Such financial statements shall be accompanied by a report and opinion thereon by independent public accountants of national standing selected by the Company's Board of Directors.</w:t>
      </w:r>
    </w:p>
    <w:p>
      <w:pPr>
        <w:spacing w:after="0" w:line="197" w:lineRule="exact"/>
        <w:rPr>
          <w:sz w:val="20"/>
          <w:szCs w:val="20"/>
          <w:color w:val="auto"/>
        </w:rPr>
      </w:pPr>
    </w:p>
    <w:p>
      <w:pPr>
        <w:ind w:right="100" w:firstLine="176"/>
        <w:spacing w:after="0" w:line="253" w:lineRule="auto"/>
        <w:rPr>
          <w:sz w:val="20"/>
          <w:szCs w:val="20"/>
          <w:color w:val="auto"/>
        </w:rPr>
      </w:pPr>
      <w:r>
        <w:rPr>
          <w:rFonts w:ascii="Arial" w:cs="Arial" w:eastAsia="Arial" w:hAnsi="Arial"/>
          <w:sz w:val="18"/>
          <w:szCs w:val="18"/>
          <w:color w:val="auto"/>
        </w:rPr>
        <w:t>4.3 CONFIDENTIALITY. MTI shall keep confidential any information obtained pursuant to Sections 4.2 and 4.3; provided, however, that it may use and disclose such information in as a part of its financial, accounting or tax reporting, or any other reports or filings with any federal, state or local governmental authority or national stock exchange or national stock market. The foregoing confidentiality obligations shall lapse with respect to information which (i) is or becomes generally available to the public other than as a result of a disclosure by MTI in violation of this Agreement; (ii) was available to MTI on a nonconfidential basis prior to its disclosure by MTI; (iii) becomes available to MTI on a nonconfidential basis from a person other than the the Company who is not otherwise known to MTI to be bound by confidentiality obligations with the Company; or (iv) was independently developed by the MTI without reference to or use of the confidential information.</w:t>
      </w:r>
    </w:p>
    <w:p>
      <w:pPr>
        <w:spacing w:after="0" w:line="201" w:lineRule="exact"/>
        <w:rPr>
          <w:sz w:val="20"/>
          <w:szCs w:val="20"/>
          <w:color w:val="auto"/>
        </w:rPr>
      </w:pPr>
    </w:p>
    <w:p>
      <w:pPr>
        <w:jc w:val="both"/>
        <w:ind w:right="100" w:firstLine="184"/>
        <w:spacing w:after="0" w:line="259" w:lineRule="auto"/>
        <w:tabs>
          <w:tab w:leader="none" w:pos="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REPRESENTATIONS AND WARRANTIES OF MTI. MTI represents and warrants to the Company that as of March 22, 2001, MTI is the sole record and beneficial owner of 58,622,863 shares of common stock of the Company and the Micron Foundation is the sole record and beneficial owner of 435,000 shares of common stock of the Company, in each case, free and clear of any Encumbrances.</w:t>
      </w:r>
    </w:p>
    <w:p>
      <w:pPr>
        <w:spacing w:after="0" w:line="194" w:lineRule="exact"/>
        <w:rPr>
          <w:rFonts w:ascii="Arial" w:cs="Arial" w:eastAsia="Arial" w:hAnsi="Arial"/>
          <w:sz w:val="18"/>
          <w:szCs w:val="18"/>
          <w:color w:val="auto"/>
        </w:rPr>
      </w:pPr>
    </w:p>
    <w:p>
      <w:pPr>
        <w:ind w:left="400" w:hanging="216"/>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PROVISIONS.</w:t>
      </w:r>
    </w:p>
    <w:p>
      <w:pPr>
        <w:sectPr>
          <w:pgSz w:w="11900" w:h="16838" w:orient="portrait"/>
          <w:cols w:equalWidth="0" w:num="1">
            <w:col w:w="11420"/>
          </w:cols>
          <w:pgMar w:left="240" w:top="131" w:right="239" w:bottom="0" w:gutter="0" w:footer="0" w:header="0"/>
        </w:sectPr>
      </w:pPr>
    </w:p>
    <w:bookmarkStart w:id="8" w:name="page9"/>
    <w:bookmarkEnd w:id="8"/>
    <w:p>
      <w:pPr>
        <w:ind w:right="220" w:firstLine="176"/>
        <w:spacing w:after="0" w:line="259" w:lineRule="auto"/>
        <w:rPr>
          <w:sz w:val="20"/>
          <w:szCs w:val="20"/>
          <w:color w:val="auto"/>
        </w:rPr>
      </w:pPr>
      <w:r>
        <w:rPr>
          <w:rFonts w:ascii="Arial" w:cs="Arial" w:eastAsia="Arial" w:hAnsi="Arial"/>
          <w:sz w:val="18"/>
          <w:szCs w:val="18"/>
          <w:color w:val="auto"/>
        </w:rPr>
        <w:t>6.1 NOTICES. All notices and other communications hereunder shall be in writing and shall be deemed given upon delivery either personally or by commercial delivery service, or sent via facsimile (receipt confirmed) to the parties at the following addresses or facsimile numbers (or at such other address or facsimile numbers for a party as shall be specified by like notice):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the Company or Merger Sub, to:</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Micron Electronics,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900 E. Karcher Road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Nampa, ID 83687-3045</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Joel J. Kocher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Facsimile No.: (208) 898-3424</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Fenwick &amp; West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Two Palo Alto Square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Palo Alto, California 94306</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Dennis R. DeBroeck</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Facsimile No.: 650-494-1417</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MTI, to:</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Boise, ID 83712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Wilbur G. Stover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Facsimile No.: (208) 368-4242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John A. Fore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Facsimile No.: 650-493-6811</w:t>
      </w:r>
    </w:p>
    <w:p>
      <w:pPr>
        <w:spacing w:after="0" w:line="219" w:lineRule="exact"/>
        <w:rPr>
          <w:sz w:val="20"/>
          <w:szCs w:val="20"/>
          <w:color w:val="auto"/>
        </w:rPr>
      </w:pPr>
    </w:p>
    <w:p>
      <w:pPr>
        <w:jc w:val="both"/>
        <w:ind w:right="100" w:firstLine="176"/>
        <w:spacing w:after="0" w:line="259" w:lineRule="auto"/>
        <w:rPr>
          <w:sz w:val="20"/>
          <w:szCs w:val="20"/>
          <w:color w:val="auto"/>
        </w:rPr>
      </w:pPr>
      <w:r>
        <w:rPr>
          <w:rFonts w:ascii="Arial" w:cs="Arial" w:eastAsia="Arial" w:hAnsi="Arial"/>
          <w:sz w:val="18"/>
          <w:szCs w:val="18"/>
          <w:color w:val="auto"/>
        </w:rPr>
        <w:t>6.2 COUNTERPARTS.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w:t>
      </w:r>
    </w:p>
    <w:p>
      <w:pPr>
        <w:spacing w:after="0" w:line="194" w:lineRule="exact"/>
        <w:rPr>
          <w:sz w:val="20"/>
          <w:szCs w:val="20"/>
          <w:color w:val="auto"/>
        </w:rPr>
      </w:pPr>
    </w:p>
    <w:p>
      <w:pPr>
        <w:jc w:val="both"/>
        <w:ind w:right="220" w:firstLine="176"/>
        <w:spacing w:after="0" w:line="306" w:lineRule="auto"/>
        <w:rPr>
          <w:sz w:val="20"/>
          <w:szCs w:val="20"/>
          <w:color w:val="auto"/>
        </w:rPr>
      </w:pPr>
      <w:r>
        <w:rPr>
          <w:rFonts w:ascii="Arial" w:cs="Arial" w:eastAsia="Arial" w:hAnsi="Arial"/>
          <w:sz w:val="16"/>
          <w:szCs w:val="16"/>
          <w:color w:val="auto"/>
        </w:rPr>
        <w:t>6.3 ENTIRE AGREEMENT; THIRD PARTY BENEFICIARIES. This Agreement and its Exhibits (a) constitute the entire agreement among the parties with respect to the subject matter hereof and supersede all prior agreements and understandings, both written and oral, among the parties with respect to the subject matter hereof; and (b) are not intended to confer upon any other person any rights or remedies hereunder.</w:t>
      </w:r>
    </w:p>
    <w:p>
      <w:pPr>
        <w:spacing w:after="0" w:line="161" w:lineRule="exact"/>
        <w:rPr>
          <w:sz w:val="20"/>
          <w:szCs w:val="20"/>
          <w:color w:val="auto"/>
        </w:rPr>
      </w:pPr>
    </w:p>
    <w:p>
      <w:pPr>
        <w:ind w:right="20" w:firstLine="176"/>
        <w:spacing w:after="0" w:line="255" w:lineRule="auto"/>
        <w:rPr>
          <w:sz w:val="20"/>
          <w:szCs w:val="20"/>
          <w:color w:val="auto"/>
        </w:rPr>
      </w:pPr>
      <w:r>
        <w:rPr>
          <w:rFonts w:ascii="Arial" w:cs="Arial" w:eastAsia="Arial" w:hAnsi="Arial"/>
          <w:sz w:val="18"/>
          <w:szCs w:val="18"/>
          <w:color w:val="auto"/>
        </w:rPr>
        <w:t>6.4 SEVERABILITY.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97"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color w:val="auto"/>
        </w:rPr>
        <w:t>6.5 OTHER REMEDIES; SPECIFIC PERFORMANCE.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74" w:lineRule="exact"/>
        <w:rPr>
          <w:sz w:val="20"/>
          <w:szCs w:val="20"/>
          <w:color w:val="auto"/>
        </w:rPr>
      </w:pPr>
    </w:p>
    <w:p>
      <w:pPr>
        <w:ind w:right="100" w:firstLine="176"/>
        <w:spacing w:after="0" w:line="268" w:lineRule="auto"/>
        <w:rPr>
          <w:sz w:val="20"/>
          <w:szCs w:val="20"/>
          <w:color w:val="auto"/>
        </w:rPr>
      </w:pPr>
      <w:r>
        <w:rPr>
          <w:rFonts w:ascii="Arial" w:cs="Arial" w:eastAsia="Arial" w:hAnsi="Arial"/>
          <w:sz w:val="18"/>
          <w:szCs w:val="18"/>
          <w:color w:val="auto"/>
        </w:rPr>
        <w:t>6.6 GOVERNING LAW. This Agreement shall be governed by and construed in accordance with the laws of the State of Delaware, regardless of the laws that might otherwise govern under applicable principles of conflicts of law thereof.</w:t>
      </w:r>
    </w:p>
    <w:p>
      <w:pPr>
        <w:spacing w:after="0" w:line="186" w:lineRule="exact"/>
        <w:rPr>
          <w:sz w:val="20"/>
          <w:szCs w:val="20"/>
          <w:color w:val="auto"/>
        </w:rPr>
      </w:pPr>
    </w:p>
    <w:p>
      <w:pPr>
        <w:ind w:right="560" w:firstLine="176"/>
        <w:spacing w:after="0" w:line="259" w:lineRule="auto"/>
        <w:rPr>
          <w:sz w:val="20"/>
          <w:szCs w:val="20"/>
          <w:color w:val="auto"/>
        </w:rPr>
      </w:pPr>
      <w:r>
        <w:rPr>
          <w:rFonts w:ascii="Arial" w:cs="Arial" w:eastAsia="Arial" w:hAnsi="Arial"/>
          <w:sz w:val="18"/>
          <w:szCs w:val="18"/>
          <w:color w:val="auto"/>
        </w:rPr>
        <w:t>6.7 RULES OF CONSTRUCTION.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94" w:lineRule="exact"/>
        <w:rPr>
          <w:sz w:val="20"/>
          <w:szCs w:val="20"/>
          <w:color w:val="auto"/>
        </w:rPr>
      </w:pPr>
    </w:p>
    <w:p>
      <w:pPr>
        <w:ind w:right="100" w:firstLine="176"/>
        <w:spacing w:after="0" w:line="256" w:lineRule="auto"/>
        <w:rPr>
          <w:sz w:val="20"/>
          <w:szCs w:val="20"/>
          <w:color w:val="auto"/>
        </w:rPr>
      </w:pPr>
      <w:r>
        <w:rPr>
          <w:rFonts w:ascii="Arial" w:cs="Arial" w:eastAsia="Arial" w:hAnsi="Arial"/>
          <w:sz w:val="18"/>
          <w:szCs w:val="18"/>
          <w:color w:val="auto"/>
        </w:rPr>
        <w:t>6.8 BINDING EFFECT AND ASSIGNMENT. This Agreement and all of the provisions hereof shall be binding upon and inure to the benefit of the parties hereto and their respective successors and permitted assigns, but, except as otherwise specifically provided herein, neither this Agreement nor any of the rights, interests or obligations of the parties hereto may be assigned by any of the parties without prior written consent of the other parties. Any purported assignment in violation of this Section shall be void.</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31" w:right="239" w:bottom="0" w:gutter="0" w:footer="0" w:header="0"/>
          <w:type w:val="continuous"/>
        </w:sectPr>
      </w:pPr>
    </w:p>
    <w:bookmarkStart w:id="9" w:name="page10"/>
    <w:bookmarkEnd w:id="9"/>
    <w:p>
      <w:pPr>
        <w:ind w:right="60" w:firstLine="17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19050"/>
                    </a:xfrm>
                    <a:prstGeom prst="rect">
                      <a:avLst/>
                    </a:prstGeom>
                    <a:noFill/>
                  </pic:spPr>
                </pic:pic>
              </a:graphicData>
            </a:graphic>
          </wp:anchor>
        </w:drawing>
        <w:t>6.9 WAIVER OF JURY TRIAL. EACH PARTY TO THIS AGREEMENT HEREBY IRREVOCABLY WAIVES ALL RIGHT TO TRIAL BY JURY IN ANY ACTION, PROCEEDING OR COUNTERCLAIM (WHETHER BASED ON CONTRACT, TORT OR OTHERWISE) ARISING OUT OF OR RELATING TO THIS AGREEMENT OR THE ACTIONS OF THE PARTIES TO THIS AGREEMENT IN THE NEGOTIATION, ADMINISTRATION, PERFORMANCE AND ENFORCEMENT HEREOF.</w:t>
      </w:r>
    </w:p>
    <w:p>
      <w:pPr>
        <w:spacing w:after="0" w:line="197" w:lineRule="exact"/>
        <w:rPr>
          <w:sz w:val="20"/>
          <w:szCs w:val="20"/>
          <w:color w:val="auto"/>
        </w:rPr>
      </w:pPr>
    </w:p>
    <w:p>
      <w:pPr>
        <w:ind w:right="160" w:firstLine="176"/>
        <w:spacing w:after="0" w:line="259" w:lineRule="auto"/>
        <w:rPr>
          <w:sz w:val="20"/>
          <w:szCs w:val="20"/>
          <w:color w:val="auto"/>
        </w:rPr>
      </w:pPr>
      <w:r>
        <w:rPr>
          <w:rFonts w:ascii="Arial" w:cs="Arial" w:eastAsia="Arial" w:hAnsi="Arial"/>
          <w:sz w:val="18"/>
          <w:szCs w:val="18"/>
          <w:color w:val="auto"/>
        </w:rPr>
        <w:t>6.10 COSTS AND ATTORNEYS' FEES. In the event that any action, suit or other proceeding is instituted concerning or arising out of this Agreement or any transaction contemplated hereunder, the prevailing party shall recover all of such party's costs and attorneys' fees incurred in each such action, suit or other proceeding, including any and all appeals or petitions therefrom.</w:t>
      </w:r>
    </w:p>
    <w:p>
      <w:pPr>
        <w:spacing w:after="0" w:line="194" w:lineRule="exact"/>
        <w:rPr>
          <w:sz w:val="20"/>
          <w:szCs w:val="20"/>
          <w:color w:val="auto"/>
        </w:rPr>
      </w:pPr>
    </w:p>
    <w:p>
      <w:pPr>
        <w:jc w:val="both"/>
        <w:ind w:right="620" w:firstLine="176"/>
        <w:spacing w:after="0" w:line="259" w:lineRule="auto"/>
        <w:rPr>
          <w:sz w:val="20"/>
          <w:szCs w:val="20"/>
          <w:color w:val="auto"/>
        </w:rPr>
      </w:pPr>
      <w:r>
        <w:rPr>
          <w:rFonts w:ascii="Arial" w:cs="Arial" w:eastAsia="Arial" w:hAnsi="Arial"/>
          <w:sz w:val="18"/>
          <w:szCs w:val="18"/>
          <w:color w:val="auto"/>
        </w:rPr>
        <w:t>6.11 TITLES AND HEADINGS. The titles, captions and headings of this Agreement are included for ease of reference only and will be disregarded in interpreting or construing this Agreement. Unless otherwise specifically stated, all references herein to "sections" and "exhibits" will mean "sections" and "exhibits" to this Agreement.</w:t>
      </w:r>
    </w:p>
    <w:p>
      <w:pPr>
        <w:spacing w:after="0" w:line="194" w:lineRule="exact"/>
        <w:rPr>
          <w:sz w:val="20"/>
          <w:szCs w:val="20"/>
          <w:color w:val="auto"/>
        </w:rPr>
      </w:pPr>
    </w:p>
    <w:p>
      <w:pPr>
        <w:ind w:firstLine="176"/>
        <w:spacing w:after="0" w:line="289" w:lineRule="auto"/>
        <w:rPr>
          <w:sz w:val="20"/>
          <w:szCs w:val="20"/>
          <w:color w:val="auto"/>
        </w:rPr>
      </w:pPr>
      <w:r>
        <w:rPr>
          <w:rFonts w:ascii="Arial" w:cs="Arial" w:eastAsia="Arial" w:hAnsi="Arial"/>
          <w:sz w:val="16"/>
          <w:szCs w:val="16"/>
          <w:color w:val="auto"/>
        </w:rPr>
        <w:t>6.12 AMENDMENT AND WAIVERS. This Agreement may be amended only by a written agreement executed by each of the parties hereto; provided, however, that any amendment to this Agreement must be approved on the part of the Company by the board of directors of the Company, including the affirmative vote of at least one director that is not affiliated with MTI. No amendment of or 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WITNESS WHEREOF, the parties have executed this Shareholder Agreement on the date and year first written above.</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MICRON ELECTRONICS, INC.:</w:t>
      </w:r>
    </w:p>
    <w:p>
      <w:pPr>
        <w:spacing w:after="0" w:line="225" w:lineRule="exact"/>
        <w:rPr>
          <w:sz w:val="20"/>
          <w:szCs w:val="20"/>
          <w:color w:val="auto"/>
        </w:rPr>
      </w:pPr>
    </w:p>
    <w:tbl>
      <w:tblPr>
        <w:tblLayout w:type="fixed"/>
        <w:tblInd w:w="438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3720" w:type="dxa"/>
            <w:vAlign w:val="bottom"/>
          </w:tcPr>
          <w:p>
            <w:pPr>
              <w:jc w:val="center"/>
              <w:ind w:right="52"/>
              <w:spacing w:after="0"/>
              <w:rPr>
                <w:sz w:val="20"/>
                <w:szCs w:val="20"/>
                <w:color w:val="auto"/>
              </w:rPr>
            </w:pPr>
            <w:r>
              <w:rPr>
                <w:rFonts w:ascii="Arial" w:cs="Arial" w:eastAsia="Arial" w:hAnsi="Arial"/>
                <w:sz w:val="18"/>
                <w:szCs w:val="18"/>
                <w:color w:val="auto"/>
                <w:w w:val="90"/>
              </w:rPr>
              <w:t>/s/ JOEL J. KOCHER</w:t>
            </w:r>
          </w:p>
        </w:tc>
      </w:tr>
      <w:tr>
        <w:trPr>
          <w:trHeight w:val="120"/>
        </w:trPr>
        <w:tc>
          <w:tcPr>
            <w:tcW w:w="80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r>
      <w:tr>
        <w:trPr>
          <w:trHeight w:val="31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Pr>
          <w:p>
            <w:pPr>
              <w:jc w:val="center"/>
              <w:spacing w:after="0"/>
              <w:rPr>
                <w:sz w:val="20"/>
                <w:szCs w:val="20"/>
                <w:color w:val="auto"/>
              </w:rPr>
            </w:pPr>
            <w:r>
              <w:rPr>
                <w:rFonts w:ascii="Arial" w:cs="Arial" w:eastAsia="Arial" w:hAnsi="Arial"/>
                <w:sz w:val="18"/>
                <w:szCs w:val="18"/>
                <w:color w:val="auto"/>
                <w:w w:val="90"/>
              </w:rPr>
              <w:t>JOEL J. KOCHER</w:t>
            </w:r>
          </w:p>
        </w:tc>
      </w:tr>
      <w:tr>
        <w:trPr>
          <w:trHeight w:val="120"/>
        </w:trPr>
        <w:tc>
          <w:tcPr>
            <w:tcW w:w="80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r>
      <w:tr>
        <w:trPr>
          <w:trHeight w:val="535"/>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jc w:val="center"/>
              <w:spacing w:after="0"/>
              <w:rPr>
                <w:sz w:val="20"/>
                <w:szCs w:val="20"/>
                <w:color w:val="auto"/>
              </w:rPr>
            </w:pPr>
            <w:r>
              <w:rPr>
                <w:rFonts w:ascii="Arial" w:cs="Arial" w:eastAsia="Arial" w:hAnsi="Arial"/>
                <w:sz w:val="18"/>
                <w:szCs w:val="18"/>
                <w:color w:val="auto"/>
                <w:w w:val="90"/>
              </w:rPr>
              <w:t>Chairman and Chief Executive Officer</w:t>
            </w:r>
          </w:p>
        </w:tc>
      </w:tr>
      <w:tr>
        <w:trPr>
          <w:trHeight w:val="120"/>
        </w:trPr>
        <w:tc>
          <w:tcPr>
            <w:tcW w:w="80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r>
      <w:tr>
        <w:trPr>
          <w:trHeight w:val="535"/>
        </w:trPr>
        <w:tc>
          <w:tcPr>
            <w:tcW w:w="4520" w:type="dxa"/>
            <w:vAlign w:val="bottom"/>
            <w:gridSpan w:val="2"/>
          </w:tcPr>
          <w:p>
            <w:pPr>
              <w:spacing w:after="0"/>
              <w:rPr>
                <w:sz w:val="20"/>
                <w:szCs w:val="20"/>
                <w:color w:val="auto"/>
              </w:rPr>
            </w:pPr>
            <w:r>
              <w:rPr>
                <w:rFonts w:ascii="Arial" w:cs="Arial" w:eastAsia="Arial" w:hAnsi="Arial"/>
                <w:sz w:val="18"/>
                <w:szCs w:val="18"/>
                <w:color w:val="auto"/>
              </w:rPr>
              <w:t>MICRON ELECTRONICS, INC.:</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3720" w:type="dxa"/>
            <w:vAlign w:val="bottom"/>
          </w:tcPr>
          <w:p>
            <w:pPr>
              <w:jc w:val="center"/>
              <w:ind w:right="32"/>
              <w:spacing w:after="0"/>
              <w:rPr>
                <w:sz w:val="20"/>
                <w:szCs w:val="20"/>
                <w:color w:val="auto"/>
              </w:rPr>
            </w:pPr>
            <w:r>
              <w:rPr>
                <w:rFonts w:ascii="Arial" w:cs="Arial" w:eastAsia="Arial" w:hAnsi="Arial"/>
                <w:sz w:val="18"/>
                <w:szCs w:val="18"/>
                <w:color w:val="auto"/>
                <w:w w:val="92"/>
              </w:rPr>
              <w:t>/s/ WILBUR G. STOVER, JR.</w:t>
            </w:r>
          </w:p>
        </w:tc>
      </w:tr>
      <w:tr>
        <w:trPr>
          <w:trHeight w:val="120"/>
        </w:trPr>
        <w:tc>
          <w:tcPr>
            <w:tcW w:w="80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r>
      <w:tr>
        <w:trPr>
          <w:trHeight w:val="31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Pr>
          <w:p>
            <w:pPr>
              <w:jc w:val="center"/>
              <w:spacing w:after="0"/>
              <w:rPr>
                <w:sz w:val="20"/>
                <w:szCs w:val="20"/>
                <w:color w:val="auto"/>
              </w:rPr>
            </w:pPr>
            <w:r>
              <w:rPr>
                <w:rFonts w:ascii="Arial" w:cs="Arial" w:eastAsia="Arial" w:hAnsi="Arial"/>
                <w:sz w:val="18"/>
                <w:szCs w:val="18"/>
                <w:color w:val="auto"/>
                <w:w w:val="92"/>
              </w:rPr>
              <w:t>WILBUR G. STOVER, JR.</w:t>
            </w:r>
          </w:p>
        </w:tc>
      </w:tr>
      <w:tr>
        <w:trPr>
          <w:trHeight w:val="120"/>
        </w:trPr>
        <w:tc>
          <w:tcPr>
            <w:tcW w:w="80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r>
      <w:tr>
        <w:trPr>
          <w:trHeight w:val="529"/>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Vice President of</w:t>
            </w:r>
          </w:p>
        </w:tc>
      </w:tr>
      <w:tr>
        <w:trPr>
          <w:trHeight w:val="222"/>
        </w:trPr>
        <w:tc>
          <w:tcPr>
            <w:tcW w:w="80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7"/>
              </w:rPr>
              <w:t>Finance</w:t>
            </w:r>
          </w:p>
        </w:tc>
      </w:tr>
      <w:tr>
        <w:trPr>
          <w:trHeight w:val="120"/>
        </w:trPr>
        <w:tc>
          <w:tcPr>
            <w:tcW w:w="80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-2295525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-2295525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-2004060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-2004060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-1574800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-1574800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-871855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-871855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-580390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-580390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MTI SHAREHOLDER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EXHIBIT 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MTI SHAREHOLDER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RECITALS</w:t>
        </w:r>
      </w:hyperlink>
    </w:p>
    <w:p>
      <w:pPr>
        <w:sectPr>
          <w:pgSz w:w="11900" w:h="16838" w:orient="portrait"/>
          <w:cols w:equalWidth="0" w:num="1">
            <w:col w:w="11420"/>
          </w:cols>
          <w:pgMar w:left="240" w:top="374" w:right="239" w:bottom="1440" w:gutter="0" w:footer="0" w:header="0"/>
        </w:sectPr>
      </w:pPr>
    </w:p>
    <w:bookmarkStart w:id="10" w:name="page11"/>
    <w:bookmarkEnd w:id="10"/>
    <w:p>
      <w:pPr>
        <w:spacing w:after="0" w:line="51" w:lineRule="exact"/>
        <w:rPr>
          <w:sz w:val="20"/>
          <w:szCs w:val="20"/>
          <w:color w:val="auto"/>
        </w:rPr>
      </w:pPr>
    </w:p>
    <w:p>
      <w:pPr>
        <w:spacing w:after="0"/>
        <w:rPr>
          <w:rFonts w:ascii="Arial" w:cs="Arial" w:eastAsia="Arial" w:hAnsi="Arial"/>
          <w:sz w:val="22"/>
          <w:szCs w:val="22"/>
          <w:color w:val="0000EE"/>
        </w:rPr>
      </w:pPr>
      <w:hyperlink w:anchor="page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00"/>
        <w:spacing w:after="0"/>
        <w:rPr>
          <w:sz w:val="20"/>
          <w:szCs w:val="20"/>
          <w:color w:val="auto"/>
        </w:rPr>
      </w:pPr>
      <w:r>
        <w:rPr>
          <w:rFonts w:ascii="Arial" w:cs="Arial" w:eastAsia="Arial" w:hAnsi="Arial"/>
          <w:sz w:val="18"/>
          <w:szCs w:val="18"/>
          <w:b w:val="1"/>
          <w:bCs w:val="1"/>
          <w:color w:val="auto"/>
        </w:rPr>
        <w:t>EXHIBIT 3</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31" w:lineRule="exact"/>
        <w:rPr>
          <w:sz w:val="20"/>
          <w:szCs w:val="20"/>
          <w:color w:val="auto"/>
        </w:rPr>
      </w:pPr>
    </w:p>
    <w:p>
      <w:pPr>
        <w:ind w:right="100" w:firstLine="172"/>
        <w:spacing w:after="0" w:line="298" w:lineRule="auto"/>
        <w:rPr>
          <w:sz w:val="20"/>
          <w:szCs w:val="20"/>
          <w:color w:val="auto"/>
        </w:rPr>
      </w:pPr>
      <w:r>
        <w:rPr>
          <w:rFonts w:ascii="Arial" w:cs="Arial" w:eastAsia="Arial" w:hAnsi="Arial"/>
          <w:sz w:val="16"/>
          <w:szCs w:val="16"/>
          <w:color w:val="auto"/>
        </w:rPr>
        <w:t>THIS AMENDED AND RESTATED REGISTRATION RIGHTS AGREEMENT (this "AGREEMENT") is entered into as of August 6, 2001 by and between Micron Electronics, Inc., a Minnesota corporation ("COMPANY"), Interland, Inc., a Georgia corporation ("INTERLAND"), Micron Technology, Inc. ("MTI"), Ken avranovic and Waldemar Fernandez (the "INTERLAND FOUNDERS"), and the parties set forth on Exhibit A attached hereto (the "OTHER HOLDERS") (with MTI, the Interland Founders, and the Other Holders being collectively referred to as the "HOLDERS").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WHEREAS, on the date hereof, MTI has acquired approximately 60% of the outstanding Common Stock of Company;</w:t>
      </w:r>
    </w:p>
    <w:p>
      <w:pPr>
        <w:spacing w:after="0" w:line="225" w:lineRule="exact"/>
        <w:rPr>
          <w:sz w:val="20"/>
          <w:szCs w:val="20"/>
          <w:color w:val="auto"/>
        </w:rPr>
      </w:pPr>
    </w:p>
    <w:p>
      <w:pPr>
        <w:ind w:firstLine="172"/>
        <w:spacing w:after="0" w:line="332" w:lineRule="auto"/>
        <w:rPr>
          <w:sz w:val="20"/>
          <w:szCs w:val="20"/>
          <w:color w:val="auto"/>
        </w:rPr>
      </w:pPr>
      <w:r>
        <w:rPr>
          <w:rFonts w:ascii="Arial" w:cs="Arial" w:eastAsia="Arial" w:hAnsi="Arial"/>
          <w:sz w:val="16"/>
          <w:szCs w:val="16"/>
          <w:color w:val="auto"/>
        </w:rPr>
        <w:t>WHEREAS, on the date hereof, the Interland Founders and Other Holders have acquired shares of Common Stock of Interland (the "INTERLAND COMMON STOCK"), from Interland pursuant to various agreements between Interland and certain of the Holders (the "STOCK ACQUISITION AGREEMENTS");</w:t>
      </w:r>
    </w:p>
    <w:p>
      <w:pPr>
        <w:spacing w:after="0" w:line="139" w:lineRule="exact"/>
        <w:rPr>
          <w:sz w:val="20"/>
          <w:szCs w:val="20"/>
          <w:color w:val="auto"/>
        </w:rPr>
      </w:pPr>
    </w:p>
    <w:p>
      <w:pPr>
        <w:ind w:firstLine="172"/>
        <w:spacing w:after="0" w:line="306" w:lineRule="auto"/>
        <w:rPr>
          <w:sz w:val="20"/>
          <w:szCs w:val="20"/>
          <w:color w:val="auto"/>
        </w:rPr>
      </w:pPr>
      <w:r>
        <w:rPr>
          <w:rFonts w:ascii="Arial" w:cs="Arial" w:eastAsia="Arial" w:hAnsi="Arial"/>
          <w:sz w:val="16"/>
          <w:szCs w:val="16"/>
          <w:color w:val="auto"/>
        </w:rPr>
        <w:t>WHEREAS, Company, Interland, and Interland Acquisition Corporation, a Delaware corporation and wholly owned first tier subsidiary of the Company ("MERGER SUB") have entered into an Agreement and Plan of Merger (the "MERGER AGREEMENT") dated as of even date hereof, pursuant to which Merger Sub will merge with and into Interland in a reverse triangular merger with Interland to be the surviving corporation of the Merger (the "Merger");</w:t>
      </w:r>
    </w:p>
    <w:p>
      <w:pPr>
        <w:spacing w:after="0" w:line="161" w:lineRule="exact"/>
        <w:rPr>
          <w:sz w:val="20"/>
          <w:szCs w:val="20"/>
          <w:color w:val="auto"/>
        </w:rPr>
      </w:pPr>
    </w:p>
    <w:p>
      <w:pPr>
        <w:ind w:right="60" w:firstLine="172"/>
        <w:spacing w:after="0" w:line="259" w:lineRule="auto"/>
        <w:rPr>
          <w:sz w:val="20"/>
          <w:szCs w:val="20"/>
          <w:color w:val="auto"/>
        </w:rPr>
      </w:pPr>
      <w:r>
        <w:rPr>
          <w:rFonts w:ascii="Arial" w:cs="Arial" w:eastAsia="Arial" w:hAnsi="Arial"/>
          <w:sz w:val="18"/>
          <w:szCs w:val="18"/>
          <w:color w:val="auto"/>
        </w:rPr>
        <w:t>WHEREAS, certain of the Other Holders possess registration rights to Interland Common Stock pursuant to that certain Registration Rights Agreement by and between the Other Holders and Interland dated as of December 2, 1999, as amended on December 24, 1999, and on March 15, 1999, and on May 8, 2000 (the "Prior Agreement");</w:t>
      </w:r>
    </w:p>
    <w:p>
      <w:pPr>
        <w:spacing w:after="0" w:line="194" w:lineRule="exact"/>
        <w:rPr>
          <w:sz w:val="20"/>
          <w:szCs w:val="20"/>
          <w:color w:val="auto"/>
        </w:rPr>
      </w:pPr>
    </w:p>
    <w:p>
      <w:pPr>
        <w:ind w:right="240" w:firstLine="172"/>
        <w:spacing w:after="0" w:line="332" w:lineRule="auto"/>
        <w:rPr>
          <w:sz w:val="20"/>
          <w:szCs w:val="20"/>
          <w:color w:val="auto"/>
        </w:rPr>
      </w:pPr>
      <w:r>
        <w:rPr>
          <w:rFonts w:ascii="Arial" w:cs="Arial" w:eastAsia="Arial" w:hAnsi="Arial"/>
          <w:sz w:val="16"/>
          <w:szCs w:val="16"/>
          <w:color w:val="auto"/>
        </w:rPr>
        <w:t>WHEREAS, each of CPQ Holdings, Inc. ("CPQ") and Hewlett-Packard Company ("HP") possess registration rights to Interland Common Stock pursuant to Registration Rights Agreements by and between Interland and each of CPQ and HP dated as of June 30, 2000 (the "CPQ/HP Agreements");</w:t>
      </w:r>
    </w:p>
    <w:p>
      <w:pPr>
        <w:spacing w:after="0" w:line="139" w:lineRule="exact"/>
        <w:rPr>
          <w:sz w:val="20"/>
          <w:szCs w:val="20"/>
          <w:color w:val="auto"/>
        </w:rPr>
      </w:pPr>
    </w:p>
    <w:p>
      <w:pPr>
        <w:ind w:right="60" w:firstLine="172"/>
        <w:spacing w:after="0" w:line="268" w:lineRule="auto"/>
        <w:rPr>
          <w:sz w:val="20"/>
          <w:szCs w:val="20"/>
          <w:color w:val="auto"/>
        </w:rPr>
      </w:pPr>
      <w:r>
        <w:rPr>
          <w:rFonts w:ascii="Arial" w:cs="Arial" w:eastAsia="Arial" w:hAnsi="Arial"/>
          <w:sz w:val="18"/>
          <w:szCs w:val="18"/>
          <w:color w:val="auto"/>
        </w:rPr>
        <w:t>WHEREAS, the Interland Founders possess registration rights pursuant to that certain Separation Agreement and General Release dated Nov. 19, 1999, by and between Interland and Waldemar Fernandez;</w:t>
      </w:r>
    </w:p>
    <w:p>
      <w:pPr>
        <w:spacing w:after="0" w:line="186" w:lineRule="exact"/>
        <w:rPr>
          <w:sz w:val="20"/>
          <w:szCs w:val="20"/>
          <w:color w:val="auto"/>
        </w:rPr>
      </w:pPr>
    </w:p>
    <w:p>
      <w:pPr>
        <w:ind w:firstLine="172"/>
        <w:spacing w:after="0" w:line="255" w:lineRule="auto"/>
        <w:rPr>
          <w:sz w:val="20"/>
          <w:szCs w:val="20"/>
          <w:color w:val="auto"/>
        </w:rPr>
      </w:pPr>
      <w:r>
        <w:rPr>
          <w:rFonts w:ascii="Arial" w:cs="Arial" w:eastAsia="Arial" w:hAnsi="Arial"/>
          <w:sz w:val="18"/>
          <w:szCs w:val="18"/>
          <w:color w:val="auto"/>
        </w:rPr>
        <w:t>WHEREAS, in connection with the Merger, Company desires to grant to Holders certain registration rights with respect to the shares of the Company Common Stock that are issued to Holders in the Merger (the "MERGER SHARES"), and that are currently held by MTI (the "MTI SHARES"), subject to the terms and conditions set forth in this Agreement and the parties to the Prior Agreement and the CPQ/HP Agreements desire to terminate each of the Prior Agreement and the CPQ/HP Agreements and to accept the rights created pursuant hereto in lieu of the rights granted to them under the Prior Agreement and the CPQ/HP Agreements;</w:t>
      </w:r>
    </w:p>
    <w:p>
      <w:pPr>
        <w:spacing w:after="0" w:line="197" w:lineRule="exact"/>
        <w:rPr>
          <w:sz w:val="20"/>
          <w:szCs w:val="20"/>
          <w:color w:val="auto"/>
        </w:rPr>
      </w:pPr>
    </w:p>
    <w:p>
      <w:pPr>
        <w:ind w:right="280" w:firstLine="172"/>
        <w:spacing w:after="0" w:line="268" w:lineRule="auto"/>
        <w:rPr>
          <w:sz w:val="20"/>
          <w:szCs w:val="20"/>
          <w:color w:val="auto"/>
        </w:rPr>
      </w:pPr>
      <w:r>
        <w:rPr>
          <w:rFonts w:ascii="Arial" w:cs="Arial" w:eastAsia="Arial" w:hAnsi="Arial"/>
          <w:sz w:val="18"/>
          <w:szCs w:val="18"/>
          <w:color w:val="auto"/>
        </w:rPr>
        <w:t>WHEREAS, capitalized terms used in this Agreement shall have the meanings ascribed to them in Section 2 hereof, however capitalized terms used but not defined herein shall have the meanings set forth in the Merger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firstLine="176"/>
        <w:spacing w:after="0" w:line="268" w:lineRule="auto"/>
        <w:rPr>
          <w:sz w:val="20"/>
          <w:szCs w:val="20"/>
          <w:color w:val="auto"/>
        </w:rPr>
      </w:pPr>
      <w:r>
        <w:rPr>
          <w:rFonts w:ascii="Arial" w:cs="Arial" w:eastAsia="Arial" w:hAnsi="Arial"/>
          <w:sz w:val="18"/>
          <w:szCs w:val="18"/>
          <w:color w:val="auto"/>
        </w:rPr>
        <w:t>NOW, THEREFORE, for and in consideration of the foregoing and of the mutual covenants and agreements hereinafter set forth, the parties hereto agree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REGISTRATION RIGHTS.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1.1. Demand Registration Rights of Initiating Holders.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1.1.1. Request.</w:t>
      </w:r>
    </w:p>
    <w:p>
      <w:pPr>
        <w:spacing w:after="0" w:line="225" w:lineRule="exact"/>
        <w:rPr>
          <w:sz w:val="20"/>
          <w:szCs w:val="20"/>
          <w:color w:val="auto"/>
        </w:rPr>
      </w:pPr>
    </w:p>
    <w:p>
      <w:pPr>
        <w:ind w:left="540" w:right="80" w:firstLine="166"/>
        <w:spacing w:after="0" w:line="254" w:lineRule="auto"/>
        <w:rPr>
          <w:sz w:val="20"/>
          <w:szCs w:val="20"/>
          <w:color w:val="auto"/>
        </w:rPr>
      </w:pPr>
      <w:r>
        <w:rPr>
          <w:rFonts w:ascii="Arial" w:cs="Arial" w:eastAsia="Arial" w:hAnsi="Arial"/>
          <w:sz w:val="18"/>
          <w:szCs w:val="18"/>
          <w:color w:val="auto"/>
        </w:rPr>
        <w:t>At any time after the Effective Time contemplated in the Merger Agreement, the Initiating Holders (other than CPQ and HP) may request registration for sale under the Act of all or part of the Registrable Securities then held by them, provided that such requested registration relates to a number of shares of Registrable Securities which represents at least 25% of the total number of shares of Registrable Securities (or a lesser percentage if the anticipated aggregate offering price would exceed $5 million), and upon such request the Company will promptly take the actions specified in Section 1.1.2. Notwithstanding anything contained in this Section 1.1 to the contrary, neither CPQ nor HP shall possess and demand registration rights pursuant to this Section 1.1.</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1.1.2. Demand Procedures.</w:t>
      </w:r>
    </w:p>
    <w:p>
      <w:pPr>
        <w:spacing w:after="0" w:line="225" w:lineRule="exact"/>
        <w:rPr>
          <w:sz w:val="20"/>
          <w:szCs w:val="20"/>
          <w:color w:val="auto"/>
        </w:rPr>
      </w:pPr>
    </w:p>
    <w:p>
      <w:pPr>
        <w:ind w:left="540" w:right="120" w:firstLine="172"/>
        <w:spacing w:after="0" w:line="309" w:lineRule="auto"/>
        <w:rPr>
          <w:sz w:val="20"/>
          <w:szCs w:val="20"/>
          <w:color w:val="auto"/>
        </w:rPr>
      </w:pPr>
      <w:r>
        <w:rPr>
          <w:rFonts w:ascii="Arial" w:cs="Arial" w:eastAsia="Arial" w:hAnsi="Arial"/>
          <w:sz w:val="15"/>
          <w:szCs w:val="15"/>
          <w:color w:val="auto"/>
        </w:rPr>
        <w:t>Within ten (10) Business Days after receipt by the Company of a registration request under Section 1.1.1 (which request shall specify the number of shares proposed to be registered and sold and the manner in which such sale is proposed to be effected), the Company shall promptly give written notice to all other Holders of the proposed demand registration, and such other Holders shall have the right to join in the proposed registration and sale, upon written request to the Company (which request shall specify the number of shares proposed to be registered and sold) within five (5) Business Days after receipt of such notice from the Company. The Company shall thereafter, as expeditiously as practicable (i) file with the SEC under the Act a registration statement on the appropriate form concerning all Registrable Securities specified in the demand request and all Registrable Securities with respect to which the Company has received the written request from the other Holders and (ii) use its reasonable efforts to cause the registration statement to be declared effective. At the request of the Initiating Holders requesting registration, the Company shall use its reasonable efforts to cause each offering pursuant to Section 1.1.1 to be managed, on a firm commitment basis, by a recognized regional or national underwriter selected by the Initiating Holders</w:t>
      </w:r>
    </w:p>
    <w:p>
      <w:pPr>
        <w:sectPr>
          <w:pgSz w:w="11900" w:h="16889" w:orient="portrait"/>
          <w:cols w:equalWidth="0" w:num="1">
            <w:col w:w="11400"/>
          </w:cols>
          <w:pgMar w:left="240" w:top="361" w:right="259" w:bottom="0" w:gutter="0" w:footer="0" w:header="0"/>
        </w:sectPr>
      </w:pPr>
    </w:p>
    <w:bookmarkStart w:id="11" w:name="page12"/>
    <w:bookmarkEnd w:id="11"/>
    <w:p>
      <w:pPr>
        <w:ind w:left="360" w:right="40"/>
        <w:spacing w:after="0" w:line="286" w:lineRule="auto"/>
        <w:rPr>
          <w:sz w:val="20"/>
          <w:szCs w:val="20"/>
          <w:color w:val="auto"/>
        </w:rPr>
      </w:pPr>
      <w:r>
        <w:rPr>
          <w:rFonts w:ascii="Arial" w:cs="Arial" w:eastAsia="Arial" w:hAnsi="Arial"/>
          <w:sz w:val="16"/>
          <w:szCs w:val="16"/>
          <w:color w:val="auto"/>
        </w:rPr>
        <w:t>and approved by the Company, such approval not to be unreasonably withheld. All holders proposing to distribute their securities through such underwriting shall enter into an underwriting agreement in customary form. The Company shall not be obligated to effect more than two registrations requested by Initiating Holders under Section 1.1.1, provided, however, that each such request shall be deemed satisfied only when a registration statement covering all Registrable Securities specified in notices received as aforesaid, for sale in accordance with the method of disposition specified by the Initiating Holders, has become effective and, if the method of disposition is a firm commitment underwritten public offering, at least 75% of the Registrable Securities covered thereby shall have been sold pursuant thereto. Except for registration statements on Form S-4, S-8 or another form not available for registering securities for sale to the public, or any successor thereto, the Company will not, without the consent of the Holders selling a majority of the Registrable Securities in such offering pursuant to this Section 1.1, file with the SEC any other registration statement with respect to its Common Stock, whether for its own account or that of other shareholders, from the date of receipt of a notice from requesting Holders pursuant to this Section 1.1 until the completion of the period of distribution of the securities contemplated thereby as provided in Section 1.4; provided, however, that the Company may include securities offered by the Company for its own account and/or other securities of the Company that are held by shareholders other than the Holders in such offering pursuant to this Section 1.1, subject to reduction as provided in Section 1.1.4 of this Agreement.</w:t>
      </w:r>
    </w:p>
    <w:p>
      <w:pPr>
        <w:spacing w:after="0" w:line="17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1.1.3. Delay by Company.</w:t>
      </w:r>
    </w:p>
    <w:p>
      <w:pPr>
        <w:spacing w:after="0" w:line="225" w:lineRule="exact"/>
        <w:rPr>
          <w:sz w:val="20"/>
          <w:szCs w:val="20"/>
          <w:color w:val="auto"/>
        </w:rPr>
      </w:pPr>
    </w:p>
    <w:p>
      <w:pPr>
        <w:ind w:left="360" w:firstLine="172"/>
        <w:spacing w:after="0" w:line="282" w:lineRule="auto"/>
        <w:rPr>
          <w:sz w:val="20"/>
          <w:szCs w:val="20"/>
          <w:color w:val="auto"/>
        </w:rPr>
      </w:pPr>
      <w:r>
        <w:rPr>
          <w:rFonts w:ascii="Arial" w:cs="Arial" w:eastAsia="Arial" w:hAnsi="Arial"/>
          <w:sz w:val="16"/>
          <w:szCs w:val="16"/>
          <w:color w:val="auto"/>
        </w:rPr>
        <w:t>The Company shall not be required to proceed to effect a demand registration under the Act pursuant to Section 1.1.1 above if (i) the Company receives a request for registration under Section 1.1.1 less than 90 days preceding the anticipated effective date of a proposed underwritten public offering of securities of the Company approved by the Company's Board of Directors prior to the Company's receipt of the request; (ii) within 180 days prior to any such request for registration, a registration of securities of the Company has been effected in which the Initiating Holders had the right to participate pursuant to this Section 1.1 or Section 1.2 hereof; or (iii) the Board of Directors of the Company reasonably determines in good faith that effecting such a demand registration at such time would have a material adverse effect upon a proposed sale of all (or substantially all) of the assets of the Company, or a merger, share exchange, reorganization, recapitalization, or any other form of business combination or transaction materially affecting the capital structure, or equity ownership of the Company, or would otherwise be seriously detrimental to the Company because the Company was then in the process of raising capital in the public or private markets; provided, however, that the Company may only delay a demand registration pursuant to this</w:t>
      </w:r>
    </w:p>
    <w:p>
      <w:pPr>
        <w:spacing w:after="0" w:line="5" w:lineRule="exact"/>
        <w:rPr>
          <w:sz w:val="20"/>
          <w:szCs w:val="20"/>
          <w:color w:val="auto"/>
        </w:rPr>
      </w:pPr>
    </w:p>
    <w:p>
      <w:pPr>
        <w:ind w:left="360" w:right="40"/>
        <w:spacing w:after="0" w:line="320" w:lineRule="auto"/>
        <w:rPr>
          <w:sz w:val="20"/>
          <w:szCs w:val="20"/>
          <w:color w:val="auto"/>
        </w:rPr>
      </w:pPr>
      <w:r>
        <w:rPr>
          <w:rFonts w:ascii="Arial" w:cs="Arial" w:eastAsia="Arial" w:hAnsi="Arial"/>
          <w:sz w:val="15"/>
          <w:szCs w:val="15"/>
          <w:color w:val="auto"/>
        </w:rPr>
        <w:t>Section 1.1.3 for a period not exceeding 90 days (or until such earlier time as such transaction is consummated or no longer proposed) and may only defer any such filing pursuant to this Section 1.1.3 once per calendar year. The Company shall promptly notify in writing the Holders requesting registration of any decision not to effect any such request for registration pursuant to this Section 1.1.3, which notice shall set forth in reasonable detail the reason for such decision and shall include an undertaking by the Company promptly to notify such Holders as soon as a demand registration may be effected.</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1.1.4. Reduction.</w:t>
      </w:r>
    </w:p>
    <w:p>
      <w:pPr>
        <w:spacing w:after="0" w:line="225" w:lineRule="exact"/>
        <w:rPr>
          <w:sz w:val="20"/>
          <w:szCs w:val="20"/>
          <w:color w:val="auto"/>
        </w:rPr>
      </w:pPr>
    </w:p>
    <w:p>
      <w:pPr>
        <w:ind w:left="360" w:firstLine="176"/>
        <w:spacing w:after="0" w:line="318" w:lineRule="auto"/>
        <w:rPr>
          <w:sz w:val="20"/>
          <w:szCs w:val="20"/>
          <w:color w:val="auto"/>
        </w:rPr>
      </w:pPr>
      <w:r>
        <w:rPr>
          <w:rFonts w:ascii="Arial" w:cs="Arial" w:eastAsia="Arial" w:hAnsi="Arial"/>
          <w:sz w:val="15"/>
          <w:szCs w:val="15"/>
          <w:color w:val="auto"/>
        </w:rPr>
        <w:t>If a demand registration is an underwritten registration and the managing underwriters advise the Company and the Holders participating in the demand registration in writing that in their opinion the number of shares of Common Stock requested to be included in such registration exceeds the number which can be sold in such offering, then the Company shall include in such demand registration (i) first, the shares proposed to be sold by MTI exercising rights under Section 1.1.1, (ii) second, the shares proposed to be sold by all the Other Holders exercising rights under Section 1.1.1, allocated pro rata among such Other Holders in proportion to the number of Registrable Securities owned by them, and (iii) third, the shares proposed to be sold by the Company.</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1.1.5. Withdrawal.</w:t>
      </w:r>
    </w:p>
    <w:p>
      <w:pPr>
        <w:spacing w:after="0" w:line="225" w:lineRule="exact"/>
        <w:rPr>
          <w:sz w:val="20"/>
          <w:szCs w:val="20"/>
          <w:color w:val="auto"/>
        </w:rPr>
      </w:pPr>
    </w:p>
    <w:p>
      <w:pPr>
        <w:ind w:left="360" w:right="60" w:firstLine="176"/>
        <w:spacing w:after="0" w:line="288" w:lineRule="auto"/>
        <w:rPr>
          <w:sz w:val="20"/>
          <w:szCs w:val="20"/>
          <w:color w:val="auto"/>
        </w:rPr>
      </w:pPr>
      <w:r>
        <w:rPr>
          <w:rFonts w:ascii="Arial" w:cs="Arial" w:eastAsia="Arial" w:hAnsi="Arial"/>
          <w:sz w:val="16"/>
          <w:szCs w:val="16"/>
          <w:color w:val="auto"/>
        </w:rPr>
        <w:t>Holders participating in any demand registration pursuant to this Section 1.1 may withdraw at any time before a registration statement is declared effective, and the Company may withdraw such registration statement if no Registrable Securities are then proposed to be included (and if withdrawn by the Company the Holders shall not be deemed to have requested a demand registration for purposes of Section 1.1.1 hereof). If the Company withdraws a registration statement under this Section 1.1.5 in respect of a registration for which the Company would otherwise be required to pay expenses under Section 1.6.2 hereof, the Holders that shall have withdrawn shall reimburse the Company for all expenses of such registration in proportion to the number of shares each such withdrawing Holder shall have requested to be registered. Notwithstanding the foregoing, however, if at the time of the withdrawal, the Holders have learned of a material adverse change in the condition, business or prospects of the Company from that known to the Holders at the time of their request, then the Holders shall not be required to pay any of said registration expenses and the Company shall be deemed not to have effected a registration pursuant to Section 1.1.2 of this Agreement.</w:t>
      </w:r>
    </w:p>
    <w:p>
      <w:pPr>
        <w:spacing w:after="0" w:line="17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1.2. Piggyback Registration Rights.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1.2.1. Request.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at any time or times after the date of this Agreement the Company proposes to make a registered public offering of any of its securities under the Act</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(whether to be sold by it or by one or more selling shareholders), other than an offering pursuant to a demand registration under Section 1.1.1 or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Section 1.3 hereof or an offering registered on Form S-8 or Form S-4, or successor forms relating to employee stock plans and business combinations, the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Company shall, not less than 20 days prior to the proposed filing date of the registration form, give written notice of the proposed registration to all</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specifying in reasonable detail the proposed transaction to be covered by the registration statement, and at the written request of any Holder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delivered to the Company within 20 days after giving such notice, shall include in such registration and offering, and in any underwriting of such offering,</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all Registrable Securities as may have been designated in the Holder's request. The Company shall have no obligation to include shares of Common Stock</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owned by any Holder in a registration statement pursuant to this Section 1.2, unless and until such Holder (a) in connection with any underwritten</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offering, agrees to enter into an underwriting agreement, a custody agreement and power of attorney and any other customary documents required in an</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underwritten offering all in customary form and containing customary provisions (but not requiring any Holder to provide indemnification or contribution</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more extensive than is set forth in Section 1.6.3 hereof) and (b) shall have furnished the Company with all information and statements about or pertaining</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such Holder in such reasonable detail and on such timely basis as is reasonably deemed by the Company to be legally required with respect to the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preparation of the registration statement.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1.2.2. Reduction.</w:t>
      </w:r>
    </w:p>
    <w:p>
      <w:pPr>
        <w:sectPr>
          <w:pgSz w:w="11900" w:h="16838" w:orient="portrait"/>
          <w:cols w:equalWidth="0" w:num="1">
            <w:col w:w="11240"/>
          </w:cols>
          <w:pgMar w:left="420" w:top="131" w:right="239" w:bottom="107" w:gutter="0" w:footer="0" w:header="0"/>
        </w:sectPr>
      </w:pPr>
    </w:p>
    <w:bookmarkStart w:id="12" w:name="page13"/>
    <w:bookmarkEnd w:id="12"/>
    <w:p>
      <w:pPr>
        <w:spacing w:after="0" w:line="34" w:lineRule="exact"/>
        <w:rPr>
          <w:sz w:val="20"/>
          <w:szCs w:val="20"/>
          <w:color w:val="auto"/>
        </w:rPr>
      </w:pPr>
    </w:p>
    <w:p>
      <w:pPr>
        <w:ind w:left="540" w:right="20" w:firstLine="176"/>
        <w:spacing w:after="0" w:line="289" w:lineRule="auto"/>
        <w:rPr>
          <w:sz w:val="20"/>
          <w:szCs w:val="20"/>
          <w:color w:val="auto"/>
        </w:rPr>
      </w:pPr>
      <w:r>
        <w:rPr>
          <w:rFonts w:ascii="Arial" w:cs="Arial" w:eastAsia="Arial" w:hAnsi="Arial"/>
          <w:sz w:val="16"/>
          <w:szCs w:val="16"/>
          <w:color w:val="auto"/>
        </w:rPr>
        <w:t>If a registration in which any Holder has the right to participate pursuant to this Section 1.2 is an underwritten registration, and the managing underwriters advise the Company in writing that in their opinion the number of securities requested to be included in such registration exceeds the number which can be sold in such offering, the Company shall include in such registration (i) first, the securities of the Company proposed to be sold by the Company, (ii) second, the shares proposed to be sold by MTI exercising rights under Section 1.2.1, (iii) third, the shares proposed to be sold by Other Holders (other than the shares held by CPQ and HP) exercising rights under Section 1.2.1, allocated pro rata among such Other Holders (other than CPQ and HP) in proportion to the number of Registrable Securities owned by them, (iv) fourth, the shares proposed to be sold by CPQ and HP exercising rights under Section 1.2.1, (v) fifth, the Interland Founders exercising rights under Section 1.2.1 on an equal basis in proportion to the number of Registrable Securities owned by them, and (vi) sixth, by any other shareholders proposing to sell shares of Common Stock pursuant to such registration.</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1.3. Registration on Form S-3.</w:t>
      </w:r>
    </w:p>
    <w:p>
      <w:pPr>
        <w:spacing w:after="0" w:line="225" w:lineRule="exact"/>
        <w:rPr>
          <w:sz w:val="20"/>
          <w:szCs w:val="20"/>
          <w:color w:val="auto"/>
        </w:rPr>
      </w:pPr>
    </w:p>
    <w:p>
      <w:pPr>
        <w:ind w:right="40" w:firstLine="176"/>
        <w:spacing w:after="0" w:line="290" w:lineRule="auto"/>
        <w:rPr>
          <w:sz w:val="20"/>
          <w:szCs w:val="20"/>
          <w:color w:val="auto"/>
        </w:rPr>
      </w:pPr>
      <w:r>
        <w:rPr>
          <w:rFonts w:ascii="Arial" w:cs="Arial" w:eastAsia="Arial" w:hAnsi="Arial"/>
          <w:sz w:val="16"/>
          <w:szCs w:val="16"/>
          <w:color w:val="auto"/>
        </w:rPr>
        <w:t>Subject to the limitations set forth in Section 1.1.3, if at any time the Company is eligible to use Form S-3 (or any successor form) for secondary sales any Holder may request (by written notice to the Company stating the number of Registrable Securities proposed to be sold and the intended method of disposition) that the Company file a registration statement on Form S-3 (or any successor form) for a public sale of all or any portion of the Registrable Securities beneficially owned by it (which may include a "shelf" registration under Rule 415 under the Act, or any successor rule), provided that the reasonably anticipated aggregate price to the public of such Registrable Securities shall be at least $2.5 million. Upon receiving such request, the Company shall use its reasonable best efforts to promptly file a registration statement on Form S-3 (or any successor form) to register under the Act for public sale in accordance with the method of disposition specified in such request, the number of shares of Registrable Securities specified in such request and shall otherwise carry out the actions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specified in Section 1.1.2 and 1.4. The Company shall not be obligated to file more than two registration statements on Form S-3 (or any successor form) pursuant to this Section 1.3 within any eighteen month period. Notwithstanding anything contained in this Section 1.3 to the contrary, neither CPQ nor HP shall possess any registration rights pursuant to this Section 1.3.</w:t>
      </w:r>
    </w:p>
    <w:p>
      <w:pPr>
        <w:spacing w:after="0" w:line="194" w:lineRule="exact"/>
        <w:rPr>
          <w:sz w:val="20"/>
          <w:szCs w:val="20"/>
          <w:color w:val="auto"/>
        </w:rPr>
      </w:pPr>
    </w:p>
    <w:p>
      <w:pPr>
        <w:ind w:right="220" w:firstLine="176"/>
        <w:spacing w:after="0" w:line="268" w:lineRule="auto"/>
        <w:rPr>
          <w:sz w:val="20"/>
          <w:szCs w:val="20"/>
          <w:color w:val="auto"/>
        </w:rPr>
      </w:pPr>
      <w:r>
        <w:rPr>
          <w:rFonts w:ascii="Arial" w:cs="Arial" w:eastAsia="Arial" w:hAnsi="Arial"/>
          <w:sz w:val="18"/>
          <w:szCs w:val="18"/>
          <w:color w:val="auto"/>
        </w:rPr>
        <w:t>1.4. Registration Procedures. Whenever any Holder has requested that any shares of Common Stock be registered pursuant to Sections 1.1, 1.2 or 1.3 hereof, the Company shall, as expeditiously as reasonably possible:</w:t>
      </w:r>
    </w:p>
    <w:p>
      <w:pPr>
        <w:spacing w:after="0" w:line="186" w:lineRule="exact"/>
        <w:rPr>
          <w:sz w:val="20"/>
          <w:szCs w:val="20"/>
          <w:color w:val="auto"/>
        </w:rPr>
      </w:pPr>
    </w:p>
    <w:p>
      <w:pPr>
        <w:jc w:val="both"/>
        <w:ind w:left="540" w:right="260" w:firstLine="184"/>
        <w:spacing w:after="0" w:line="298" w:lineRule="auto"/>
        <w:tabs>
          <w:tab w:leader="none" w:pos="954"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prepare and file with the SEC a registration statement with respect to such shares and use its reasonable best efforts to cause such registration statement to become effective as soon as reasonably practicable thereafter (provided that before filing a registration statement or prospectus or any amendments or supplements thereto, the Company shall furnish counsel for such Holder with copies of all such documents proposed to be filed) and to cause such registration statement to comply as to form and content in all material respects with the SEC's forms, rules and regulations;</w:t>
      </w:r>
    </w:p>
    <w:p>
      <w:pPr>
        <w:spacing w:after="0" w:line="166" w:lineRule="exact"/>
        <w:rPr>
          <w:rFonts w:ascii="Arial" w:cs="Arial" w:eastAsia="Arial" w:hAnsi="Arial"/>
          <w:sz w:val="16"/>
          <w:szCs w:val="16"/>
          <w:color w:val="auto"/>
        </w:rPr>
      </w:pPr>
    </w:p>
    <w:p>
      <w:pPr>
        <w:ind w:left="540" w:right="40" w:firstLine="184"/>
        <w:spacing w:after="0" w:line="286" w:lineRule="auto"/>
        <w:tabs>
          <w:tab w:leader="none" w:pos="964"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supplements to such registration statement and prospectus used in connection therewith as may be necessary to keep such registration statement effective for a period of not less than 120 days (2 years in the case of a registration pursuant to</w:t>
      </w:r>
    </w:p>
    <w:p>
      <w:pPr>
        <w:ind w:left="540"/>
        <w:spacing w:after="0"/>
        <w:rPr>
          <w:rFonts w:ascii="Arial" w:cs="Arial" w:eastAsia="Arial" w:hAnsi="Arial"/>
          <w:sz w:val="16"/>
          <w:szCs w:val="16"/>
          <w:color w:val="auto"/>
        </w:rPr>
      </w:pPr>
      <w:r>
        <w:rPr>
          <w:rFonts w:ascii="Arial" w:cs="Arial" w:eastAsia="Arial" w:hAnsi="Arial"/>
          <w:sz w:val="18"/>
          <w:szCs w:val="18"/>
          <w:color w:val="auto"/>
        </w:rPr>
        <w:t>Section 1.3 hereof) or until such Holder has completed the distribution described in such registration statement, whichever occurs first;</w:t>
      </w:r>
    </w:p>
    <w:p>
      <w:pPr>
        <w:spacing w:after="0" w:line="218" w:lineRule="exact"/>
        <w:rPr>
          <w:rFonts w:ascii="Arial" w:cs="Arial" w:eastAsia="Arial" w:hAnsi="Arial"/>
          <w:sz w:val="16"/>
          <w:szCs w:val="16"/>
          <w:color w:val="auto"/>
        </w:rPr>
      </w:pPr>
    </w:p>
    <w:p>
      <w:pPr>
        <w:ind w:left="540" w:right="260" w:firstLine="184"/>
        <w:spacing w:after="0" w:line="332" w:lineRule="auto"/>
        <w:tabs>
          <w:tab w:leader="none" w:pos="954" w:val="left"/>
        </w:tabs>
        <w:numPr>
          <w:ilvl w:val="0"/>
          <w:numId w:val="16"/>
        </w:numPr>
        <w:rPr>
          <w:rFonts w:ascii="Arial" w:cs="Arial" w:eastAsia="Arial" w:hAnsi="Arial"/>
          <w:sz w:val="16"/>
          <w:szCs w:val="16"/>
          <w:color w:val="auto"/>
        </w:rPr>
      </w:pPr>
      <w:r>
        <w:rPr>
          <w:rFonts w:ascii="Arial" w:cs="Arial" w:eastAsia="Arial" w:hAnsi="Arial"/>
          <w:sz w:val="16"/>
          <w:szCs w:val="16"/>
          <w:color w:val="auto"/>
        </w:rPr>
        <w:t>furnish to such Holder such number of copies of such registration statement, each amendment and supplement thereto, the prospectus included in such registration statement (including each preliminary prospectus), and such other documents as such Holder may reasonably request;</w:t>
      </w:r>
    </w:p>
    <w:p>
      <w:pPr>
        <w:spacing w:after="0" w:line="139" w:lineRule="exact"/>
        <w:rPr>
          <w:rFonts w:ascii="Arial" w:cs="Arial" w:eastAsia="Arial" w:hAnsi="Arial"/>
          <w:sz w:val="16"/>
          <w:szCs w:val="16"/>
          <w:color w:val="auto"/>
        </w:rPr>
      </w:pPr>
    </w:p>
    <w:p>
      <w:pPr>
        <w:ind w:left="540" w:firstLine="184"/>
        <w:spacing w:after="0" w:line="288" w:lineRule="auto"/>
        <w:tabs>
          <w:tab w:leader="none" w:pos="964" w:val="left"/>
        </w:tabs>
        <w:numPr>
          <w:ilvl w:val="0"/>
          <w:numId w:val="16"/>
        </w:numPr>
        <w:rPr>
          <w:rFonts w:ascii="Arial" w:cs="Arial" w:eastAsia="Arial" w:hAnsi="Arial"/>
          <w:sz w:val="16"/>
          <w:szCs w:val="16"/>
          <w:color w:val="auto"/>
        </w:rPr>
      </w:pPr>
      <w:r>
        <w:rPr>
          <w:rFonts w:ascii="Arial" w:cs="Arial" w:eastAsia="Arial" w:hAnsi="Arial"/>
          <w:sz w:val="16"/>
          <w:szCs w:val="16"/>
          <w:color w:val="auto"/>
        </w:rPr>
        <w:t>use its reasonable efforts to register or qualify such shares under such other securities or blue sky laws of such jurisdictions as such Holder requests (and to maintain such registrations and qualifications effective for a period of 120 days (2 years in the case of a registration pursuant to Section 1.3 hereof) or until such Holder has completed the distribution of such shares, whichever occurs first), and to do any and all other acts and things which may be necessary or advisable to enable such Holder to consummate the disposition in such jurisdictions of such shares (provided that the Company will not be required to (i) qualify generally to do business in any jurisdiction where it would not be required but for this subsection (4), (ii) subject itself to taxation in any such jurisdiction, or (iii) file any general consent to service of process in any such jurisdiction); provided that, notwithstanding anything to the contrary in this Agreement with respect to the bearing of expenses, if any such jurisdiction shall require that expenses incurred in connection with the qualification of such shares in that jurisdiction be borne in part or full by such Holder, then such Holder shall pay such expenses to the extent required by such jurisdiction;</w:t>
      </w:r>
    </w:p>
    <w:p>
      <w:pPr>
        <w:spacing w:after="0" w:line="173" w:lineRule="exact"/>
        <w:rPr>
          <w:rFonts w:ascii="Arial" w:cs="Arial" w:eastAsia="Arial" w:hAnsi="Arial"/>
          <w:sz w:val="16"/>
          <w:szCs w:val="16"/>
          <w:color w:val="auto"/>
        </w:rPr>
      </w:pPr>
    </w:p>
    <w:p>
      <w:pPr>
        <w:ind w:left="540" w:right="60" w:firstLine="184"/>
        <w:spacing w:after="0" w:line="291" w:lineRule="auto"/>
        <w:tabs>
          <w:tab w:leader="none" w:pos="954"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notify such Holder, at any time when a prospectus relating thereto is required to be delivered under the Act within the period that the Company is required to keep the registration statement effective, of the happening of any event as a result of which the prospectus included in any such registration statement contains an untrue statement of a material fact or omits any fact necessary to make the statements therein not misleading, and promptly prepare, file and furnish to the Holder a supplement or amendment to such prospectus so that, as thereafter delivered to the purchasers of such shares, such prospectus will not contain an untrue statement of a material fact or omit to state a material fact required to be stated therein or, in light of the circumstances then existing, necessary to make the statements therein not misleading;</w:t>
      </w:r>
    </w:p>
    <w:p>
      <w:pPr>
        <w:spacing w:after="0" w:line="174" w:lineRule="exact"/>
        <w:rPr>
          <w:rFonts w:ascii="Arial" w:cs="Arial" w:eastAsia="Arial" w:hAnsi="Arial"/>
          <w:sz w:val="16"/>
          <w:szCs w:val="16"/>
          <w:color w:val="auto"/>
        </w:rPr>
      </w:pPr>
    </w:p>
    <w:p>
      <w:pPr>
        <w:ind w:left="980" w:hanging="25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cause all such shares to be listed on securities exchanges, if any, on which similar securities issued by the Company are then listed;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hanging="25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a transfer agent and registrar for all such shares not later than the effective date of such registration statement;</w:t>
      </w:r>
    </w:p>
    <w:p>
      <w:pPr>
        <w:spacing w:after="0" w:line="225" w:lineRule="exact"/>
        <w:rPr>
          <w:rFonts w:ascii="Arial" w:cs="Arial" w:eastAsia="Arial" w:hAnsi="Arial"/>
          <w:sz w:val="18"/>
          <w:szCs w:val="18"/>
          <w:color w:val="auto"/>
        </w:rPr>
      </w:pPr>
    </w:p>
    <w:p>
      <w:pPr>
        <w:ind w:left="540" w:right="140" w:firstLine="184"/>
        <w:spacing w:after="0" w:line="268" w:lineRule="auto"/>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such customary agreements and take all such other actions as such Holder reasonably requests (and subject to its reasonable approval) in order to expedite or facilitate the disposition of such shares;</w:t>
      </w:r>
    </w:p>
    <w:p>
      <w:pPr>
        <w:spacing w:after="0" w:line="185" w:lineRule="exact"/>
        <w:rPr>
          <w:rFonts w:ascii="Arial" w:cs="Arial" w:eastAsia="Arial" w:hAnsi="Arial"/>
          <w:sz w:val="18"/>
          <w:szCs w:val="18"/>
          <w:color w:val="auto"/>
        </w:rPr>
      </w:pPr>
    </w:p>
    <w:p>
      <w:pPr>
        <w:ind w:left="540" w:right="40" w:firstLine="184"/>
        <w:spacing w:after="0" w:line="259" w:lineRule="auto"/>
        <w:tabs>
          <w:tab w:leader="none" w:pos="9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available for inspection by such Holder, by any underwriter participating in any distribution pursuant to such registration statement, and by any attorney, accountant or other agent retained by such Holder or by any such underwriter, all financial and other records, pertinent corporate documents, and properties (other than confidential intellectual property) of the Company;</w:t>
      </w:r>
    </w:p>
    <w:p>
      <w:pPr>
        <w:spacing w:after="0" w:line="194" w:lineRule="exact"/>
        <w:rPr>
          <w:rFonts w:ascii="Arial" w:cs="Arial" w:eastAsia="Arial" w:hAnsi="Arial"/>
          <w:sz w:val="18"/>
          <w:szCs w:val="18"/>
          <w:color w:val="auto"/>
        </w:rPr>
      </w:pPr>
    </w:p>
    <w:p>
      <w:pPr>
        <w:ind w:left="540" w:right="160" w:firstLine="184"/>
        <w:spacing w:after="0" w:line="323" w:lineRule="auto"/>
        <w:tabs>
          <w:tab w:leader="none" w:pos="969"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the offering is underwritten and at the request of any seller of Registrable Securities, use its best efforts to furnish on the date that Registrable Securities are delivered to the underwriters for sale pursuant to such registration: (i) an opinion dated such date of counsel representing the Company for the purposes of such registration, addressed to the underwriters and to such seller, stating that such registration statement has become effective under the Act and that (A) to the best knowledge of such counsel, no stop order suspending the effectiveness thereof has been issued and no proceedings for that</w:t>
      </w:r>
    </w:p>
    <w:p>
      <w:pPr>
        <w:sectPr>
          <w:pgSz w:w="11900" w:h="16872" w:orient="portrait"/>
          <w:cols w:equalWidth="0" w:num="1">
            <w:col w:w="11420"/>
          </w:cols>
          <w:pgMar w:left="240" w:top="131" w:right="239" w:bottom="0" w:gutter="0" w:footer="0" w:header="0"/>
        </w:sectPr>
      </w:pPr>
    </w:p>
    <w:bookmarkStart w:id="13" w:name="page14"/>
    <w:bookmarkEnd w:id="13"/>
    <w:p>
      <w:pPr>
        <w:spacing w:after="0" w:line="69" w:lineRule="exact"/>
        <w:rPr>
          <w:sz w:val="20"/>
          <w:szCs w:val="20"/>
          <w:color w:val="auto"/>
        </w:rPr>
      </w:pPr>
    </w:p>
    <w:p>
      <w:pPr>
        <w:ind w:left="360" w:right="60"/>
        <w:spacing w:after="0" w:line="286" w:lineRule="auto"/>
        <w:rPr>
          <w:sz w:val="20"/>
          <w:szCs w:val="20"/>
          <w:color w:val="auto"/>
        </w:rPr>
      </w:pPr>
      <w:r>
        <w:rPr>
          <w:rFonts w:ascii="Arial" w:cs="Arial" w:eastAsia="Arial" w:hAnsi="Arial"/>
          <w:sz w:val="16"/>
          <w:szCs w:val="16"/>
          <w:color w:val="auto"/>
        </w:rPr>
        <w:t>purpose have been instituted or are pending or contemplated under the Act, (B) the registration statement, the related prospectus and each amendment or supplement thereof comply as to form in all material respects with the requirements of the Act (except that such counsel need not express any opinion as to financial statements or other financial or statistical data contained therein), (C) to such other customary matters as reasonably may be requested by counsel for the underwriters or by such seller or its counsel and (D) (not an opinion but as a negative assurance) that to the best knowledge of such counsel, such registration statement does not contain a material misrepresentation or omission to state a material fact necessary to make the statements therein not misleading; and (ii) a letter dated such date from the independent public accountants retained by the Company, addressed to the underwriters and to such seller, stating that they are independent public accountants within the meaning of the Act and that, in the opinion of such accountants, the financial statements of the Company included in the registration statement or the prospectus, or any amendment or supplement thereof, comply as to form in all material respects with the applicable accounting requirements of the Act, and such letter shall additionally cover such other financial matters (including information as to the period ending no more than five business days prior to the date of such letter) with respect to such registration as such underwriters reasonably may request; and</w:t>
      </w:r>
    </w:p>
    <w:p>
      <w:pPr>
        <w:spacing w:after="0" w:line="181" w:lineRule="exact"/>
        <w:rPr>
          <w:sz w:val="20"/>
          <w:szCs w:val="20"/>
          <w:color w:val="auto"/>
        </w:rPr>
      </w:pPr>
    </w:p>
    <w:p>
      <w:pPr>
        <w:ind w:left="360" w:right="440" w:firstLine="184"/>
        <w:spacing w:after="0" w:line="259" w:lineRule="auto"/>
        <w:tabs>
          <w:tab w:leader="none" w:pos="7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connection with an underwritten offering pursuant to a registration statement filed pursuant to Section 1.1 hereof, enter into an underwriting agreement in customary form and containing customary provisions, including provisions for indemnification of underwriters and contribution, if so requested by any underwriter.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1.5. Holdback Agreement.</w:t>
      </w:r>
    </w:p>
    <w:p>
      <w:pPr>
        <w:spacing w:after="0" w:line="225" w:lineRule="exact"/>
        <w:rPr>
          <w:sz w:val="20"/>
          <w:szCs w:val="20"/>
          <w:color w:val="auto"/>
        </w:rPr>
      </w:pPr>
    </w:p>
    <w:p>
      <w:pPr>
        <w:ind w:left="360" w:firstLine="184"/>
        <w:spacing w:after="0" w:line="253" w:lineRule="auto"/>
        <w:tabs>
          <w:tab w:leader="none" w:pos="7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if after any registration statement to which the rights hereunder apply becomes effective (and prior to completion of any sales thereunder), the Board of Directors determines in good faith that the failure of the Company to (i) suspend sales of stock under the registration statement or (ii) amend or supplement the registration statement, would have a material adverse effect on the Company, the Company shall so notify each Holder participating in such registration and each Holder shall suspend any further sales under such registration statement until the Company advises the Holder that the registration statement has been amended or that conditions no longer exist which would require such suspension, provided that the Company may impose any such suspension for no more than 30 days and no more than 2 times during any twelve month period.</w:t>
      </w:r>
    </w:p>
    <w:p>
      <w:pPr>
        <w:spacing w:after="0" w:line="20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right="60" w:firstLine="184"/>
        <w:spacing w:after="0" w:line="298" w:lineRule="auto"/>
        <w:tabs>
          <w:tab w:leader="none" w:pos="7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event that the Company effects a registration of any securities under the Act in an underwritten public offering, each Holder agrees not to effect any sale, transfer, disposition or distribution, including any sale pursuant to Rule 144 under the Act, of any Equity Securities (except as part of such offering) during the 90-day period commencing with the effective date of the registration statement for any public offering, provided that all officers, directors and holders of 5% or more of the Company's outstanding voting securities enter into agreements providing for similar restrictions on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1.6. Registration Expenses.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1.6.1. Holder Expenses.</w:t>
      </w:r>
    </w:p>
    <w:p>
      <w:pPr>
        <w:spacing w:after="0" w:line="225" w:lineRule="exact"/>
        <w:rPr>
          <w:sz w:val="20"/>
          <w:szCs w:val="20"/>
          <w:color w:val="auto"/>
        </w:rPr>
      </w:pPr>
    </w:p>
    <w:p>
      <w:pPr>
        <w:ind w:left="360" w:right="60" w:firstLine="176"/>
        <w:spacing w:after="0" w:line="259" w:lineRule="auto"/>
        <w:rPr>
          <w:sz w:val="20"/>
          <w:szCs w:val="20"/>
          <w:color w:val="auto"/>
        </w:rPr>
      </w:pPr>
      <w:r>
        <w:rPr>
          <w:rFonts w:ascii="Arial" w:cs="Arial" w:eastAsia="Arial" w:hAnsi="Arial"/>
          <w:sz w:val="18"/>
          <w:szCs w:val="18"/>
          <w:color w:val="auto"/>
        </w:rPr>
        <w:t>If, pursuant to Sections 1.1, 1.2 or 1.3 hereof, Registrable Securities are included in a registration statement, then the Holder thereof shall pay all transfer taxes, if any, relating to the sale of its shares, and any underwriting discounts or commissions or the equivalent thereof applicable to the sale of its shares.</w:t>
      </w:r>
    </w:p>
    <w:p>
      <w:pPr>
        <w:spacing w:after="0" w:line="194" w:lineRule="exact"/>
        <w:rPr>
          <w:sz w:val="20"/>
          <w:szCs w:val="20"/>
          <w:color w:val="auto"/>
        </w:rPr>
      </w:pPr>
    </w:p>
    <w:p>
      <w:pPr>
        <w:ind w:left="360" w:right="140" w:firstLine="176"/>
        <w:spacing w:after="0" w:line="288" w:lineRule="auto"/>
        <w:rPr>
          <w:sz w:val="20"/>
          <w:szCs w:val="20"/>
          <w:color w:val="auto"/>
        </w:rPr>
      </w:pPr>
      <w:r>
        <w:rPr>
          <w:rFonts w:ascii="Arial" w:cs="Arial" w:eastAsia="Arial" w:hAnsi="Arial"/>
          <w:sz w:val="16"/>
          <w:szCs w:val="16"/>
          <w:color w:val="auto"/>
        </w:rPr>
        <w:t>1.6.2. Company Expenses. Except for the fees and expenses specified in Section 1.6.1 hereof and except as provided below in this Section 1.6.2, the Company shall pay all expenses incident to the registration of shares by the Company and any Holders pursuant to Sections 1.1, 1.2 or 1.3 hereof, and to the Company's performance of or compliance with this Agreement, including, without limitation, all registration and filing fees, fees and expenses of compliance with securities or blue sky laws, underwriting discounts, fees and expenses (other than any Holder's portion of any underwriting discounts or commissions or the equivalent thereof), printing expenses, messenger and delivery expenses, and fees and expenses of counsel for the Company and a single counsel for all Holders selling shares (the fees of such counsel not to exceed $20,000 and not to exceed $5,000 in connection with a shelf registration pursuant to Section 1.3 hereof; provided that in the case of registrations of shares pursuant to Section 1.2 hereof, the Company shall not be responsible for counsel fees of more than $50,000 in the aggregate for all such registrations pursuant to Section 1.2 hereof) and all independent certified public accountants and other persons retained by the Company.</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1.6.3. Indemnity and Contribution.</w:t>
      </w:r>
    </w:p>
    <w:p>
      <w:pPr>
        <w:spacing w:after="0" w:line="225" w:lineRule="exact"/>
        <w:rPr>
          <w:sz w:val="20"/>
          <w:szCs w:val="20"/>
          <w:color w:val="auto"/>
        </w:rPr>
      </w:pPr>
    </w:p>
    <w:p>
      <w:pPr>
        <w:ind w:left="900" w:right="80" w:firstLine="184"/>
        <w:spacing w:after="0" w:line="286" w:lineRule="auto"/>
        <w:tabs>
          <w:tab w:leader="none" w:pos="1314"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event that any shares owned by a Holder are proposed to be offered by means of a registration statement pursuant to Sections 1.1, 1.2 or 1.3 hereof, to the extent permitted by law, the Company agrees to indemnify and hold harmless such Holder, any underwriter participating in such offering, each officer, partner, manager and director of such person, each person, if any, who controls or may control such Holder or underwriter within the meaning of the Act and each representative of any Holder serving on the Board of Directors of the Company (such Holder or underwriter, its officers, partners, managers, directors and representatives, and any such other persons being hereinafter referred to individually as an "INVESTOR INDEMNIFIED PERSON" and collectively as "INVESTOR INDEMNIFIED PERSONS") from and against all demands, claims, actions or causes of action, assessments, losses, damages, liabilities, costs, and expenses, including, without limitation, interest, penalties, and attorneys' fees and disbursements, asserted against, resulting to, imposed upon or incurred by such Investor Indemnified Person, directly or indirectly (hereinafter referred to in this Section 1.6.3 in the singular as a "claim" and in the plural as "claims"), based upon, arising out of or resulting from any breach of representation or warranty made by the Company in any underwriting agreement or any untrue statement or alleged untrue statement of a material fact contained in the registration statement or any omission or alleged omission to state therein a material fact necessary to make the statements made therein, in the light of the circumstances under which they were made, not misleading, except insofar as such claim is</w:t>
      </w:r>
    </w:p>
    <w:p>
      <w:pPr>
        <w:spacing w:after="0" w:line="17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00" w:right="760"/>
        <w:spacing w:after="0" w:line="268" w:lineRule="auto"/>
        <w:rPr>
          <w:sz w:val="20"/>
          <w:szCs w:val="20"/>
          <w:color w:val="auto"/>
        </w:rPr>
      </w:pPr>
      <w:r>
        <w:rPr>
          <w:rFonts w:ascii="Arial" w:cs="Arial" w:eastAsia="Arial" w:hAnsi="Arial"/>
          <w:sz w:val="18"/>
          <w:szCs w:val="18"/>
          <w:color w:val="auto"/>
        </w:rPr>
        <w:t>based upon, arises out of or results from information urnished to the Company in writing by such Investor Indemnified Person for use in connection with the registration statement.</w:t>
      </w:r>
    </w:p>
    <w:p>
      <w:pPr>
        <w:spacing w:after="0" w:line="186" w:lineRule="exact"/>
        <w:rPr>
          <w:sz w:val="20"/>
          <w:szCs w:val="20"/>
          <w:color w:val="auto"/>
        </w:rPr>
      </w:pPr>
    </w:p>
    <w:p>
      <w:pPr>
        <w:ind w:left="900" w:right="100" w:firstLine="184"/>
        <w:spacing w:after="0" w:line="370" w:lineRule="auto"/>
        <w:tabs>
          <w:tab w:leader="none" w:pos="1324"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 the event that any shares owned by a Holder are proposed to be offered by means of a registration statement pursuant to Sections 1.1, 1.2 or 1.3 hereof, to the extent permitted by law, each such Holder agrees, severally and not jointly, to indemnify and hold harmless the Company,</w:t>
      </w:r>
    </w:p>
    <w:p>
      <w:pPr>
        <w:sectPr>
          <w:pgSz w:w="11900" w:h="16908" w:orient="portrait"/>
          <w:cols w:equalWidth="0" w:num="1">
            <w:col w:w="11240"/>
          </w:cols>
          <w:pgMar w:left="420" w:top="131" w:right="239" w:bottom="0" w:gutter="0" w:footer="0" w:header="0"/>
        </w:sectPr>
      </w:pPr>
    </w:p>
    <w:bookmarkStart w:id="14" w:name="page15"/>
    <w:bookmarkEnd w:id="14"/>
    <w:p>
      <w:pPr>
        <w:ind w:left="1080" w:right="80"/>
        <w:spacing w:after="0" w:line="287" w:lineRule="auto"/>
        <w:rPr>
          <w:sz w:val="20"/>
          <w:szCs w:val="20"/>
          <w:color w:val="auto"/>
        </w:rPr>
      </w:pPr>
      <w:r>
        <w:rPr>
          <w:rFonts w:ascii="Arial" w:cs="Arial" w:eastAsia="Arial" w:hAnsi="Arial"/>
          <w:sz w:val="16"/>
          <w:szCs w:val="16"/>
          <w:color w:val="auto"/>
        </w:rPr>
        <w:t>each officer of the Company who signs the Registration Statement, each director of the Company, any underwriter participating in such offering, and each person, if any, who controls or may control the Company or such underwriter within the meaning of the Act (the Company, such officers and directors of the Company, such underwriter, and any such other persons also being hereinafter referred to individually as a "COMPANY INDEMNIFIED PERSON" and collectively as "COMPANY INDEMNIFIED PERSONS") from and against all claims based upon, arising out of or resulting from any untrue statement or alleged untrue statement of a material fact contained in the registration statement or any omission or alleged omission to state therein a material fact necessary in order to make the statement made therein, in the light of the circumstances under which they were made, not misleading, but only to the extent that such claim is based upon, arises out of or results from information furnished to the Company in writing by such Holder explicitly for use in connection with the registration statement; provided, however, that a Holder shall be under no obligation to indemnify or hold harmless any Company Indemnified Persons with respect to any amount in excess of the net cash proceeds paid to such Holder in connection with any sales of securities effected under such registration statement.</w:t>
      </w:r>
    </w:p>
    <w:p>
      <w:pPr>
        <w:spacing w:after="0" w:line="177" w:lineRule="exact"/>
        <w:rPr>
          <w:sz w:val="20"/>
          <w:szCs w:val="20"/>
          <w:color w:val="auto"/>
        </w:rPr>
      </w:pPr>
    </w:p>
    <w:p>
      <w:pPr>
        <w:ind w:left="1080" w:right="20" w:firstLine="184"/>
        <w:spacing w:after="0" w:line="283" w:lineRule="auto"/>
        <w:tabs>
          <w:tab w:leader="none" w:pos="1491"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indemnification provisions set forth herein shall be in addition to any liability the Company or any Holder may otherwise have to the Investor Indemnified Persons or Company Indemnified Persons. The Company Indemnified Persons and the Investor Indemnified Persons are hereinafter referred to as Indemnified Persons. Promptly after receiving notice of any claim in respect of which an Indemnified Person may seek indemnification under this Section 1.6.3, such Indemnified Person shall submit written notice thereof to either the Company or the Holders, as the case may be (sometimes being hereinafter referred to as an "Indemnifying Person"). The omission of the Indemnified Person so to notify the Indemnifying Person of any such claim shall not relieve the Indemnifying Person from any liability it may have hereunder except to the extent that</w:t>
      </w:r>
    </w:p>
    <w:p>
      <w:pPr>
        <w:spacing w:after="0" w:line="1" w:lineRule="exact"/>
        <w:rPr>
          <w:rFonts w:ascii="Arial" w:cs="Arial" w:eastAsia="Arial" w:hAnsi="Arial"/>
          <w:sz w:val="16"/>
          <w:szCs w:val="16"/>
          <w:color w:val="auto"/>
        </w:rPr>
      </w:pPr>
    </w:p>
    <w:p>
      <w:pPr>
        <w:ind w:left="1080" w:firstLine="8"/>
        <w:spacing w:after="0" w:line="285" w:lineRule="auto"/>
        <w:tabs>
          <w:tab w:leader="none" w:pos="1319"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liability was caused or increased by such omission, or (b) the ability of the Indemnifying Person to reduce such liability was materially adversely affected by such omission. In addition, the omission of the Indemnified Person so to notify the Indemnifying Person of any such claim shall not relieve the Indemnifying Person from any liability it may have otherwise than hereunder. The Indemnifying Person shall have the right to undertake, by counsel or representatives of its own choosing, the defense, compromise or settlement (without admitting liability of the Indemnified Person) of any such claim asserted, such defense, compromise or settlement to be undertaken at the expense and risk of the Indemnifying Person, and the Indemnified Person shall have the right to engage separate counsel, at its own expense, whom counsel for the Indemnifying Person shall keep informed and consult with in a reasonable manner; provided, however, if the defendants in any such action include both the Indemnified Person and the Indemnifying Person and the Indemnified Person shall have reasonably concluded that there may be a conflict between the positions of the Indemnifying Person and the Indemnified Person in conducting the defense of any such action or that there may be legal defenses available to it and/or other Indemnified Persons which are different from or additional to those available to the Indemnifying Person, the Indemnified Person shall have the right to select separate counsel to assume such legal defenses and to otherwise participate in the defense of such action on behalf of the Indemnified Person at the expense of the Indemnifying Person. In the event the Indemnifying Person shall elect not to undertake such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00"/>
        <w:spacing w:after="0" w:line="294" w:lineRule="auto"/>
        <w:rPr>
          <w:sz w:val="20"/>
          <w:szCs w:val="20"/>
          <w:color w:val="auto"/>
        </w:rPr>
      </w:pPr>
      <w:r>
        <w:rPr>
          <w:rFonts w:ascii="Arial" w:cs="Arial" w:eastAsia="Arial" w:hAnsi="Arial"/>
          <w:sz w:val="16"/>
          <w:szCs w:val="16"/>
          <w:color w:val="auto"/>
        </w:rPr>
        <w:t>defense by its own representatives, the Indemnifying Person shall give prompt written notice of such election to the Indemnified Person, and the Indemnified Person shall undertake the defense, compromise or settlement (without admitting liability of the Indemnified Person) thereof on behalf of and for the account and risk of the Indemnifying Person by counsel or other representatives designated by the Indemnified Person. Notwithstanding the foregoing, no Indemnifying Person shall be obligated hereunder with respect to amounts paid in settlement of any claim if such settlement is effected without the consent of such Indemnifying Person (such consent not to be unreasonably withheld).</w:t>
      </w:r>
    </w:p>
    <w:p>
      <w:pPr>
        <w:spacing w:after="0" w:line="170" w:lineRule="exact"/>
        <w:rPr>
          <w:sz w:val="20"/>
          <w:szCs w:val="20"/>
          <w:color w:val="auto"/>
        </w:rPr>
      </w:pPr>
    </w:p>
    <w:p>
      <w:pPr>
        <w:ind w:left="1520" w:hanging="256"/>
        <w:spacing w:after="0"/>
        <w:tabs>
          <w:tab w:leader="none" w:pos="1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1.6 is held by a court of competent jurisdiction to be unavailable to an Indemnified</w:t>
      </w:r>
    </w:p>
    <w:p>
      <w:pPr>
        <w:spacing w:after="0" w:line="38" w:lineRule="exact"/>
        <w:rPr>
          <w:rFonts w:ascii="Arial" w:cs="Arial" w:eastAsia="Arial" w:hAnsi="Arial"/>
          <w:sz w:val="16"/>
          <w:szCs w:val="16"/>
          <w:color w:val="auto"/>
        </w:rPr>
      </w:pPr>
    </w:p>
    <w:p>
      <w:pPr>
        <w:ind w:left="1080" w:right="120"/>
        <w:spacing w:after="0" w:line="287" w:lineRule="auto"/>
        <w:rPr>
          <w:rFonts w:ascii="Arial" w:cs="Arial" w:eastAsia="Arial" w:hAnsi="Arial"/>
          <w:sz w:val="16"/>
          <w:szCs w:val="16"/>
          <w:color w:val="auto"/>
        </w:rPr>
      </w:pPr>
      <w:r>
        <w:rPr>
          <w:rFonts w:ascii="Arial" w:cs="Arial" w:eastAsia="Arial" w:hAnsi="Arial"/>
          <w:sz w:val="16"/>
          <w:szCs w:val="16"/>
          <w:color w:val="auto"/>
        </w:rPr>
        <w:t>Person, then the Indemnifying Person, in lieu of indemnifying such Indemnified Person hereunder, shall contribute to the amount paid or payable by such Indemnified Person as a result of any losses or claims in such proportion as is appropriate to reflect the relative fault of the Indemnified Person on the one hand and the Indemnifying Person on the other in connection with the statements or omissions that resulted in such losses or claims as well as any other relevant equitable considerations. The relative fault of the Indemnified Person and the Indemnifying Person shall be determined by reference to, among other things, whether the untrue or alleged untrue statement of a material fact or the omission or alleged omission to state a material fact relates to information supplied by the Indemnifying Person or by the Indemnified Person and the parties' relative intent, knowledge and access to information and opportunity to correct or prevent such statement or omission. In no event will the liability of any Holder for contribution exceed the net proceeds received by such Holder in any sale of securities to which such liability relates.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1.7. Grant and Transfer of Registration Rights.</w:t>
      </w:r>
    </w:p>
    <w:p>
      <w:pPr>
        <w:spacing w:after="0" w:line="225" w:lineRule="exact"/>
        <w:rPr>
          <w:sz w:val="20"/>
          <w:szCs w:val="20"/>
          <w:color w:val="auto"/>
        </w:rPr>
      </w:pPr>
    </w:p>
    <w:p>
      <w:pPr>
        <w:ind w:right="20" w:firstLine="176"/>
        <w:spacing w:after="0" w:line="283" w:lineRule="auto"/>
        <w:rPr>
          <w:sz w:val="20"/>
          <w:szCs w:val="20"/>
          <w:color w:val="auto"/>
        </w:rPr>
      </w:pPr>
      <w:r>
        <w:rPr>
          <w:rFonts w:ascii="Arial" w:cs="Arial" w:eastAsia="Arial" w:hAnsi="Arial"/>
          <w:sz w:val="16"/>
          <w:szCs w:val="16"/>
          <w:color w:val="auto"/>
        </w:rPr>
        <w:t>Except for registration rights granted by the Company after the date hereof (a) in connection with business acquisitions and which relate solely to registrations on Form S-3 or (b) which are subordinate to the rights of the Holders hereunder, the Company shall not grant any registration rights to any other person or entity without the prior written consent of the Initiating Holders, which consent shall not be unreasonably withheld or delayed. Holders shall have the right to transfer or assign the rights contained in this Agreement (i) to any limited partner or affiliate of a Holder in connection with the transfer of any Registrable Securities or</w:t>
      </w:r>
    </w:p>
    <w:p>
      <w:pPr>
        <w:spacing w:after="0" w:line="3" w:lineRule="exact"/>
        <w:rPr>
          <w:sz w:val="20"/>
          <w:szCs w:val="20"/>
          <w:color w:val="auto"/>
        </w:rPr>
      </w:pPr>
    </w:p>
    <w:p>
      <w:pPr>
        <w:ind w:right="200" w:firstLine="8"/>
        <w:spacing w:after="0" w:line="292" w:lineRule="auto"/>
        <w:tabs>
          <w:tab w:leader="none" w:pos="25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any third party transferee acquiring at least 20% of the Registrable Securities issued to the Holder as of the date hereof or the shares of Common Stock issued upon conversion of such Registrable Securities; provided: (a) the Company is, within thirty (30) days after such transfer, furnished with written notice of the name and address of such transferee or assignee and the securities with respect to which such registration rights are being assigned; (b) such transferee or assignee agrees in writing to be bound by and subject to the terms and conditions of this Agreement; and (c) such assignment shall be effective only if immediately following such transfer the further disposition of such securities by the transferee or assignee is restricted under the Act.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1.8. Information From Holder.</w:t>
      </w:r>
    </w:p>
    <w:p>
      <w:pPr>
        <w:spacing w:after="0" w:line="225" w:lineRule="exact"/>
        <w:rPr>
          <w:sz w:val="20"/>
          <w:szCs w:val="20"/>
          <w:color w:val="auto"/>
        </w:rPr>
      </w:pPr>
    </w:p>
    <w:p>
      <w:pPr>
        <w:ind w:right="40" w:firstLine="176"/>
        <w:spacing w:after="0" w:line="306" w:lineRule="auto"/>
        <w:rPr>
          <w:sz w:val="20"/>
          <w:szCs w:val="20"/>
          <w:color w:val="auto"/>
        </w:rPr>
      </w:pPr>
      <w:r>
        <w:rPr>
          <w:rFonts w:ascii="Arial" w:cs="Arial" w:eastAsia="Arial" w:hAnsi="Arial"/>
          <w:sz w:val="16"/>
          <w:szCs w:val="16"/>
          <w:color w:val="auto"/>
        </w:rPr>
        <w:t>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1.9. Changes in Common Stock.</w:t>
      </w:r>
    </w:p>
    <w:p>
      <w:pPr>
        <w:spacing w:after="0" w:line="225" w:lineRule="exact"/>
        <w:rPr>
          <w:sz w:val="20"/>
          <w:szCs w:val="20"/>
          <w:color w:val="auto"/>
        </w:rPr>
      </w:pPr>
    </w:p>
    <w:p>
      <w:pPr>
        <w:ind w:right="580" w:firstLine="176"/>
        <w:spacing w:after="0" w:line="268" w:lineRule="auto"/>
        <w:rPr>
          <w:sz w:val="20"/>
          <w:szCs w:val="20"/>
          <w:color w:val="auto"/>
        </w:rPr>
      </w:pPr>
      <w:r>
        <w:rPr>
          <w:rFonts w:ascii="Arial" w:cs="Arial" w:eastAsia="Arial" w:hAnsi="Arial"/>
          <w:sz w:val="18"/>
          <w:szCs w:val="18"/>
          <w:color w:val="auto"/>
        </w:rPr>
        <w:t>If there is any change in the Common Stock by way of a stock split, stock dividend, combination or reclassification, or through a merger, consolidation, reorganization or recapitalization, or by any other</w:t>
      </w:r>
    </w:p>
    <w:p>
      <w:pPr>
        <w:sectPr>
          <w:pgSz w:w="11900" w:h="16838" w:orient="portrait"/>
          <w:cols w:equalWidth="0" w:num="1">
            <w:col w:w="11420"/>
          </w:cols>
          <w:pgMar w:left="240" w:top="131" w:right="239" w:bottom="18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80" w:gutter="0" w:footer="0" w:header="0"/>
          <w:type w:val="continuous"/>
        </w:sectPr>
      </w:pPr>
    </w:p>
    <w:bookmarkStart w:id="15" w:name="page16"/>
    <w:bookmarkEnd w:id="15"/>
    <w:p>
      <w:pPr>
        <w:spacing w:after="0" w:line="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means, appropriate adjustment shall be made in the provisions hereof so that the rights and privileges granted hereby shall continue with respect to the Common Stock as so changed.</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1.10.Rule 144 Reporting.</w:t>
      </w:r>
    </w:p>
    <w:p>
      <w:pPr>
        <w:spacing w:after="0" w:line="225" w:lineRule="exact"/>
        <w:rPr>
          <w:sz w:val="20"/>
          <w:szCs w:val="20"/>
          <w:color w:val="auto"/>
        </w:rPr>
      </w:pPr>
    </w:p>
    <w:p>
      <w:pPr>
        <w:ind w:right="100" w:firstLine="172"/>
        <w:spacing w:after="0" w:line="268" w:lineRule="auto"/>
        <w:rPr>
          <w:sz w:val="20"/>
          <w:szCs w:val="20"/>
          <w:color w:val="auto"/>
        </w:rPr>
      </w:pPr>
      <w:r>
        <w:rPr>
          <w:rFonts w:ascii="Arial" w:cs="Arial" w:eastAsia="Arial" w:hAnsi="Arial"/>
          <w:sz w:val="18"/>
          <w:szCs w:val="18"/>
          <w:color w:val="auto"/>
        </w:rPr>
        <w:t>With a view to making available to the Holders the benefits of certain rules and regulations of the SEC which may permit the sale of the Registrable Securities to the public without registration, the Company agrees to use its best efforts to:</w:t>
      </w:r>
    </w:p>
    <w:p>
      <w:pPr>
        <w:spacing w:after="0" w:line="186" w:lineRule="exact"/>
        <w:rPr>
          <w:sz w:val="20"/>
          <w:szCs w:val="20"/>
          <w:color w:val="auto"/>
        </w:rPr>
      </w:pPr>
    </w:p>
    <w:p>
      <w:pPr>
        <w:ind w:left="540" w:right="160" w:firstLine="184"/>
        <w:spacing w:after="0" w:line="259" w:lineRule="auto"/>
        <w:tabs>
          <w:tab w:leader="none" w:pos="9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SEC Rule 144 or any similar or analogous rule promulgated under the Act, at all times after the effective date of the first registration under the Act filed by the Company for an offering of its securities to the general public;</w:t>
      </w:r>
    </w:p>
    <w:p>
      <w:pPr>
        <w:spacing w:after="0" w:line="194" w:lineRule="exact"/>
        <w:rPr>
          <w:rFonts w:ascii="Arial" w:cs="Arial" w:eastAsia="Arial" w:hAnsi="Arial"/>
          <w:sz w:val="18"/>
          <w:szCs w:val="18"/>
          <w:color w:val="auto"/>
        </w:rPr>
      </w:pPr>
    </w:p>
    <w:p>
      <w:pPr>
        <w:ind w:left="980" w:hanging="256"/>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Act and the Exchange Act; and</w:t>
      </w:r>
    </w:p>
    <w:p>
      <w:pPr>
        <w:spacing w:after="0" w:line="248" w:lineRule="exact"/>
        <w:rPr>
          <w:rFonts w:ascii="Arial" w:cs="Arial" w:eastAsia="Arial" w:hAnsi="Arial"/>
          <w:sz w:val="16"/>
          <w:szCs w:val="16"/>
          <w:color w:val="auto"/>
        </w:rPr>
      </w:pPr>
    </w:p>
    <w:p>
      <w:pPr>
        <w:ind w:left="540" w:firstLine="184"/>
        <w:spacing w:after="0" w:line="298" w:lineRule="auto"/>
        <w:tabs>
          <w:tab w:leader="none" w:pos="954" w:val="left"/>
        </w:tabs>
        <w:numPr>
          <w:ilvl w:val="0"/>
          <w:numId w:val="27"/>
        </w:numPr>
        <w:rPr>
          <w:rFonts w:ascii="Arial" w:cs="Arial" w:eastAsia="Arial" w:hAnsi="Arial"/>
          <w:sz w:val="16"/>
          <w:szCs w:val="16"/>
          <w:color w:val="auto"/>
        </w:rPr>
      </w:pPr>
      <w:r>
        <w:rPr>
          <w:rFonts w:ascii="Arial" w:cs="Arial" w:eastAsia="Arial" w:hAnsi="Arial"/>
          <w:sz w:val="16"/>
          <w:szCs w:val="16"/>
          <w:color w:val="auto"/>
        </w:rPr>
        <w:t>So long as a Holder owns any Registrable Securities, furnish to such Holder forthwith upon request: a written statement by the Company as to its compliance with the reporting requirements of said Rule 144 of the Act, and of the Exchange Act (at any time after it has become subject to such reporting requirements); a copy of the most recent annual or quarterly report of the Company; and such other reports and documents as a Holder may reasonably request in availing itself of any rule or regulation of the SEC allowing it to sell any such securities without registration.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DEFINITIONS.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capitalized terms contained in this Agreement shall have the following meanings unless otherwise specifically defined: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"ACT" shall mean the Securities Act of 1933, as amended.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"AGREEMENT" shall mean this Registration Rights Agreement.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"BUSINESS DAY" shall mean Monday through Friday and shall exclude any federal or bank holidays observed in New York City.</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"COMMON STOCK" shall mean the common stock of the Company, no par value per share.</w:t>
      </w:r>
    </w:p>
    <w:p>
      <w:pPr>
        <w:spacing w:after="0" w:line="225"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"EFFECTIVE TIME" shall mean the time of the filing of the certificate of merger between Interland and Merger Sub with the Secretary of State of the State of Delaware in accordance with the relevant provisions of Delaware Law (or such later time as may be agreed in writing by Interland and Company).</w:t>
      </w:r>
    </w:p>
    <w:p>
      <w:pPr>
        <w:spacing w:after="0" w:line="194" w:lineRule="exact"/>
        <w:rPr>
          <w:sz w:val="20"/>
          <w:szCs w:val="20"/>
          <w:color w:val="auto"/>
        </w:rPr>
      </w:pPr>
    </w:p>
    <w:p>
      <w:pPr>
        <w:jc w:val="both"/>
        <w:ind w:left="1080" w:right="180"/>
        <w:spacing w:after="0" w:line="259" w:lineRule="auto"/>
        <w:rPr>
          <w:sz w:val="20"/>
          <w:szCs w:val="20"/>
          <w:color w:val="auto"/>
        </w:rPr>
      </w:pPr>
      <w:r>
        <w:rPr>
          <w:rFonts w:ascii="Arial" w:cs="Arial" w:eastAsia="Arial" w:hAnsi="Arial"/>
          <w:sz w:val="18"/>
          <w:szCs w:val="18"/>
          <w:color w:val="auto"/>
        </w:rPr>
        <w:t>"EQUITY SECURITIES" shall mean the Common Stock, and any warrants or other rights to subscribe for or to purchase, or any options for the purchase of, Common Stock, any stock or security convertible into or exchangeable for Common Stock or any other stock, security or interest in the Company whether or not convertible into or exchangeable for Common Stock.</w:t>
      </w:r>
    </w:p>
    <w:p>
      <w:pPr>
        <w:spacing w:after="0" w:line="194" w:lineRule="exact"/>
        <w:rPr>
          <w:sz w:val="20"/>
          <w:szCs w:val="20"/>
          <w:color w:val="auto"/>
        </w:rPr>
      </w:pPr>
    </w:p>
    <w:p>
      <w:pPr>
        <w:ind w:left="1080" w:right="380"/>
        <w:spacing w:after="0" w:line="268" w:lineRule="auto"/>
        <w:rPr>
          <w:sz w:val="20"/>
          <w:szCs w:val="20"/>
          <w:color w:val="auto"/>
        </w:rPr>
      </w:pPr>
      <w:r>
        <w:rPr>
          <w:rFonts w:ascii="Arial" w:cs="Arial" w:eastAsia="Arial" w:hAnsi="Arial"/>
          <w:sz w:val="18"/>
          <w:szCs w:val="18"/>
          <w:color w:val="auto"/>
        </w:rPr>
        <w:t>"HOLDERS" shall mean MTI, the Interland Founders, the Other Holders, and any other person or entity that is a valid transferee of the rights granted hereunder pursuant to Section 1.7 hereof.</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"INTERLAND" shall mean Interland, Inc., a Georgia corporation.</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"INDEMNIFIED PERSON" shall have the meaning ascribed to that term in Section 1.6.3.</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"INDEMNIFYING PERSON" shall have the meaning ascribed to that term in Section 1.6.3.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"INITIATING HOLDERS" shall mean MTI and those Other Holders who in the aggregate beneficially own not less than 50% of the Registrable Securities.</w:t>
      </w:r>
    </w:p>
    <w:p>
      <w:pPr>
        <w:spacing w:after="0" w:line="186" w:lineRule="exact"/>
        <w:rPr>
          <w:sz w:val="20"/>
          <w:szCs w:val="20"/>
          <w:color w:val="auto"/>
        </w:rPr>
      </w:pPr>
    </w:p>
    <w:p>
      <w:pPr>
        <w:ind w:left="1080" w:right="640"/>
        <w:spacing w:after="0" w:line="268" w:lineRule="auto"/>
        <w:rPr>
          <w:sz w:val="20"/>
          <w:szCs w:val="20"/>
          <w:color w:val="auto"/>
        </w:rPr>
      </w:pPr>
      <w:r>
        <w:rPr>
          <w:rFonts w:ascii="Arial" w:cs="Arial" w:eastAsia="Arial" w:hAnsi="Arial"/>
          <w:sz w:val="18"/>
          <w:szCs w:val="18"/>
          <w:color w:val="auto"/>
        </w:rPr>
        <w:t>"MERGER" shall mean the merger of Merger Sub with and into Interland in a reverse triangular merger with Interland to be the surviving corporation at the Effective Time, pursuant to the Merger Agreement.</w:t>
      </w:r>
    </w:p>
    <w:p>
      <w:pPr>
        <w:spacing w:after="0" w:line="186" w:lineRule="exact"/>
        <w:rPr>
          <w:sz w:val="20"/>
          <w:szCs w:val="20"/>
          <w:color w:val="auto"/>
        </w:rPr>
      </w:pPr>
    </w:p>
    <w:p>
      <w:pPr>
        <w:ind w:left="1080" w:right="420"/>
        <w:spacing w:after="0" w:line="268" w:lineRule="auto"/>
        <w:rPr>
          <w:sz w:val="20"/>
          <w:szCs w:val="20"/>
          <w:color w:val="auto"/>
        </w:rPr>
      </w:pPr>
      <w:r>
        <w:rPr>
          <w:rFonts w:ascii="Arial" w:cs="Arial" w:eastAsia="Arial" w:hAnsi="Arial"/>
          <w:sz w:val="18"/>
          <w:szCs w:val="18"/>
          <w:color w:val="auto"/>
        </w:rPr>
        <w:t>"MERGER AGREEMENT" shall mean the Agreement and Plan of Merger dated of even date herewith, between Company, Merger Sub, and Interland.</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"MERGER SHARES" shall mean those shares of the Common Stock of Company issued to the shareholders of Interland in the Merger.</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"MTI" shall mean Micron Technology, Inc., a Delaware corporation.</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"MTI SHARES" shall mean those shares of the Common Stock of Company beneficially owned by MTI.</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"OTHER HOLDERS" shall mean those persons that are listed on Exhibit A attached hereto.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"COMPANY" shall mean Micron Electronics, Inc., a Minnesota corporation, or any successor thereto.</w:t>
      </w:r>
    </w:p>
    <w:p>
      <w:pPr>
        <w:spacing w:after="0" w:line="225" w:lineRule="exact"/>
        <w:rPr>
          <w:sz w:val="20"/>
          <w:szCs w:val="20"/>
          <w:color w:val="auto"/>
        </w:rPr>
      </w:pPr>
    </w:p>
    <w:p>
      <w:pPr>
        <w:ind w:left="1080" w:right="20"/>
        <w:spacing w:after="0" w:line="318" w:lineRule="auto"/>
        <w:rPr>
          <w:sz w:val="20"/>
          <w:szCs w:val="20"/>
          <w:color w:val="auto"/>
        </w:rPr>
      </w:pPr>
      <w:r>
        <w:rPr>
          <w:rFonts w:ascii="Arial" w:cs="Arial" w:eastAsia="Arial" w:hAnsi="Arial"/>
          <w:sz w:val="15"/>
          <w:szCs w:val="15"/>
          <w:color w:val="auto"/>
        </w:rPr>
        <w:t>"REGISTRABLE SECURITIES" shall mean (i) those shares of Company Common Stock beneficially owned by MTI, (ii) those shares of Company Common Stock issued in exchange for those shares of Interland Common Stock held by the Interland Founders and Other Holders upon the Effective Time of the Merger, and (iii) the shares of Company Common Stock issued to CPQ and HP upon the exercise of their Warrants to acquire Company Common Stock and (iv) any equity securities issued as a distribution with respect to or in exchange for or in replacement for any of the shares referred to in clauses (i), (ii) or (iii); provided, however, that Registrable Securities shall not include any securities that have been</w:t>
      </w:r>
    </w:p>
    <w:p>
      <w:pPr>
        <w:sectPr>
          <w:pgSz w:w="11900" w:h="16843" w:orient="portrait"/>
          <w:cols w:equalWidth="0" w:num="1">
            <w:col w:w="11420"/>
          </w:cols>
          <w:pgMar w:left="240" w:top="131" w:right="239" w:bottom="0" w:gutter="0" w:footer="0" w:header="0"/>
        </w:sectPr>
      </w:pPr>
    </w:p>
    <w:bookmarkStart w:id="16" w:name="page17"/>
    <w:bookmarkEnd w:id="16"/>
    <w:p>
      <w:pPr>
        <w:jc w:val="both"/>
        <w:ind w:left="1080" w:right="320"/>
        <w:spacing w:after="0" w:line="259" w:lineRule="auto"/>
        <w:rPr>
          <w:sz w:val="20"/>
          <w:szCs w:val="20"/>
          <w:color w:val="auto"/>
        </w:rPr>
      </w:pPr>
      <w:r>
        <w:rPr>
          <w:rFonts w:ascii="Arial" w:cs="Arial" w:eastAsia="Arial" w:hAnsi="Arial"/>
          <w:sz w:val="18"/>
          <w:szCs w:val="18"/>
          <w:color w:val="auto"/>
        </w:rPr>
        <w:t>previously sold pursuant to a registration statement filed under the Act or under Rule 144 promulgated under the Act, or which have otherwise been transferred in a transaction in which the transferor's rights under this Agreement are not assigned or are not subject to transfer restrictions under the Act or applicable state securities laws.</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 shall mean the Securities and Exchange Commission, or any other federal agency at the time administering the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MISCELLANEOUS.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 Entire Agreement; Amendment.</w:t>
      </w:r>
    </w:p>
    <w:p>
      <w:pPr>
        <w:spacing w:after="0" w:line="225" w:lineRule="exact"/>
        <w:rPr>
          <w:sz w:val="20"/>
          <w:szCs w:val="20"/>
          <w:color w:val="auto"/>
        </w:rPr>
      </w:pPr>
    </w:p>
    <w:p>
      <w:pPr>
        <w:ind w:right="80" w:firstLine="172"/>
        <w:spacing w:after="0" w:line="298" w:lineRule="auto"/>
        <w:rPr>
          <w:sz w:val="20"/>
          <w:szCs w:val="20"/>
          <w:color w:val="auto"/>
        </w:rPr>
      </w:pPr>
      <w:r>
        <w:rPr>
          <w:rFonts w:ascii="Arial" w:cs="Arial" w:eastAsia="Arial" w:hAnsi="Arial"/>
          <w:sz w:val="16"/>
          <w:szCs w:val="16"/>
          <w:color w:val="auto"/>
        </w:rPr>
        <w:t>This Agreement constitutes the entire agreement among the parties hereto with respect to the matters provided for herein, and it supersedes all prior oral or written agreements, commitments or understandings with respect to the matters provided for herein, including the Prior Agreement. This Agreement may not be amended without the written consent of the Company and the Initiating Holders. Each Holder agrees that this Agreement may be amended by the written consent of (i) the Company and (ii) the Other Holders who in the aggregate beneficially own not less than 50% of the Registrable Securities, as defined herein.</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3.2. Waiver.</w:t>
      </w:r>
    </w:p>
    <w:p>
      <w:pPr>
        <w:spacing w:after="0" w:line="225" w:lineRule="exact"/>
        <w:rPr>
          <w:sz w:val="20"/>
          <w:szCs w:val="20"/>
          <w:color w:val="auto"/>
        </w:rPr>
      </w:pPr>
    </w:p>
    <w:p>
      <w:pPr>
        <w:ind w:right="200" w:firstLine="176"/>
        <w:spacing w:after="0" w:line="256" w:lineRule="auto"/>
        <w:rPr>
          <w:sz w:val="20"/>
          <w:szCs w:val="20"/>
          <w:color w:val="auto"/>
        </w:rPr>
      </w:pPr>
      <w:r>
        <w:rPr>
          <w:rFonts w:ascii="Arial" w:cs="Arial" w:eastAsia="Arial" w:hAnsi="Arial"/>
          <w:sz w:val="18"/>
          <w:szCs w:val="18"/>
          <w:color w:val="auto"/>
        </w:rPr>
        <w:t>No delay or failure on the part of any party hereto in exercising any right, power or privilege under this Agreement or under any other instruments given in connection with or pursuant to this Agreement shall impair any such right, power or privilege or be construed as a waiver of any default or any acquiescence therein. No single or partial exercise of any such right, power or privilege shall preclude the further exercise of such right, power or privilege, or the exercise of any other right, power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privilege. No waiver shall be valid against any party hereto unless made in writing and signed by the party against whom enforcement of such waiver is sought and then only to the extent expressly specified therein.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3.3. No Third Party Beneficiaries.</w:t>
      </w:r>
    </w:p>
    <w:p>
      <w:pPr>
        <w:spacing w:after="0" w:line="225" w:lineRule="exact"/>
        <w:rPr>
          <w:sz w:val="20"/>
          <w:szCs w:val="20"/>
          <w:color w:val="auto"/>
        </w:rPr>
      </w:pPr>
    </w:p>
    <w:p>
      <w:pPr>
        <w:ind w:right="20" w:firstLine="176"/>
        <w:spacing w:after="0" w:line="298" w:lineRule="auto"/>
        <w:rPr>
          <w:sz w:val="20"/>
          <w:szCs w:val="20"/>
          <w:color w:val="auto"/>
        </w:rPr>
      </w:pPr>
      <w:r>
        <w:rPr>
          <w:rFonts w:ascii="Arial" w:cs="Arial" w:eastAsia="Arial" w:hAnsi="Arial"/>
          <w:sz w:val="16"/>
          <w:szCs w:val="16"/>
          <w:color w:val="auto"/>
        </w:rPr>
        <w:t>Except to the extent that the rights hereunder are assigned in accordance with Section 1.7, it is the explicit intention of the parties hereto that no person or entity other than the parties hereto is or shall be entitled to bring any action to enforce any provision of this Agreement against any of the parties hereto, and the covenants, undertakings and agreements set forth in this Agreement shall be solely for the benefit of, and shall be enforceable only by, the parties hereto or their respective successors, heirs, executors, administrators, legal representatives and permitted assigns.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3.4. Binding Effect.</w:t>
      </w:r>
    </w:p>
    <w:p>
      <w:pPr>
        <w:spacing w:after="0" w:line="225" w:lineRule="exact"/>
        <w:rPr>
          <w:sz w:val="20"/>
          <w:szCs w:val="20"/>
          <w:color w:val="auto"/>
        </w:rPr>
      </w:pPr>
    </w:p>
    <w:p>
      <w:pPr>
        <w:ind w:right="140" w:firstLine="172"/>
        <w:spacing w:after="0" w:line="268" w:lineRule="auto"/>
        <w:rPr>
          <w:sz w:val="20"/>
          <w:szCs w:val="20"/>
          <w:color w:val="auto"/>
        </w:rPr>
      </w:pPr>
      <w:r>
        <w:rPr>
          <w:rFonts w:ascii="Arial" w:cs="Arial" w:eastAsia="Arial" w:hAnsi="Arial"/>
          <w:sz w:val="18"/>
          <w:szCs w:val="18"/>
          <w:color w:val="auto"/>
        </w:rPr>
        <w:t>This Agreement shall be binding upon and shall inure to the benefit of the parties hereto and their respective successors, heirs, executors, administrators, legal representatives and permitted assigns.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3.5. Governing Law.</w:t>
      </w:r>
    </w:p>
    <w:p>
      <w:pPr>
        <w:spacing w:after="0" w:line="225" w:lineRule="exact"/>
        <w:rPr>
          <w:sz w:val="20"/>
          <w:szCs w:val="20"/>
          <w:color w:val="auto"/>
        </w:rPr>
      </w:pPr>
    </w:p>
    <w:p>
      <w:pPr>
        <w:ind w:right="160" w:firstLine="172"/>
        <w:spacing w:after="0" w:line="268" w:lineRule="auto"/>
        <w:rPr>
          <w:sz w:val="20"/>
          <w:szCs w:val="20"/>
          <w:color w:val="auto"/>
        </w:rPr>
      </w:pPr>
      <w:r>
        <w:rPr>
          <w:rFonts w:ascii="Arial" w:cs="Arial" w:eastAsia="Arial" w:hAnsi="Arial"/>
          <w:sz w:val="18"/>
          <w:szCs w:val="18"/>
          <w:color w:val="auto"/>
        </w:rPr>
        <w:t>This Agreement, the rights and obligations of the parties hereto, and any claims or disputes relating thereto, shall be governed by and construed in accordance with the laws of Delaware (excluding the choice of law rules thereof).</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3.6. Notices.</w:t>
      </w:r>
    </w:p>
    <w:p>
      <w:pPr>
        <w:spacing w:after="0" w:line="225" w:lineRule="exact"/>
        <w:rPr>
          <w:sz w:val="20"/>
          <w:szCs w:val="20"/>
          <w:color w:val="auto"/>
        </w:rPr>
      </w:pPr>
    </w:p>
    <w:p>
      <w:pPr>
        <w:ind w:firstLine="166"/>
        <w:spacing w:after="0" w:line="259" w:lineRule="auto"/>
        <w:rPr>
          <w:sz w:val="20"/>
          <w:szCs w:val="20"/>
          <w:color w:val="auto"/>
        </w:rPr>
      </w:pPr>
      <w:r>
        <w:rPr>
          <w:rFonts w:ascii="Arial" w:cs="Arial" w:eastAsia="Arial" w:hAnsi="Arial"/>
          <w:sz w:val="18"/>
          <w:szCs w:val="18"/>
          <w:color w:val="auto"/>
        </w:rPr>
        <w:t>All notices, demands, requests, or other communications which may be or are required to be given, served, or sent by any party to any other party pursuant to this Agreement shall be in writing and shall be hand-delivered, sent by overnight courier service or mailed by first-class, registered or certified mail, return receipt requested, postage prepaid, or transmitted by facsimile, addressed as follows:</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to the Company:</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Micron Electronics, Inc.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900 E. Karcher Road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Nampa, ID 83687-3045</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Joel J. Kocher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(208) 898-3424</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Fenwick &amp; West LLP</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Two Palo Alto Square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Palo Alto, CA 94306</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Dennis R. DeBroeck</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(650) 494-1417</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(ii)</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to the Interland:</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Interland, Inc.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101 Marietta Street, Suite 200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Atlanta, GA 30303</w:t>
      </w:r>
    </w:p>
    <w:p>
      <w:pPr>
        <w:sectPr>
          <w:pgSz w:w="11900" w:h="16838" w:orient="portrait"/>
          <w:cols w:equalWidth="0" w:num="1">
            <w:col w:w="11420"/>
          </w:cols>
          <w:pgMar w:left="240" w:top="131" w:right="239" w:bottom="0" w:gutter="0" w:footer="0" w:header="0"/>
        </w:sectPr>
      </w:pPr>
    </w:p>
    <w:bookmarkStart w:id="17" w:name="page18"/>
    <w:bookmarkEnd w:id="17"/>
    <w:p>
      <w:pPr>
        <w:ind w:left="1620"/>
        <w:spacing w:after="0"/>
        <w:rPr>
          <w:sz w:val="20"/>
          <w:szCs w:val="20"/>
          <w:color w:val="auto"/>
        </w:rPr>
      </w:pPr>
      <w:r>
        <w:rPr>
          <w:rFonts w:ascii="Arial" w:cs="Arial" w:eastAsia="Arial" w:hAnsi="Arial"/>
          <w:sz w:val="18"/>
          <w:szCs w:val="18"/>
          <w:color w:val="auto"/>
        </w:rPr>
        <w:t>Attention: Ken Gavranovic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(404) 720-3707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Kilpatrick Stockton LLP</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1100 Peachtree Street, Suite 2800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Atlanta, GA 30309-4530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David A. Stockton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(404) 815-6555</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(iii)</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to MTI, to:</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Boise, ID 83712</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Wilbur G. Stover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(208) 368-4242</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Palo Alto, CA 94306</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John Fore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(650) 493-6811</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(iv)</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If to the Other Investors, then to the names and addresses set forth on the books and records of the Company after the Merger.</w:t>
      </w:r>
    </w:p>
    <w:p>
      <w:pPr>
        <w:spacing w:after="0" w:line="2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party may designate by notice in writing a new address to which any notice, demand, request or communication may thereafter be so given, served or sent. Each notice, demand, request, or communication which shall be hand-delivered, mailed, transmitted or telecopied in the manner described above, shall be deemed sufficiently given, served, sent, received or delivered for all purposes at such time as it is delivered to the addressee (with the return receipt, the delivery receipt, or the answerback being deemed conclusive, but not exclusive, evidence of such delivery) or at such time as delivery is refused by the addressee upon presentation.</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3.7. Execution in Counterparts.</w:t>
      </w:r>
    </w:p>
    <w:p>
      <w:pPr>
        <w:spacing w:after="0" w:line="225" w:lineRule="exact"/>
        <w:rPr>
          <w:sz w:val="20"/>
          <w:szCs w:val="20"/>
          <w:color w:val="auto"/>
        </w:rPr>
      </w:pPr>
    </w:p>
    <w:p>
      <w:pPr>
        <w:ind w:right="160" w:firstLine="172"/>
        <w:spacing w:after="0" w:line="294" w:lineRule="auto"/>
        <w:rPr>
          <w:sz w:val="20"/>
          <w:szCs w:val="20"/>
          <w:color w:val="auto"/>
        </w:rPr>
      </w:pPr>
      <w:r>
        <w:rPr>
          <w:rFonts w:ascii="Arial" w:cs="Arial" w:eastAsia="Arial" w:hAnsi="Arial"/>
          <w:sz w:val="16"/>
          <w:szCs w:val="16"/>
          <w:color w:val="auto"/>
        </w:rPr>
        <w:t>To facilitate execution, this Agreement may be executed in as many counterparts as may be required; and it shall not be necessary that the signatures of, or on behalf of, each party, or that the signatures of all persons required to bind any party, appear on each counterpart; but it shall be sufficient that the signature of, or on behalf of, each party, or that the signatures of the persons required to bind any party, appear on one or more of the counterparts. All counterparts shall collectively constitute a single agreement. It shall not be necessary in making proof of this Agreement to produce or account for more than a number of counterparts containing the respective signatures of, or on behalf of, all of the parties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60" w:firstLine="176"/>
        <w:spacing w:after="0" w:line="268" w:lineRule="auto"/>
        <w:rPr>
          <w:sz w:val="20"/>
          <w:szCs w:val="20"/>
          <w:color w:val="auto"/>
        </w:rPr>
      </w:pPr>
      <w:r>
        <w:rPr>
          <w:rFonts w:ascii="Arial" w:cs="Arial" w:eastAsia="Arial" w:hAnsi="Arial"/>
          <w:sz w:val="18"/>
          <w:szCs w:val="18"/>
          <w:color w:val="auto"/>
        </w:rPr>
        <w:t>IN WITNESS WHEREOF, the undersigned have duly executed this Agreement, or have caused this Registration Rights Agreement to be duly executed on their behalf, as of the day and year first hereinabove set forth.</w:t>
      </w:r>
    </w:p>
    <w:p>
      <w:pPr>
        <w:spacing w:after="0" w:line="200" w:lineRule="exact"/>
        <w:rPr>
          <w:sz w:val="20"/>
          <w:szCs w:val="20"/>
          <w:color w:val="auto"/>
        </w:rPr>
      </w:pPr>
    </w:p>
    <w:p>
      <w:pPr>
        <w:spacing w:after="0" w:line="20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380" w:type="dxa"/>
        <w:tblCellMar>
          <w:top w:w="0" w:type="dxa"/>
          <w:left w:w="0" w:type="dxa"/>
          <w:bottom w:w="0" w:type="dxa"/>
          <w:right w:w="0" w:type="dxa"/>
        </w:tblCellMar>
      </w:tblP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rPr>
              <w:t>By:</w:t>
            </w:r>
          </w:p>
        </w:tc>
        <w:tc>
          <w:tcPr>
            <w:tcW w:w="4200" w:type="dxa"/>
            <w:vAlign w:val="bottom"/>
          </w:tcPr>
          <w:p>
            <w:pPr>
              <w:jc w:val="center"/>
              <w:ind w:right="732"/>
              <w:spacing w:after="0"/>
              <w:rPr>
                <w:sz w:val="20"/>
                <w:szCs w:val="20"/>
                <w:color w:val="auto"/>
              </w:rPr>
            </w:pPr>
            <w:r>
              <w:rPr>
                <w:rFonts w:ascii="Arial" w:cs="Arial" w:eastAsia="Arial" w:hAnsi="Arial"/>
                <w:sz w:val="18"/>
                <w:szCs w:val="18"/>
                <w:color w:val="auto"/>
                <w:w w:val="90"/>
              </w:rPr>
              <w:t>/s/ JOEL J. KOCHER</w:t>
            </w:r>
          </w:p>
        </w:tc>
      </w:tr>
      <w:tr>
        <w:trPr>
          <w:trHeight w:val="120"/>
        </w:trPr>
        <w:tc>
          <w:tcPr>
            <w:tcW w:w="114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r>
      <w:tr>
        <w:trPr>
          <w:trHeight w:val="313"/>
        </w:trPr>
        <w:tc>
          <w:tcPr>
            <w:tcW w:w="1840" w:type="dxa"/>
            <w:vAlign w:val="bottom"/>
            <w:gridSpan w:val="2"/>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jc w:val="center"/>
              <w:ind w:right="632"/>
              <w:spacing w:after="0"/>
              <w:rPr>
                <w:sz w:val="20"/>
                <w:szCs w:val="20"/>
                <w:color w:val="auto"/>
              </w:rPr>
            </w:pPr>
            <w:r>
              <w:rPr>
                <w:rFonts w:ascii="Arial" w:cs="Arial" w:eastAsia="Arial" w:hAnsi="Arial"/>
                <w:sz w:val="18"/>
                <w:szCs w:val="18"/>
                <w:color w:val="auto"/>
                <w:w w:val="87"/>
              </w:rPr>
              <w:t>Joel J. Kocher</w:t>
            </w:r>
          </w:p>
        </w:tc>
      </w:t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jc w:val="center"/>
              <w:ind w:right="612"/>
              <w:spacing w:after="0"/>
              <w:rPr>
                <w:sz w:val="20"/>
                <w:szCs w:val="20"/>
                <w:color w:val="auto"/>
              </w:rPr>
            </w:pPr>
            <w:r>
              <w:rPr>
                <w:rFonts w:ascii="Arial" w:cs="Arial" w:eastAsia="Arial" w:hAnsi="Arial"/>
                <w:sz w:val="18"/>
                <w:szCs w:val="18"/>
                <w:i w:val="1"/>
                <w:iCs w:val="1"/>
                <w:color w:val="auto"/>
                <w:w w:val="88"/>
              </w:rPr>
              <w:t>President and Chief Executive Officer</w:t>
            </w:r>
          </w:p>
        </w:tc>
      </w:tr>
      <w:tr>
        <w:trPr>
          <w:trHeight w:val="648"/>
        </w:trPr>
        <w:tc>
          <w:tcPr>
            <w:tcW w:w="1840" w:type="dxa"/>
            <w:vAlign w:val="bottom"/>
            <w:gridSpan w:val="2"/>
          </w:tcPr>
          <w:p>
            <w:pPr>
              <w:spacing w:after="0"/>
              <w:rPr>
                <w:sz w:val="20"/>
                <w:szCs w:val="20"/>
                <w:color w:val="auto"/>
              </w:rPr>
            </w:pPr>
            <w:r>
              <w:rPr>
                <w:rFonts w:ascii="Arial" w:cs="Arial" w:eastAsia="Arial" w:hAnsi="Arial"/>
                <w:sz w:val="18"/>
                <w:szCs w:val="18"/>
                <w:color w:val="auto"/>
              </w:rPr>
              <w:t>INTERLAND, INC.</w:t>
            </w:r>
          </w:p>
        </w:tc>
        <w:tc>
          <w:tcPr>
            <w:tcW w:w="4200" w:type="dxa"/>
            <w:vAlign w:val="bottom"/>
          </w:tcPr>
          <w:p>
            <w:pPr>
              <w:spacing w:after="0"/>
              <w:rPr>
                <w:sz w:val="24"/>
                <w:szCs w:val="24"/>
                <w:color w:val="auto"/>
              </w:rPr>
            </w:pPr>
          </w:p>
        </w:tc>
      </w:tr>
      <w:tr>
        <w:trPr>
          <w:trHeight w:val="864"/>
        </w:trPr>
        <w:tc>
          <w:tcPr>
            <w:tcW w:w="1840" w:type="dxa"/>
            <w:vAlign w:val="bottom"/>
            <w:gridSpan w:val="2"/>
          </w:tcPr>
          <w:p>
            <w:pPr>
              <w:spacing w:after="0"/>
              <w:rPr>
                <w:sz w:val="20"/>
                <w:szCs w:val="20"/>
                <w:color w:val="auto"/>
              </w:rPr>
            </w:pPr>
            <w:r>
              <w:rPr>
                <w:rFonts w:ascii="Arial" w:cs="Arial" w:eastAsia="Arial" w:hAnsi="Arial"/>
                <w:sz w:val="18"/>
                <w:szCs w:val="18"/>
                <w:color w:val="auto"/>
              </w:rPr>
              <w:t>By:</w:t>
            </w:r>
          </w:p>
        </w:tc>
        <w:tc>
          <w:tcPr>
            <w:tcW w:w="4200" w:type="dxa"/>
            <w:vAlign w:val="bottom"/>
          </w:tcPr>
          <w:p>
            <w:pPr>
              <w:jc w:val="center"/>
              <w:ind w:right="752"/>
              <w:spacing w:after="0"/>
              <w:rPr>
                <w:sz w:val="20"/>
                <w:szCs w:val="20"/>
                <w:color w:val="auto"/>
              </w:rPr>
            </w:pPr>
            <w:r>
              <w:rPr>
                <w:rFonts w:ascii="Arial" w:cs="Arial" w:eastAsia="Arial" w:hAnsi="Arial"/>
                <w:sz w:val="18"/>
                <w:szCs w:val="18"/>
                <w:color w:val="auto"/>
                <w:w w:val="94"/>
              </w:rPr>
              <w:t>/s/ KEN GAVRANOVIC</w:t>
            </w:r>
          </w:p>
        </w:tc>
      </w:tr>
      <w:tr>
        <w:trPr>
          <w:trHeight w:val="120"/>
        </w:trPr>
        <w:tc>
          <w:tcPr>
            <w:tcW w:w="114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r>
      <w:tr>
        <w:trPr>
          <w:trHeight w:val="313"/>
        </w:trPr>
        <w:tc>
          <w:tcPr>
            <w:tcW w:w="1840" w:type="dxa"/>
            <w:vAlign w:val="bottom"/>
            <w:gridSpan w:val="2"/>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jc w:val="center"/>
              <w:ind w:right="612"/>
              <w:spacing w:after="0"/>
              <w:rPr>
                <w:sz w:val="20"/>
                <w:szCs w:val="20"/>
                <w:color w:val="auto"/>
              </w:rPr>
            </w:pPr>
            <w:r>
              <w:rPr>
                <w:rFonts w:ascii="Arial" w:cs="Arial" w:eastAsia="Arial" w:hAnsi="Arial"/>
                <w:sz w:val="18"/>
                <w:szCs w:val="18"/>
                <w:color w:val="auto"/>
                <w:w w:val="88"/>
              </w:rPr>
              <w:t>Ken Gavranovic</w:t>
            </w:r>
          </w:p>
        </w:tc>
      </w:t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jc w:val="center"/>
              <w:ind w:right="612"/>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-1743075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-1743075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-353695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8" w:name="page19"/>
    <w:bookmarkEnd w:id="18"/>
    <w:tbl>
      <w:tblPr>
        <w:tblLayout w:type="fixed"/>
        <w:tblInd w:w="4180" w:type="dxa"/>
        <w:tblCellMar>
          <w:top w:w="0" w:type="dxa"/>
          <w:left w:w="0" w:type="dxa"/>
          <w:bottom w:w="0" w:type="dxa"/>
          <w:right w:w="0" w:type="dxa"/>
        </w:tblCellMar>
      </w:tblP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w w:val="96"/>
              </w:rPr>
              <w:t>MICRON TECHNOLOGY, INC.</w:t>
            </w:r>
          </w:p>
        </w:tc>
        <w:tc>
          <w:tcPr>
            <w:tcW w:w="3600" w:type="dxa"/>
            <w:vAlign w:val="bottom"/>
          </w:tcPr>
          <w:p>
            <w:pPr>
              <w:spacing w:after="0"/>
              <w:rPr>
                <w:sz w:val="19"/>
                <w:szCs w:val="19"/>
                <w:color w:val="auto"/>
              </w:rPr>
            </w:pPr>
          </w:p>
        </w:tc>
      </w:tr>
      <w:tr>
        <w:trPr>
          <w:trHeight w:val="864"/>
        </w:trPr>
        <w:tc>
          <w:tcPr>
            <w:tcW w:w="2440" w:type="dxa"/>
            <w:vAlign w:val="bottom"/>
            <w:gridSpan w:val="2"/>
          </w:tcPr>
          <w:p>
            <w:pPr>
              <w:spacing w:after="0"/>
              <w:rPr>
                <w:sz w:val="20"/>
                <w:szCs w:val="20"/>
                <w:color w:val="auto"/>
              </w:rPr>
            </w:pPr>
            <w:r>
              <w:rPr>
                <w:rFonts w:ascii="Arial" w:cs="Arial" w:eastAsia="Arial" w:hAnsi="Arial"/>
                <w:sz w:val="18"/>
                <w:szCs w:val="18"/>
                <w:color w:val="auto"/>
              </w:rPr>
              <w:t>By:</w:t>
            </w:r>
          </w:p>
        </w:tc>
        <w:tc>
          <w:tcPr>
            <w:tcW w:w="3600" w:type="dxa"/>
            <w:vAlign w:val="bottom"/>
          </w:tcPr>
          <w:p>
            <w:pPr>
              <w:ind w:left="80"/>
              <w:spacing w:after="0"/>
              <w:rPr>
                <w:sz w:val="20"/>
                <w:szCs w:val="20"/>
                <w:color w:val="auto"/>
              </w:rPr>
            </w:pPr>
            <w:r>
              <w:rPr>
                <w:rFonts w:ascii="Arial" w:cs="Arial" w:eastAsia="Arial" w:hAnsi="Arial"/>
                <w:sz w:val="18"/>
                <w:szCs w:val="18"/>
                <w:color w:val="auto"/>
              </w:rPr>
              <w:t>/s/ STEVEN R. APPLETON</w:t>
            </w:r>
          </w:p>
        </w:tc>
      </w:tr>
      <w:tr>
        <w:trPr>
          <w:trHeight w:val="120"/>
        </w:trPr>
        <w:tc>
          <w:tcPr>
            <w:tcW w:w="114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r>
      <w:tr>
        <w:trPr>
          <w:trHeight w:val="313"/>
        </w:trPr>
        <w:tc>
          <w:tcPr>
            <w:tcW w:w="24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ind w:left="600"/>
              <w:spacing w:after="0"/>
              <w:rPr>
                <w:sz w:val="20"/>
                <w:szCs w:val="20"/>
                <w:color w:val="auto"/>
              </w:rPr>
            </w:pPr>
            <w:r>
              <w:rPr>
                <w:rFonts w:ascii="Arial" w:cs="Arial" w:eastAsia="Arial" w:hAnsi="Arial"/>
                <w:sz w:val="18"/>
                <w:szCs w:val="18"/>
                <w:color w:val="auto"/>
              </w:rPr>
              <w:t>Steve Appleton</w:t>
            </w: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ind w:left="60"/>
              <w:spacing w:after="0"/>
              <w:rPr>
                <w:sz w:val="20"/>
                <w:szCs w:val="20"/>
                <w:color w:val="auto"/>
              </w:rPr>
            </w:pPr>
            <w:r>
              <w:rPr>
                <w:rFonts w:ascii="Arial" w:cs="Arial" w:eastAsia="Arial" w:hAnsi="Arial"/>
                <w:sz w:val="18"/>
                <w:szCs w:val="18"/>
                <w:i w:val="1"/>
                <w:iCs w:val="1"/>
                <w:color w:val="auto"/>
              </w:rPr>
              <w:t>Chairman, CEO and President</w:t>
            </w:r>
          </w:p>
        </w:tc>
      </w:tr>
      <w:tr>
        <w:trPr>
          <w:trHeight w:val="648"/>
        </w:trPr>
        <w:tc>
          <w:tcPr>
            <w:tcW w:w="2440" w:type="dxa"/>
            <w:vAlign w:val="bottom"/>
            <w:gridSpan w:val="2"/>
          </w:tcPr>
          <w:p>
            <w:pPr>
              <w:spacing w:after="0"/>
              <w:rPr>
                <w:sz w:val="20"/>
                <w:szCs w:val="20"/>
                <w:color w:val="auto"/>
              </w:rPr>
            </w:pPr>
            <w:r>
              <w:rPr>
                <w:rFonts w:ascii="Arial" w:cs="Arial" w:eastAsia="Arial" w:hAnsi="Arial"/>
                <w:sz w:val="18"/>
                <w:szCs w:val="18"/>
                <w:color w:val="auto"/>
                <w:w w:val="97"/>
              </w:rPr>
              <w:t>THE INTERLAND FOUNDERS</w:t>
            </w:r>
          </w:p>
        </w:tc>
        <w:tc>
          <w:tcPr>
            <w:tcW w:w="3600" w:type="dxa"/>
            <w:vAlign w:val="bottom"/>
          </w:tcPr>
          <w:p>
            <w:pPr>
              <w:spacing w:after="0"/>
              <w:rPr>
                <w:sz w:val="24"/>
                <w:szCs w:val="24"/>
                <w:color w:val="auto"/>
              </w:rPr>
            </w:pPr>
          </w:p>
        </w:tc>
      </w:tr>
      <w:tr>
        <w:trPr>
          <w:trHeight w:val="432"/>
        </w:trPr>
        <w:tc>
          <w:tcPr>
            <w:tcW w:w="2440" w:type="dxa"/>
            <w:vAlign w:val="bottom"/>
            <w:gridSpan w:val="2"/>
          </w:tcPr>
          <w:p>
            <w:pPr>
              <w:spacing w:after="0"/>
              <w:rPr>
                <w:sz w:val="20"/>
                <w:szCs w:val="20"/>
                <w:color w:val="auto"/>
              </w:rPr>
            </w:pPr>
            <w:r>
              <w:rPr>
                <w:rFonts w:ascii="Arial" w:cs="Arial" w:eastAsia="Arial" w:hAnsi="Arial"/>
                <w:sz w:val="18"/>
                <w:szCs w:val="18"/>
                <w:color w:val="auto"/>
              </w:rPr>
              <w:t>KEN GAVRANOVIC</w:t>
            </w:r>
          </w:p>
        </w:tc>
        <w:tc>
          <w:tcPr>
            <w:tcW w:w="3600" w:type="dxa"/>
            <w:vAlign w:val="bottom"/>
          </w:tcPr>
          <w:p>
            <w:pPr>
              <w:spacing w:after="0"/>
              <w:rPr>
                <w:sz w:val="24"/>
                <w:szCs w:val="24"/>
                <w:color w:val="auto"/>
              </w:rPr>
            </w:pPr>
          </w:p>
        </w:tc>
      </w:tr>
      <w:tr>
        <w:trPr>
          <w:trHeight w:val="864"/>
        </w:trPr>
        <w:tc>
          <w:tcPr>
            <w:tcW w:w="2440" w:type="dxa"/>
            <w:vAlign w:val="bottom"/>
            <w:gridSpan w:val="2"/>
          </w:tcPr>
          <w:p>
            <w:pPr>
              <w:spacing w:after="0"/>
              <w:rPr>
                <w:sz w:val="20"/>
                <w:szCs w:val="20"/>
                <w:color w:val="auto"/>
              </w:rPr>
            </w:pPr>
            <w:r>
              <w:rPr>
                <w:rFonts w:ascii="Arial" w:cs="Arial" w:eastAsia="Arial" w:hAnsi="Arial"/>
                <w:sz w:val="18"/>
                <w:szCs w:val="18"/>
                <w:color w:val="auto"/>
              </w:rPr>
              <w:t>By:</w:t>
            </w:r>
          </w:p>
        </w:tc>
        <w:tc>
          <w:tcPr>
            <w:tcW w:w="3600" w:type="dxa"/>
            <w:vAlign w:val="bottom"/>
          </w:tcPr>
          <w:p>
            <w:pPr>
              <w:ind w:left="200"/>
              <w:spacing w:after="0"/>
              <w:rPr>
                <w:sz w:val="20"/>
                <w:szCs w:val="20"/>
                <w:color w:val="auto"/>
              </w:rPr>
            </w:pPr>
            <w:r>
              <w:rPr>
                <w:rFonts w:ascii="Arial" w:cs="Arial" w:eastAsia="Arial" w:hAnsi="Arial"/>
                <w:sz w:val="18"/>
                <w:szCs w:val="18"/>
                <w:color w:val="auto"/>
              </w:rPr>
              <w:t>/s/ KEN GAVRANOVIC</w:t>
            </w:r>
          </w:p>
        </w:tc>
      </w:tr>
      <w:tr>
        <w:trPr>
          <w:trHeight w:val="120"/>
        </w:trPr>
        <w:tc>
          <w:tcPr>
            <w:tcW w:w="114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r>
      <w:tr>
        <w:trPr>
          <w:trHeight w:val="751"/>
        </w:trPr>
        <w:tc>
          <w:tcPr>
            <w:tcW w:w="2440" w:type="dxa"/>
            <w:vAlign w:val="bottom"/>
            <w:gridSpan w:val="2"/>
          </w:tcPr>
          <w:p>
            <w:pPr>
              <w:spacing w:after="0"/>
              <w:rPr>
                <w:sz w:val="20"/>
                <w:szCs w:val="20"/>
                <w:color w:val="auto"/>
              </w:rPr>
            </w:pPr>
            <w:r>
              <w:rPr>
                <w:rFonts w:ascii="Arial" w:cs="Arial" w:eastAsia="Arial" w:hAnsi="Arial"/>
                <w:sz w:val="18"/>
                <w:szCs w:val="18"/>
                <w:color w:val="auto"/>
              </w:rPr>
              <w:t>WALDEMAR FERNANDEZ</w:t>
            </w:r>
          </w:p>
        </w:tc>
        <w:tc>
          <w:tcPr>
            <w:tcW w:w="3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-2155190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-2155190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-491490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-491490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418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WALDEMAR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77470</wp:posOffset>
            </wp:positionV>
            <wp:extent cx="311721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THE OTHER HOLDERS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BANCBOSTON VENTURES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180"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1280"/>
              <w:spacing w:after="0"/>
              <w:rPr>
                <w:sz w:val="20"/>
                <w:szCs w:val="20"/>
                <w:color w:val="auto"/>
              </w:rPr>
            </w:pPr>
            <w:r>
              <w:rPr>
                <w:rFonts w:ascii="Arial" w:cs="Arial" w:eastAsia="Arial" w:hAnsi="Arial"/>
                <w:sz w:val="18"/>
                <w:szCs w:val="18"/>
                <w:color w:val="auto"/>
              </w:rPr>
              <w:t>/s/ M. SCOTT MCCORMACK</w:t>
            </w:r>
          </w:p>
        </w:tc>
      </w:tr>
      <w:tr>
        <w:trPr>
          <w:trHeight w:val="120"/>
        </w:trPr>
        <w:tc>
          <w:tcPr>
            <w:tcW w:w="11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3"/>
        </w:trPr>
        <w:tc>
          <w:tcPr>
            <w:tcW w:w="114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M. Scott McCormack</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87"/>
              </w:rPr>
              <w:t>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-353695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[SIGNATURE PAGE TO REGISTRATION RIGHTS AGREEMENT]</w:t>
      </w: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BELL ATLANTIC INVESTMENTS,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77470</wp:posOffset>
            </wp:positionV>
            <wp:extent cx="311721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3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BOULDER VENTURES, III 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180"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1520"/>
              <w:spacing w:after="0"/>
              <w:rPr>
                <w:sz w:val="20"/>
                <w:szCs w:val="20"/>
                <w:color w:val="auto"/>
              </w:rPr>
            </w:pPr>
            <w:r>
              <w:rPr>
                <w:rFonts w:ascii="Arial" w:cs="Arial" w:eastAsia="Arial" w:hAnsi="Arial"/>
                <w:sz w:val="18"/>
                <w:szCs w:val="18"/>
                <w:color w:val="auto"/>
              </w:rPr>
              <w:t>/s/ ANDREW E. JONES</w:t>
            </w:r>
          </w:p>
        </w:tc>
      </w:tr>
      <w:tr>
        <w:trPr>
          <w:trHeight w:val="120"/>
        </w:trPr>
        <w:tc>
          <w:tcPr>
            <w:tcW w:w="11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3"/>
        </w:trPr>
        <w:tc>
          <w:tcPr>
            <w:tcW w:w="114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ind w:left="1860"/>
              <w:spacing w:after="0"/>
              <w:rPr>
                <w:sz w:val="20"/>
                <w:szCs w:val="20"/>
                <w:color w:val="auto"/>
              </w:rPr>
            </w:pPr>
            <w:r>
              <w:rPr>
                <w:rFonts w:ascii="Arial" w:cs="Arial" w:eastAsia="Arial" w:hAnsi="Arial"/>
                <w:sz w:val="18"/>
                <w:szCs w:val="18"/>
                <w:color w:val="auto"/>
              </w:rPr>
              <w:t>Andrew E. Jones</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860"/>
              <w:spacing w:after="0"/>
              <w:rPr>
                <w:sz w:val="20"/>
                <w:szCs w:val="20"/>
                <w:color w:val="auto"/>
              </w:rPr>
            </w:pPr>
            <w:r>
              <w:rPr>
                <w:rFonts w:ascii="Arial" w:cs="Arial" w:eastAsia="Arial" w:hAnsi="Arial"/>
                <w:sz w:val="18"/>
                <w:szCs w:val="18"/>
                <w:i w:val="1"/>
                <w:iCs w:val="1"/>
                <w:color w:val="auto"/>
              </w:rPr>
              <w:t>General Partner</w:t>
            </w:r>
          </w:p>
        </w:tc>
      </w:tr>
      <w:tr>
        <w:trPr>
          <w:trHeight w:val="648"/>
        </w:trPr>
        <w:tc>
          <w:tcPr>
            <w:tcW w:w="6040" w:type="dxa"/>
            <w:vAlign w:val="bottom"/>
            <w:gridSpan w:val="2"/>
          </w:tcPr>
          <w:p>
            <w:pPr>
              <w:spacing w:after="0"/>
              <w:rPr>
                <w:sz w:val="20"/>
                <w:szCs w:val="20"/>
                <w:color w:val="auto"/>
              </w:rPr>
            </w:pPr>
            <w:r>
              <w:rPr>
                <w:rFonts w:ascii="Arial" w:cs="Arial" w:eastAsia="Arial" w:hAnsi="Arial"/>
                <w:sz w:val="18"/>
                <w:szCs w:val="18"/>
                <w:color w:val="auto"/>
              </w:rPr>
              <w:t>BOULDER VENTURES III (ANNEX) L.P.</w:t>
            </w:r>
          </w:p>
        </w:tc>
      </w:tr>
      <w:tr>
        <w:trPr>
          <w:trHeight w:val="864"/>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1520"/>
              <w:spacing w:after="0"/>
              <w:rPr>
                <w:sz w:val="20"/>
                <w:szCs w:val="20"/>
                <w:color w:val="auto"/>
              </w:rPr>
            </w:pPr>
            <w:r>
              <w:rPr>
                <w:rFonts w:ascii="Arial" w:cs="Arial" w:eastAsia="Arial" w:hAnsi="Arial"/>
                <w:sz w:val="18"/>
                <w:szCs w:val="18"/>
                <w:color w:val="auto"/>
              </w:rPr>
              <w:t>/s/ ANDREW E. JONES</w:t>
            </w:r>
          </w:p>
        </w:tc>
      </w:tr>
      <w:tr>
        <w:trPr>
          <w:trHeight w:val="120"/>
        </w:trPr>
        <w:tc>
          <w:tcPr>
            <w:tcW w:w="11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3"/>
        </w:trPr>
        <w:tc>
          <w:tcPr>
            <w:tcW w:w="114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ind w:left="1860"/>
              <w:spacing w:after="0"/>
              <w:rPr>
                <w:sz w:val="20"/>
                <w:szCs w:val="20"/>
                <w:color w:val="auto"/>
              </w:rPr>
            </w:pPr>
            <w:r>
              <w:rPr>
                <w:rFonts w:ascii="Arial" w:cs="Arial" w:eastAsia="Arial" w:hAnsi="Arial"/>
                <w:sz w:val="18"/>
                <w:szCs w:val="18"/>
                <w:color w:val="auto"/>
              </w:rPr>
              <w:t>Andrew E. Jones</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860"/>
              <w:spacing w:after="0"/>
              <w:rPr>
                <w:sz w:val="20"/>
                <w:szCs w:val="20"/>
                <w:color w:val="auto"/>
              </w:rPr>
            </w:pPr>
            <w:r>
              <w:rPr>
                <w:rFonts w:ascii="Arial" w:cs="Arial" w:eastAsia="Arial" w:hAnsi="Arial"/>
                <w:sz w:val="18"/>
                <w:szCs w:val="18"/>
                <w:i w:val="1"/>
                <w:iCs w:val="1"/>
                <w:color w:val="auto"/>
              </w:rPr>
              <w:t>General Partner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-1743075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-1743075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-353695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20"/>
          </w:cols>
          <w:pgMar w:left="1440" w:top="347" w:right="239" w:bottom="0" w:gutter="0" w:footer="0" w:header="0"/>
        </w:sectPr>
      </w:pPr>
    </w:p>
    <w:bookmarkStart w:id="19" w:name="page20"/>
    <w:bookmarkEnd w:id="19"/>
    <w:p>
      <w:pPr>
        <w:jc w:val="center"/>
        <w:ind w:right="180"/>
        <w:spacing w:after="0"/>
        <w:rPr>
          <w:sz w:val="20"/>
          <w:szCs w:val="20"/>
          <w:color w:val="auto"/>
        </w:rPr>
      </w:pPr>
      <w:r>
        <w:rPr>
          <w:rFonts w:ascii="Arial" w:cs="Arial" w:eastAsia="Arial" w:hAnsi="Arial"/>
          <w:sz w:val="18"/>
          <w:szCs w:val="18"/>
          <w:color w:val="auto"/>
        </w:rPr>
        <w:t>CPQ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77470</wp:posOffset>
            </wp:positionV>
            <wp:extent cx="311721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3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5" w:lineRule="exact"/>
        <w:rPr>
          <w:sz w:val="20"/>
          <w:szCs w:val="20"/>
          <w:color w:val="auto"/>
        </w:rPr>
      </w:pPr>
    </w:p>
    <w:p>
      <w:pPr>
        <w:jc w:val="right"/>
        <w:ind w:right="2600"/>
        <w:spacing w:after="0"/>
        <w:rPr>
          <w:sz w:val="20"/>
          <w:szCs w:val="20"/>
          <w:color w:val="auto"/>
        </w:rPr>
      </w:pPr>
      <w:r>
        <w:rPr>
          <w:rFonts w:ascii="Arial" w:cs="Arial" w:eastAsia="Arial" w:hAnsi="Arial"/>
          <w:sz w:val="18"/>
          <w:szCs w:val="18"/>
          <w:color w:val="auto"/>
        </w:rPr>
        <w:t>CREST COMMUNICATIONS PARTNERS 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18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CREST Communications Holdings, LLC,</w:t>
            </w:r>
          </w:p>
        </w:tc>
      </w:tr>
      <w:tr>
        <w:trPr>
          <w:trHeight w:val="222"/>
        </w:trPr>
        <w:tc>
          <w:tcPr>
            <w:tcW w:w="11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its authorized representative</w:t>
            </w:r>
          </w:p>
        </w:tc>
      </w:tr>
      <w:tr>
        <w:trPr>
          <w:trHeight w:val="864"/>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1180"/>
              <w:spacing w:after="0"/>
              <w:rPr>
                <w:sz w:val="20"/>
                <w:szCs w:val="20"/>
                <w:color w:val="auto"/>
              </w:rPr>
            </w:pPr>
            <w:r>
              <w:rPr>
                <w:rFonts w:ascii="Arial" w:cs="Arial" w:eastAsia="Arial" w:hAnsi="Arial"/>
                <w:sz w:val="18"/>
                <w:szCs w:val="18"/>
                <w:color w:val="auto"/>
              </w:rPr>
              <w:t>/s/ GREGG A. MOCKENHAUPT</w:t>
            </w:r>
          </w:p>
        </w:tc>
      </w:tr>
      <w:tr>
        <w:trPr>
          <w:trHeight w:val="120"/>
        </w:trPr>
        <w:tc>
          <w:tcPr>
            <w:tcW w:w="11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3"/>
        </w:trPr>
        <w:tc>
          <w:tcPr>
            <w:tcW w:w="114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jc w:val="center"/>
              <w:spacing w:after="0"/>
              <w:rPr>
                <w:sz w:val="20"/>
                <w:szCs w:val="20"/>
                <w:color w:val="auto"/>
              </w:rPr>
            </w:pPr>
            <w:r>
              <w:rPr>
                <w:rFonts w:ascii="Arial" w:cs="Arial" w:eastAsia="Arial" w:hAnsi="Arial"/>
                <w:sz w:val="18"/>
                <w:szCs w:val="18"/>
                <w:color w:val="auto"/>
                <w:w w:val="89"/>
              </w:rPr>
              <w:t>Gregg A. Mockenhaupt</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3"/>
              </w:rPr>
              <w:t>Managing Director</w:t>
            </w:r>
          </w:p>
        </w:tc>
      </w:tr>
      <w:tr>
        <w:trPr>
          <w:trHeight w:val="648"/>
        </w:trPr>
        <w:tc>
          <w:tcPr>
            <w:tcW w:w="6040" w:type="dxa"/>
            <w:vAlign w:val="bottom"/>
            <w:gridSpan w:val="2"/>
          </w:tcPr>
          <w:p>
            <w:pPr>
              <w:spacing w:after="0"/>
              <w:rPr>
                <w:sz w:val="20"/>
                <w:szCs w:val="20"/>
                <w:color w:val="auto"/>
              </w:rPr>
            </w:pPr>
            <w:r>
              <w:rPr>
                <w:rFonts w:ascii="Arial" w:cs="Arial" w:eastAsia="Arial" w:hAnsi="Arial"/>
                <w:sz w:val="18"/>
                <w:szCs w:val="18"/>
                <w:color w:val="auto"/>
              </w:rPr>
              <w:t>CREST ENTREPRENEURS FUND L.P.</w:t>
            </w:r>
          </w:p>
        </w:tc>
      </w:tr>
      <w:tr>
        <w:trPr>
          <w:trHeight w:val="858"/>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CREST Communications Holdings, LLC,</w:t>
            </w:r>
          </w:p>
        </w:tc>
      </w:tr>
      <w:tr>
        <w:trPr>
          <w:trHeight w:val="222"/>
        </w:trPr>
        <w:tc>
          <w:tcPr>
            <w:tcW w:w="11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its authorized representative</w:t>
            </w:r>
          </w:p>
        </w:tc>
      </w:tr>
      <w:tr>
        <w:trPr>
          <w:trHeight w:val="864"/>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1180"/>
              <w:spacing w:after="0"/>
              <w:rPr>
                <w:sz w:val="20"/>
                <w:szCs w:val="20"/>
                <w:color w:val="auto"/>
              </w:rPr>
            </w:pPr>
            <w:r>
              <w:rPr>
                <w:rFonts w:ascii="Arial" w:cs="Arial" w:eastAsia="Arial" w:hAnsi="Arial"/>
                <w:sz w:val="18"/>
                <w:szCs w:val="18"/>
                <w:color w:val="auto"/>
              </w:rPr>
              <w:t>/s/ GREGG A. MOCKENHAUPT</w:t>
            </w:r>
          </w:p>
        </w:tc>
      </w:tr>
      <w:tr>
        <w:trPr>
          <w:trHeight w:val="120"/>
        </w:trPr>
        <w:tc>
          <w:tcPr>
            <w:tcW w:w="11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3"/>
        </w:trPr>
        <w:tc>
          <w:tcPr>
            <w:tcW w:w="114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jc w:val="center"/>
              <w:spacing w:after="0"/>
              <w:rPr>
                <w:sz w:val="20"/>
                <w:szCs w:val="20"/>
                <w:color w:val="auto"/>
              </w:rPr>
            </w:pPr>
            <w:r>
              <w:rPr>
                <w:rFonts w:ascii="Arial" w:cs="Arial" w:eastAsia="Arial" w:hAnsi="Arial"/>
                <w:sz w:val="18"/>
                <w:szCs w:val="18"/>
                <w:color w:val="auto"/>
                <w:w w:val="89"/>
              </w:rPr>
              <w:t>Gregg A. Mockenhaupt</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3"/>
              </w:rPr>
              <w:t>Managing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-2429510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-2429510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-353695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[SIGNATURE PAGE TO REGISTRATION RIGHTS AGREEMENT]</w:t>
      </w: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HEWLETT-PACKARD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77470</wp:posOffset>
            </wp:positionV>
            <wp:extent cx="311721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3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MICROSOFT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180" w:type="dxa"/>
        <w:tblCellMar>
          <w:top w:w="0" w:type="dxa"/>
          <w:left w:w="0" w:type="dxa"/>
          <w:bottom w:w="0" w:type="dxa"/>
          <w:right w:w="0" w:type="dxa"/>
        </w:tblCellMar>
      </w:tblPr>
      <w:tr>
        <w:trPr>
          <w:trHeight w:val="222"/>
        </w:trPr>
        <w:tc>
          <w:tcPr>
            <w:tcW w:w="2480" w:type="dxa"/>
            <w:vAlign w:val="bottom"/>
            <w:gridSpan w:val="2"/>
          </w:tcPr>
          <w:p>
            <w:pPr>
              <w:spacing w:after="0"/>
              <w:rPr>
                <w:sz w:val="20"/>
                <w:szCs w:val="20"/>
                <w:color w:val="auto"/>
              </w:rPr>
            </w:pPr>
            <w:r>
              <w:rPr>
                <w:rFonts w:ascii="Arial" w:cs="Arial" w:eastAsia="Arial" w:hAnsi="Arial"/>
                <w:sz w:val="18"/>
                <w:szCs w:val="18"/>
                <w:color w:val="auto"/>
              </w:rPr>
              <w:t>By:</w:t>
            </w:r>
          </w:p>
        </w:tc>
        <w:tc>
          <w:tcPr>
            <w:tcW w:w="3560" w:type="dxa"/>
            <w:vAlign w:val="bottom"/>
          </w:tcPr>
          <w:p>
            <w:pPr>
              <w:jc w:val="center"/>
              <w:ind w:right="1372"/>
              <w:spacing w:after="0"/>
              <w:rPr>
                <w:sz w:val="20"/>
                <w:szCs w:val="20"/>
                <w:color w:val="auto"/>
              </w:rPr>
            </w:pPr>
            <w:r>
              <w:rPr>
                <w:rFonts w:ascii="Arial" w:cs="Arial" w:eastAsia="Arial" w:hAnsi="Arial"/>
                <w:sz w:val="18"/>
                <w:szCs w:val="18"/>
                <w:color w:val="auto"/>
                <w:w w:val="90"/>
              </w:rPr>
              <w:t>/s/ JOHN A. SEETHOFF</w:t>
            </w:r>
          </w:p>
        </w:tc>
      </w:tr>
      <w:tr>
        <w:trPr>
          <w:trHeight w:val="120"/>
        </w:trPr>
        <w:tc>
          <w:tcPr>
            <w:tcW w:w="114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r>
      <w:tr>
        <w:trPr>
          <w:trHeight w:val="313"/>
        </w:trPr>
        <w:tc>
          <w:tcPr>
            <w:tcW w:w="2480" w:type="dxa"/>
            <w:vAlign w:val="bottom"/>
            <w:gridSpan w:val="2"/>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jc w:val="center"/>
              <w:ind w:right="1252"/>
              <w:spacing w:after="0"/>
              <w:rPr>
                <w:sz w:val="20"/>
                <w:szCs w:val="20"/>
                <w:color w:val="auto"/>
              </w:rPr>
            </w:pPr>
            <w:r>
              <w:rPr>
                <w:rFonts w:ascii="Arial" w:cs="Arial" w:eastAsia="Arial" w:hAnsi="Arial"/>
                <w:sz w:val="18"/>
                <w:szCs w:val="18"/>
                <w:color w:val="auto"/>
                <w:w w:val="88"/>
              </w:rPr>
              <w:t>John A. Seethoff</w:t>
            </w:r>
          </w:p>
        </w:tc>
      </w:tr>
      <w:tr>
        <w:trPr>
          <w:trHeight w:val="222"/>
        </w:trPr>
        <w:tc>
          <w:tcPr>
            <w:tcW w:w="2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jc w:val="center"/>
              <w:ind w:right="1252"/>
              <w:spacing w:after="0"/>
              <w:rPr>
                <w:sz w:val="20"/>
                <w:szCs w:val="20"/>
                <w:color w:val="auto"/>
              </w:rPr>
            </w:pPr>
            <w:r>
              <w:rPr>
                <w:rFonts w:ascii="Arial" w:cs="Arial" w:eastAsia="Arial" w:hAnsi="Arial"/>
                <w:sz w:val="18"/>
                <w:szCs w:val="18"/>
                <w:i w:val="1"/>
                <w:iCs w:val="1"/>
                <w:color w:val="auto"/>
                <w:w w:val="86"/>
              </w:rPr>
              <w:t>Assistant Secretary</w:t>
            </w:r>
          </w:p>
        </w:tc>
      </w:tr>
      <w:tr>
        <w:trPr>
          <w:trHeight w:val="648"/>
        </w:trPr>
        <w:tc>
          <w:tcPr>
            <w:tcW w:w="2480" w:type="dxa"/>
            <w:vAlign w:val="bottom"/>
            <w:gridSpan w:val="2"/>
          </w:tcPr>
          <w:p>
            <w:pPr>
              <w:spacing w:after="0"/>
              <w:rPr>
                <w:sz w:val="20"/>
                <w:szCs w:val="20"/>
                <w:color w:val="auto"/>
              </w:rPr>
            </w:pPr>
            <w:r>
              <w:rPr>
                <w:rFonts w:ascii="Arial" w:cs="Arial" w:eastAsia="Arial" w:hAnsi="Arial"/>
                <w:sz w:val="18"/>
                <w:szCs w:val="18"/>
                <w:color w:val="auto"/>
                <w:w w:val="99"/>
              </w:rPr>
              <w:t>NETWORK SOLUTIONS, INC.</w:t>
            </w:r>
          </w:p>
        </w:tc>
        <w:tc>
          <w:tcPr>
            <w:tcW w:w="3560" w:type="dxa"/>
            <w:vAlign w:val="bottom"/>
          </w:tcPr>
          <w:p>
            <w:pPr>
              <w:spacing w:after="0"/>
              <w:rPr>
                <w:sz w:val="24"/>
                <w:szCs w:val="24"/>
                <w:color w:val="auto"/>
              </w:rPr>
            </w:pPr>
          </w:p>
        </w:tc>
      </w:tr>
      <w:tr>
        <w:trPr>
          <w:trHeight w:val="864"/>
        </w:trPr>
        <w:tc>
          <w:tcPr>
            <w:tcW w:w="2480" w:type="dxa"/>
            <w:vAlign w:val="bottom"/>
            <w:gridSpan w:val="2"/>
          </w:tcPr>
          <w:p>
            <w:pPr>
              <w:spacing w:after="0"/>
              <w:rPr>
                <w:sz w:val="20"/>
                <w:szCs w:val="20"/>
                <w:color w:val="auto"/>
              </w:rPr>
            </w:pPr>
            <w:r>
              <w:rPr>
                <w:rFonts w:ascii="Arial" w:cs="Arial" w:eastAsia="Arial" w:hAnsi="Arial"/>
                <w:sz w:val="18"/>
                <w:szCs w:val="18"/>
                <w:color w:val="auto"/>
              </w:rPr>
              <w:t>By:</w:t>
            </w:r>
          </w:p>
        </w:tc>
        <w:tc>
          <w:tcPr>
            <w:tcW w:w="3560" w:type="dxa"/>
            <w:vAlign w:val="bottom"/>
          </w:tcPr>
          <w:p>
            <w:pPr>
              <w:jc w:val="center"/>
              <w:ind w:right="1392"/>
              <w:spacing w:after="0"/>
              <w:rPr>
                <w:sz w:val="20"/>
                <w:szCs w:val="20"/>
                <w:color w:val="auto"/>
              </w:rPr>
            </w:pPr>
            <w:r>
              <w:rPr>
                <w:rFonts w:ascii="Arial" w:cs="Arial" w:eastAsia="Arial" w:hAnsi="Arial"/>
                <w:sz w:val="18"/>
                <w:szCs w:val="18"/>
                <w:color w:val="auto"/>
                <w:w w:val="95"/>
              </w:rPr>
              <w:t>/s/ JAMES M. ULAM</w:t>
            </w:r>
          </w:p>
        </w:tc>
      </w:tr>
      <w:tr>
        <w:trPr>
          <w:trHeight w:val="120"/>
        </w:trPr>
        <w:tc>
          <w:tcPr>
            <w:tcW w:w="114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r>
      <w:tr>
        <w:trPr>
          <w:trHeight w:val="313"/>
        </w:trPr>
        <w:tc>
          <w:tcPr>
            <w:tcW w:w="2480" w:type="dxa"/>
            <w:vAlign w:val="bottom"/>
            <w:gridSpan w:val="2"/>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jc w:val="center"/>
              <w:ind w:right="1252"/>
              <w:spacing w:after="0"/>
              <w:rPr>
                <w:sz w:val="20"/>
                <w:szCs w:val="20"/>
                <w:color w:val="auto"/>
              </w:rPr>
            </w:pPr>
            <w:r>
              <w:rPr>
                <w:rFonts w:ascii="Arial" w:cs="Arial" w:eastAsia="Arial" w:hAnsi="Arial"/>
                <w:sz w:val="18"/>
                <w:szCs w:val="18"/>
                <w:color w:val="auto"/>
                <w:w w:val="87"/>
              </w:rPr>
              <w:t>James M. Ulam</w:t>
            </w:r>
          </w:p>
        </w:tc>
      </w:tr>
      <w:tr>
        <w:trPr>
          <w:trHeight w:val="222"/>
        </w:trPr>
        <w:tc>
          <w:tcPr>
            <w:tcW w:w="2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jc w:val="center"/>
              <w:ind w:right="1252"/>
              <w:spacing w:after="0"/>
              <w:rPr>
                <w:sz w:val="20"/>
                <w:szCs w:val="20"/>
                <w:color w:val="auto"/>
              </w:rPr>
            </w:pPr>
            <w:r>
              <w:rPr>
                <w:rFonts w:ascii="Arial" w:cs="Arial" w:eastAsia="Arial" w:hAnsi="Arial"/>
                <w:sz w:val="18"/>
                <w:szCs w:val="18"/>
                <w:i w:val="1"/>
                <w:iCs w:val="1"/>
                <w:color w:val="auto"/>
                <w:w w:val="87"/>
              </w:rPr>
              <w:t>SVP, 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-1743075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-1743075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-353695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20"/>
          </w:cols>
          <w:pgMar w:left="1440" w:top="347" w:right="239" w:bottom="0" w:gutter="0" w:footer="0" w:header="0"/>
        </w:sectPr>
      </w:pPr>
    </w:p>
    <w:bookmarkStart w:id="20" w:name="page21"/>
    <w:bookmarkEnd w:id="20"/>
    <w:p>
      <w:pPr>
        <w:ind w:left="5380"/>
        <w:spacing w:after="0"/>
        <w:rPr>
          <w:sz w:val="20"/>
          <w:szCs w:val="20"/>
          <w:color w:val="auto"/>
        </w:rPr>
      </w:pPr>
      <w:r>
        <w:rPr>
          <w:rFonts w:ascii="Arial" w:cs="Arial" w:eastAsia="Arial" w:hAnsi="Arial"/>
          <w:sz w:val="16"/>
          <w:szCs w:val="16"/>
          <w:color w:val="auto"/>
        </w:rPr>
        <w:t>PRIVATE EQUITY CO-INVEST LTD.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77470</wp:posOffset>
            </wp:positionV>
            <wp:extent cx="311721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[SIGNATURE PAGE TO REGISTRATION RIGHTS AGREEMENT]</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EXHIBIT 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OTHER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Bell Atlantic Investments,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CPQ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Crest Communications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Crest Entrepreneurs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Boulder Ventures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Boulder Ventures III (Annex),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BancBoston Ventures,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Hewlett-Packard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Microsoft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Network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Private Equity Co-Invest Ltd.</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EXHIBIT 3</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AMENDED AND RESTATED REGISTRATION RIGHTS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EXHIBIT A</w:t>
        </w:r>
      </w:hyperlink>
    </w:p>
    <w:p>
      <w:pPr>
        <w:sectPr>
          <w:pgSz w:w="11900" w:h="16838" w:orient="portrait"/>
          <w:cols w:equalWidth="0" w:num="1">
            <w:col w:w="10219"/>
          </w:cols>
          <w:pgMar w:left="240" w:top="347" w:right="1440" w:bottom="1440" w:gutter="0" w:footer="0" w:header="0"/>
        </w:sectPr>
      </w:pPr>
    </w:p>
    <w:bookmarkStart w:id="21" w:name="page22"/>
    <w:bookmarkEnd w:id="21"/>
    <w:p>
      <w:pPr>
        <w:spacing w:after="0"/>
        <w:rPr>
          <w:rFonts w:ascii="Arial" w:cs="Arial" w:eastAsia="Arial" w:hAnsi="Arial"/>
          <w:sz w:val="22"/>
          <w:szCs w:val="22"/>
          <w:color w:val="0000EE"/>
        </w:rPr>
      </w:pPr>
      <w:hyperlink w:anchor="page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4</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PURCHASE AGREEMENT</w:t>
      </w:r>
    </w:p>
    <w:p>
      <w:pPr>
        <w:spacing w:after="0" w:line="232" w:lineRule="exact"/>
        <w:rPr>
          <w:sz w:val="20"/>
          <w:szCs w:val="20"/>
          <w:color w:val="auto"/>
        </w:rPr>
      </w:pPr>
    </w:p>
    <w:p>
      <w:pPr>
        <w:ind w:right="60" w:firstLine="172"/>
        <w:spacing w:after="0" w:line="212" w:lineRule="auto"/>
        <w:rPr>
          <w:sz w:val="20"/>
          <w:szCs w:val="20"/>
          <w:color w:val="auto"/>
        </w:rPr>
      </w:pPr>
      <w:r>
        <w:rPr>
          <w:rFonts w:ascii="Arial" w:cs="Arial" w:eastAsia="Arial" w:hAnsi="Arial"/>
          <w:sz w:val="18"/>
          <w:szCs w:val="18"/>
          <w:color w:val="auto"/>
        </w:rPr>
        <w:t>This Agreement is made as of this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2001 ("Effective Date") by and between Micron Technology, Inc., ("Seller") and Micron Semiconductor Products, Inc. ("Purchaser").</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consideration of the mutual covenants and representations herein set forth, the Seller and Purchaser agree as follows:</w:t>
      </w:r>
    </w:p>
    <w:p>
      <w:pPr>
        <w:spacing w:after="0" w:line="225" w:lineRule="exact"/>
        <w:rPr>
          <w:sz w:val="20"/>
          <w:szCs w:val="20"/>
          <w:color w:val="auto"/>
        </w:rPr>
      </w:pPr>
    </w:p>
    <w:p>
      <w:pPr>
        <w:ind w:left="400" w:hanging="216"/>
        <w:spacing w:after="0"/>
        <w:tabs>
          <w:tab w:leader="none" w:pos="4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Purchase and Sale of Shares.</w:t>
      </w:r>
    </w:p>
    <w:p>
      <w:pPr>
        <w:spacing w:after="0" w:line="225" w:lineRule="exact"/>
        <w:rPr>
          <w:rFonts w:ascii="Arial" w:cs="Arial" w:eastAsia="Arial" w:hAnsi="Arial"/>
          <w:sz w:val="18"/>
          <w:szCs w:val="18"/>
          <w:b w:val="1"/>
          <w:bCs w:val="1"/>
          <w:color w:val="auto"/>
        </w:rPr>
      </w:pPr>
    </w:p>
    <w:p>
      <w:pPr>
        <w:ind w:left="540" w:right="100" w:firstLine="184"/>
        <w:spacing w:after="0" w:line="255" w:lineRule="auto"/>
        <w:tabs>
          <w:tab w:leader="none" w:pos="964" w:val="left"/>
        </w:tabs>
        <w:numPr>
          <w:ilvl w:val="1"/>
          <w:numId w:val="28"/>
        </w:numPr>
        <w:rPr>
          <w:rFonts w:ascii="Arial" w:cs="Arial" w:eastAsia="Arial" w:hAnsi="Arial"/>
          <w:sz w:val="18"/>
          <w:szCs w:val="18"/>
          <w:b w:val="1"/>
          <w:bCs w:val="1"/>
          <w:color w:val="auto"/>
        </w:rPr>
      </w:pPr>
      <w:r>
        <w:rPr>
          <w:rFonts w:ascii="Arial" w:cs="Arial" w:eastAsia="Arial" w:hAnsi="Arial"/>
          <w:sz w:val="18"/>
          <w:szCs w:val="18"/>
          <w:color w:val="auto"/>
        </w:rPr>
        <w:t>Subject to the terms and conditions of this Agreement, the Seller hereby sells to Purchaser and Purchaser hereby purchases from the Seller, fifty-eight million, six hundred twenty-two thousand, eight hundred sixty-three (58,622,863) shares of the outstanding common stock of Micron Electronics, Inc., now known as Interland, Inc., represented by Certificate No.'s M-1913, M-8508, M-8510, M-8511, M-8512, M-8513, M-8999, M-9000 (the "Shares") at a price of $1.605 per share, for an aggregate purchase price of $94,089,695.12. The purchase price for the Shares shall be paid upon delivery of the Shares to Purchaser.</w:t>
      </w:r>
    </w:p>
    <w:p>
      <w:pPr>
        <w:spacing w:after="0" w:line="196" w:lineRule="exact"/>
        <w:rPr>
          <w:rFonts w:ascii="Arial" w:cs="Arial" w:eastAsia="Arial" w:hAnsi="Arial"/>
          <w:sz w:val="18"/>
          <w:szCs w:val="18"/>
          <w:b w:val="1"/>
          <w:bCs w:val="1"/>
          <w:color w:val="auto"/>
        </w:rPr>
      </w:pPr>
    </w:p>
    <w:p>
      <w:pPr>
        <w:ind w:left="400" w:hanging="216"/>
        <w:spacing w:after="0"/>
        <w:tabs>
          <w:tab w:leader="none" w:pos="4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Assignment of and Assumption of Agreements</w:t>
      </w:r>
    </w:p>
    <w:p>
      <w:pPr>
        <w:spacing w:after="0" w:line="225" w:lineRule="exact"/>
        <w:rPr>
          <w:rFonts w:ascii="Arial" w:cs="Arial" w:eastAsia="Arial" w:hAnsi="Arial"/>
          <w:sz w:val="18"/>
          <w:szCs w:val="18"/>
          <w:b w:val="1"/>
          <w:bCs w:val="1"/>
          <w:color w:val="auto"/>
        </w:rPr>
      </w:pPr>
    </w:p>
    <w:p>
      <w:pPr>
        <w:ind w:left="540" w:right="100" w:firstLine="184"/>
        <w:spacing w:after="0" w:line="256" w:lineRule="auto"/>
        <w:tabs>
          <w:tab w:leader="none" w:pos="1008"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Shareholder Agreement. </w:t>
      </w:r>
      <w:r>
        <w:rPr>
          <w:rFonts w:ascii="Arial" w:cs="Arial" w:eastAsia="Arial" w:hAnsi="Arial"/>
          <w:sz w:val="18"/>
          <w:szCs w:val="18"/>
          <w:color w:val="auto"/>
        </w:rPr>
        <w:t>Pursuant to Section 1(viii) of the MTI Shareholder Agreement entered into as of March 22, 2001, by and among Micron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Electronics, Inc., now known as Interland, Inc., and the Seller, Seller is transferring the Shares to Purchaser, which is a "controlled Affiliate of MTI". As required by the MTI Shareholder Agreement, Purchaser hereby agrees to be bound by Section 1 of the MTI Shareholder Agreement with respect to the Shares.</w:t>
      </w:r>
    </w:p>
    <w:p>
      <w:pPr>
        <w:spacing w:after="0" w:line="197" w:lineRule="exact"/>
        <w:rPr>
          <w:rFonts w:ascii="Arial" w:cs="Arial" w:eastAsia="Arial" w:hAnsi="Arial"/>
          <w:sz w:val="18"/>
          <w:szCs w:val="18"/>
          <w:b w:val="1"/>
          <w:bCs w:val="1"/>
          <w:color w:val="auto"/>
        </w:rPr>
      </w:pPr>
    </w:p>
    <w:p>
      <w:pPr>
        <w:ind w:left="540" w:right="100" w:firstLine="184"/>
        <w:spacing w:after="0" w:line="255" w:lineRule="auto"/>
        <w:tabs>
          <w:tab w:leader="none" w:pos="1018"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Registration Rights Agreement. </w:t>
      </w:r>
      <w:r>
        <w:rPr>
          <w:rFonts w:ascii="Arial" w:cs="Arial" w:eastAsia="Arial" w:hAnsi="Arial"/>
          <w:sz w:val="18"/>
          <w:szCs w:val="18"/>
          <w:color w:val="auto"/>
        </w:rPr>
        <w:t>Pursuant to Section 1.7(i) of the Amended and Restated Registration Rights Agreement entered into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6, 2001, by and between Micron Technology, Inc., Micron Electronics, Inc., now known as Interland, Inc., and certain other parties, Seller hereby assigns its rights contained in the Amended and Restated Registration Rights Agreement to Purchaser. As required by the Amended and Restated Registration Rights Agreement, Purchaser hereby agrees to be bound by and subject to the terms and conditions of the Amended and Restated Registration Rights Agreement.</w:t>
      </w:r>
    </w:p>
    <w:p>
      <w:pPr>
        <w:spacing w:after="0" w:line="196" w:lineRule="exact"/>
        <w:rPr>
          <w:rFonts w:ascii="Arial" w:cs="Arial" w:eastAsia="Arial" w:hAnsi="Arial"/>
          <w:sz w:val="18"/>
          <w:szCs w:val="18"/>
          <w:b w:val="1"/>
          <w:bCs w:val="1"/>
          <w:color w:val="auto"/>
        </w:rPr>
      </w:pPr>
    </w:p>
    <w:p>
      <w:pPr>
        <w:ind w:right="60" w:firstLine="184"/>
        <w:spacing w:after="0" w:line="306" w:lineRule="auto"/>
        <w:tabs>
          <w:tab w:leader="none" w:pos="395"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Stock Dividends, Splits. </w:t>
      </w:r>
      <w:r>
        <w:rPr>
          <w:rFonts w:ascii="Arial" w:cs="Arial" w:eastAsia="Arial" w:hAnsi="Arial"/>
          <w:sz w:val="16"/>
          <w:szCs w:val="16"/>
          <w:color w:val="auto"/>
        </w:rPr>
        <w:t>If after the Effective Date, there is any stock dividend, stock split or other change in the character or amount of the Shares, then,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event, Purchaser shall be entitled to any and all payments and securities to which the holder of the Shares is entitled and any new, additional or substituted securities shall be immediately subject to this Agreement and be included in the definition of "Shares" herein.</w:t>
      </w:r>
    </w:p>
    <w:p>
      <w:pPr>
        <w:spacing w:after="0" w:line="160" w:lineRule="exact"/>
        <w:rPr>
          <w:rFonts w:ascii="Arial" w:cs="Arial" w:eastAsia="Arial" w:hAnsi="Arial"/>
          <w:sz w:val="16"/>
          <w:szCs w:val="16"/>
          <w:b w:val="1"/>
          <w:bCs w:val="1"/>
          <w:color w:val="auto"/>
        </w:rPr>
      </w:pPr>
    </w:p>
    <w:p>
      <w:pPr>
        <w:ind w:left="400" w:hanging="216"/>
        <w:spacing w:after="0"/>
        <w:tabs>
          <w:tab w:leader="none" w:pos="40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Purchaser's Representations. </w:t>
      </w:r>
      <w:r>
        <w:rPr>
          <w:rFonts w:ascii="Arial" w:cs="Arial" w:eastAsia="Arial" w:hAnsi="Arial"/>
          <w:sz w:val="16"/>
          <w:szCs w:val="16"/>
          <w:color w:val="auto"/>
        </w:rPr>
        <w:t>In connection with his purchase of the Shares, Purchaser hereby represents and warrants to the Seller as follows:</w:t>
      </w:r>
    </w:p>
    <w:p>
      <w:pPr>
        <w:spacing w:after="0" w:line="248" w:lineRule="exact"/>
        <w:rPr>
          <w:rFonts w:ascii="Arial" w:cs="Arial" w:eastAsia="Arial" w:hAnsi="Arial"/>
          <w:sz w:val="16"/>
          <w:szCs w:val="16"/>
          <w:b w:val="1"/>
          <w:bCs w:val="1"/>
          <w:color w:val="auto"/>
        </w:rPr>
      </w:pPr>
    </w:p>
    <w:p>
      <w:pPr>
        <w:ind w:left="540" w:right="60" w:firstLine="184"/>
        <w:spacing w:after="0" w:line="256" w:lineRule="auto"/>
        <w:tabs>
          <w:tab w:leader="none" w:pos="1008"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Intent; Capacity to Protect Interests. </w:t>
      </w:r>
      <w:r>
        <w:rPr>
          <w:rFonts w:ascii="Arial" w:cs="Arial" w:eastAsia="Arial" w:hAnsi="Arial"/>
          <w:sz w:val="18"/>
          <w:szCs w:val="18"/>
          <w:color w:val="auto"/>
        </w:rPr>
        <w:t>Purchaser is purchasing the Shares solely for its own account for investment and not with a view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or for sale in connection with any distribution of the Shares or any portion thereof and not with any present intention of selling, offering to sell or otherwise disposing of or distributing the Shares or any portion thereof in any transaction other than a transaction exempt from registration under the Securities Act of 1933, as amended (the "Act").</w:t>
      </w:r>
    </w:p>
    <w:p>
      <w:pPr>
        <w:spacing w:after="0" w:line="197" w:lineRule="exact"/>
        <w:rPr>
          <w:rFonts w:ascii="Arial" w:cs="Arial" w:eastAsia="Arial" w:hAnsi="Arial"/>
          <w:sz w:val="18"/>
          <w:szCs w:val="18"/>
          <w:b w:val="1"/>
          <w:bCs w:val="1"/>
          <w:color w:val="auto"/>
        </w:rPr>
      </w:pPr>
    </w:p>
    <w:p>
      <w:pPr>
        <w:ind w:left="540" w:right="260" w:firstLine="184"/>
        <w:spacing w:after="0" w:line="332" w:lineRule="auto"/>
        <w:tabs>
          <w:tab w:leader="none" w:pos="1018" w:val="left"/>
        </w:tabs>
        <w:numPr>
          <w:ilvl w:val="1"/>
          <w:numId w:val="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Restricted Securities. </w:t>
      </w:r>
      <w:r>
        <w:rPr>
          <w:rFonts w:ascii="Arial" w:cs="Arial" w:eastAsia="Arial" w:hAnsi="Arial"/>
          <w:sz w:val="16"/>
          <w:szCs w:val="16"/>
          <w:color w:val="auto"/>
        </w:rPr>
        <w:t>Purchaser understands and acknowledges that the sale of the Shares has not been registered under the Act, and the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must be held indefinitely unless subsequently registered under the Act or an exemption from such registration is available.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00" w:hanging="216"/>
        <w:spacing w:after="0"/>
        <w:tabs>
          <w:tab w:leader="none" w:pos="4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Miscellaneous.</w:t>
      </w:r>
    </w:p>
    <w:p>
      <w:pPr>
        <w:spacing w:after="0" w:line="225" w:lineRule="exact"/>
        <w:rPr>
          <w:rFonts w:ascii="Arial" w:cs="Arial" w:eastAsia="Arial" w:hAnsi="Arial"/>
          <w:sz w:val="18"/>
          <w:szCs w:val="18"/>
          <w:b w:val="1"/>
          <w:bCs w:val="1"/>
          <w:color w:val="auto"/>
        </w:rPr>
      </w:pPr>
    </w:p>
    <w:p>
      <w:pPr>
        <w:ind w:left="540" w:right="240" w:firstLine="184"/>
        <w:spacing w:after="0" w:line="268" w:lineRule="auto"/>
        <w:tabs>
          <w:tab w:leader="none" w:pos="961"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The parties agree to execute such further instruments and to take such further action as may reasonably be necessary to carry out the intent of this Agreement</w:t>
      </w:r>
    </w:p>
    <w:p>
      <w:pPr>
        <w:spacing w:after="0" w:line="185" w:lineRule="exact"/>
        <w:rPr>
          <w:rFonts w:ascii="Arial" w:cs="Arial" w:eastAsia="Arial" w:hAnsi="Arial"/>
          <w:sz w:val="18"/>
          <w:szCs w:val="18"/>
          <w:b w:val="1"/>
          <w:bCs w:val="1"/>
          <w:color w:val="auto"/>
        </w:rPr>
      </w:pPr>
    </w:p>
    <w:p>
      <w:pPr>
        <w:ind w:left="540" w:right="360" w:firstLine="184"/>
        <w:spacing w:after="0" w:line="268" w:lineRule="auto"/>
        <w:tabs>
          <w:tab w:leader="none" w:pos="971"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This Agreement shall be governed by the laws of the state of Idaho, without reference to conflicts of laws principles, and any issues arising as a result of this Agreement shall be adjudicated in the state of Idaho.</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8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4340" w:type="dxa"/>
            <w:vAlign w:val="bottom"/>
          </w:tcPr>
          <w:p>
            <w:pPr>
              <w:spacing w:after="0"/>
              <w:rPr>
                <w:sz w:val="19"/>
                <w:szCs w:val="19"/>
                <w:color w:val="auto"/>
              </w:rPr>
            </w:pPr>
          </w:p>
        </w:tc>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SELLER:</w:t>
            </w:r>
          </w:p>
        </w:tc>
        <w:tc>
          <w:tcPr>
            <w:tcW w:w="260" w:type="dxa"/>
            <w:vAlign w:val="bottom"/>
          </w:tcPr>
          <w:p>
            <w:pPr>
              <w:spacing w:after="0"/>
              <w:rPr>
                <w:sz w:val="19"/>
                <w:szCs w:val="19"/>
                <w:color w:val="auto"/>
              </w:rPr>
            </w:pPr>
          </w:p>
        </w:tc>
        <w:tc>
          <w:tcPr>
            <w:tcW w:w="4220" w:type="dxa"/>
            <w:vAlign w:val="bottom"/>
          </w:tcPr>
          <w:p>
            <w:pPr>
              <w:spacing w:after="0"/>
              <w:rPr>
                <w:sz w:val="19"/>
                <w:szCs w:val="19"/>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MICRON SEMICONDUCTOR PRODUCTS, INC.</w:t>
            </w:r>
          </w:p>
        </w:tc>
        <w:tc>
          <w:tcPr>
            <w:tcW w:w="5800" w:type="dxa"/>
            <w:vAlign w:val="bottom"/>
            <w:gridSpan w:val="3"/>
          </w:tcPr>
          <w:p>
            <w:pPr>
              <w:ind w:left="340"/>
              <w:spacing w:after="0"/>
              <w:rPr>
                <w:sz w:val="20"/>
                <w:szCs w:val="20"/>
                <w:color w:val="auto"/>
              </w:rPr>
            </w:pPr>
            <w:r>
              <w:rPr>
                <w:rFonts w:ascii="Arial" w:cs="Arial" w:eastAsia="Arial" w:hAnsi="Arial"/>
                <w:sz w:val="18"/>
                <w:szCs w:val="18"/>
                <w:color w:val="auto"/>
              </w:rPr>
              <w:t>MICRON TECHNOLOGY, INC.</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Steven R. Appleton</w:t>
            </w:r>
          </w:p>
        </w:tc>
        <w:tc>
          <w:tcPr>
            <w:tcW w:w="1320" w:type="dxa"/>
            <w:vAlign w:val="bottom"/>
          </w:tcPr>
          <w:p>
            <w:pPr>
              <w:ind w:left="340"/>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ind w:left="260"/>
              <w:spacing w:after="0"/>
              <w:rPr>
                <w:sz w:val="20"/>
                <w:szCs w:val="20"/>
                <w:color w:val="auto"/>
              </w:rPr>
            </w:pPr>
            <w:r>
              <w:rPr>
                <w:rFonts w:ascii="Arial" w:cs="Arial" w:eastAsia="Arial" w:hAnsi="Arial"/>
                <w:sz w:val="18"/>
                <w:szCs w:val="18"/>
                <w:color w:val="auto"/>
              </w:rPr>
              <w:t>/s/ W.G. Stover, Jr.</w:t>
            </w:r>
          </w:p>
        </w:tc>
      </w:tr>
      <w:tr>
        <w:trPr>
          <w:trHeight w:val="120"/>
        </w:trPr>
        <w:tc>
          <w:tcPr>
            <w:tcW w:w="128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r>
      <w:tr>
        <w:trPr>
          <w:trHeight w:val="313"/>
        </w:trPr>
        <w:tc>
          <w:tcPr>
            <w:tcW w:w="128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spacing w:after="0"/>
              <w:rPr>
                <w:sz w:val="20"/>
                <w:szCs w:val="20"/>
                <w:color w:val="auto"/>
              </w:rPr>
            </w:pPr>
            <w:r>
              <w:rPr>
                <w:rFonts w:ascii="Arial" w:cs="Arial" w:eastAsia="Arial" w:hAnsi="Arial"/>
                <w:sz w:val="18"/>
                <w:szCs w:val="18"/>
                <w:color w:val="auto"/>
              </w:rPr>
              <w:t>Steven R. Appleton</w:t>
            </w:r>
          </w:p>
        </w:tc>
        <w:tc>
          <w:tcPr>
            <w:tcW w:w="1320" w:type="dxa"/>
            <w:vAlign w:val="bottom"/>
          </w:tcPr>
          <w:p>
            <w:pPr>
              <w:ind w:left="340"/>
              <w:spacing w:after="0"/>
              <w:rPr>
                <w:sz w:val="20"/>
                <w:szCs w:val="20"/>
                <w:color w:val="auto"/>
              </w:rPr>
            </w:pPr>
            <w:r>
              <w:rPr>
                <w:rFonts w:ascii="Arial" w:cs="Arial" w:eastAsia="Arial" w:hAnsi="Arial"/>
                <w:sz w:val="18"/>
                <w:szCs w:val="18"/>
                <w:color w:val="auto"/>
              </w:rPr>
              <w:t>Name:</w:t>
            </w:r>
          </w:p>
        </w:tc>
        <w:tc>
          <w:tcPr>
            <w:tcW w:w="4480" w:type="dxa"/>
            <w:vAlign w:val="bottom"/>
            <w:gridSpan w:val="2"/>
          </w:tcPr>
          <w:p>
            <w:pPr>
              <w:ind w:left="260"/>
              <w:spacing w:after="0"/>
              <w:rPr>
                <w:sz w:val="20"/>
                <w:szCs w:val="20"/>
                <w:color w:val="auto"/>
              </w:rPr>
            </w:pPr>
            <w:r>
              <w:rPr>
                <w:rFonts w:ascii="Arial" w:cs="Arial" w:eastAsia="Arial" w:hAnsi="Arial"/>
                <w:sz w:val="18"/>
                <w:szCs w:val="18"/>
                <w:color w:val="auto"/>
              </w:rPr>
              <w:t>W.G. Stover, Jr.</w:t>
            </w:r>
          </w:p>
        </w:tc>
      </w:tr>
      <w:tr>
        <w:trPr>
          <w:trHeight w:val="222"/>
        </w:trPr>
        <w:tc>
          <w:tcPr>
            <w:tcW w:w="12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Chairman</w:t>
            </w:r>
          </w:p>
        </w:tc>
        <w:tc>
          <w:tcPr>
            <w:tcW w:w="1320" w:type="dxa"/>
            <w:vAlign w:val="bottom"/>
          </w:tcPr>
          <w:p>
            <w:pPr>
              <w:ind w:left="340"/>
              <w:spacing w:after="0"/>
              <w:rPr>
                <w:sz w:val="20"/>
                <w:szCs w:val="20"/>
                <w:color w:val="auto"/>
              </w:rPr>
            </w:pPr>
            <w:r>
              <w:rPr>
                <w:rFonts w:ascii="Arial" w:cs="Arial" w:eastAsia="Arial" w:hAnsi="Arial"/>
                <w:sz w:val="18"/>
                <w:szCs w:val="18"/>
                <w:color w:val="auto"/>
              </w:rPr>
              <w:t>Title:</w:t>
            </w:r>
          </w:p>
        </w:tc>
        <w:tc>
          <w:tcPr>
            <w:tcW w:w="4480" w:type="dxa"/>
            <w:vAlign w:val="bottom"/>
            <w:gridSpan w:val="2"/>
          </w:tcPr>
          <w:p>
            <w:pPr>
              <w:ind w:left="260"/>
              <w:spacing w:after="0"/>
              <w:rPr>
                <w:sz w:val="20"/>
                <w:szCs w:val="20"/>
                <w:color w:val="auto"/>
              </w:rPr>
            </w:pPr>
            <w:r>
              <w:rPr>
                <w:rFonts w:ascii="Arial" w:cs="Arial" w:eastAsia="Arial" w:hAnsi="Arial"/>
                <w:sz w:val="18"/>
                <w:szCs w:val="18"/>
                <w:color w:val="auto"/>
              </w:rPr>
              <w:t>VP of Finance and CFO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-353695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-353695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-353695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491"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491" w:gutter="0" w:footer="0" w:header="0"/>
          <w:type w:val="continuous"/>
        </w:sectPr>
      </w:pPr>
    </w:p>
    <w:bookmarkStart w:id="22" w:name="page23"/>
    <w:bookmarkEnd w:id="2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EXHIBIT 4</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STOCK PURCHASE AGREEMENT</w:t>
        </w:r>
      </w:hyperlink>
    </w:p>
    <w:p>
      <w:pPr>
        <w:sectPr>
          <w:pgSz w:w="11900" w:h="16838" w:orient="portrait"/>
          <w:cols w:equalWidth="0" w:num="1">
            <w:col w:w="10219"/>
          </w:cols>
          <w:pgMar w:left="240" w:top="361" w:right="1440" w:bottom="1440" w:gutter="0" w:footer="0" w:header="0"/>
        </w:sectPr>
      </w:pPr>
    </w:p>
    <w:bookmarkStart w:id="23" w:name="page24"/>
    <w:bookmarkEnd w:id="23"/>
    <w:p>
      <w:pPr>
        <w:spacing w:after="0"/>
        <w:rPr>
          <w:rFonts w:ascii="Arial" w:cs="Arial" w:eastAsia="Arial" w:hAnsi="Arial"/>
          <w:sz w:val="22"/>
          <w:szCs w:val="22"/>
          <w:color w:val="0000EE"/>
        </w:rPr>
      </w:pPr>
      <w:hyperlink w:anchor="page2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DONATION AGREEMENT</w:t>
      </w:r>
    </w:p>
    <w:p>
      <w:pPr>
        <w:spacing w:after="0" w:line="232" w:lineRule="exact"/>
        <w:rPr>
          <w:sz w:val="20"/>
          <w:szCs w:val="20"/>
          <w:color w:val="auto"/>
        </w:rPr>
      </w:pPr>
    </w:p>
    <w:p>
      <w:pPr>
        <w:ind w:right="280" w:firstLine="172"/>
        <w:spacing w:after="0" w:line="212" w:lineRule="auto"/>
        <w:rPr>
          <w:sz w:val="20"/>
          <w:szCs w:val="20"/>
          <w:color w:val="auto"/>
        </w:rPr>
      </w:pPr>
      <w:r>
        <w:rPr>
          <w:rFonts w:ascii="Arial" w:cs="Arial" w:eastAsia="Arial" w:hAnsi="Arial"/>
          <w:sz w:val="18"/>
          <w:szCs w:val="18"/>
          <w:color w:val="auto"/>
        </w:rPr>
        <w:t>This Agreement is made as of this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2001 ("Effective Date") by and between Micron Semiconductor Products, Inc. ("Donor") and Micron Technology Foundation, Inc., ("Foundation").</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consideration of the mutual covenants and representations herein set forth, the Donor and Foundation agree as follows:</w:t>
      </w:r>
    </w:p>
    <w:p>
      <w:pPr>
        <w:spacing w:after="0" w:line="225" w:lineRule="exact"/>
        <w:rPr>
          <w:sz w:val="20"/>
          <w:szCs w:val="20"/>
          <w:color w:val="auto"/>
        </w:rPr>
      </w:pPr>
    </w:p>
    <w:p>
      <w:pPr>
        <w:ind w:left="400" w:hanging="216"/>
        <w:spacing w:after="0"/>
        <w:tabs>
          <w:tab w:leader="none" w:pos="4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Donation and Acceptance of Shares.</w:t>
      </w:r>
    </w:p>
    <w:p>
      <w:pPr>
        <w:spacing w:after="0" w:line="225" w:lineRule="exact"/>
        <w:rPr>
          <w:rFonts w:ascii="Arial" w:cs="Arial" w:eastAsia="Arial" w:hAnsi="Arial"/>
          <w:sz w:val="18"/>
          <w:szCs w:val="18"/>
          <w:b w:val="1"/>
          <w:bCs w:val="1"/>
          <w:color w:val="auto"/>
        </w:rPr>
      </w:pPr>
    </w:p>
    <w:p>
      <w:pPr>
        <w:ind w:left="540" w:right="100" w:firstLine="184"/>
        <w:spacing w:after="0" w:line="256" w:lineRule="auto"/>
        <w:tabs>
          <w:tab w:leader="none" w:pos="964"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t>Subject to the terms and conditions of this Agreement, the Donor hereby donates to Foundation and Foundation hereby accepts from the Donor, fifty-eight million, six hundred twenty-two thousand, eight hundred sixty-three (58,622,863) shares of the outstanding common stock of Micron Electronics, Inc., now known as Interland, Inc., represented by Certificate No.'s M-1913, M-8508, M-8510, M-8511, M-8512, M-8513, M-8999, M-9000 (the "Shares").</w:t>
      </w:r>
    </w:p>
    <w:p>
      <w:pPr>
        <w:spacing w:after="0" w:line="197" w:lineRule="exact"/>
        <w:rPr>
          <w:rFonts w:ascii="Arial" w:cs="Arial" w:eastAsia="Arial" w:hAnsi="Arial"/>
          <w:sz w:val="18"/>
          <w:szCs w:val="18"/>
          <w:b w:val="1"/>
          <w:bCs w:val="1"/>
          <w:color w:val="auto"/>
        </w:rPr>
      </w:pPr>
    </w:p>
    <w:p>
      <w:pPr>
        <w:ind w:left="400" w:hanging="216"/>
        <w:spacing w:after="0"/>
        <w:tabs>
          <w:tab w:leader="none" w:pos="4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Assignment of and Assumption of Agreements</w:t>
      </w:r>
    </w:p>
    <w:p>
      <w:pPr>
        <w:spacing w:after="0" w:line="225" w:lineRule="exact"/>
        <w:rPr>
          <w:rFonts w:ascii="Arial" w:cs="Arial" w:eastAsia="Arial" w:hAnsi="Arial"/>
          <w:sz w:val="18"/>
          <w:szCs w:val="18"/>
          <w:b w:val="1"/>
          <w:bCs w:val="1"/>
          <w:color w:val="auto"/>
        </w:rPr>
      </w:pPr>
    </w:p>
    <w:p>
      <w:pPr>
        <w:ind w:left="540" w:right="80" w:firstLine="184"/>
        <w:spacing w:after="0" w:line="256" w:lineRule="auto"/>
        <w:tabs>
          <w:tab w:leader="none" w:pos="1008"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Shareholder Agreement. </w:t>
      </w:r>
      <w:r>
        <w:rPr>
          <w:rFonts w:ascii="Arial" w:cs="Arial" w:eastAsia="Arial" w:hAnsi="Arial"/>
          <w:sz w:val="18"/>
          <w:szCs w:val="18"/>
          <w:color w:val="auto"/>
        </w:rPr>
        <w:t>Pursuant to Section 1(ix) of the MTI Shareholder Agreement entered into as of March 22, 2001, by and among Micron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Electronics, Inc., now known as Interland, Inc., and Micron Technology, Inc., the terms of Section 1 of which the Donor has agreed to be bound, Donor is transferring the Shares to Foundation. As required by the MTI Shareholder Agreement, Foundation hereby agrees to be bound by Section 1 of the MTI Shareholder Agreement with respect to the Shares.</w:t>
      </w:r>
    </w:p>
    <w:p>
      <w:pPr>
        <w:spacing w:after="0" w:line="197" w:lineRule="exact"/>
        <w:rPr>
          <w:rFonts w:ascii="Arial" w:cs="Arial" w:eastAsia="Arial" w:hAnsi="Arial"/>
          <w:sz w:val="18"/>
          <w:szCs w:val="18"/>
          <w:b w:val="1"/>
          <w:bCs w:val="1"/>
          <w:color w:val="auto"/>
        </w:rPr>
      </w:pPr>
    </w:p>
    <w:p>
      <w:pPr>
        <w:ind w:left="540" w:right="320" w:firstLine="184"/>
        <w:spacing w:after="0" w:line="294" w:lineRule="auto"/>
        <w:tabs>
          <w:tab w:leader="none" w:pos="1018" w:val="left"/>
        </w:tabs>
        <w:numPr>
          <w:ilvl w:val="1"/>
          <w:numId w:val="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Registration Rights Agreement. </w:t>
      </w:r>
      <w:r>
        <w:rPr>
          <w:rFonts w:ascii="Arial" w:cs="Arial" w:eastAsia="Arial" w:hAnsi="Arial"/>
          <w:sz w:val="16"/>
          <w:szCs w:val="16"/>
          <w:color w:val="auto"/>
        </w:rPr>
        <w:t>Pursuant to Section 1.7(ii) of the Amended and Restated Registration Rights Agreement entered into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6, 2001, by and between Micron Technology, Inc., Micron Electronics, Inc., now known as Interland, Inc., and certain other parties, which has been assigned to Donor by Micron Technology, Inc., Donor hereby assigns its rights contained in the Amended and Restated Registration Rights Agreement to Foundation. As required by the Amended and Restated Registration Rights Agreement, Foundation hereby agrees to be bound by and subject to the terms and conditions of the Amended and Restated Registration Rights Agreement.</w:t>
      </w:r>
    </w:p>
    <w:p>
      <w:pPr>
        <w:spacing w:after="0" w:line="169" w:lineRule="exact"/>
        <w:rPr>
          <w:rFonts w:ascii="Arial" w:cs="Arial" w:eastAsia="Arial" w:hAnsi="Arial"/>
          <w:sz w:val="16"/>
          <w:szCs w:val="16"/>
          <w:b w:val="1"/>
          <w:bCs w:val="1"/>
          <w:color w:val="auto"/>
        </w:rPr>
      </w:pPr>
    </w:p>
    <w:p>
      <w:pPr>
        <w:jc w:val="both"/>
        <w:ind w:right="60" w:firstLine="184"/>
        <w:spacing w:after="0" w:line="306" w:lineRule="auto"/>
        <w:tabs>
          <w:tab w:leader="none" w:pos="39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Stock Dividends, Splits. </w:t>
      </w:r>
      <w:r>
        <w:rPr>
          <w:rFonts w:ascii="Arial" w:cs="Arial" w:eastAsia="Arial" w:hAnsi="Arial"/>
          <w:sz w:val="16"/>
          <w:szCs w:val="16"/>
          <w:color w:val="auto"/>
        </w:rPr>
        <w:t>If after the Effective Date, there is any stock dividend, stock split or other change in the character or amount of the Shares, then,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event, Foundation shall be entitled to any and all payments and securities to which the holder of the Shares is entitled and any new, additional or substituted securities shall be immediately subject to this Agreement and be included in the definition of "Shares" herein.</w:t>
      </w:r>
    </w:p>
    <w:p>
      <w:pPr>
        <w:spacing w:after="0" w:line="160" w:lineRule="exact"/>
        <w:rPr>
          <w:rFonts w:ascii="Arial" w:cs="Arial" w:eastAsia="Arial" w:hAnsi="Arial"/>
          <w:sz w:val="16"/>
          <w:szCs w:val="16"/>
          <w:b w:val="1"/>
          <w:bCs w:val="1"/>
          <w:color w:val="auto"/>
        </w:rPr>
      </w:pPr>
    </w:p>
    <w:p>
      <w:pPr>
        <w:ind w:left="400" w:hanging="216"/>
        <w:spacing w:after="0"/>
        <w:tabs>
          <w:tab w:leader="none" w:pos="40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Foundation's Representations. </w:t>
      </w:r>
      <w:r>
        <w:rPr>
          <w:rFonts w:ascii="Arial" w:cs="Arial" w:eastAsia="Arial" w:hAnsi="Arial"/>
          <w:sz w:val="16"/>
          <w:szCs w:val="16"/>
          <w:color w:val="auto"/>
        </w:rPr>
        <w:t>In connection with his purchase of the Shares, Foundation hereby represents and warrants to the Donor as follows:</w:t>
      </w:r>
    </w:p>
    <w:p>
      <w:pPr>
        <w:spacing w:after="0" w:line="248" w:lineRule="exact"/>
        <w:rPr>
          <w:rFonts w:ascii="Arial" w:cs="Arial" w:eastAsia="Arial" w:hAnsi="Arial"/>
          <w:sz w:val="16"/>
          <w:szCs w:val="16"/>
          <w:b w:val="1"/>
          <w:bCs w:val="1"/>
          <w:color w:val="auto"/>
        </w:rPr>
      </w:pPr>
    </w:p>
    <w:p>
      <w:pPr>
        <w:ind w:left="540" w:right="60" w:firstLine="184"/>
        <w:spacing w:after="0" w:line="256" w:lineRule="auto"/>
        <w:tabs>
          <w:tab w:leader="none" w:pos="1008"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Intent; Capacity to Protect Interests. </w:t>
      </w:r>
      <w:r>
        <w:rPr>
          <w:rFonts w:ascii="Arial" w:cs="Arial" w:eastAsia="Arial" w:hAnsi="Arial"/>
          <w:sz w:val="18"/>
          <w:szCs w:val="18"/>
          <w:color w:val="auto"/>
        </w:rPr>
        <w:t>Foundation is acquiring the Shares solely for its own account for investment and not with a view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or for sale in connection with any distribution of the Shares or any portion thereof and not with any present intention of selling, offering to sell or otherwise disposing of or distributing the Shares or any portion thereof in any transaction other than a transaction exempt from registration under the Securities Act of 1933, as amended (the "Act").</w:t>
      </w:r>
    </w:p>
    <w:p>
      <w:pPr>
        <w:spacing w:after="0" w:line="197" w:lineRule="exact"/>
        <w:rPr>
          <w:rFonts w:ascii="Arial" w:cs="Arial" w:eastAsia="Arial" w:hAnsi="Arial"/>
          <w:sz w:val="18"/>
          <w:szCs w:val="18"/>
          <w:b w:val="1"/>
          <w:bCs w:val="1"/>
          <w:color w:val="auto"/>
        </w:rPr>
      </w:pPr>
    </w:p>
    <w:p>
      <w:pPr>
        <w:ind w:left="540" w:right="160" w:firstLine="184"/>
        <w:spacing w:after="0" w:line="332" w:lineRule="auto"/>
        <w:tabs>
          <w:tab w:leader="none" w:pos="1018" w:val="left"/>
        </w:tabs>
        <w:numPr>
          <w:ilvl w:val="1"/>
          <w:numId w:val="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Restricted Securities. </w:t>
      </w:r>
      <w:r>
        <w:rPr>
          <w:rFonts w:ascii="Arial" w:cs="Arial" w:eastAsia="Arial" w:hAnsi="Arial"/>
          <w:sz w:val="16"/>
          <w:szCs w:val="16"/>
          <w:color w:val="auto"/>
        </w:rPr>
        <w:t>Foundation understands and acknowledges that the sale of the Shares has not been registered under the Act, and the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must be held indefinitely unless subsequently registered under the Act or an exemption from such registration is available.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00" w:hanging="216"/>
        <w:spacing w:after="0"/>
        <w:tabs>
          <w:tab w:leader="none" w:pos="4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Miscellaneous.</w:t>
      </w:r>
    </w:p>
    <w:p>
      <w:pPr>
        <w:spacing w:after="0" w:line="225" w:lineRule="exact"/>
        <w:rPr>
          <w:rFonts w:ascii="Arial" w:cs="Arial" w:eastAsia="Arial" w:hAnsi="Arial"/>
          <w:sz w:val="18"/>
          <w:szCs w:val="18"/>
          <w:b w:val="1"/>
          <w:bCs w:val="1"/>
          <w:color w:val="auto"/>
        </w:rPr>
      </w:pPr>
    </w:p>
    <w:p>
      <w:pPr>
        <w:ind w:left="540" w:right="240" w:firstLine="184"/>
        <w:spacing w:after="0" w:line="268" w:lineRule="auto"/>
        <w:tabs>
          <w:tab w:leader="none" w:pos="961"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The parties agree to execute such further instruments and to take such further action as may reasonably be necessary to carry out the intent of this Agreement</w:t>
      </w:r>
    </w:p>
    <w:p>
      <w:pPr>
        <w:spacing w:after="0" w:line="185" w:lineRule="exact"/>
        <w:rPr>
          <w:rFonts w:ascii="Arial" w:cs="Arial" w:eastAsia="Arial" w:hAnsi="Arial"/>
          <w:sz w:val="18"/>
          <w:szCs w:val="18"/>
          <w:b w:val="1"/>
          <w:bCs w:val="1"/>
          <w:color w:val="auto"/>
        </w:rPr>
      </w:pPr>
    </w:p>
    <w:p>
      <w:pPr>
        <w:ind w:left="540" w:right="360" w:firstLine="184"/>
        <w:spacing w:after="0" w:line="268" w:lineRule="auto"/>
        <w:tabs>
          <w:tab w:leader="none" w:pos="971"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This Agreement shall be governed by the laws of the state of Idaho, without reference to conflicts of laws principles, and any issues arising as a result of this Agreement shall be adjudicated in the state of Idaho.</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FOUNDATION:</w:t>
            </w:r>
          </w:p>
        </w:tc>
        <w:tc>
          <w:tcPr>
            <w:tcW w:w="1200" w:type="dxa"/>
            <w:vAlign w:val="bottom"/>
          </w:tcPr>
          <w:p>
            <w:pPr>
              <w:ind w:left="340"/>
              <w:spacing w:after="0"/>
              <w:rPr>
                <w:sz w:val="20"/>
                <w:szCs w:val="20"/>
                <w:color w:val="auto"/>
              </w:rPr>
            </w:pPr>
            <w:r>
              <w:rPr>
                <w:rFonts w:ascii="Arial" w:cs="Arial" w:eastAsia="Arial" w:hAnsi="Arial"/>
                <w:sz w:val="18"/>
                <w:szCs w:val="18"/>
                <w:b w:val="1"/>
                <w:bCs w:val="1"/>
                <w:color w:val="auto"/>
              </w:rPr>
              <w:t>DONOR:</w:t>
            </w:r>
          </w:p>
        </w:tc>
        <w:tc>
          <w:tcPr>
            <w:tcW w:w="1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MICRON TECHNOLOGY FOUNDATION, INC.</w:t>
            </w:r>
          </w:p>
        </w:tc>
        <w:tc>
          <w:tcPr>
            <w:tcW w:w="5800" w:type="dxa"/>
            <w:vAlign w:val="bottom"/>
            <w:gridSpan w:val="3"/>
          </w:tcPr>
          <w:p>
            <w:pPr>
              <w:ind w:left="340"/>
              <w:spacing w:after="0"/>
              <w:rPr>
                <w:sz w:val="20"/>
                <w:szCs w:val="20"/>
                <w:color w:val="auto"/>
              </w:rPr>
            </w:pPr>
            <w:r>
              <w:rPr>
                <w:rFonts w:ascii="Arial" w:cs="Arial" w:eastAsia="Arial" w:hAnsi="Arial"/>
                <w:sz w:val="18"/>
                <w:szCs w:val="18"/>
                <w:color w:val="auto"/>
              </w:rPr>
              <w:t>MICRON SEMICONDUCTOR PRODUCTS, INC.</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/s/ Karen L. Vauk</w:t>
            </w:r>
          </w:p>
        </w:tc>
        <w:tc>
          <w:tcPr>
            <w:tcW w:w="1200" w:type="dxa"/>
            <w:vAlign w:val="bottom"/>
          </w:tcPr>
          <w:p>
            <w:pPr>
              <w:ind w:left="340"/>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Steven R. Appleton</w:t>
            </w:r>
          </w:p>
        </w:tc>
      </w:tr>
      <w:tr>
        <w:trPr>
          <w:trHeight w:val="120"/>
        </w:trPr>
        <w:tc>
          <w:tcPr>
            <w:tcW w:w="1040" w:type="dxa"/>
            <w:vAlign w:val="bottom"/>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r>
      <w:tr>
        <w:trPr>
          <w:trHeight w:val="313"/>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Karen L. Vauk</w:t>
            </w:r>
          </w:p>
        </w:tc>
        <w:tc>
          <w:tcPr>
            <w:tcW w:w="1200" w:type="dxa"/>
            <w:vAlign w:val="bottom"/>
          </w:tcPr>
          <w:p>
            <w:pPr>
              <w:ind w:left="340"/>
              <w:spacing w:after="0"/>
              <w:rPr>
                <w:sz w:val="20"/>
                <w:szCs w:val="20"/>
                <w:color w:val="auto"/>
              </w:rPr>
            </w:pPr>
            <w:r>
              <w:rPr>
                <w:rFonts w:ascii="Arial" w:cs="Arial" w:eastAsia="Arial" w:hAnsi="Arial"/>
                <w:sz w:val="18"/>
                <w:szCs w:val="18"/>
                <w:color w:val="auto"/>
              </w:rPr>
              <w:t>Name:</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Steven R. Appleton</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Executive Director</w:t>
            </w:r>
          </w:p>
        </w:tc>
        <w:tc>
          <w:tcPr>
            <w:tcW w:w="1200" w:type="dxa"/>
            <w:vAlign w:val="bottom"/>
          </w:tcPr>
          <w:p>
            <w:pPr>
              <w:ind w:left="340"/>
              <w:spacing w:after="0"/>
              <w:rPr>
                <w:sz w:val="20"/>
                <w:szCs w:val="20"/>
                <w:color w:val="auto"/>
              </w:rPr>
            </w:pPr>
            <w:r>
              <w:rPr>
                <w:rFonts w:ascii="Arial" w:cs="Arial" w:eastAsia="Arial" w:hAnsi="Arial"/>
                <w:sz w:val="18"/>
                <w:szCs w:val="18"/>
                <w:color w:val="auto"/>
              </w:rPr>
              <w:t>Title:</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Chairman</w:t>
            </w:r>
          </w:p>
        </w:tc>
      </w:tr>
      <w:tr>
        <w:trPr>
          <w:trHeight w:val="222"/>
        </w:trPr>
        <w:tc>
          <w:tcPr>
            <w:tcW w:w="10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And Assistant Corporate Secretary</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-491490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-491490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-491490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491"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491" w:gutter="0" w:footer="0" w:header="0"/>
          <w:type w:val="continuous"/>
        </w:sectPr>
      </w:pPr>
    </w:p>
    <w:bookmarkStart w:id="24" w:name="page25"/>
    <w:bookmarkEnd w:id="2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EXHIBIT 5</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DONATION AGREEMENT</w:t>
        </w:r>
      </w:hyperlink>
    </w:p>
    <w:sectPr>
      <w:pgSz w:w="11900" w:h="16838" w:orient="portrait"/>
      <w:cols w:equalWidth="0" w:num="1">
        <w:col w:w="10219"/>
      </w:cols>
      <w:pgMar w:left="2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2"/>
      <w:numFmt w:val="bullet"/>
      <w:start w:val="1"/>
    </w:lvl>
    <w:lvl w:ilvl="1">
      <w:lvlJc w:val="left"/>
      <w:lvlText w:val="(%2)"/>
      <w:numFmt w:val="lowerLetter"/>
      <w:start w:val="1"/>
    </w:lvl>
  </w:abstractNum>
  <w:abstractNum w:abstractNumId="1">
    <w:nsid w:val="4E6AFB66"/>
    <w:multiLevelType w:val="hybridMultilevel"/>
    <w:lvl w:ilvl="0">
      <w:lvlJc w:val="left"/>
      <w:lvlText w:val="3"/>
      <w:numFmt w:val="bullet"/>
      <w:start w:val="1"/>
    </w:lvl>
  </w:abstractNum>
  <w:abstractNum w:abstractNumId="2">
    <w:nsid w:val="25E45D32"/>
    <w:multiLevelType w:val="hybridMultilevel"/>
    <w:lvl w:ilvl="0">
      <w:lvlJc w:val="left"/>
      <w:lvlText w:val="4"/>
      <w:numFmt w:val="bullet"/>
      <w:start w:val="1"/>
    </w:lvl>
  </w:abstractNum>
  <w:abstractNum w:abstractNumId="3">
    <w:nsid w:val="519B500D"/>
    <w:multiLevelType w:val="hybridMultilevel"/>
    <w:lvl w:ilvl="0">
      <w:lvlJc w:val="left"/>
      <w:lvlText w:val="6"/>
      <w:numFmt w:val="bullet"/>
      <w:start w:val="1"/>
    </w:lvl>
  </w:abstractNum>
  <w:abstractNum w:abstractNumId="4">
    <w:nsid w:val="431BD7B7"/>
    <w:multiLevelType w:val="hybridMultilevel"/>
    <w:lvl w:ilvl="0">
      <w:lvlJc w:val="left"/>
      <w:lvlText w:val="%1"/>
      <w:numFmt w:val="decimal"/>
      <w:start w:val="10"/>
    </w:lvl>
  </w:abstractNum>
  <w:abstractNum w:abstractNumId="5">
    <w:nsid w:val="3F2DBA31"/>
    <w:multiLevelType w:val="hybridMultilevel"/>
    <w:lvl w:ilvl="0">
      <w:lvlJc w:val="left"/>
      <w:lvlText w:val="%1"/>
      <w:numFmt w:val="decimal"/>
      <w:start w:val="11"/>
    </w:lvl>
  </w:abstractNum>
  <w:abstractNum w:abstractNumId="6">
    <w:nsid w:val="7C83E458"/>
    <w:multiLevelType w:val="hybridMultilevel"/>
    <w:lvl w:ilvl="0">
      <w:lvlJc w:val="left"/>
      <w:lvlText w:val="%1"/>
      <w:numFmt w:val="decimal"/>
      <w:start w:val="13"/>
    </w:lvl>
  </w:abstractNum>
  <w:abstractNum w:abstractNumId="7">
    <w:nsid w:val="257130A3"/>
    <w:multiLevelType w:val="hybridMultilevel"/>
    <w:lvl w:ilvl="0">
      <w:lvlJc w:val="left"/>
      <w:lvlText w:val="(%1)"/>
      <w:numFmt w:val="lowerLetter"/>
      <w:start w:val="2"/>
    </w:lvl>
  </w:abstractNum>
  <w:abstractNum w:abstractNumId="8">
    <w:nsid w:val="62BBD95A"/>
    <w:multiLevelType w:val="hybridMultilevel"/>
    <w:lvl w:ilvl="0">
      <w:lvlJc w:val="left"/>
      <w:lvlText w:val="(%1)"/>
      <w:numFmt w:val="lowerLetter"/>
      <w:start w:val="4"/>
    </w:lvl>
  </w:abstractNum>
  <w:abstractNum w:abstractNumId="9">
    <w:nsid w:val="436C6125"/>
    <w:multiLevelType w:val="hybridMultilevel"/>
    <w:lvl w:ilvl="0">
      <w:lvlJc w:val="left"/>
      <w:lvlText w:val="%1."/>
      <w:numFmt w:val="upperLetter"/>
      <w:start w:val="1"/>
    </w:lvl>
  </w:abstractNum>
  <w:abstractNum w:abstractNumId="10">
    <w:nsid w:val="628C895D"/>
    <w:multiLevelType w:val="hybridMultilevel"/>
    <w:lvl w:ilvl="0">
      <w:lvlJc w:val="left"/>
      <w:lvlText w:val="(%1)"/>
      <w:numFmt w:val="lowerRoman"/>
      <w:start w:val="3"/>
    </w:lvl>
    <w:lvl w:ilvl="1">
      <w:lvlJc w:val="left"/>
      <w:lvlText w:val="%2"/>
      <w:numFmt w:val="decimal"/>
      <w:start w:val="1"/>
    </w:lvl>
  </w:abstractNum>
  <w:abstractNum w:abstractNumId="11">
    <w:nsid w:val="333AB105"/>
    <w:multiLevelType w:val="hybridMultilevel"/>
    <w:lvl w:ilvl="0">
      <w:lvlJc w:val="left"/>
      <w:lvlText w:val="(%1)"/>
      <w:numFmt w:val="lowerRoman"/>
      <w:start w:val="9"/>
    </w:lvl>
    <w:lvl w:ilvl="1">
      <w:lvlJc w:val="left"/>
      <w:lvlText w:val="%2."/>
      <w:numFmt w:val="decimal"/>
      <w:start w:val="2"/>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decimal"/>
      <w:start w:val="5"/>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7"/>
    </w:lvl>
  </w:abstractNum>
  <w:abstractNum w:abstractNumId="17">
    <w:nsid w:val="8EDBDAB"/>
    <w:multiLevelType w:val="hybridMultilevel"/>
    <w:lvl w:ilvl="0">
      <w:lvlJc w:val="left"/>
      <w:lvlText w:val="(%1)"/>
      <w:numFmt w:val="lowerLetter"/>
      <w:start w:val="1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2"/>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2"/>
    </w:lvl>
  </w:abstractNum>
  <w:abstractNum w:abstractNumId="22">
    <w:nsid w:val="54E49EB4"/>
    <w:multiLevelType w:val="hybridMultilevel"/>
    <w:lvl w:ilvl="0">
      <w:lvlJc w:val="left"/>
      <w:lvlText w:val="%1"/>
      <w:numFmt w:val="lowerLetter"/>
      <w:start w:val="1"/>
    </w:lvl>
    <w:lvl w:ilvl="1">
      <w:lvlJc w:val="left"/>
      <w:lvlText w:val="(%2)"/>
      <w:numFmt w:val="lowerLetter"/>
      <w:start w:val="3"/>
    </w:lvl>
  </w:abstractNum>
  <w:abstractNum w:abstractNumId="23">
    <w:nsid w:val="71F32454"/>
    <w:multiLevelType w:val="hybridMultilevel"/>
    <w:lvl w:ilvl="0">
      <w:lvlJc w:val="left"/>
      <w:lvlText w:val="(%1)"/>
      <w:numFmt w:val="lowerLetter"/>
      <w:start w:val="1"/>
    </w:lvl>
    <w:lvl w:ilvl="1">
      <w:lvlJc w:val="left"/>
      <w:lvlText w:val="%2"/>
      <w:numFmt w:val="lowerLetter"/>
      <w:start w:val="1"/>
    </w:lvl>
  </w:abstractNum>
  <w:abstractNum w:abstractNumId="24">
    <w:nsid w:val="2CA88611"/>
    <w:multiLevelType w:val="hybridMultilevel"/>
    <w:lvl w:ilvl="0">
      <w:lvlJc w:val="left"/>
      <w:lvlText w:val="(%1)"/>
      <w:numFmt w:val="lowerLetter"/>
      <w:start w:val="4"/>
    </w:lvl>
  </w:abstractNum>
  <w:abstractNum w:abstractNumId="25">
    <w:nsid w:val="836C40E"/>
    <w:multiLevelType w:val="hybridMultilevel"/>
    <w:lvl w:ilvl="0">
      <w:lvlJc w:val="left"/>
      <w:lvlText w:val="(%1)"/>
      <w:numFmt w:val="lowerRoman"/>
      <w:start w:val="2"/>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5"/>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2019-12-16T08:38:06Z</dcterms:created>
  <dcterms:modified xsi:type="dcterms:W3CDTF">2019-12-16T08:38:06Z</dcterms:modified>
</cp:coreProperties>
</file>