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SCHEDULE 14A</w:t>
      </w:r>
    </w:p>
    <w:p>
      <w:pPr>
        <w:spacing w:after="0" w:line="19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 w:lineRule="exact"/>
        <w:rPr>
          <w:sz w:val="24"/>
          <w:szCs w:val="24"/>
          <w:color w:val="auto"/>
        </w:rPr>
      </w:pPr>
    </w:p>
    <w:p>
      <w:pPr>
        <w:ind w:left="1080" w:hanging="1074"/>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1080" w:hanging="1074"/>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66040</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94"/>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MS PGothic" w:cs="MS PGothic" w:eastAsia="MS PGothic" w:hAnsi="MS PGothic"/>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1260" w:hanging="263"/>
        <w:spacing w:after="0" w:line="227"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 w:lineRule="exact"/>
        <w:rPr>
          <w:rFonts w:ascii="Arial" w:cs="Arial" w:eastAsia="Arial" w:hAnsi="Arial"/>
          <w:sz w:val="18"/>
          <w:szCs w:val="18"/>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MS PGothic" w:cs="MS PGothic" w:eastAsia="MS PGothic" w:hAnsi="MS PGothic"/>
          <w:sz w:val="18"/>
          <w:szCs w:val="18"/>
          <w:color w:val="auto"/>
        </w:rPr>
      </w:pPr>
    </w:p>
    <w:p>
      <w:pPr>
        <w:ind w:left="600" w:right="40" w:hanging="594"/>
        <w:spacing w:after="0" w:line="219" w:lineRule="auto"/>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6350</wp:posOffset>
            </wp:positionV>
            <wp:extent cx="6334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6334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-301625</wp:posOffset>
            </wp:positionV>
            <wp:extent cx="6334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-455930</wp:posOffset>
            </wp:positionV>
            <wp:extent cx="63347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-1116330</wp:posOffset>
            </wp:positionV>
            <wp:extent cx="6334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-1270635</wp:posOffset>
            </wp:positionV>
            <wp:extent cx="6334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-1424940</wp:posOffset>
            </wp:positionV>
            <wp:extent cx="6334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-1690370</wp:posOffset>
            </wp:positionV>
            <wp:extent cx="6334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-1844675</wp:posOffset>
            </wp:positionV>
            <wp:extent cx="6334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ectPr>
          <w:pgSz w:w="11900" w:h="16838" w:orient="portrait"/>
          <w:cols w:equalWidth="0" w:num="1">
            <w:col w:w="10980"/>
          </w:cols>
          <w:pgMar w:left="340" w:top="1183" w:right="5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3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706120</wp:posOffset>
            </wp:positionV>
            <wp:extent cx="149987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11480"/>
                    </a:xfrm>
                    <a:prstGeom prst="rect">
                      <a:avLst/>
                    </a:prstGeom>
                    <a:noFill/>
                  </pic:spPr>
                </pic:pic>
              </a:graphicData>
            </a:graphic>
          </wp:anchor>
        </w:drawing>
      </w:r>
    </w:p>
    <w:p>
      <w:pPr>
        <w:jc w:val="center"/>
        <w:ind w:left="360" w:right="540"/>
        <w:spacing w:after="0" w:line="254" w:lineRule="auto"/>
        <w:rPr>
          <w:sz w:val="20"/>
          <w:szCs w:val="20"/>
          <w:color w:val="auto"/>
        </w:rPr>
      </w:pPr>
      <w:r>
        <w:rPr>
          <w:rFonts w:ascii="Arial" w:cs="Arial" w:eastAsia="Arial" w:hAnsi="Arial"/>
          <w:sz w:val="40"/>
          <w:szCs w:val="40"/>
          <w:b w:val="1"/>
          <w:bCs w:val="1"/>
          <w:color w:val="auto"/>
        </w:rPr>
        <w:t>Notice of Fiscal 2021 Annual Meeting of Shareholders January 13, 2022</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w:t>
      </w:r>
    </w:p>
    <w:p>
      <w:pPr>
        <w:spacing w:after="0" w:line="248"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NOTICE IS HEREBY GIVEN that the Fiscal 2021 Annual Meeting of Shareholders of Micron Technology, Inc., a Delaware corporation, will be held virtually on January 13, 2022, at 9:00 a.m., Pacific Standard Time, for the purposes listed below. As used herein, “we,” “our,” “us,” “the Company,” and similar terms refer to Micron Technology, Inc., unless the context indicates otherwise.</w:t>
      </w:r>
    </w:p>
    <w:p>
      <w:pPr>
        <w:spacing w:after="0" w:line="22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eight directors to serve for the ensuing year and until their successors are elected and qualified;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 non-binding basis the compensation of our Named Executive Officers;</w:t>
      </w:r>
    </w:p>
    <w:p>
      <w:pPr>
        <w:spacing w:after="0" w:line="5" w:lineRule="exact"/>
        <w:rPr>
          <w:rFonts w:ascii="Arial" w:cs="Arial" w:eastAsia="Arial" w:hAnsi="Arial"/>
          <w:sz w:val="16"/>
          <w:szCs w:val="16"/>
          <w:color w:val="auto"/>
        </w:rPr>
      </w:pPr>
    </w:p>
    <w:p>
      <w:pPr>
        <w:ind w:left="660" w:right="960" w:hanging="652"/>
        <w:spacing w:after="0" w:line="246"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our Independent Registered Public Accounting Firm for the fiscal year ending September 1, 2022; and</w:t>
      </w: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Only shareholders of record at the close of business on November 19, 2021 are entitled to receive notice of and to vote at the meeting and any postponements or adjournments of the meeting. A complete list of shareholders entitled to vote at the meeting will be open to the examination of any shareholder, for any purpose germane to the business to be transacted at the meeting, for the ten-day period immediately preceding the date of the meeting, upon request to corporatesecretary@micron.com, including proof of stock ownership. The list will also be available during the meeting at </w:t>
      </w:r>
      <w:r>
        <w:rPr>
          <w:rFonts w:ascii="Arial" w:cs="Arial" w:eastAsia="Arial" w:hAnsi="Arial"/>
          <w:sz w:val="16"/>
          <w:szCs w:val="16"/>
          <w:i w:val="1"/>
          <w:iCs w:val="1"/>
          <w:color w:val="auto"/>
        </w:rPr>
        <w:t>www.virtualshareholdermeeting.com/MU2021</w:t>
      </w:r>
      <w:r>
        <w:rPr>
          <w:rFonts w:ascii="Arial" w:cs="Arial" w:eastAsia="Arial" w:hAnsi="Arial"/>
          <w:sz w:val="16"/>
          <w:szCs w:val="16"/>
          <w:color w:val="auto"/>
        </w:rPr>
        <w:t>.</w:t>
      </w:r>
    </w:p>
    <w:p>
      <w:pPr>
        <w:spacing w:after="0" w:line="23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Securities and Exchange Commission permits proxy materials to be furnished over the Internet rather than in paper form. Accordingly, unless otherwise requested, we are sending our shareholders a notice regarding the availability of this Proxy Statement, our Annual Report on Form 10-K for fiscal 2021,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235"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 xml:space="preserve">Due to the continuing public health impact of the coronavirus disease 2019 (“COVID-19”) pandemic and to support the health and well-being of our employees and shareholders, we are pleased to provide shareholders with the opportunity to participate in the annual meeting online via the Internet in a virtual-only meeting format to facilitate shareholder attendance and provide a consistent experience to all shareholders regardless of location. We will provide a live webcast of the annual meeting at </w:t>
      </w:r>
      <w:r>
        <w:rPr>
          <w:rFonts w:ascii="Arial" w:cs="Arial" w:eastAsia="Arial" w:hAnsi="Arial"/>
          <w:sz w:val="16"/>
          <w:szCs w:val="16"/>
          <w:i w:val="1"/>
          <w:iCs w:val="1"/>
          <w:color w:val="auto"/>
        </w:rPr>
        <w:t>www.virtualshareholdermeeting.com/MU2021</w:t>
      </w:r>
      <w:r>
        <w:rPr>
          <w:rFonts w:ascii="Arial" w:cs="Arial" w:eastAsia="Arial" w:hAnsi="Arial"/>
          <w:sz w:val="16"/>
          <w:szCs w:val="16"/>
          <w:color w:val="auto"/>
        </w:rPr>
        <w:t>, where you will also be able to submit questions and vote online. You will not be able to attend the meeting at a physical location.</w:t>
      </w:r>
    </w:p>
    <w:p>
      <w:pPr>
        <w:spacing w:after="0" w:line="23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To ensure your representation at the meeting, you are urged to vote, whether or not you attend the meeting.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using the virtual meeting platform even if they have already submitted their proxy, and any previous votes that were submitted by the shareholder, whether by Internet, telephone, or mail, will be superseded by the vote that such shareholder casts at the meeting.</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Boise, Idaho</w:t>
            </w:r>
          </w:p>
        </w:tc>
        <w:tc>
          <w:tcPr>
            <w:tcW w:w="8940" w:type="dxa"/>
            <w:vAlign w:val="bottom"/>
          </w:tcPr>
          <w:p>
            <w:pPr>
              <w:ind w:left="4320"/>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r>
        <w:trPr>
          <w:trHeight w:val="175"/>
        </w:trPr>
        <w:tc>
          <w:tcPr>
            <w:tcW w:w="2000" w:type="dxa"/>
            <w:vAlign w:val="bottom"/>
            <w:vMerge w:val="continue"/>
          </w:tcPr>
          <w:p>
            <w:pPr>
              <w:spacing w:after="0"/>
              <w:rPr>
                <w:sz w:val="15"/>
                <w:szCs w:val="15"/>
                <w:color w:val="auto"/>
              </w:rPr>
            </w:pPr>
          </w:p>
        </w:tc>
        <w:tc>
          <w:tcPr>
            <w:tcW w:w="8940" w:type="dxa"/>
            <w:vAlign w:val="bottom"/>
          </w:tcPr>
          <w:p>
            <w:pPr>
              <w:ind w:left="4320"/>
              <w:spacing w:after="0" w:line="176" w:lineRule="exact"/>
              <w:rPr>
                <w:sz w:val="20"/>
                <w:szCs w:val="20"/>
                <w:color w:val="auto"/>
              </w:rPr>
            </w:pPr>
            <w:r>
              <w:rPr>
                <w:rFonts w:ascii="Arial" w:cs="Arial" w:eastAsia="Arial" w:hAnsi="Arial"/>
                <w:sz w:val="18"/>
                <w:szCs w:val="18"/>
                <w:color w:val="auto"/>
              </w:rPr>
              <w:t>Joel L. Poppen</w:t>
            </w:r>
          </w:p>
        </w:tc>
        <w:tc>
          <w:tcPr>
            <w:tcW w:w="0" w:type="dxa"/>
            <w:vAlign w:val="bottom"/>
          </w:tcPr>
          <w:p>
            <w:pPr>
              <w:spacing w:after="0"/>
              <w:rPr>
                <w:sz w:val="1"/>
                <w:szCs w:val="1"/>
                <w:color w:val="auto"/>
              </w:rPr>
            </w:pPr>
          </w:p>
        </w:tc>
      </w:tr>
      <w:tr>
        <w:trPr>
          <w:trHeight w:val="188"/>
        </w:trPr>
        <w:tc>
          <w:tcPr>
            <w:tcW w:w="2000" w:type="dxa"/>
            <w:vAlign w:val="bottom"/>
          </w:tcPr>
          <w:p>
            <w:pPr>
              <w:spacing w:after="0" w:line="189" w:lineRule="exact"/>
              <w:rPr>
                <w:sz w:val="20"/>
                <w:szCs w:val="20"/>
                <w:color w:val="auto"/>
              </w:rPr>
            </w:pPr>
            <w:r>
              <w:rPr>
                <w:rFonts w:ascii="Arial" w:cs="Arial" w:eastAsia="Arial" w:hAnsi="Arial"/>
                <w:sz w:val="18"/>
                <w:szCs w:val="18"/>
                <w:b w:val="1"/>
                <w:bCs w:val="1"/>
                <w:color w:val="auto"/>
              </w:rPr>
              <w:t>December 2, 2021</w:t>
            </w:r>
          </w:p>
        </w:tc>
        <w:tc>
          <w:tcPr>
            <w:tcW w:w="8940" w:type="dxa"/>
            <w:vAlign w:val="bottom"/>
          </w:tcPr>
          <w:p>
            <w:pPr>
              <w:ind w:left="4320"/>
              <w:spacing w:after="0" w:line="189" w:lineRule="exact"/>
              <w:rPr>
                <w:sz w:val="20"/>
                <w:szCs w:val="20"/>
                <w:color w:val="auto"/>
              </w:rPr>
            </w:pPr>
            <w:r>
              <w:rPr>
                <w:rFonts w:ascii="Arial" w:cs="Arial" w:eastAsia="Arial" w:hAnsi="Arial"/>
                <w:sz w:val="18"/>
                <w:szCs w:val="18"/>
                <w:color w:val="auto"/>
                <w:w w:val="99"/>
              </w:rPr>
              <w:t>Senior Vice President, Legal Affairs, General Counsel and</w:t>
            </w: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8940" w:type="dxa"/>
            <w:vAlign w:val="bottom"/>
          </w:tcPr>
          <w:p>
            <w:pPr>
              <w:ind w:left="432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8940" w:type="dxa"/>
            <w:vAlign w:val="bottom"/>
          </w:tcPr>
          <w:p>
            <w:pPr>
              <w:ind w:left="480"/>
              <w:spacing w:after="0"/>
              <w:rPr>
                <w:sz w:val="20"/>
                <w:szCs w:val="20"/>
                <w:color w:val="auto"/>
              </w:rPr>
            </w:pPr>
            <w:r>
              <w:rPr>
                <w:rFonts w:ascii="Arial" w:cs="Arial" w:eastAsia="Arial" w:hAnsi="Arial"/>
                <w:sz w:val="18"/>
                <w:szCs w:val="18"/>
                <w:b w:val="1"/>
                <w:bCs w:val="1"/>
                <w:color w:val="auto"/>
              </w:rPr>
              <w:t>YOUR VOTE IS IMPORTANT. PLEASE SUBMIT YOUR PROXY PROMPTLY.</w:t>
            </w: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6" w:name="page7"/>
    <w:bookmarkEnd w:id="6"/>
    <w:p>
      <w:pPr>
        <w:spacing w:after="0"/>
        <w:rPr>
          <w:sz w:val="20"/>
          <w:szCs w:val="20"/>
          <w:color w:val="auto"/>
        </w:rPr>
      </w:pPr>
      <w:r>
        <w:rPr>
          <w:rFonts w:ascii="Arial" w:cs="Arial" w:eastAsia="Arial" w:hAnsi="Arial"/>
          <w:sz w:val="40"/>
          <w:szCs w:val="40"/>
          <w:b w:val="1"/>
          <w:bCs w:val="1"/>
          <w:color w:val="auto"/>
        </w:rPr>
        <w:t>TABLE OF CONTENTS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20" w:type="dxa"/>
            <w:vAlign w:val="bottom"/>
          </w:tcPr>
          <w:p>
            <w:pPr>
              <w:ind w:left="1920"/>
              <w:spacing w:after="0"/>
              <w:rPr>
                <w:sz w:val="20"/>
                <w:szCs w:val="20"/>
                <w:color w:val="auto"/>
              </w:rPr>
            </w:pPr>
            <w:r>
              <w:rPr>
                <w:rFonts w:ascii="Arial" w:cs="Arial" w:eastAsia="Arial" w:hAnsi="Arial"/>
                <w:sz w:val="16"/>
                <w:szCs w:val="16"/>
                <w:b w:val="1"/>
                <w:bCs w:val="1"/>
                <w:color w:val="auto"/>
              </w:rPr>
              <w:t>Proxy Section</w:t>
            </w:r>
          </w:p>
        </w:tc>
        <w:tc>
          <w:tcPr>
            <w:tcW w:w="940" w:type="dxa"/>
            <w:vAlign w:val="bottom"/>
            <w:gridSpan w:val="4"/>
          </w:tcPr>
          <w:p>
            <w:pPr>
              <w:ind w:left="440"/>
              <w:spacing w:after="0"/>
              <w:rPr>
                <w:sz w:val="20"/>
                <w:szCs w:val="20"/>
                <w:color w:val="auto"/>
              </w:rPr>
            </w:pPr>
            <w:r>
              <w:rPr>
                <w:rFonts w:ascii="Arial" w:cs="Arial" w:eastAsia="Arial" w:hAnsi="Arial"/>
                <w:sz w:val="16"/>
                <w:szCs w:val="16"/>
                <w:b w:val="1"/>
                <w:bCs w:val="1"/>
                <w:color w:val="auto"/>
              </w:rPr>
              <w:t>Page</w:t>
            </w:r>
          </w:p>
        </w:tc>
        <w:tc>
          <w:tcPr>
            <w:tcW w:w="4480" w:type="dxa"/>
            <w:vAlign w:val="bottom"/>
          </w:tcPr>
          <w:p>
            <w:pPr>
              <w:ind w:left="1140"/>
              <w:spacing w:after="0"/>
              <w:rPr>
                <w:sz w:val="20"/>
                <w:szCs w:val="20"/>
                <w:color w:val="auto"/>
              </w:rPr>
            </w:pPr>
            <w:r>
              <w:rPr>
                <w:rFonts w:ascii="Arial" w:cs="Arial" w:eastAsia="Arial" w:hAnsi="Arial"/>
                <w:sz w:val="16"/>
                <w:szCs w:val="16"/>
                <w:b w:val="1"/>
                <w:bCs w:val="1"/>
                <w:color w:val="auto"/>
              </w:rPr>
              <w:t>Frequently Requested Information</w:t>
            </w:r>
          </w:p>
        </w:tc>
        <w:tc>
          <w:tcPr>
            <w:tcW w:w="1100" w:type="dxa"/>
            <w:vAlign w:val="bottom"/>
            <w:gridSpan w:val="3"/>
          </w:tcPr>
          <w:p>
            <w:pPr>
              <w:ind w:left="700"/>
              <w:spacing w:after="0"/>
              <w:rPr>
                <w:sz w:val="20"/>
                <w:szCs w:val="20"/>
                <w:color w:val="auto"/>
              </w:rPr>
            </w:pPr>
            <w:r>
              <w:rPr>
                <w:rFonts w:ascii="Arial" w:cs="Arial" w:eastAsia="Arial" w:hAnsi="Arial"/>
                <w:sz w:val="16"/>
                <w:szCs w:val="16"/>
                <w:b w:val="1"/>
                <w:bCs w:val="1"/>
                <w:color w:val="auto"/>
                <w:w w:val="99"/>
              </w:rPr>
              <w:t>Page</w:t>
            </w:r>
          </w:p>
        </w:tc>
      </w:tr>
      <w:tr>
        <w:trPr>
          <w:trHeight w:val="37"/>
        </w:trPr>
        <w:tc>
          <w:tcPr>
            <w:tcW w:w="4720" w:type="dxa"/>
            <w:vAlign w:val="bottom"/>
            <w:tcBorders>
              <w:top w:val="single" w:sz="8" w:color="0090DA"/>
            </w:tcBorders>
          </w:tcPr>
          <w:p>
            <w:pPr>
              <w:spacing w:after="0"/>
              <w:rPr>
                <w:sz w:val="3"/>
                <w:szCs w:val="3"/>
                <w:color w:val="auto"/>
              </w:rPr>
            </w:pPr>
          </w:p>
        </w:tc>
        <w:tc>
          <w:tcPr>
            <w:tcW w:w="660" w:type="dxa"/>
            <w:vAlign w:val="bottom"/>
            <w:tcBorders>
              <w:top w:val="single" w:sz="8" w:color="0090DA"/>
            </w:tcBorders>
          </w:tcPr>
          <w:p>
            <w:pPr>
              <w:spacing w:after="0"/>
              <w:rPr>
                <w:sz w:val="3"/>
                <w:szCs w:val="3"/>
                <w:color w:val="auto"/>
              </w:rPr>
            </w:pPr>
          </w:p>
        </w:tc>
        <w:tc>
          <w:tcPr>
            <w:tcW w:w="80" w:type="dxa"/>
            <w:vAlign w:val="bottom"/>
            <w:tcBorders>
              <w:top w:val="single" w:sz="8" w:color="0090DA"/>
            </w:tcBorders>
          </w:tcPr>
          <w:p>
            <w:pPr>
              <w:spacing w:after="0"/>
              <w:rPr>
                <w:sz w:val="3"/>
                <w:szCs w:val="3"/>
                <w:color w:val="auto"/>
              </w:rPr>
            </w:pPr>
          </w:p>
        </w:tc>
        <w:tc>
          <w:tcPr>
            <w:tcW w:w="10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4480" w:type="dxa"/>
            <w:vAlign w:val="bottom"/>
            <w:tcBorders>
              <w:top w:val="single" w:sz="8" w:color="0090DA"/>
            </w:tcBorders>
          </w:tcPr>
          <w:p>
            <w:pPr>
              <w:spacing w:after="0"/>
              <w:rPr>
                <w:sz w:val="3"/>
                <w:szCs w:val="3"/>
                <w:color w:val="auto"/>
              </w:rPr>
            </w:pPr>
          </w:p>
        </w:tc>
        <w:tc>
          <w:tcPr>
            <w:tcW w:w="900" w:type="dxa"/>
            <w:vAlign w:val="bottom"/>
            <w:tcBorders>
              <w:top w:val="single" w:sz="8" w:color="0090DA"/>
            </w:tcBorders>
          </w:tcPr>
          <w:p>
            <w:pPr>
              <w:spacing w:after="0"/>
              <w:rPr>
                <w:sz w:val="3"/>
                <w:szCs w:val="3"/>
                <w:color w:val="auto"/>
              </w:rPr>
            </w:pPr>
          </w:p>
        </w:tc>
        <w:tc>
          <w:tcPr>
            <w:tcW w:w="180" w:type="dxa"/>
            <w:vAlign w:val="bottom"/>
            <w:tcBorders>
              <w:top w:val="single" w:sz="8" w:color="0090DA"/>
            </w:tcBorders>
          </w:tcPr>
          <w:p>
            <w:pPr>
              <w:spacing w:after="0"/>
              <w:rPr>
                <w:sz w:val="3"/>
                <w:szCs w:val="3"/>
                <w:color w:val="auto"/>
              </w:rPr>
            </w:pPr>
          </w:p>
        </w:tc>
        <w:tc>
          <w:tcPr>
            <w:tcW w:w="20" w:type="dxa"/>
            <w:vAlign w:val="bottom"/>
            <w:tcBorders>
              <w:top w:val="single" w:sz="8" w:color="0090DA"/>
            </w:tcBorders>
          </w:tcPr>
          <w:p>
            <w:pPr>
              <w:spacing w:after="0"/>
              <w:rPr>
                <w:sz w:val="3"/>
                <w:szCs w:val="3"/>
                <w:color w:val="auto"/>
              </w:rPr>
            </w:pPr>
          </w:p>
        </w:tc>
      </w:tr>
      <w:tr>
        <w:trPr>
          <w:trHeight w:val="223"/>
        </w:trPr>
        <w:tc>
          <w:tcPr>
            <w:tcW w:w="47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Information Concerning Solicitation and Voting</w:t>
            </w:r>
          </w:p>
        </w:tc>
        <w:tc>
          <w:tcPr>
            <w:tcW w:w="740" w:type="dxa"/>
            <w:vAlign w:val="bottom"/>
            <w:tcBorders>
              <w:bottom w:val="single" w:sz="8" w:color="DDDDDD"/>
            </w:tcBorders>
            <w:gridSpan w:val="2"/>
            <w:shd w:val="clear" w:color="auto" w:fill="DDDDDD"/>
          </w:tcPr>
          <w:p>
            <w:pPr>
              <w:spacing w:after="0"/>
              <w:rPr>
                <w:sz w:val="19"/>
                <w:szCs w:val="19"/>
                <w:color w:val="auto"/>
              </w:rPr>
            </w:pPr>
          </w:p>
        </w:tc>
        <w:tc>
          <w:tcPr>
            <w:tcW w:w="100" w:type="dxa"/>
            <w:vAlign w:val="bottom"/>
            <w:tcBorders>
              <w:bottom w:val="single" w:sz="8" w:color="0000FF"/>
            </w:tcBorders>
            <w:shd w:val="clear" w:color="auto" w:fill="DDDDDD"/>
          </w:tcPr>
          <w:p>
            <w:pPr>
              <w:jc w:val="right"/>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1</w:t>
              </w:r>
            </w:hyperlink>
          </w:p>
        </w:tc>
        <w:tc>
          <w:tcPr>
            <w:tcW w:w="100" w:type="dxa"/>
            <w:vAlign w:val="bottom"/>
            <w:tcBorders>
              <w:bottom w:val="single" w:sz="8" w:color="DDDDDD"/>
            </w:tcBorders>
            <w:shd w:val="clear" w:color="auto" w:fill="DDDDDD"/>
          </w:tcPr>
          <w:p>
            <w:pPr>
              <w:spacing w:after="0"/>
              <w:rPr>
                <w:sz w:val="19"/>
                <w:szCs w:val="19"/>
                <w:color w:val="auto"/>
              </w:rPr>
            </w:pPr>
          </w:p>
        </w:tc>
        <w:tc>
          <w:tcPr>
            <w:tcW w:w="44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Auditor Fees</w:t>
            </w:r>
          </w:p>
        </w:tc>
        <w:tc>
          <w:tcPr>
            <w:tcW w:w="90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0000FF"/>
            </w:tcBorders>
            <w:shd w:val="clear" w:color="auto" w:fill="DDDDDD"/>
          </w:tcPr>
          <w:p>
            <w:pPr>
              <w:jc w:val="right"/>
              <w:spacing w:after="0"/>
              <w:rPr>
                <w:rFonts w:ascii="Arial" w:cs="Arial" w:eastAsia="Arial" w:hAnsi="Arial"/>
                <w:sz w:val="16"/>
                <w:szCs w:val="16"/>
                <w:color w:val="0000FF"/>
                <w:w w:val="89"/>
              </w:rPr>
            </w:pPr>
            <w:hyperlink w:anchor="page68">
              <w:r>
                <w:rPr>
                  <w:rFonts w:ascii="Arial" w:cs="Arial" w:eastAsia="Arial" w:hAnsi="Arial"/>
                  <w:sz w:val="16"/>
                  <w:szCs w:val="16"/>
                  <w:color w:val="0000FF"/>
                  <w:w w:val="89"/>
                </w:rPr>
                <w:t>62</w:t>
              </w:r>
            </w:hyperlink>
          </w:p>
        </w:tc>
        <w:tc>
          <w:tcPr>
            <w:tcW w:w="20" w:type="dxa"/>
            <w:vAlign w:val="bottom"/>
            <w:tcBorders>
              <w:bottom w:val="single" w:sz="8" w:color="DDDDDD"/>
            </w:tcBorders>
            <w:shd w:val="clear" w:color="auto" w:fill="DDDDDD"/>
          </w:tcPr>
          <w:p>
            <w:pPr>
              <w:spacing w:after="0"/>
              <w:rPr>
                <w:sz w:val="19"/>
                <w:szCs w:val="19"/>
                <w:color w:val="auto"/>
              </w:rPr>
            </w:pPr>
          </w:p>
        </w:tc>
      </w:tr>
      <w:tr>
        <w:trPr>
          <w:trHeight w:val="176"/>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Proposal 1 – Election of Directors</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4</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Beneficial Ownership Table</w:t>
            </w:r>
          </w:p>
        </w:tc>
        <w:tc>
          <w:tcPr>
            <w:tcW w:w="1080" w:type="dxa"/>
            <w:vAlign w:val="bottom"/>
            <w:gridSpan w:val="2"/>
          </w:tcPr>
          <w:p>
            <w:pPr>
              <w:jc w:val="right"/>
              <w:spacing w:after="0" w:line="175" w:lineRule="exact"/>
              <w:rPr>
                <w:rFonts w:ascii="Arial" w:cs="Arial" w:eastAsia="Arial" w:hAnsi="Arial"/>
                <w:sz w:val="16"/>
                <w:szCs w:val="16"/>
                <w:color w:val="0000FF"/>
              </w:rPr>
            </w:pPr>
            <w:hyperlink w:anchor="page70">
              <w:r>
                <w:rPr>
                  <w:rFonts w:ascii="Arial" w:cs="Arial" w:eastAsia="Arial" w:hAnsi="Arial"/>
                  <w:sz w:val="16"/>
                  <w:szCs w:val="16"/>
                  <w:color w:val="0000FF"/>
                </w:rPr>
                <w:t>64</w:t>
              </w:r>
            </w:hyperlink>
          </w:p>
        </w:tc>
        <w:tc>
          <w:tcPr>
            <w:tcW w:w="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Certain Relationships and Related Transactions</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21</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Board Diversity Matrix</w:t>
            </w:r>
          </w:p>
        </w:tc>
        <w:tc>
          <w:tcPr>
            <w:tcW w:w="1080" w:type="dxa"/>
            <w:vAlign w:val="bottom"/>
            <w:gridSpan w:val="2"/>
            <w:shd w:val="clear" w:color="auto" w:fill="DDDDDD"/>
          </w:tcPr>
          <w:p>
            <w:pPr>
              <w:jc w:val="right"/>
              <w:spacing w:after="0" w:line="175" w:lineRule="exact"/>
              <w:rPr>
                <w:sz w:val="20"/>
                <w:szCs w:val="20"/>
                <w:color w:val="auto"/>
              </w:rPr>
            </w:pPr>
            <w:r>
              <w:rPr>
                <w:rFonts w:ascii="Arial" w:cs="Arial" w:eastAsia="Arial" w:hAnsi="Arial"/>
                <w:sz w:val="16"/>
                <w:szCs w:val="16"/>
                <w:color w:val="auto"/>
              </w:rPr>
              <w:t>13</w:t>
            </w:r>
          </w:p>
        </w:tc>
        <w:tc>
          <w:tcPr>
            <w:tcW w:w="20" w:type="dxa"/>
            <w:vAlign w:val="bottom"/>
            <w:shd w:val="clear" w:color="auto" w:fill="DDDDDD"/>
          </w:tcPr>
          <w:p>
            <w:pPr>
              <w:spacing w:after="0"/>
              <w:rPr>
                <w:sz w:val="15"/>
                <w:szCs w:val="15"/>
                <w:color w:val="auto"/>
              </w:rPr>
            </w:pPr>
          </w:p>
        </w:tc>
      </w:tr>
      <w:tr>
        <w:trPr>
          <w:trHeight w:val="20"/>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DDDDDD"/>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6"/>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Director Compensation</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22</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Board Leadership</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18</w:t>
            </w:r>
          </w:p>
        </w:tc>
        <w:tc>
          <w:tcPr>
            <w:tcW w:w="2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Executive Compensation and Related Information</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31">
              <w:r>
                <w:rPr>
                  <w:rFonts w:ascii="Arial" w:cs="Arial" w:eastAsia="Arial" w:hAnsi="Arial"/>
                  <w:sz w:val="16"/>
                  <w:szCs w:val="16"/>
                  <w:color w:val="0000FF"/>
                </w:rPr>
                <w:t>25</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CEO Pay Ratio</w:t>
            </w:r>
          </w:p>
        </w:tc>
        <w:tc>
          <w:tcPr>
            <w:tcW w:w="1080" w:type="dxa"/>
            <w:vAlign w:val="bottom"/>
            <w:gridSpan w:val="2"/>
            <w:shd w:val="clear" w:color="auto" w:fill="DDDDDD"/>
          </w:tcPr>
          <w:p>
            <w:pPr>
              <w:jc w:val="right"/>
              <w:spacing w:after="0" w:line="175" w:lineRule="exact"/>
              <w:rPr>
                <w:rFonts w:ascii="Arial" w:cs="Arial" w:eastAsia="Arial" w:hAnsi="Arial"/>
                <w:sz w:val="16"/>
                <w:szCs w:val="16"/>
                <w:color w:val="0000FF"/>
              </w:rPr>
            </w:pPr>
            <w:hyperlink w:anchor="page64">
              <w:r>
                <w:rPr>
                  <w:rFonts w:ascii="Arial" w:cs="Arial" w:eastAsia="Arial" w:hAnsi="Arial"/>
                  <w:sz w:val="16"/>
                  <w:szCs w:val="16"/>
                  <w:color w:val="0000FF"/>
                </w:rPr>
                <w:t>57</w:t>
              </w:r>
            </w:hyperlink>
          </w:p>
        </w:tc>
        <w:tc>
          <w:tcPr>
            <w:tcW w:w="20" w:type="dxa"/>
            <w:vAlign w:val="bottom"/>
            <w:shd w:val="clear" w:color="auto" w:fill="DDDDDD"/>
          </w:tcPr>
          <w:p>
            <w:pPr>
              <w:spacing w:after="0"/>
              <w:rPr>
                <w:sz w:val="15"/>
                <w:szCs w:val="15"/>
                <w:color w:val="auto"/>
              </w:rPr>
            </w:pPr>
          </w:p>
        </w:tc>
      </w:tr>
      <w:tr>
        <w:trPr>
          <w:trHeight w:val="21"/>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0000FF"/>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5"/>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Proposal 2 – Say-on-Pay</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25</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Compensation Consultant</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34</w:t>
            </w:r>
          </w:p>
        </w:tc>
        <w:tc>
          <w:tcPr>
            <w:tcW w:w="2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Compensation Discussion and Analysis</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27</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Director Biographies</w:t>
            </w:r>
          </w:p>
        </w:tc>
        <w:tc>
          <w:tcPr>
            <w:tcW w:w="1080" w:type="dxa"/>
            <w:vAlign w:val="bottom"/>
            <w:gridSpan w:val="2"/>
            <w:shd w:val="clear" w:color="auto" w:fill="DDDDDD"/>
          </w:tcPr>
          <w:p>
            <w:pPr>
              <w:jc w:val="right"/>
              <w:spacing w:after="0" w:line="175" w:lineRule="exact"/>
              <w:rPr>
                <w:sz w:val="20"/>
                <w:szCs w:val="20"/>
                <w:color w:val="auto"/>
              </w:rPr>
            </w:pPr>
            <w:r>
              <w:rPr>
                <w:rFonts w:ascii="Arial" w:cs="Arial" w:eastAsia="Arial" w:hAnsi="Arial"/>
                <w:sz w:val="16"/>
                <w:szCs w:val="16"/>
                <w:color w:val="auto"/>
              </w:rPr>
              <w:t>6</w:t>
            </w:r>
          </w:p>
        </w:tc>
        <w:tc>
          <w:tcPr>
            <w:tcW w:w="20" w:type="dxa"/>
            <w:vAlign w:val="bottom"/>
            <w:shd w:val="clear" w:color="auto" w:fill="DDDDDD"/>
          </w:tcPr>
          <w:p>
            <w:pPr>
              <w:spacing w:after="0"/>
              <w:rPr>
                <w:sz w:val="15"/>
                <w:szCs w:val="15"/>
                <w:color w:val="auto"/>
              </w:rPr>
            </w:pPr>
          </w:p>
        </w:tc>
      </w:tr>
      <w:tr>
        <w:trPr>
          <w:trHeight w:val="20"/>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DDDDDD"/>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6"/>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Compensation Committee Report</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49</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Director Independence</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18</w:t>
            </w:r>
          </w:p>
        </w:tc>
        <w:tc>
          <w:tcPr>
            <w:tcW w:w="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Summary Compensation Table</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50</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Director Skills and Experience Matrix</w:t>
            </w:r>
          </w:p>
        </w:tc>
        <w:tc>
          <w:tcPr>
            <w:tcW w:w="1080" w:type="dxa"/>
            <w:vAlign w:val="bottom"/>
            <w:gridSpan w:val="2"/>
            <w:shd w:val="clear" w:color="auto" w:fill="DDDDDD"/>
          </w:tcPr>
          <w:p>
            <w:pPr>
              <w:jc w:val="right"/>
              <w:spacing w:after="0" w:line="175" w:lineRule="exact"/>
              <w:rPr>
                <w:sz w:val="20"/>
                <w:szCs w:val="20"/>
                <w:color w:val="auto"/>
              </w:rPr>
            </w:pPr>
            <w:r>
              <w:rPr>
                <w:rFonts w:ascii="Arial" w:cs="Arial" w:eastAsia="Arial" w:hAnsi="Arial"/>
                <w:sz w:val="16"/>
                <w:szCs w:val="16"/>
                <w:color w:val="auto"/>
              </w:rPr>
              <w:t>5</w:t>
            </w:r>
          </w:p>
        </w:tc>
        <w:tc>
          <w:tcPr>
            <w:tcW w:w="20" w:type="dxa"/>
            <w:vAlign w:val="bottom"/>
            <w:shd w:val="clear" w:color="auto" w:fill="DDDDDD"/>
          </w:tcPr>
          <w:p>
            <w:pPr>
              <w:spacing w:after="0"/>
              <w:rPr>
                <w:sz w:val="15"/>
                <w:szCs w:val="15"/>
                <w:color w:val="auto"/>
              </w:rPr>
            </w:pPr>
          </w:p>
        </w:tc>
      </w:tr>
      <w:tr>
        <w:trPr>
          <w:trHeight w:val="21"/>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DDDDDD"/>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5"/>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Grants of Plan-Based Awards</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52</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Director Stock Ownership Guidelines</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w:t>
            </w:r>
          </w:p>
        </w:tc>
        <w:tc>
          <w:tcPr>
            <w:tcW w:w="2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Outstanding Equity Awards</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60">
              <w:r>
                <w:rPr>
                  <w:rFonts w:ascii="Arial" w:cs="Arial" w:eastAsia="Arial" w:hAnsi="Arial"/>
                  <w:sz w:val="16"/>
                  <w:szCs w:val="16"/>
                  <w:color w:val="0000FF"/>
                </w:rPr>
                <w:t>54</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Director Tenure</w:t>
            </w:r>
          </w:p>
        </w:tc>
        <w:tc>
          <w:tcPr>
            <w:tcW w:w="1080" w:type="dxa"/>
            <w:vAlign w:val="bottom"/>
            <w:gridSpan w:val="2"/>
            <w:shd w:val="clear" w:color="auto" w:fill="DDDDDD"/>
          </w:tcPr>
          <w:p>
            <w:pPr>
              <w:jc w:val="right"/>
              <w:spacing w:after="0" w:line="175" w:lineRule="exact"/>
              <w:rPr>
                <w:sz w:val="20"/>
                <w:szCs w:val="20"/>
                <w:color w:val="auto"/>
              </w:rPr>
            </w:pPr>
            <w:r>
              <w:rPr>
                <w:rFonts w:ascii="Arial" w:cs="Arial" w:eastAsia="Arial" w:hAnsi="Arial"/>
                <w:sz w:val="16"/>
                <w:szCs w:val="16"/>
                <w:color w:val="auto"/>
              </w:rPr>
              <w:t>12</w:t>
            </w:r>
          </w:p>
        </w:tc>
        <w:tc>
          <w:tcPr>
            <w:tcW w:w="20" w:type="dxa"/>
            <w:vAlign w:val="bottom"/>
            <w:shd w:val="clear" w:color="auto" w:fill="DDDDDD"/>
          </w:tcPr>
          <w:p>
            <w:pPr>
              <w:spacing w:after="0"/>
              <w:rPr>
                <w:sz w:val="15"/>
                <w:szCs w:val="15"/>
                <w:color w:val="auto"/>
              </w:rPr>
            </w:pPr>
          </w:p>
        </w:tc>
      </w:tr>
      <w:tr>
        <w:trPr>
          <w:trHeight w:val="21"/>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DDDDDD"/>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5"/>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Option Exercises and Stock Vested</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62">
              <w:r>
                <w:rPr>
                  <w:rFonts w:ascii="Arial" w:cs="Arial" w:eastAsia="Arial" w:hAnsi="Arial"/>
                  <w:sz w:val="16"/>
                  <w:szCs w:val="16"/>
                  <w:color w:val="0000FF"/>
                </w:rPr>
                <w:t>56</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Diversity, Equality, and Inclusion</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w:t>
            </w:r>
          </w:p>
        </w:tc>
        <w:tc>
          <w:tcPr>
            <w:tcW w:w="2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Nonqualified Deferred Compensation</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63">
              <w:r>
                <w:rPr>
                  <w:rFonts w:ascii="Arial" w:cs="Arial" w:eastAsia="Arial" w:hAnsi="Arial"/>
                  <w:sz w:val="16"/>
                  <w:szCs w:val="16"/>
                  <w:color w:val="0000FF"/>
                </w:rPr>
                <w:t>56</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Financial Performance</w:t>
            </w:r>
          </w:p>
        </w:tc>
        <w:tc>
          <w:tcPr>
            <w:tcW w:w="1080" w:type="dxa"/>
            <w:vAlign w:val="bottom"/>
            <w:gridSpan w:val="2"/>
            <w:shd w:val="clear" w:color="auto" w:fill="DDDDDD"/>
          </w:tcPr>
          <w:p>
            <w:pPr>
              <w:jc w:val="right"/>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27</w:t>
              </w:r>
            </w:hyperlink>
          </w:p>
        </w:tc>
        <w:tc>
          <w:tcPr>
            <w:tcW w:w="20" w:type="dxa"/>
            <w:vAlign w:val="bottom"/>
            <w:shd w:val="clear" w:color="auto" w:fill="DDDDDD"/>
          </w:tcPr>
          <w:p>
            <w:pPr>
              <w:spacing w:after="0"/>
              <w:rPr>
                <w:sz w:val="15"/>
                <w:szCs w:val="15"/>
                <w:color w:val="auto"/>
              </w:rPr>
            </w:pPr>
          </w:p>
        </w:tc>
      </w:tr>
      <w:tr>
        <w:trPr>
          <w:trHeight w:val="20"/>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0000FF"/>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6"/>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Chief Executive Officer Pay Ratio</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64">
              <w:r>
                <w:rPr>
                  <w:rFonts w:ascii="Arial" w:cs="Arial" w:eastAsia="Arial" w:hAnsi="Arial"/>
                  <w:sz w:val="16"/>
                  <w:szCs w:val="16"/>
                  <w:color w:val="0000FF"/>
                </w:rPr>
                <w:t>57</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Human Capital and Culture</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w:t>
            </w:r>
          </w:p>
        </w:tc>
        <w:tc>
          <w:tcPr>
            <w:tcW w:w="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Potential Payments Upon Termination or Change In Control</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64">
              <w:r>
                <w:rPr>
                  <w:rFonts w:ascii="Arial" w:cs="Arial" w:eastAsia="Arial" w:hAnsi="Arial"/>
                  <w:sz w:val="16"/>
                  <w:szCs w:val="16"/>
                  <w:color w:val="0000FF"/>
                </w:rPr>
                <w:t>57</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Pay-for-Performance</w:t>
            </w:r>
          </w:p>
        </w:tc>
        <w:tc>
          <w:tcPr>
            <w:tcW w:w="1080" w:type="dxa"/>
            <w:vAlign w:val="bottom"/>
            <w:gridSpan w:val="2"/>
            <w:shd w:val="clear" w:color="auto" w:fill="DDDDDD"/>
          </w:tcPr>
          <w:p>
            <w:pPr>
              <w:jc w:val="right"/>
              <w:spacing w:after="0" w:line="175" w:lineRule="exact"/>
              <w:rPr>
                <w:sz w:val="20"/>
                <w:szCs w:val="20"/>
                <w:color w:val="auto"/>
              </w:rPr>
            </w:pPr>
            <w:r>
              <w:rPr>
                <w:rFonts w:ascii="Arial" w:cs="Arial" w:eastAsia="Arial" w:hAnsi="Arial"/>
                <w:sz w:val="16"/>
                <w:szCs w:val="16"/>
                <w:color w:val="auto"/>
              </w:rPr>
              <w:t>33</w:t>
            </w:r>
          </w:p>
        </w:tc>
        <w:tc>
          <w:tcPr>
            <w:tcW w:w="20" w:type="dxa"/>
            <w:vAlign w:val="bottom"/>
            <w:shd w:val="clear" w:color="auto" w:fill="DDDDDD"/>
          </w:tcPr>
          <w:p>
            <w:pPr>
              <w:spacing w:after="0"/>
              <w:rPr>
                <w:sz w:val="15"/>
                <w:szCs w:val="15"/>
                <w:color w:val="auto"/>
              </w:rPr>
            </w:pPr>
          </w:p>
        </w:tc>
      </w:tr>
      <w:tr>
        <w:trPr>
          <w:trHeight w:val="21"/>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DDDDDD"/>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5"/>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Equity Compensation Plan Information</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67">
              <w:r>
                <w:rPr>
                  <w:rFonts w:ascii="Arial" w:cs="Arial" w:eastAsia="Arial" w:hAnsi="Arial"/>
                  <w:sz w:val="16"/>
                  <w:szCs w:val="16"/>
                  <w:color w:val="0000FF"/>
                </w:rPr>
                <w:t>61</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Peer Group</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35</w:t>
            </w:r>
          </w:p>
        </w:tc>
        <w:tc>
          <w:tcPr>
            <w:tcW w:w="2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Audit Committee Matters</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68">
              <w:r>
                <w:rPr>
                  <w:rFonts w:ascii="Arial" w:cs="Arial" w:eastAsia="Arial" w:hAnsi="Arial"/>
                  <w:sz w:val="16"/>
                  <w:szCs w:val="16"/>
                  <w:color w:val="0000FF"/>
                </w:rPr>
                <w:t>62</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Perks</w:t>
            </w:r>
          </w:p>
        </w:tc>
        <w:tc>
          <w:tcPr>
            <w:tcW w:w="1080" w:type="dxa"/>
            <w:vAlign w:val="bottom"/>
            <w:gridSpan w:val="2"/>
            <w:shd w:val="clear" w:color="auto" w:fill="DDDDDD"/>
          </w:tcPr>
          <w:p>
            <w:pPr>
              <w:jc w:val="right"/>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50</w:t>
              </w:r>
            </w:hyperlink>
          </w:p>
        </w:tc>
        <w:tc>
          <w:tcPr>
            <w:tcW w:w="20" w:type="dxa"/>
            <w:vAlign w:val="bottom"/>
            <w:shd w:val="clear" w:color="auto" w:fill="DDDDDD"/>
          </w:tcPr>
          <w:p>
            <w:pPr>
              <w:spacing w:after="0"/>
              <w:rPr>
                <w:sz w:val="15"/>
                <w:szCs w:val="15"/>
                <w:color w:val="auto"/>
              </w:rPr>
            </w:pPr>
          </w:p>
        </w:tc>
      </w:tr>
      <w:tr>
        <w:trPr>
          <w:trHeight w:val="21"/>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0000FF"/>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6"/>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Proposal 3 – Ratification of Appointment of PwC</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68">
              <w:r>
                <w:rPr>
                  <w:rFonts w:ascii="Arial" w:cs="Arial" w:eastAsia="Arial" w:hAnsi="Arial"/>
                  <w:sz w:val="16"/>
                  <w:szCs w:val="16"/>
                  <w:color w:val="0000FF"/>
                </w:rPr>
                <w:t>62</w:t>
              </w:r>
            </w:hyperlink>
          </w:p>
        </w:tc>
        <w:tc>
          <w:tcPr>
            <w:tcW w:w="100" w:type="dxa"/>
            <w:vAlign w:val="bottom"/>
          </w:tcPr>
          <w:p>
            <w:pPr>
              <w:spacing w:after="0"/>
              <w:rPr>
                <w:sz w:val="15"/>
                <w:szCs w:val="15"/>
                <w:color w:val="auto"/>
              </w:rPr>
            </w:pPr>
          </w:p>
        </w:tc>
        <w:tc>
          <w:tcPr>
            <w:tcW w:w="4480" w:type="dxa"/>
            <w:vAlign w:val="bottom"/>
          </w:tcPr>
          <w:p>
            <w:pPr>
              <w:ind w:left="20"/>
              <w:spacing w:after="0" w:line="175" w:lineRule="exact"/>
              <w:rPr>
                <w:sz w:val="20"/>
                <w:szCs w:val="20"/>
                <w:color w:val="auto"/>
              </w:rPr>
            </w:pPr>
            <w:r>
              <w:rPr>
                <w:rFonts w:ascii="Arial" w:cs="Arial" w:eastAsia="Arial" w:hAnsi="Arial"/>
                <w:sz w:val="16"/>
                <w:szCs w:val="16"/>
                <w:color w:val="auto"/>
              </w:rPr>
              <w:t>Related Party Transactions</w:t>
            </w:r>
          </w:p>
        </w:tc>
        <w:tc>
          <w:tcPr>
            <w:tcW w:w="1080" w:type="dxa"/>
            <w:vAlign w:val="bottom"/>
            <w:gridSpan w:val="2"/>
          </w:tcPr>
          <w:p>
            <w:pPr>
              <w:jc w:val="right"/>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21</w:t>
              </w:r>
            </w:hyperlink>
          </w:p>
        </w:tc>
        <w:tc>
          <w:tcPr>
            <w:tcW w:w="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Principal Shareholders</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70">
              <w:r>
                <w:rPr>
                  <w:rFonts w:ascii="Arial" w:cs="Arial" w:eastAsia="Arial" w:hAnsi="Arial"/>
                  <w:sz w:val="16"/>
                  <w:szCs w:val="16"/>
                  <w:color w:val="0000FF"/>
                </w:rPr>
                <w:t>64</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Sustainability</w:t>
            </w:r>
          </w:p>
        </w:tc>
        <w:tc>
          <w:tcPr>
            <w:tcW w:w="1080" w:type="dxa"/>
            <w:vAlign w:val="bottom"/>
            <w:gridSpan w:val="2"/>
            <w:shd w:val="clear" w:color="auto" w:fill="DDDDDD"/>
          </w:tcPr>
          <w:p>
            <w:pPr>
              <w:jc w:val="right"/>
              <w:spacing w:after="0" w:line="175" w:lineRule="exact"/>
              <w:rPr>
                <w:sz w:val="20"/>
                <w:szCs w:val="20"/>
                <w:color w:val="auto"/>
              </w:rPr>
            </w:pPr>
            <w:r>
              <w:rPr>
                <w:rFonts w:ascii="Arial" w:cs="Arial" w:eastAsia="Arial" w:hAnsi="Arial"/>
                <w:sz w:val="16"/>
                <w:szCs w:val="16"/>
                <w:color w:val="auto"/>
              </w:rPr>
              <w:t>15</w:t>
            </w:r>
          </w:p>
        </w:tc>
        <w:tc>
          <w:tcPr>
            <w:tcW w:w="20" w:type="dxa"/>
            <w:vAlign w:val="bottom"/>
            <w:shd w:val="clear" w:color="auto" w:fill="DDDDDD"/>
          </w:tcPr>
          <w:p>
            <w:pPr>
              <w:spacing w:after="0"/>
              <w:rPr>
                <w:sz w:val="15"/>
                <w:szCs w:val="15"/>
                <w:color w:val="auto"/>
              </w:rPr>
            </w:pPr>
          </w:p>
        </w:tc>
      </w:tr>
      <w:tr>
        <w:trPr>
          <w:trHeight w:val="20"/>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DDDDDD"/>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6"/>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Notice of Electronic Availability of Proxy Materials</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72">
              <w:r>
                <w:rPr>
                  <w:rFonts w:ascii="Arial" w:cs="Arial" w:eastAsia="Arial" w:hAnsi="Arial"/>
                  <w:sz w:val="16"/>
                  <w:szCs w:val="16"/>
                  <w:color w:val="0000FF"/>
                </w:rPr>
                <w:t>65</w:t>
              </w:r>
            </w:hyperlink>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Incorporation by Reference of Certain Financial Information</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72">
              <w:r>
                <w:rPr>
                  <w:rFonts w:ascii="Arial" w:cs="Arial" w:eastAsia="Arial" w:hAnsi="Arial"/>
                  <w:sz w:val="16"/>
                  <w:szCs w:val="16"/>
                  <w:color w:val="0000FF"/>
                </w:rPr>
                <w:t>65</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r>
      <w:tr>
        <w:trPr>
          <w:trHeight w:val="21"/>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DDDDDD"/>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5"/>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Householding of Proxy Statements and Annual Reports</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72">
              <w:r>
                <w:rPr>
                  <w:rFonts w:ascii="Arial" w:cs="Arial" w:eastAsia="Arial" w:hAnsi="Arial"/>
                  <w:sz w:val="16"/>
                  <w:szCs w:val="16"/>
                  <w:color w:val="0000FF"/>
                </w:rPr>
                <w:t>65</w:t>
              </w:r>
            </w:hyperlink>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720" w:type="dxa"/>
            <w:vAlign w:val="bottom"/>
            <w:shd w:val="clear" w:color="auto" w:fill="DDDDDD"/>
          </w:tcPr>
          <w:p>
            <w:pPr>
              <w:ind w:left="20"/>
              <w:spacing w:after="0" w:line="175" w:lineRule="exact"/>
              <w:rPr>
                <w:sz w:val="20"/>
                <w:szCs w:val="20"/>
                <w:color w:val="auto"/>
              </w:rPr>
            </w:pPr>
            <w:r>
              <w:rPr>
                <w:rFonts w:ascii="Arial" w:cs="Arial" w:eastAsia="Arial" w:hAnsi="Arial"/>
                <w:sz w:val="16"/>
                <w:szCs w:val="16"/>
                <w:color w:val="auto"/>
              </w:rPr>
              <w:t>Cautionary Note on Forward-Looking Statements</w:t>
            </w:r>
          </w:p>
        </w:tc>
        <w:tc>
          <w:tcPr>
            <w:tcW w:w="840" w:type="dxa"/>
            <w:vAlign w:val="bottom"/>
            <w:gridSpan w:val="3"/>
            <w:shd w:val="clear" w:color="auto" w:fill="DDDDDD"/>
          </w:tcPr>
          <w:p>
            <w:pPr>
              <w:jc w:val="right"/>
              <w:spacing w:after="0" w:line="175" w:lineRule="exact"/>
              <w:rPr>
                <w:rFonts w:ascii="Arial" w:cs="Arial" w:eastAsia="Arial" w:hAnsi="Arial"/>
                <w:sz w:val="16"/>
                <w:szCs w:val="16"/>
                <w:color w:val="0000FF"/>
              </w:rPr>
            </w:pPr>
            <w:hyperlink w:anchor="page72">
              <w:r>
                <w:rPr>
                  <w:rFonts w:ascii="Arial" w:cs="Arial" w:eastAsia="Arial" w:hAnsi="Arial"/>
                  <w:sz w:val="16"/>
                  <w:szCs w:val="16"/>
                  <w:color w:val="0000FF"/>
                </w:rPr>
                <w:t>66</w:t>
              </w:r>
            </w:hyperlink>
          </w:p>
        </w:tc>
        <w:tc>
          <w:tcPr>
            <w:tcW w:w="100" w:type="dxa"/>
            <w:vAlign w:val="bottom"/>
            <w:shd w:val="clear" w:color="auto" w:fill="DDDDDD"/>
          </w:tcPr>
          <w:p>
            <w:pPr>
              <w:spacing w:after="0"/>
              <w:rPr>
                <w:sz w:val="15"/>
                <w:szCs w:val="15"/>
                <w:color w:val="auto"/>
              </w:rPr>
            </w:pPr>
          </w:p>
        </w:tc>
        <w:tc>
          <w:tcPr>
            <w:tcW w:w="448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r>
      <w:tr>
        <w:trPr>
          <w:trHeight w:val="20"/>
        </w:trPr>
        <w:tc>
          <w:tcPr>
            <w:tcW w:w="47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DDDDDD"/>
            </w:tcBorders>
            <w:shd w:val="clear" w:color="auto" w:fill="DDDDDD"/>
          </w:tcPr>
          <w:p>
            <w:pPr>
              <w:spacing w:after="0" w:line="20" w:lineRule="exact"/>
              <w:rPr>
                <w:sz w:val="1"/>
                <w:szCs w:val="1"/>
                <w:color w:val="auto"/>
              </w:rPr>
            </w:pPr>
          </w:p>
        </w:tc>
        <w:tc>
          <w:tcPr>
            <w:tcW w:w="8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0000FF"/>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4480" w:type="dxa"/>
            <w:vAlign w:val="bottom"/>
            <w:tcBorders>
              <w:top w:val="single" w:sz="8" w:color="DDDDDD"/>
            </w:tcBorders>
            <w:shd w:val="clear" w:color="auto" w:fill="DDDDDD"/>
          </w:tcPr>
          <w:p>
            <w:pPr>
              <w:spacing w:after="0" w:line="20" w:lineRule="exact"/>
              <w:rPr>
                <w:sz w:val="1"/>
                <w:szCs w:val="1"/>
                <w:color w:val="auto"/>
              </w:rPr>
            </w:pPr>
          </w:p>
        </w:tc>
        <w:tc>
          <w:tcPr>
            <w:tcW w:w="900" w:type="dxa"/>
            <w:vAlign w:val="bottom"/>
            <w:tcBorders>
              <w:top w:val="single" w:sz="8" w:color="DDDDDD"/>
            </w:tcBorders>
            <w:shd w:val="clear" w:color="auto" w:fill="DDDDDD"/>
          </w:tcPr>
          <w:p>
            <w:pPr>
              <w:spacing w:after="0" w:line="20" w:lineRule="exact"/>
              <w:rPr>
                <w:sz w:val="1"/>
                <w:szCs w:val="1"/>
                <w:color w:val="auto"/>
              </w:rPr>
            </w:pPr>
          </w:p>
        </w:tc>
        <w:tc>
          <w:tcPr>
            <w:tcW w:w="180" w:type="dxa"/>
            <w:vAlign w:val="bottom"/>
            <w:tcBorders>
              <w:top w:val="single" w:sz="8" w:color="DDDDDD"/>
            </w:tcBorders>
            <w:shd w:val="clear" w:color="auto" w:fill="DDDDDD"/>
          </w:tcPr>
          <w:p>
            <w:pPr>
              <w:spacing w:after="0" w:line="20" w:lineRule="exact"/>
              <w:rPr>
                <w:sz w:val="1"/>
                <w:szCs w:val="1"/>
                <w:color w:val="auto"/>
              </w:rPr>
            </w:pPr>
          </w:p>
        </w:tc>
        <w:tc>
          <w:tcPr>
            <w:tcW w:w="20" w:type="dxa"/>
            <w:vAlign w:val="bottom"/>
            <w:tcBorders>
              <w:top w:val="single" w:sz="8" w:color="DDDDDD"/>
            </w:tcBorders>
            <w:shd w:val="clear" w:color="auto" w:fill="DDDDDD"/>
          </w:tcPr>
          <w:p>
            <w:pPr>
              <w:spacing w:after="0" w:line="20" w:lineRule="exact"/>
              <w:rPr>
                <w:sz w:val="1"/>
                <w:szCs w:val="1"/>
                <w:color w:val="auto"/>
              </w:rPr>
            </w:pPr>
          </w:p>
        </w:tc>
      </w:tr>
      <w:tr>
        <w:trPr>
          <w:trHeight w:val="175"/>
        </w:trPr>
        <w:tc>
          <w:tcPr>
            <w:tcW w:w="4720" w:type="dxa"/>
            <w:vAlign w:val="bottom"/>
          </w:tcPr>
          <w:p>
            <w:pPr>
              <w:ind w:left="20"/>
              <w:spacing w:after="0" w:line="175" w:lineRule="exact"/>
              <w:rPr>
                <w:sz w:val="20"/>
                <w:szCs w:val="20"/>
                <w:color w:val="auto"/>
              </w:rPr>
            </w:pPr>
            <w:r>
              <w:rPr>
                <w:rFonts w:ascii="Arial" w:cs="Arial" w:eastAsia="Arial" w:hAnsi="Arial"/>
                <w:sz w:val="16"/>
                <w:szCs w:val="16"/>
                <w:color w:val="auto"/>
              </w:rPr>
              <w:t>Deadline for Receipt of Shareholder Proposals</w:t>
            </w:r>
          </w:p>
        </w:tc>
        <w:tc>
          <w:tcPr>
            <w:tcW w:w="840" w:type="dxa"/>
            <w:vAlign w:val="bottom"/>
            <w:gridSpan w:val="3"/>
          </w:tcPr>
          <w:p>
            <w:pPr>
              <w:jc w:val="right"/>
              <w:spacing w:after="0" w:line="175" w:lineRule="exact"/>
              <w:rPr>
                <w:rFonts w:ascii="Arial" w:cs="Arial" w:eastAsia="Arial" w:hAnsi="Arial"/>
                <w:sz w:val="16"/>
                <w:szCs w:val="16"/>
                <w:color w:val="0000FF"/>
              </w:rPr>
            </w:pPr>
            <w:hyperlink w:anchor="page73">
              <w:r>
                <w:rPr>
                  <w:rFonts w:ascii="Arial" w:cs="Arial" w:eastAsia="Arial" w:hAnsi="Arial"/>
                  <w:sz w:val="16"/>
                  <w:szCs w:val="16"/>
                  <w:color w:val="0000FF"/>
                </w:rPr>
                <w:t>66</w:t>
              </w:r>
            </w:hyperlink>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081"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800100</wp:posOffset>
            </wp:positionV>
            <wp:extent cx="149987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114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2021 ANNUAL MEETING OF SHAREHOLDERS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13, 2022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Pacific Standard Time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____________________________</w:t>
      </w:r>
    </w:p>
    <w:p>
      <w:pPr>
        <w:spacing w:after="0" w:line="21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INFORMATION CONCERNING SOLICITATION AND VOTING</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General</w:t>
      </w:r>
    </w:p>
    <w:p>
      <w:pPr>
        <w:spacing w:after="0" w:line="265"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This proxy statement (the “Proxy Statement”) is furnished in connection with the solicitation of proxies on behalf of the Board of Directors of Micron Technology, Inc. (the “Board”), for use at the Fiscal 2021 Annual Meeting of Shareholders to be held on January 13, 2022, at</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9:00 a.m., Pacific Standard Time, or at any adjournment or postponement thereof (the “Annual Meeting”). The purpose of the Annual Meeting is set forth herein and in the accompanying Notice of Fiscal 2021 Annual Meeting of Shareholders. The Annual Meeting will be held via a live webcast, and there will not be a physical meeting location. You will be able to attend the annual meeting online and to vote your shares electronically on the virtual meeting platform by visiting </w:t>
      </w:r>
      <w:r>
        <w:rPr>
          <w:rFonts w:ascii="Arial" w:cs="Arial" w:eastAsia="Arial" w:hAnsi="Arial"/>
          <w:sz w:val="18"/>
          <w:szCs w:val="18"/>
          <w:i w:val="1"/>
          <w:iCs w:val="1"/>
          <w:color w:val="auto"/>
        </w:rPr>
        <w:t>www.virtualshareholdermeeting.com/MU2021</w:t>
      </w:r>
      <w:r>
        <w:rPr>
          <w:rFonts w:ascii="Arial" w:cs="Arial" w:eastAsia="Arial" w:hAnsi="Arial"/>
          <w:sz w:val="18"/>
          <w:szCs w:val="18"/>
          <w:color w:val="auto"/>
        </w:rPr>
        <w:t xml:space="preserve"> and entering the 16-digit control number included in our Notice, on your proxy card, or in the instructions that accompanied your proxy materials. Shareholders will be able to submit questions during the annual meeting using the virtual meeting platform. Relevant questions submitted during the annual meeting will be addressed after the annual meeting in the Investor Relations section of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w:t>
      </w:r>
    </w:p>
    <w:p>
      <w:pPr>
        <w:spacing w:after="0" w:line="234"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15 minutes before the Annual Meeting. If you have difficulty accessing the meeting, please call the technical support number that will be posted on the virtual Annual Meeting login page. We will have technicians available to assist you.</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This Proxy Statement and related proxy card are first being distributed on or about December 2, 2021, to all shareholders entitled to vote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34" w:lineRule="exact"/>
        <w:rPr>
          <w:sz w:val="20"/>
          <w:szCs w:val="20"/>
          <w:color w:val="auto"/>
        </w:rPr>
      </w:pPr>
    </w:p>
    <w:p>
      <w:pPr>
        <w:ind w:left="660" w:right="380" w:hanging="328"/>
        <w:spacing w:after="0" w:line="28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using the instructions included in the notice regarding the Internet availability of proxy materials, the proxy card, or voting instruction card;</w:t>
      </w:r>
    </w:p>
    <w:p>
      <w:pPr>
        <w:spacing w:after="0" w:line="206"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by telephone using the instructions on the proxy card or voting instruction card if you received a paper copy of the proxy materials;</w:t>
      </w:r>
    </w:p>
    <w:p>
      <w:pPr>
        <w:spacing w:after="0" w:line="224"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the meeting and vote electronically on the virtual meeting platform.</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January 12,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1</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0090DA"/>
        </w:rPr>
        <w:t>Record Date</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Shareholders of record at the close of business on November 19, 2021 (the “Record Date”) are entitled to receive notice of and to vote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Revocability of Proxy</w:t>
      </w:r>
    </w:p>
    <w:p>
      <w:pPr>
        <w:spacing w:after="0" w:line="26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online or by delivering to us a written notice of revocation at Micron Technology, Inc., Attn.: Corporate Secretary, 8000 South Federal Way, Boise, Idaho 83716-9632 or corporatesecretary@micron.com or another duly executed proxy bearing a date later than the earlier given proxy but prior to the date of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Solicitation</w:t>
      </w:r>
    </w:p>
    <w:p>
      <w:pPr>
        <w:spacing w:after="0" w:line="26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Outstanding Shares</w:t>
      </w:r>
    </w:p>
    <w:p>
      <w:pPr>
        <w:spacing w:after="0" w:line="265"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We have one class of stock outstanding, common stock, $ 0.10 par value per share (the “Common Stock”). As of the Record Date, 1,120,169,749 shares of Common Stock were issued and outstanding and entitled to vote.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Voting Rights and Required Vote</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the Delaware General Corporation Law, our Restated Certificate of Incorporation, and our Amended and Restated Bylaws (“Bylaws”), each shareholder will be entitled to one vote for each share of Common Stock held at the Record Date for all matters. The required quorum for the transaction of business at the Annual Meeting is a majority in voting power of shares of our Common Stock issued and outstanding on the Record Date and entitled to vote thereat, present in person or represented by proxy. Shares that are voted “FOR,” “AGAINST,” or “ABSTAIN” are treated as being present at the Annual Meeting for the purposes of establishing a quorum. Broker non-votes will also be considered present and entitled to vote for purposes of determining the presence or absence of a quorum for the transaction of business, but such non-votes will not be included in the tabulation of the voting results with respect to voting results for the election of directors and other non-routine matters.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may not vote on matters relating to the election of directors or other non-routine matters unless the broker or nominee receives specific voting instructions from the beneficial owner of the shares. As a result, absent specific instructions, brokers or nominees may not vote a beneficial owner’s shares on Proposals 1 and 2 and such shares will be considered “broker non-votes” for such proposals. Brokers or nominees may vote a beneficial owner’s shares on Proposal 3.</w:t>
      </w:r>
    </w:p>
    <w:p>
      <w:pPr>
        <w:spacing w:after="0" w:line="23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Directors will be elected if the number of votes “FOR” a particular director exceeds the number of votes “AGAINST” that same director, with abstentions and broker-non votes not counted as a vote “FOR” or “AGAINST” that director’s election. With respect to all other items of business, the “FOR” vote of the holders of a majority of the voting power of the shares of Common Stock attending online in person or represented by proxy is required in order for such matter to be considered approved by the shareholders. For such non-routine matters, abstentions will have the same effect as voting against such items of business, but broker non-votes will not be counted in the tabulation of results. For routine matters, abstentions and broker non-votes will have the same effect as voting against such items of business.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0090DA"/>
        </w:rPr>
        <w:t>Voting of Proxies</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The shares of Common Stock represented by all properly executed proxies received by 11:59 P.M. Eastern Standard Time, on January 12, 2022 will be voted in accordance with the directions given by the shareholders. </w:t>
      </w:r>
      <w:r>
        <w:rPr>
          <w:rFonts w:ascii="Arial" w:cs="Arial" w:eastAsia="Arial" w:hAnsi="Arial"/>
          <w:sz w:val="18"/>
          <w:szCs w:val="18"/>
          <w:b w:val="1"/>
          <w:bCs w:val="1"/>
          <w:color w:val="auto"/>
        </w:rPr>
        <w:t>If no instructions are given with respect to a properly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executed proxy timely received by us, the shares of Common 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named herein as directors, or their respective substitutes as may be appointed by the Board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a non-binding resolution to approve the compensation of our Named Executive Officers as described in this Proxy Statement,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our Independent Registered Public Accounting Firm for the fiscal year ending September 1, 2022, and (iv) in the discretion of the proxy holders for such other business which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3</w:t>
      </w:r>
    </w:p>
    <w:p>
      <w:pPr>
        <w:sectPr>
          <w:pgSz w:w="11900" w:h="16838" w:orient="portrait"/>
          <w:cols w:equalWidth="0" w:num="1">
            <w:col w:w="11240"/>
          </w:cols>
          <w:pgMar w:left="320" w:top="1336"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36"/>
          <w:szCs w:val="36"/>
          <w:b w:val="1"/>
          <w:bCs w:val="1"/>
          <w:color w:val="FFFFFF"/>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7" w:lineRule="exact"/>
        <w:rPr>
          <w:sz w:val="20"/>
          <w:szCs w:val="20"/>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All directors elected annually by a simple majority of votes cast</w:t>
      </w:r>
    </w:p>
    <w:p>
      <w:pPr>
        <w:spacing w:after="0" w:line="31" w:lineRule="exact"/>
        <w:rPr>
          <w:rFonts w:ascii="Arial" w:cs="Arial" w:eastAsia="Arial" w:hAnsi="Arial"/>
          <w:sz w:val="18"/>
          <w:szCs w:val="18"/>
          <w:b w:val="1"/>
          <w:bCs w:val="1"/>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Board Chair</w:t>
      </w:r>
    </w:p>
    <w:p>
      <w:pPr>
        <w:spacing w:after="0" w:line="9" w:lineRule="exact"/>
        <w:rPr>
          <w:rFonts w:ascii="Arial" w:cs="Arial" w:eastAsia="Arial" w:hAnsi="Arial"/>
          <w:sz w:val="18"/>
          <w:szCs w:val="18"/>
          <w:b w:val="1"/>
          <w:bCs w:val="1"/>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Seven of eight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4911725"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Board of Directors is presenting eight nominees for election as directors at the Annual Meeting. Each of the nominees is currently a member of our Board and, other than Ms. Haynesworth (who joined our Board in February 2021), was elected to our Board at the Fiscal 2020 Annual Meeting of Shareholders. Each director elected at the Annual Meeting will serve until our Fiscal 2022 Annual Meeting of Shareholders and until a successor is duly elected and qualified. 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of Directors,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4911725"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director nominee will be elected as a director if such nominee receives the affirmative vote of a majority of the votes cast with respect to his or her election (in other words, the number of shares voted “FOR” a director must exceed the number of votes cast “AGAINST” that director).</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a nominee who is serving as a director is not elected at the Annual Meeting by the requisite majority of votes cast, Delaware law provides that the director would continue to serve on our Board of Directors as a holdover director. However, under our Bylaws, any incumbent director who fails to be elected must offer to tender his or her resignation to our Board. The Governance and Sustainability Committee will then make a recommendation to our Board on whether to accept or reject the resignation or whether other action should be taken. Our Board will act on the Governance and Sustainability Committee’s recommendation and publicly disclose its decision and the rationale behind it within 90 days from the date the election results are certified. Any director who offers to tender his or her resignation will not participate in the Board’s or the Governance and Sustainability Committee’s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091"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4911725"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11725" cy="197485"/>
                    </a:xfrm>
                    <a:prstGeom prst="rect">
                      <a:avLst/>
                    </a:prstGeom>
                    <a:noFill/>
                  </pic:spPr>
                </pic:pic>
              </a:graphicData>
            </a:graphic>
          </wp:anchor>
        </w:drawing>
        <w:t>SUMMARY OF SKILLS AND EXPERIENCE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The following table highlights the specific skills, experience, qualifications and attributes that each of the director nominees brings to the Board. A particular director nominee may possess other skills, experience, qualifications or attributes even though they are not indicated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Skills and Experience</w:t>
            </w:r>
          </w:p>
        </w:tc>
        <w:tc>
          <w:tcPr>
            <w:tcW w:w="1120" w:type="dxa"/>
            <w:vAlign w:val="bottom"/>
            <w:shd w:val="clear" w:color="auto" w:fill="B6B6B6"/>
          </w:tcPr>
          <w:p>
            <w:pPr>
              <w:jc w:val="center"/>
              <w:spacing w:after="0"/>
              <w:rPr>
                <w:sz w:val="20"/>
                <w:szCs w:val="20"/>
                <w:color w:val="auto"/>
              </w:rPr>
            </w:pPr>
            <w:r>
              <w:rPr>
                <w:rFonts w:ascii="Arial" w:cs="Arial" w:eastAsia="Arial" w:hAnsi="Arial"/>
                <w:sz w:val="16"/>
                <w:szCs w:val="16"/>
                <w:color w:val="auto"/>
              </w:rPr>
              <w:t>Richard M.</w:t>
            </w:r>
          </w:p>
        </w:tc>
        <w:tc>
          <w:tcPr>
            <w:tcW w:w="1120" w:type="dxa"/>
            <w:vAlign w:val="bottom"/>
          </w:tcPr>
          <w:p>
            <w:pPr>
              <w:spacing w:after="0"/>
              <w:rPr>
                <w:sz w:val="16"/>
                <w:szCs w:val="16"/>
                <w:color w:val="auto"/>
              </w:rPr>
            </w:pPr>
          </w:p>
        </w:tc>
        <w:tc>
          <w:tcPr>
            <w:tcW w:w="1120" w:type="dxa"/>
            <w:vAlign w:val="bottom"/>
            <w:shd w:val="clear" w:color="auto" w:fill="B6B6B6"/>
          </w:tcPr>
          <w:p>
            <w:pPr>
              <w:jc w:val="center"/>
              <w:spacing w:after="0"/>
              <w:rPr>
                <w:sz w:val="20"/>
                <w:szCs w:val="20"/>
                <w:color w:val="auto"/>
              </w:rPr>
            </w:pPr>
            <w:r>
              <w:rPr>
                <w:rFonts w:ascii="Arial" w:cs="Arial" w:eastAsia="Arial" w:hAnsi="Arial"/>
                <w:sz w:val="16"/>
                <w:szCs w:val="16"/>
                <w:color w:val="auto"/>
              </w:rPr>
              <w:t>Steven J.</w:t>
            </w:r>
          </w:p>
        </w:tc>
        <w:tc>
          <w:tcPr>
            <w:tcW w:w="1120" w:type="dxa"/>
            <w:vAlign w:val="bottom"/>
          </w:tcPr>
          <w:p>
            <w:pPr>
              <w:jc w:val="center"/>
              <w:spacing w:after="0"/>
              <w:rPr>
                <w:sz w:val="20"/>
                <w:szCs w:val="20"/>
                <w:color w:val="auto"/>
              </w:rPr>
            </w:pPr>
            <w:r>
              <w:rPr>
                <w:rFonts w:ascii="Arial" w:cs="Arial" w:eastAsia="Arial" w:hAnsi="Arial"/>
                <w:sz w:val="16"/>
                <w:szCs w:val="16"/>
                <w:color w:val="auto"/>
              </w:rPr>
              <w:t>Linnie</w:t>
            </w:r>
          </w:p>
        </w:tc>
        <w:tc>
          <w:tcPr>
            <w:tcW w:w="1120" w:type="dxa"/>
            <w:vAlign w:val="bottom"/>
            <w:shd w:val="clear" w:color="auto" w:fill="B6B6B6"/>
          </w:tcPr>
          <w:p>
            <w:pPr>
              <w:jc w:val="center"/>
              <w:spacing w:after="0"/>
              <w:rPr>
                <w:sz w:val="20"/>
                <w:szCs w:val="20"/>
                <w:color w:val="auto"/>
              </w:rPr>
            </w:pPr>
            <w:r>
              <w:rPr>
                <w:rFonts w:ascii="Arial" w:cs="Arial" w:eastAsia="Arial" w:hAnsi="Arial"/>
                <w:sz w:val="16"/>
                <w:szCs w:val="16"/>
                <w:color w:val="auto"/>
                <w:w w:val="99"/>
              </w:rPr>
              <w:t>Mary Pat</w:t>
            </w:r>
          </w:p>
        </w:tc>
        <w:tc>
          <w:tcPr>
            <w:tcW w:w="1120" w:type="dxa"/>
            <w:vAlign w:val="bottom"/>
          </w:tcPr>
          <w:p>
            <w:pPr>
              <w:jc w:val="center"/>
              <w:spacing w:after="0"/>
              <w:rPr>
                <w:sz w:val="20"/>
                <w:szCs w:val="20"/>
                <w:color w:val="auto"/>
              </w:rPr>
            </w:pPr>
            <w:r>
              <w:rPr>
                <w:rFonts w:ascii="Arial" w:cs="Arial" w:eastAsia="Arial" w:hAnsi="Arial"/>
                <w:sz w:val="16"/>
                <w:szCs w:val="16"/>
                <w:color w:val="auto"/>
              </w:rPr>
              <w:t>Sanjay</w:t>
            </w:r>
          </w:p>
        </w:tc>
        <w:tc>
          <w:tcPr>
            <w:tcW w:w="1120" w:type="dxa"/>
            <w:vAlign w:val="bottom"/>
            <w:shd w:val="clear" w:color="auto" w:fill="B6B6B6"/>
          </w:tcPr>
          <w:p>
            <w:pPr>
              <w:jc w:val="center"/>
              <w:spacing w:after="0"/>
              <w:rPr>
                <w:sz w:val="20"/>
                <w:szCs w:val="20"/>
                <w:color w:val="auto"/>
              </w:rPr>
            </w:pPr>
            <w:r>
              <w:rPr>
                <w:rFonts w:ascii="Arial" w:cs="Arial" w:eastAsia="Arial" w:hAnsi="Arial"/>
                <w:sz w:val="16"/>
                <w:szCs w:val="16"/>
                <w:color w:val="auto"/>
              </w:rPr>
              <w:t>Robert E.</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MaryAnn</w:t>
            </w:r>
          </w:p>
        </w:tc>
        <w:tc>
          <w:tcPr>
            <w:tcW w:w="0" w:type="dxa"/>
            <w:vAlign w:val="bottom"/>
          </w:tcPr>
          <w:p>
            <w:pPr>
              <w:spacing w:after="0"/>
              <w:rPr>
                <w:sz w:val="1"/>
                <w:szCs w:val="1"/>
                <w:color w:val="auto"/>
              </w:rPr>
            </w:pPr>
          </w:p>
        </w:tc>
      </w:tr>
      <w:tr>
        <w:trPr>
          <w:trHeight w:val="198"/>
        </w:trPr>
        <w:tc>
          <w:tcPr>
            <w:tcW w:w="2220" w:type="dxa"/>
            <w:vAlign w:val="bottom"/>
            <w:tcBorders>
              <w:bottom w:val="single" w:sz="8" w:color="0090DA"/>
            </w:tcBorders>
            <w:vMerge w:val="continue"/>
          </w:tcPr>
          <w:p>
            <w:pPr>
              <w:spacing w:after="0"/>
              <w:rPr>
                <w:sz w:val="17"/>
                <w:szCs w:val="17"/>
                <w:color w:val="auto"/>
              </w:rPr>
            </w:pP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6"/>
                <w:szCs w:val="16"/>
                <w:color w:val="auto"/>
              </w:rPr>
              <w:t>Beyer</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color w:val="auto"/>
                <w:w w:val="99"/>
              </w:rPr>
              <w:t>Lynn A. Dugle</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6"/>
                <w:szCs w:val="16"/>
                <w:color w:val="auto"/>
              </w:rPr>
              <w:t>Gomo</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color w:val="auto"/>
              </w:rPr>
              <w:t>Haynesworth</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6"/>
                <w:szCs w:val="16"/>
                <w:color w:val="auto"/>
              </w:rPr>
              <w:t>McCarthy</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color w:val="auto"/>
                <w:w w:val="99"/>
              </w:rPr>
              <w:t>Mehrotra</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6"/>
                <w:szCs w:val="16"/>
                <w:color w:val="auto"/>
                <w:w w:val="99"/>
              </w:rPr>
              <w:t>Switz</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color w:val="auto"/>
                <w:w w:val="99"/>
              </w:rPr>
              <w:t>Wright</w:t>
            </w:r>
          </w:p>
        </w:tc>
        <w:tc>
          <w:tcPr>
            <w:tcW w:w="0" w:type="dxa"/>
            <w:vAlign w:val="bottom"/>
          </w:tcPr>
          <w:p>
            <w:pPr>
              <w:spacing w:after="0"/>
              <w:rPr>
                <w:sz w:val="1"/>
                <w:szCs w:val="1"/>
                <w:color w:val="auto"/>
              </w:rPr>
            </w:pPr>
          </w:p>
        </w:tc>
      </w:tr>
      <w:tr>
        <w:trPr>
          <w:trHeight w:val="226"/>
        </w:trPr>
        <w:tc>
          <w:tcPr>
            <w:tcW w:w="2220" w:type="dxa"/>
            <w:vAlign w:val="bottom"/>
          </w:tcPr>
          <w:p>
            <w:pPr>
              <w:ind w:left="20"/>
              <w:spacing w:after="0"/>
              <w:rPr>
                <w:sz w:val="20"/>
                <w:szCs w:val="20"/>
                <w:color w:val="auto"/>
              </w:rPr>
            </w:pPr>
            <w:r>
              <w:rPr>
                <w:rFonts w:ascii="Arial" w:cs="Arial" w:eastAsia="Arial" w:hAnsi="Arial"/>
                <w:sz w:val="16"/>
                <w:szCs w:val="16"/>
                <w:color w:val="auto"/>
              </w:rPr>
              <w:t>Independence</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Multinational experience</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57"/>
        </w:trPr>
        <w:tc>
          <w:tcPr>
            <w:tcW w:w="2220" w:type="dxa"/>
            <w:vAlign w:val="bottom"/>
          </w:tcPr>
          <w:p>
            <w:pPr>
              <w:ind w:left="20"/>
              <w:spacing w:after="0" w:line="158" w:lineRule="exact"/>
              <w:rPr>
                <w:sz w:val="20"/>
                <w:szCs w:val="20"/>
                <w:color w:val="auto"/>
              </w:rPr>
            </w:pPr>
            <w:r>
              <w:rPr>
                <w:rFonts w:ascii="Arial" w:cs="Arial" w:eastAsia="Arial" w:hAnsi="Arial"/>
                <w:sz w:val="16"/>
                <w:szCs w:val="16"/>
                <w:color w:val="auto"/>
              </w:rPr>
              <w:t>Executive leadership (public</w:t>
            </w:r>
          </w:p>
        </w:tc>
        <w:tc>
          <w:tcPr>
            <w:tcW w:w="1120" w:type="dxa"/>
            <w:vAlign w:val="bottom"/>
            <w:vMerge w:val="restart"/>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06"/>
        </w:trPr>
        <w:tc>
          <w:tcPr>
            <w:tcW w:w="2220" w:type="dxa"/>
            <w:vAlign w:val="bottom"/>
          </w:tcPr>
          <w:p>
            <w:pPr>
              <w:ind w:left="20"/>
              <w:spacing w:after="0"/>
              <w:rPr>
                <w:sz w:val="20"/>
                <w:szCs w:val="20"/>
                <w:color w:val="auto"/>
              </w:rPr>
            </w:pPr>
            <w:r>
              <w:rPr>
                <w:rFonts w:ascii="Arial" w:cs="Arial" w:eastAsia="Arial" w:hAnsi="Arial"/>
                <w:sz w:val="16"/>
                <w:szCs w:val="16"/>
                <w:color w:val="auto"/>
              </w:rPr>
              <w:t>or private)</w:t>
            </w:r>
          </w:p>
        </w:tc>
        <w:tc>
          <w:tcPr>
            <w:tcW w:w="1120" w:type="dxa"/>
            <w:vAlign w:val="bottom"/>
            <w:tcBorders>
              <w:bottom w:val="single" w:sz="8" w:color="0090DA"/>
            </w:tcBorders>
            <w:vMerge w:val="continue"/>
            <w:shd w:val="clear" w:color="auto" w:fill="B6B6B6"/>
          </w:tcPr>
          <w:p>
            <w:pPr>
              <w:spacing w:after="0"/>
              <w:rPr>
                <w:sz w:val="17"/>
                <w:szCs w:val="17"/>
                <w:color w:val="auto"/>
              </w:rPr>
            </w:pPr>
          </w:p>
        </w:tc>
        <w:tc>
          <w:tcPr>
            <w:tcW w:w="1120" w:type="dxa"/>
            <w:vAlign w:val="bottom"/>
            <w:tcBorders>
              <w:bottom w:val="single" w:sz="8" w:color="0090DA"/>
            </w:tcBorders>
            <w:vMerge w:val="continue"/>
          </w:tcPr>
          <w:p>
            <w:pPr>
              <w:spacing w:after="0"/>
              <w:rPr>
                <w:sz w:val="17"/>
                <w:szCs w:val="17"/>
                <w:color w:val="auto"/>
              </w:rPr>
            </w:pPr>
          </w:p>
        </w:tc>
        <w:tc>
          <w:tcPr>
            <w:tcW w:w="1120" w:type="dxa"/>
            <w:vAlign w:val="bottom"/>
            <w:tcBorders>
              <w:bottom w:val="single" w:sz="8" w:color="0090DA"/>
            </w:tcBorders>
            <w:vMerge w:val="continue"/>
            <w:shd w:val="clear" w:color="auto" w:fill="B6B6B6"/>
          </w:tcPr>
          <w:p>
            <w:pPr>
              <w:spacing w:after="0"/>
              <w:rPr>
                <w:sz w:val="17"/>
                <w:szCs w:val="17"/>
                <w:color w:val="auto"/>
              </w:rPr>
            </w:pPr>
          </w:p>
        </w:tc>
        <w:tc>
          <w:tcPr>
            <w:tcW w:w="1120" w:type="dxa"/>
            <w:vAlign w:val="bottom"/>
            <w:tcBorders>
              <w:bottom w:val="single" w:sz="8" w:color="0090DA"/>
            </w:tcBorders>
            <w:vMerge w:val="continue"/>
          </w:tcPr>
          <w:p>
            <w:pPr>
              <w:spacing w:after="0"/>
              <w:rPr>
                <w:sz w:val="17"/>
                <w:szCs w:val="17"/>
                <w:color w:val="auto"/>
              </w:rPr>
            </w:pPr>
          </w:p>
        </w:tc>
        <w:tc>
          <w:tcPr>
            <w:tcW w:w="1120" w:type="dxa"/>
            <w:vAlign w:val="bottom"/>
            <w:tcBorders>
              <w:bottom w:val="single" w:sz="8" w:color="0090DA"/>
            </w:tcBorders>
            <w:vMerge w:val="continue"/>
            <w:shd w:val="clear" w:color="auto" w:fill="B6B6B6"/>
          </w:tcPr>
          <w:p>
            <w:pPr>
              <w:spacing w:after="0"/>
              <w:rPr>
                <w:sz w:val="17"/>
                <w:szCs w:val="17"/>
                <w:color w:val="auto"/>
              </w:rPr>
            </w:pPr>
          </w:p>
        </w:tc>
        <w:tc>
          <w:tcPr>
            <w:tcW w:w="1120" w:type="dxa"/>
            <w:vAlign w:val="bottom"/>
            <w:tcBorders>
              <w:bottom w:val="single" w:sz="8" w:color="0090DA"/>
            </w:tcBorders>
            <w:vMerge w:val="continue"/>
          </w:tcPr>
          <w:p>
            <w:pPr>
              <w:spacing w:after="0"/>
              <w:rPr>
                <w:sz w:val="17"/>
                <w:szCs w:val="17"/>
                <w:color w:val="auto"/>
              </w:rPr>
            </w:pPr>
          </w:p>
        </w:tc>
        <w:tc>
          <w:tcPr>
            <w:tcW w:w="1120" w:type="dxa"/>
            <w:vAlign w:val="bottom"/>
            <w:tcBorders>
              <w:bottom w:val="single" w:sz="8" w:color="0090DA"/>
            </w:tcBorders>
            <w:vMerge w:val="continue"/>
            <w:shd w:val="clear" w:color="auto" w:fill="B6B6B6"/>
          </w:tcPr>
          <w:p>
            <w:pPr>
              <w:spacing w:after="0"/>
              <w:rPr>
                <w:sz w:val="17"/>
                <w:szCs w:val="17"/>
                <w:color w:val="auto"/>
              </w:rPr>
            </w:pPr>
          </w:p>
        </w:tc>
        <w:tc>
          <w:tcPr>
            <w:tcW w:w="1120" w:type="dxa"/>
            <w:vAlign w:val="bottom"/>
            <w:tcBorders>
              <w:bottom w:val="single" w:sz="8" w:color="0090D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Technology industry</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Corporate strategy</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Corporate development</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Corporate governance</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Marketing</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Cybersecurity</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Other public board service</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Finance</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Auditing / accounting</w:t>
            </w:r>
          </w:p>
        </w:tc>
        <w:tc>
          <w:tcPr>
            <w:tcW w:w="1120" w:type="dxa"/>
            <w:vAlign w:val="bottom"/>
            <w:shd w:val="clear" w:color="auto" w:fill="B6B6B6"/>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Pr>
          <w:p>
            <w:pPr>
              <w:spacing w:after="0"/>
              <w:rPr>
                <w:sz w:val="19"/>
                <w:szCs w:val="19"/>
                <w:color w:val="auto"/>
              </w:rPr>
            </w:pPr>
          </w:p>
        </w:tc>
        <w:tc>
          <w:tcPr>
            <w:tcW w:w="1120" w:type="dxa"/>
            <w:vAlign w:val="bottom"/>
            <w:shd w:val="clear" w:color="auto" w:fill="B6B6B6"/>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5</w:t>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0090DA"/>
        </w:rPr>
        <w:t>Nominees For Election</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Richard M.</w:t>
      </w:r>
    </w:p>
    <w:p>
      <w:pPr>
        <w:ind w:left="20"/>
        <w:spacing w:after="0"/>
        <w:rPr>
          <w:sz w:val="20"/>
          <w:szCs w:val="20"/>
          <w:color w:val="auto"/>
        </w:rPr>
      </w:pPr>
      <w:r>
        <w:rPr>
          <w:rFonts w:ascii="Arial" w:cs="Arial" w:eastAsia="Arial" w:hAnsi="Arial"/>
          <w:sz w:val="36"/>
          <w:szCs w:val="36"/>
          <w:b w:val="1"/>
          <w:bCs w:val="1"/>
          <w:color w:val="auto"/>
        </w:rPr>
        <w:t>Beyer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58" w:lineRule="exact"/>
        <w:rPr>
          <w:sz w:val="20"/>
          <w:szCs w:val="20"/>
          <w:color w:val="auto"/>
        </w:rPr>
      </w:pPr>
    </w:p>
    <w:p>
      <w:pPr>
        <w:ind w:left="340" w:right="280" w:hanging="228"/>
        <w:spacing w:after="0" w:line="180" w:lineRule="auto"/>
        <w:tabs>
          <w:tab w:leader="none" w:pos="340" w:val="left"/>
        </w:tabs>
        <w:numPr>
          <w:ilvl w:val="0"/>
          <w:numId w:val="9"/>
        </w:numPr>
        <w:rPr>
          <w:rFonts w:ascii="Arial" w:cs="Arial" w:eastAsia="Arial" w:hAnsi="Arial"/>
          <w:sz w:val="35"/>
          <w:szCs w:val="35"/>
          <w:b w:val="1"/>
          <w:bCs w:val="1"/>
          <w:color w:val="00A3E1"/>
          <w:vertAlign w:val="subscript"/>
        </w:rPr>
      </w:pPr>
      <w:r>
        <w:rPr>
          <w:rFonts w:ascii="Arial" w:cs="Arial" w:eastAsia="Arial" w:hAnsi="Arial"/>
          <w:sz w:val="15"/>
          <w:szCs w:val="15"/>
          <w:color w:val="auto"/>
        </w:rPr>
        <w:t>Chairman and Chief Executive Officer of Freescale Semiconductor, Inc. from 2008 through June 2012; director from 2008 to 2013.</w:t>
      </w:r>
    </w:p>
    <w:p>
      <w:pPr>
        <w:spacing w:after="0" w:line="54" w:lineRule="exact"/>
        <w:rPr>
          <w:rFonts w:ascii="Arial" w:cs="Arial" w:eastAsia="Arial" w:hAnsi="Arial"/>
          <w:sz w:val="35"/>
          <w:szCs w:val="35"/>
          <w:b w:val="1"/>
          <w:bCs w:val="1"/>
          <w:color w:val="00A3E1"/>
          <w:vertAlign w:val="subscript"/>
        </w:rPr>
      </w:pPr>
    </w:p>
    <w:p>
      <w:pPr>
        <w:ind w:left="340" w:right="100" w:hanging="228"/>
        <w:spacing w:after="0" w:line="203" w:lineRule="auto"/>
        <w:tabs>
          <w:tab w:leader="none" w:pos="340" w:val="left"/>
        </w:tabs>
        <w:numPr>
          <w:ilvl w:val="0"/>
          <w:numId w:val="9"/>
        </w:numPr>
        <w:rPr>
          <w:rFonts w:ascii="Arial" w:cs="Arial" w:eastAsia="Arial" w:hAnsi="Arial"/>
          <w:sz w:val="25"/>
          <w:szCs w:val="25"/>
          <w:b w:val="1"/>
          <w:bCs w:val="1"/>
          <w:color w:val="00A3E1"/>
        </w:rPr>
      </w:pPr>
      <w:r>
        <w:rPr>
          <w:rFonts w:ascii="Arial" w:cs="Arial" w:eastAsia="Arial" w:hAnsi="Arial"/>
          <w:sz w:val="18"/>
          <w:szCs w:val="18"/>
          <w:color w:val="auto"/>
        </w:rPr>
        <w:t>Prior to Freescale, Mr. Beyer was President, Chief Executive Officer and a director of Intersil Corporation from 2002 to 2008.</w:t>
      </w:r>
    </w:p>
    <w:p>
      <w:pPr>
        <w:spacing w:after="0" w:line="54" w:lineRule="exact"/>
        <w:rPr>
          <w:rFonts w:ascii="Arial" w:cs="Arial" w:eastAsia="Arial" w:hAnsi="Arial"/>
          <w:sz w:val="25"/>
          <w:szCs w:val="25"/>
          <w:b w:val="1"/>
          <w:bCs w:val="1"/>
          <w:color w:val="00A3E1"/>
        </w:rPr>
      </w:pPr>
    </w:p>
    <w:p>
      <w:pPr>
        <w:ind w:left="340" w:right="100" w:hanging="228"/>
        <w:spacing w:after="0" w:line="213" w:lineRule="auto"/>
        <w:tabs>
          <w:tab w:leader="none" w:pos="340" w:val="left"/>
        </w:tabs>
        <w:numPr>
          <w:ilvl w:val="0"/>
          <w:numId w:val="9"/>
        </w:numPr>
        <w:rPr>
          <w:rFonts w:ascii="Arial" w:cs="Arial" w:eastAsia="Arial" w:hAnsi="Arial"/>
          <w:sz w:val="24"/>
          <w:szCs w:val="24"/>
          <w:b w:val="1"/>
          <w:bCs w:val="1"/>
          <w:color w:val="00A3E1"/>
        </w:rPr>
      </w:pPr>
      <w:r>
        <w:rPr>
          <w:rFonts w:ascii="Arial" w:cs="Arial" w:eastAsia="Arial" w:hAnsi="Arial"/>
          <w:sz w:val="17"/>
          <w:szCs w:val="17"/>
          <w:color w:val="auto"/>
        </w:rPr>
        <w:t>Mr. Beyer previously served in executive management roles at FVC.com, VLSI Technology, and National Semiconductor Corporation, and served three years as an officer in the United States Marine Corps.</w:t>
      </w:r>
    </w:p>
    <w:p>
      <w:pPr>
        <w:spacing w:after="0" w:line="40" w:lineRule="exact"/>
        <w:rPr>
          <w:rFonts w:ascii="Arial" w:cs="Arial" w:eastAsia="Arial" w:hAnsi="Arial"/>
          <w:sz w:val="24"/>
          <w:szCs w:val="24"/>
          <w:b w:val="1"/>
          <w:bCs w:val="1"/>
          <w:color w:val="00A3E1"/>
        </w:rPr>
      </w:pPr>
    </w:p>
    <w:p>
      <w:pPr>
        <w:ind w:left="340" w:right="2140" w:hanging="228"/>
        <w:spacing w:after="0" w:line="203" w:lineRule="auto"/>
        <w:tabs>
          <w:tab w:leader="none" w:pos="340" w:val="left"/>
        </w:tabs>
        <w:numPr>
          <w:ilvl w:val="0"/>
          <w:numId w:val="9"/>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Beyer served on the Board of Directors of Dialog Semiconductor, Microsemi Corporation, and Analog Devices, Inc.</w:t>
      </w:r>
    </w:p>
    <w:p>
      <w:pPr>
        <w:spacing w:after="0" w:line="5" w:lineRule="exact"/>
        <w:rPr>
          <w:sz w:val="20"/>
          <w:szCs w:val="20"/>
          <w:color w:val="auto"/>
        </w:rPr>
      </w:pPr>
    </w:p>
    <w:p>
      <w:pPr>
        <w:sectPr>
          <w:pgSz w:w="11900" w:h="16838" w:orient="portrait"/>
          <w:cols w:equalWidth="0" w:num="2">
            <w:col w:w="1860" w:space="600"/>
            <w:col w:w="8760"/>
          </w:cols>
          <w:pgMar w:left="320" w:top="1093" w:right="359" w:bottom="1440" w:gutter="0" w:footer="0" w:header="0"/>
          <w:type w:val="continuous"/>
        </w:sectPr>
      </w:pPr>
    </w:p>
    <w:p>
      <w:pPr>
        <w:ind w:left="2460"/>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41" w:lineRule="exact"/>
        <w:rPr>
          <w:sz w:val="20"/>
          <w:szCs w:val="20"/>
          <w:color w:val="auto"/>
        </w:rPr>
      </w:pPr>
    </w:p>
    <w:p>
      <w:pPr>
        <w:ind w:left="2800" w:hanging="228"/>
        <w:spacing w:after="0"/>
        <w:tabs>
          <w:tab w:leader="none" w:pos="2800" w:val="left"/>
        </w:tabs>
        <w:numPr>
          <w:ilvl w:val="0"/>
          <w:numId w:val="10"/>
        </w:numPr>
        <w:rPr>
          <w:rFonts w:ascii="Arial" w:cs="Arial" w:eastAsia="Arial" w:hAnsi="Arial"/>
          <w:sz w:val="25"/>
          <w:szCs w:val="25"/>
          <w:b w:val="1"/>
          <w:bCs w:val="1"/>
          <w:color w:val="00A3E1"/>
        </w:rPr>
      </w:pPr>
      <w:r>
        <w:rPr>
          <w:rFonts w:ascii="Arial" w:cs="Arial" w:eastAsia="Arial" w:hAnsi="Arial"/>
          <w:sz w:val="18"/>
          <w:szCs w:val="18"/>
          <w:color w:val="auto"/>
        </w:rPr>
        <w:t>None</w:t>
      </w:r>
    </w:p>
    <w:p>
      <w:pPr>
        <w:spacing w:after="0" w:line="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81" w:lineRule="exact"/>
        <w:rPr>
          <w:sz w:val="20"/>
          <w:szCs w:val="20"/>
          <w:color w:val="auto"/>
        </w:rPr>
      </w:pPr>
    </w:p>
    <w:p>
      <w:pPr>
        <w:ind w:left="2460" w:right="60"/>
        <w:spacing w:after="0" w:line="238" w:lineRule="auto"/>
        <w:rPr>
          <w:sz w:val="20"/>
          <w:szCs w:val="20"/>
          <w:color w:val="auto"/>
        </w:rPr>
      </w:pPr>
      <w:r>
        <w:rPr>
          <w:rFonts w:ascii="Arial" w:cs="Arial" w:eastAsia="Arial" w:hAnsi="Arial"/>
          <w:sz w:val="18"/>
          <w:szCs w:val="18"/>
          <w:color w:val="auto"/>
        </w:rPr>
        <w:t>Mr. Beyer’s experience as the Chief Executive Officer and a director at leading technology companies provides our Board expertise in the technology industry and also in corporate strategy, financial management, operations, marketing, and research and development, all of which are critical to achieving our strategic objectives. We believe these experiences, qualifications, attributes, and skills qualify Mr. Beyer to serve as a member of our Board of Directors.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73</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2013</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(Chair), Governance and Sustainability,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p>
      <w:pPr>
        <w:spacing w:after="0" w:line="97"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Lynn A.</w:t>
      </w:r>
    </w:p>
    <w:p>
      <w:pPr>
        <w:ind w:left="20"/>
        <w:spacing w:after="0"/>
        <w:rPr>
          <w:sz w:val="20"/>
          <w:szCs w:val="20"/>
          <w:color w:val="auto"/>
        </w:rPr>
      </w:pPr>
      <w:r>
        <w:rPr>
          <w:rFonts w:ascii="Arial" w:cs="Arial" w:eastAsia="Arial" w:hAnsi="Arial"/>
          <w:sz w:val="36"/>
          <w:szCs w:val="36"/>
          <w:b w:val="1"/>
          <w:bCs w:val="1"/>
          <w:color w:val="auto"/>
        </w:rPr>
        <w:t>Dugle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58" w:lineRule="exact"/>
        <w:rPr>
          <w:sz w:val="20"/>
          <w:szCs w:val="20"/>
          <w:color w:val="auto"/>
        </w:rPr>
      </w:pPr>
    </w:p>
    <w:p>
      <w:pPr>
        <w:ind w:left="340" w:right="280" w:hanging="228"/>
        <w:spacing w:after="0" w:line="203" w:lineRule="auto"/>
        <w:tabs>
          <w:tab w:leader="none" w:pos="34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Chairman, Chief Executive Officer, and President of Engility Holdings Inc., an NYSE-listed engineering services firm, from 2016 to 2019.</w:t>
      </w:r>
    </w:p>
    <w:p>
      <w:pPr>
        <w:spacing w:after="0" w:line="67" w:lineRule="exact"/>
        <w:rPr>
          <w:rFonts w:ascii="Arial" w:cs="Arial" w:eastAsia="Arial" w:hAnsi="Arial"/>
          <w:sz w:val="25"/>
          <w:szCs w:val="25"/>
          <w:b w:val="1"/>
          <w:bCs w:val="1"/>
          <w:color w:val="00A3E1"/>
        </w:rPr>
      </w:pPr>
    </w:p>
    <w:p>
      <w:pPr>
        <w:ind w:left="340" w:right="460" w:hanging="228"/>
        <w:spacing w:after="0" w:line="203" w:lineRule="auto"/>
        <w:tabs>
          <w:tab w:leader="none" w:pos="34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Prior to Engility, Ms. Dugle was Vice President, President of Intelligence and Information Systems of Raytheon Company from 2009 to 2015.</w:t>
      </w:r>
    </w:p>
    <w:p>
      <w:pPr>
        <w:spacing w:after="0" w:line="24" w:lineRule="exact"/>
        <w:rPr>
          <w:rFonts w:ascii="Arial" w:cs="Arial" w:eastAsia="Arial" w:hAnsi="Arial"/>
          <w:sz w:val="25"/>
          <w:szCs w:val="25"/>
          <w:b w:val="1"/>
          <w:bCs w:val="1"/>
          <w:color w:val="00A3E1"/>
        </w:rPr>
      </w:pPr>
    </w:p>
    <w:p>
      <w:pPr>
        <w:ind w:left="340" w:hanging="228"/>
        <w:spacing w:after="0"/>
        <w:tabs>
          <w:tab w:leader="none" w:pos="34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Ms. Dugle served on the Board of Directors of State Street Corporation.</w:t>
      </w:r>
    </w:p>
    <w:p>
      <w:pPr>
        <w:spacing w:after="0" w:line="22" w:lineRule="exact"/>
        <w:rPr>
          <w:rFonts w:ascii="Arial" w:cs="Arial" w:eastAsia="Arial" w:hAnsi="Arial"/>
          <w:sz w:val="25"/>
          <w:szCs w:val="25"/>
          <w:b w:val="1"/>
          <w:bCs w:val="1"/>
          <w:color w:val="00A3E1"/>
        </w:rPr>
      </w:pPr>
    </w:p>
    <w:p>
      <w:pPr>
        <w:spacing w:after="0"/>
        <w:rPr>
          <w:rFonts w:ascii="Arial" w:cs="Arial" w:eastAsia="Arial" w:hAnsi="Arial"/>
          <w:sz w:val="25"/>
          <w:szCs w:val="25"/>
          <w:b w:val="1"/>
          <w:bCs w:val="1"/>
          <w:color w:val="00A3E1"/>
        </w:rPr>
      </w:pPr>
      <w:r>
        <w:rPr>
          <w:rFonts w:ascii="Arial" w:cs="Arial" w:eastAsia="Arial" w:hAnsi="Arial"/>
          <w:sz w:val="18"/>
          <w:szCs w:val="18"/>
          <w:b w:val="1"/>
          <w:bCs w:val="1"/>
          <w:color w:val="00A3E1"/>
        </w:rPr>
        <w:t>Other Current Public Company Directorships</w:t>
      </w:r>
    </w:p>
    <w:p>
      <w:pPr>
        <w:spacing w:after="0" w:line="14" w:lineRule="exact"/>
        <w:rPr>
          <w:rFonts w:ascii="Arial" w:cs="Arial" w:eastAsia="Arial" w:hAnsi="Arial"/>
          <w:sz w:val="25"/>
          <w:szCs w:val="25"/>
          <w:b w:val="1"/>
          <w:bCs w:val="1"/>
          <w:color w:val="00A3E1"/>
        </w:rPr>
      </w:pPr>
    </w:p>
    <w:p>
      <w:pPr>
        <w:ind w:left="340" w:hanging="228"/>
        <w:spacing w:after="0" w:line="236" w:lineRule="auto"/>
        <w:tabs>
          <w:tab w:leader="none" w:pos="34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First Light Acquisition Group, Inc. (advisor partner)</w:t>
      </w:r>
    </w:p>
    <w:p>
      <w:pPr>
        <w:spacing w:after="0" w:line="22" w:lineRule="exact"/>
        <w:rPr>
          <w:rFonts w:ascii="Arial" w:cs="Arial" w:eastAsia="Arial" w:hAnsi="Arial"/>
          <w:sz w:val="25"/>
          <w:szCs w:val="25"/>
          <w:b w:val="1"/>
          <w:bCs w:val="1"/>
          <w:color w:val="00A3E1"/>
        </w:rPr>
      </w:pPr>
    </w:p>
    <w:p>
      <w:pPr>
        <w:ind w:left="340" w:hanging="228"/>
        <w:spacing w:after="0" w:line="229" w:lineRule="auto"/>
        <w:tabs>
          <w:tab w:leader="none" w:pos="34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TE Connectivity Ltd.</w:t>
      </w:r>
    </w:p>
    <w:p>
      <w:pPr>
        <w:spacing w:after="0" w:line="22" w:lineRule="exact"/>
        <w:rPr>
          <w:rFonts w:ascii="Arial" w:cs="Arial" w:eastAsia="Arial" w:hAnsi="Arial"/>
          <w:sz w:val="25"/>
          <w:szCs w:val="25"/>
          <w:b w:val="1"/>
          <w:bCs w:val="1"/>
          <w:color w:val="00A3E1"/>
        </w:rPr>
      </w:pPr>
    </w:p>
    <w:p>
      <w:pPr>
        <w:ind w:left="340" w:hanging="228"/>
        <w:spacing w:after="0" w:line="229" w:lineRule="auto"/>
        <w:tabs>
          <w:tab w:leader="none" w:pos="34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KBR, Inc.</w:t>
      </w:r>
    </w:p>
    <w:p>
      <w:pPr>
        <w:spacing w:after="0" w:line="23" w:lineRule="exact"/>
        <w:rPr>
          <w:sz w:val="20"/>
          <w:szCs w:val="20"/>
          <w:color w:val="auto"/>
        </w:rPr>
      </w:pPr>
    </w:p>
    <w:p>
      <w:pPr>
        <w:sectPr>
          <w:pgSz w:w="11900" w:h="16838" w:orient="portrait"/>
          <w:cols w:equalWidth="0" w:num="2">
            <w:col w:w="1740" w:space="720"/>
            <w:col w:w="8760"/>
          </w:cols>
          <w:pgMar w:left="320" w:top="1093" w:right="359" w:bottom="1440" w:gutter="0" w:footer="0" w:header="0"/>
          <w:type w:val="continuous"/>
        </w:sect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81" w:lineRule="exact"/>
        <w:rPr>
          <w:sz w:val="20"/>
          <w:szCs w:val="20"/>
          <w:color w:val="auto"/>
        </w:rPr>
      </w:pPr>
    </w:p>
    <w:p>
      <w:pPr>
        <w:ind w:left="2460" w:right="40"/>
        <w:spacing w:after="0" w:line="238" w:lineRule="auto"/>
        <w:rPr>
          <w:sz w:val="20"/>
          <w:szCs w:val="20"/>
          <w:color w:val="auto"/>
        </w:rPr>
      </w:pPr>
      <w:r>
        <w:rPr>
          <w:rFonts w:ascii="Arial" w:cs="Arial" w:eastAsia="Arial" w:hAnsi="Arial"/>
          <w:sz w:val="18"/>
          <w:szCs w:val="18"/>
          <w:color w:val="auto"/>
        </w:rPr>
        <w:t>Ms. Dugle’s experience as chairman and chief executive officer of a public engineering services firm and senior officer of a leading public technology company provides our Board expertise in information, technology, cybersecurity, corporate strategy, operations, and research and development, all of which are critical to achieving our strategic objectives. We believe these experiences, qualifications, attributes, and skills qualify Ms. Dugle to serve as a member of our Board of Directors.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FFFFFF"/>
        </w:rPr>
        <w:t xml:space="preserve">Age </w:t>
      </w:r>
      <w:r>
        <w:rPr>
          <w:rFonts w:ascii="Arial" w:cs="Arial" w:eastAsia="Arial" w:hAnsi="Arial"/>
          <w:sz w:val="21"/>
          <w:szCs w:val="21"/>
          <w:b w:val="1"/>
          <w:bCs w:val="1"/>
          <w:color w:val="FFFFFF"/>
        </w:rPr>
        <w:t>62</w:t>
      </w:r>
      <w:r>
        <w:rPr>
          <w:rFonts w:ascii="Arial" w:cs="Arial" w:eastAsia="Arial" w:hAnsi="Arial"/>
          <w:sz w:val="20"/>
          <w:szCs w:val="20"/>
          <w:color w:val="FFFFFF"/>
        </w:rPr>
        <w:t xml:space="preserve"> | Director Since </w:t>
      </w:r>
      <w:r>
        <w:rPr>
          <w:rFonts w:ascii="Arial" w:cs="Arial" w:eastAsia="Arial" w:hAnsi="Arial"/>
          <w:sz w:val="21"/>
          <w:szCs w:val="21"/>
          <w:b w:val="1"/>
          <w:bCs w:val="1"/>
          <w:color w:val="FFFFFF"/>
        </w:rPr>
        <w:t>2020</w:t>
      </w:r>
      <w:r>
        <w:rPr>
          <w:rFonts w:ascii="Arial" w:cs="Arial" w:eastAsia="Arial" w:hAnsi="Arial"/>
          <w:sz w:val="20"/>
          <w:szCs w:val="20"/>
          <w:color w:val="FFFFFF"/>
        </w:rPr>
        <w:t xml:space="preserve"> | Committees </w:t>
      </w:r>
      <w:r>
        <w:rPr>
          <w:rFonts w:ascii="Arial" w:cs="Arial" w:eastAsia="Arial" w:hAnsi="Arial"/>
          <w:sz w:val="21"/>
          <w:szCs w:val="21"/>
          <w:b w:val="1"/>
          <w:bCs w:val="1"/>
          <w:color w:val="FFFFFF"/>
        </w:rPr>
        <w:t>Audit, Security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20"/>
          </w:cols>
          <w:pgMar w:left="320" w:top="1093" w:right="35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Steven J.</w:t>
      </w:r>
    </w:p>
    <w:p>
      <w:pPr>
        <w:spacing w:after="0"/>
        <w:rPr>
          <w:sz w:val="20"/>
          <w:szCs w:val="20"/>
          <w:color w:val="auto"/>
        </w:rPr>
      </w:pPr>
      <w:r>
        <w:rPr>
          <w:rFonts w:ascii="Arial" w:cs="Arial" w:eastAsia="Arial" w:hAnsi="Arial"/>
          <w:sz w:val="36"/>
          <w:szCs w:val="36"/>
          <w:b w:val="1"/>
          <w:bCs w:val="1"/>
          <w:color w:val="auto"/>
        </w:rPr>
        <w:t>Gomo</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-185420</wp:posOffset>
            </wp:positionV>
            <wp:extent cx="713232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58" w:lineRule="exact"/>
        <w:rPr>
          <w:sz w:val="20"/>
          <w:szCs w:val="20"/>
          <w:color w:val="auto"/>
        </w:rPr>
      </w:pPr>
    </w:p>
    <w:p>
      <w:pPr>
        <w:ind w:left="340" w:right="280" w:hanging="228"/>
        <w:spacing w:after="0" w:line="212" w:lineRule="auto"/>
        <w:tabs>
          <w:tab w:leader="none" w:pos="340" w:val="left"/>
        </w:tabs>
        <w:numPr>
          <w:ilvl w:val="0"/>
          <w:numId w:val="12"/>
        </w:numPr>
        <w:rPr>
          <w:rFonts w:ascii="Arial" w:cs="Arial" w:eastAsia="Arial" w:hAnsi="Arial"/>
          <w:sz w:val="25"/>
          <w:szCs w:val="25"/>
          <w:b w:val="1"/>
          <w:bCs w:val="1"/>
          <w:color w:val="00A3E1"/>
        </w:rPr>
      </w:pPr>
      <w:r>
        <w:rPr>
          <w:rFonts w:ascii="Arial" w:cs="Arial" w:eastAsia="Arial" w:hAnsi="Arial"/>
          <w:sz w:val="18"/>
          <w:szCs w:val="18"/>
          <w:color w:val="auto"/>
        </w:rPr>
        <w:t>Executive Vice President, Finance and Chief Financial Officer from October 2004 until his retirement in December 2011, and Senior Vice President, Finance and Chief Financial Officer from August 2002 to September 2004 at NetApp, Inc., a storage and data management company.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28" w:lineRule="exact"/>
        <w:rPr>
          <w:sz w:val="20"/>
          <w:szCs w:val="20"/>
          <w:color w:val="auto"/>
        </w:rPr>
      </w:pPr>
    </w:p>
    <w:p>
      <w:pPr>
        <w:ind w:left="340" w:hanging="228"/>
        <w:spacing w:after="0"/>
        <w:tabs>
          <w:tab w:leader="none" w:pos="340" w:val="left"/>
        </w:tabs>
        <w:numPr>
          <w:ilvl w:val="0"/>
          <w:numId w:val="13"/>
        </w:numPr>
        <w:rPr>
          <w:rFonts w:ascii="Arial" w:cs="Arial" w:eastAsia="Arial" w:hAnsi="Arial"/>
          <w:sz w:val="25"/>
          <w:szCs w:val="25"/>
          <w:b w:val="1"/>
          <w:bCs w:val="1"/>
          <w:color w:val="00A3E1"/>
        </w:rPr>
      </w:pPr>
      <w:r>
        <w:rPr>
          <w:rFonts w:ascii="Arial" w:cs="Arial" w:eastAsia="Arial" w:hAnsi="Arial"/>
          <w:sz w:val="18"/>
          <w:szCs w:val="18"/>
          <w:color w:val="auto"/>
        </w:rPr>
        <w:t>Nutanix, Inc.</w:t>
      </w:r>
    </w:p>
    <w:p>
      <w:pPr>
        <w:spacing w:after="0" w:line="21" w:lineRule="exact"/>
        <w:rPr>
          <w:rFonts w:ascii="Arial" w:cs="Arial" w:eastAsia="Arial" w:hAnsi="Arial"/>
          <w:sz w:val="25"/>
          <w:szCs w:val="25"/>
          <w:b w:val="1"/>
          <w:bCs w:val="1"/>
          <w:color w:val="00A3E1"/>
        </w:rPr>
      </w:pPr>
    </w:p>
    <w:p>
      <w:pPr>
        <w:ind w:left="340" w:hanging="228"/>
        <w:spacing w:after="0" w:line="229" w:lineRule="auto"/>
        <w:tabs>
          <w:tab w:leader="none" w:pos="340" w:val="left"/>
        </w:tabs>
        <w:numPr>
          <w:ilvl w:val="0"/>
          <w:numId w:val="13"/>
        </w:numPr>
        <w:rPr>
          <w:rFonts w:ascii="Arial" w:cs="Arial" w:eastAsia="Arial" w:hAnsi="Arial"/>
          <w:sz w:val="25"/>
          <w:szCs w:val="25"/>
          <w:b w:val="1"/>
          <w:bCs w:val="1"/>
          <w:color w:val="00A3E1"/>
        </w:rPr>
      </w:pPr>
      <w:r>
        <w:rPr>
          <w:rFonts w:ascii="Arial" w:cs="Arial" w:eastAsia="Arial" w:hAnsi="Arial"/>
          <w:sz w:val="18"/>
          <w:szCs w:val="18"/>
          <w:color w:val="auto"/>
        </w:rPr>
        <w:t>Enphase Energy, Inc.</w:t>
      </w:r>
    </w:p>
    <w:p>
      <w:pPr>
        <w:spacing w:after="0" w:line="23" w:lineRule="exact"/>
        <w:rPr>
          <w:sz w:val="20"/>
          <w:szCs w:val="20"/>
          <w:color w:val="auto"/>
        </w:rPr>
      </w:pPr>
    </w:p>
    <w:p>
      <w:pPr>
        <w:sectPr>
          <w:pgSz w:w="11900" w:h="16838" w:orient="portrait"/>
          <w:cols w:equalWidth="0" w:num="2">
            <w:col w:w="1720" w:space="720"/>
            <w:col w:w="8780"/>
          </w:cols>
          <w:pgMar w:left="340" w:top="1098" w:right="339" w:bottom="1440" w:gutter="0" w:footer="0" w:header="0"/>
        </w:sectPr>
      </w:pPr>
    </w:p>
    <w:p>
      <w:pPr>
        <w:ind w:left="244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81" w:lineRule="exact"/>
        <w:rPr>
          <w:sz w:val="20"/>
          <w:szCs w:val="20"/>
          <w:color w:val="auto"/>
        </w:rPr>
      </w:pPr>
    </w:p>
    <w:p>
      <w:pPr>
        <w:ind w:left="2440" w:right="140"/>
        <w:spacing w:after="0" w:line="238" w:lineRule="auto"/>
        <w:rPr>
          <w:sz w:val="20"/>
          <w:szCs w:val="20"/>
          <w:color w:val="auto"/>
        </w:rPr>
      </w:pPr>
      <w:r>
        <w:rPr>
          <w:rFonts w:ascii="Arial" w:cs="Arial" w:eastAsia="Arial" w:hAnsi="Arial"/>
          <w:sz w:val="18"/>
          <w:szCs w:val="18"/>
          <w:color w:val="auto"/>
        </w:rPr>
        <w:t>Mr. Gomo’s experience as the chief financial officer of a public technology company provides our Board expertise in the technology industry, particularly in the areas of finance, accounting, treasury, investor relations, and securities, which contribute valuable insights and perspectives to our business and operations. We believe these experiences, qualifications, attributes, and skills qualify Mr. Gomo to serve as a member of our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69</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2018</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Audit (Chair),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40" w:top="1098" w:right="339" w:bottom="1440" w:gutter="0" w:footer="0" w:header="0"/>
          <w:type w:val="continuous"/>
        </w:sectPr>
      </w:pPr>
    </w:p>
    <w:p>
      <w:pPr>
        <w:spacing w:after="0" w:line="32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Linnie</w:t>
      </w:r>
    </w:p>
    <w:p>
      <w:pPr>
        <w:spacing w:after="0"/>
        <w:rPr>
          <w:sz w:val="20"/>
          <w:szCs w:val="20"/>
          <w:color w:val="auto"/>
        </w:rPr>
      </w:pPr>
      <w:r>
        <w:rPr>
          <w:rFonts w:ascii="Arial" w:cs="Arial" w:eastAsia="Arial" w:hAnsi="Arial"/>
          <w:sz w:val="35"/>
          <w:szCs w:val="35"/>
          <w:b w:val="1"/>
          <w:bCs w:val="1"/>
          <w:color w:val="auto"/>
        </w:rPr>
        <w:t>Haynesworth</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58" w:lineRule="exact"/>
        <w:rPr>
          <w:sz w:val="20"/>
          <w:szCs w:val="20"/>
          <w:color w:val="auto"/>
        </w:rPr>
      </w:pPr>
    </w:p>
    <w:p>
      <w:pPr>
        <w:ind w:left="360" w:right="220" w:hanging="236"/>
        <w:spacing w:after="0" w:line="212" w:lineRule="auto"/>
        <w:tabs>
          <w:tab w:leader="none" w:pos="360" w:val="left"/>
        </w:tabs>
        <w:numPr>
          <w:ilvl w:val="0"/>
          <w:numId w:val="14"/>
        </w:numPr>
        <w:rPr>
          <w:rFonts w:ascii="Arial" w:cs="Arial" w:eastAsia="Arial" w:hAnsi="Arial"/>
          <w:sz w:val="25"/>
          <w:szCs w:val="25"/>
          <w:b w:val="1"/>
          <w:bCs w:val="1"/>
          <w:color w:val="00A3E1"/>
        </w:rPr>
      </w:pPr>
      <w:r>
        <w:rPr>
          <w:rFonts w:ascii="Arial" w:cs="Arial" w:eastAsia="Arial" w:hAnsi="Arial"/>
          <w:sz w:val="18"/>
          <w:szCs w:val="18"/>
          <w:color w:val="auto"/>
        </w:rPr>
        <w:t>Sector Vice President, Cyber and Intelligence Mission Solutions Division from January 2016 to 2019, and Sector Vice President and General Manager from December 2013 to 2019 at Northrop Grumman, a defense and space company.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28" w:lineRule="exact"/>
        <w:rPr>
          <w:sz w:val="20"/>
          <w:szCs w:val="20"/>
          <w:color w:val="auto"/>
        </w:rPr>
      </w:pPr>
    </w:p>
    <w:p>
      <w:pPr>
        <w:ind w:left="360" w:hanging="236"/>
        <w:spacing w:after="0"/>
        <w:tabs>
          <w:tab w:leader="none" w:pos="360" w:val="left"/>
        </w:tabs>
        <w:numPr>
          <w:ilvl w:val="0"/>
          <w:numId w:val="15"/>
        </w:numPr>
        <w:rPr>
          <w:rFonts w:ascii="Arial" w:cs="Arial" w:eastAsia="Arial" w:hAnsi="Arial"/>
          <w:sz w:val="25"/>
          <w:szCs w:val="25"/>
          <w:b w:val="1"/>
          <w:bCs w:val="1"/>
          <w:color w:val="00A3E1"/>
        </w:rPr>
      </w:pPr>
      <w:r>
        <w:rPr>
          <w:rFonts w:ascii="Arial" w:cs="Arial" w:eastAsia="Arial" w:hAnsi="Arial"/>
          <w:sz w:val="18"/>
          <w:szCs w:val="18"/>
          <w:color w:val="auto"/>
        </w:rPr>
        <w:t>Truist Financial Corporation</w:t>
      </w:r>
    </w:p>
    <w:p>
      <w:pPr>
        <w:spacing w:after="0" w:line="21" w:lineRule="exact"/>
        <w:rPr>
          <w:rFonts w:ascii="Arial" w:cs="Arial" w:eastAsia="Arial" w:hAnsi="Arial"/>
          <w:sz w:val="25"/>
          <w:szCs w:val="25"/>
          <w:b w:val="1"/>
          <w:bCs w:val="1"/>
          <w:color w:val="00A3E1"/>
        </w:rPr>
      </w:pPr>
    </w:p>
    <w:p>
      <w:pPr>
        <w:ind w:left="360" w:hanging="236"/>
        <w:spacing w:after="0" w:line="229" w:lineRule="auto"/>
        <w:tabs>
          <w:tab w:leader="none" w:pos="360" w:val="left"/>
        </w:tabs>
        <w:numPr>
          <w:ilvl w:val="0"/>
          <w:numId w:val="15"/>
        </w:numPr>
        <w:rPr>
          <w:rFonts w:ascii="Arial" w:cs="Arial" w:eastAsia="Arial" w:hAnsi="Arial"/>
          <w:sz w:val="25"/>
          <w:szCs w:val="25"/>
          <w:b w:val="1"/>
          <w:bCs w:val="1"/>
          <w:color w:val="00A3E1"/>
        </w:rPr>
      </w:pPr>
      <w:r>
        <w:rPr>
          <w:rFonts w:ascii="Arial" w:cs="Arial" w:eastAsia="Arial" w:hAnsi="Arial"/>
          <w:sz w:val="18"/>
          <w:szCs w:val="18"/>
          <w:color w:val="auto"/>
        </w:rPr>
        <w:t>Automatic Data Processing, Inc.</w:t>
      </w:r>
    </w:p>
    <w:p>
      <w:pPr>
        <w:spacing w:after="0" w:line="23" w:lineRule="exact"/>
        <w:rPr>
          <w:sz w:val="20"/>
          <w:szCs w:val="20"/>
          <w:color w:val="auto"/>
        </w:rPr>
      </w:pPr>
    </w:p>
    <w:p>
      <w:pPr>
        <w:sectPr>
          <w:pgSz w:w="11900" w:h="16838" w:orient="portrait"/>
          <w:cols w:equalWidth="0" w:num="2">
            <w:col w:w="2260" w:space="660"/>
            <w:col w:w="8300"/>
          </w:cols>
          <w:pgMar w:left="340" w:top="1098" w:right="339" w:bottom="1440" w:gutter="0" w:footer="0" w:header="0"/>
          <w:type w:val="continuous"/>
        </w:sectPr>
      </w:pPr>
    </w:p>
    <w:p>
      <w:pPr>
        <w:ind w:left="292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81" w:lineRule="exact"/>
        <w:rPr>
          <w:sz w:val="20"/>
          <w:szCs w:val="20"/>
          <w:color w:val="auto"/>
        </w:rPr>
      </w:pPr>
    </w:p>
    <w:p>
      <w:pPr>
        <w:ind w:left="2920" w:right="200"/>
        <w:spacing w:after="0" w:line="237" w:lineRule="auto"/>
        <w:rPr>
          <w:sz w:val="20"/>
          <w:szCs w:val="20"/>
          <w:color w:val="auto"/>
        </w:rPr>
      </w:pPr>
      <w:r>
        <w:rPr>
          <w:rFonts w:ascii="Arial" w:cs="Arial" w:eastAsia="Arial" w:hAnsi="Arial"/>
          <w:sz w:val="18"/>
          <w:szCs w:val="18"/>
          <w:color w:val="auto"/>
        </w:rPr>
        <w:t>Ms. Haynesworth’s experience as the sector vice president and general manager of a public defense and space company provides our Board expertise in technology integration, cybersecurity, enterprise strategy, risk management, and large complex system development, delivery, and deployment, and contributes valuable insights and perspectives to our business and operations. We believe these experiences, qualifications, attributes, and skills qualify Ms. Haynesworth to serve as a member of our Board of Directors.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64</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2021</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Governance and Sustainability,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7</w:t>
      </w:r>
    </w:p>
    <w:p>
      <w:pPr>
        <w:sectPr>
          <w:pgSz w:w="11900" w:h="16838" w:orient="portrait"/>
          <w:cols w:equalWidth="0" w:num="1">
            <w:col w:w="11220"/>
          </w:cols>
          <w:pgMar w:left="340" w:top="1098" w:right="339" w:bottom="1440" w:gutter="0" w:footer="0" w:header="0"/>
          <w:type w:val="continuous"/>
        </w:sectPr>
      </w:pPr>
    </w:p>
    <w:bookmarkStart w:id="14" w:name="page15"/>
    <w:bookmarkEnd w:id="14"/>
    <w:p>
      <w:pPr>
        <w:spacing w:after="0" w:line="200" w:lineRule="exact"/>
        <w:rPr>
          <w:sz w:val="20"/>
          <w:szCs w:val="20"/>
          <w:color w:val="auto"/>
        </w:rPr>
      </w:pPr>
    </w:p>
    <w:p>
      <w:pPr>
        <w:spacing w:after="0" w:line="251" w:lineRule="exact"/>
        <w:rPr>
          <w:sz w:val="20"/>
          <w:szCs w:val="20"/>
          <w:color w:val="auto"/>
        </w:rPr>
      </w:pPr>
    </w:p>
    <w:p>
      <w:pPr>
        <w:ind w:left="20" w:right="80"/>
        <w:spacing w:after="0" w:line="250" w:lineRule="auto"/>
        <w:rPr>
          <w:sz w:val="20"/>
          <w:szCs w:val="20"/>
          <w:color w:val="auto"/>
        </w:rPr>
      </w:pPr>
      <w:r>
        <w:rPr>
          <w:rFonts w:ascii="Arial" w:cs="Arial" w:eastAsia="Arial" w:hAnsi="Arial"/>
          <w:sz w:val="35"/>
          <w:szCs w:val="35"/>
          <w:b w:val="1"/>
          <w:bCs w:val="1"/>
          <w:color w:val="auto"/>
        </w:rPr>
        <w:t>Mary Pat McCarthy</w:t>
      </w: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-185420</wp:posOffset>
            </wp:positionV>
            <wp:extent cx="71323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58" w:lineRule="exact"/>
        <w:rPr>
          <w:sz w:val="20"/>
          <w:szCs w:val="20"/>
          <w:color w:val="auto"/>
        </w:rPr>
      </w:pPr>
    </w:p>
    <w:p>
      <w:pPr>
        <w:ind w:left="340" w:right="100" w:hanging="228"/>
        <w:spacing w:after="0" w:line="212" w:lineRule="auto"/>
        <w:tabs>
          <w:tab w:leader="none" w:pos="340" w:val="left"/>
        </w:tabs>
        <w:numPr>
          <w:ilvl w:val="0"/>
          <w:numId w:val="16"/>
        </w:numPr>
        <w:rPr>
          <w:rFonts w:ascii="Arial" w:cs="Arial" w:eastAsia="Arial" w:hAnsi="Arial"/>
          <w:sz w:val="25"/>
          <w:szCs w:val="25"/>
          <w:b w:val="1"/>
          <w:bCs w:val="1"/>
          <w:color w:val="00A3E1"/>
        </w:rPr>
      </w:pPr>
      <w:r>
        <w:rPr>
          <w:rFonts w:ascii="Arial" w:cs="Arial" w:eastAsia="Arial" w:hAnsi="Arial"/>
          <w:sz w:val="18"/>
          <w:szCs w:val="18"/>
          <w:color w:val="auto"/>
        </w:rPr>
        <w:t>Vice Chair of KPMG LLP, the U.S. member firm of the global audit, tax, and advisory services firm, from July 1998 until her retirement in December 2011. Ms. McCarthy joined KMPG in 1977, became a partner in 1987, and held numerous senior leadership positions with the firm during her tenure.</w:t>
      </w:r>
    </w:p>
    <w:p>
      <w:pPr>
        <w:spacing w:after="0" w:line="284" w:lineRule="exact"/>
        <w:rPr>
          <w:rFonts w:ascii="Arial" w:cs="Arial" w:eastAsia="Arial" w:hAnsi="Arial"/>
          <w:sz w:val="25"/>
          <w:szCs w:val="25"/>
          <w:b w:val="1"/>
          <w:bCs w:val="1"/>
          <w:color w:val="00A3E1"/>
        </w:rPr>
      </w:pPr>
    </w:p>
    <w:p>
      <w:pPr>
        <w:ind w:left="340" w:right="200" w:hanging="228"/>
        <w:spacing w:after="0" w:line="203" w:lineRule="auto"/>
        <w:tabs>
          <w:tab w:leader="none" w:pos="340" w:val="left"/>
        </w:tabs>
        <w:numPr>
          <w:ilvl w:val="0"/>
          <w:numId w:val="16"/>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Ms. McCarthy served on the Board of Directors of Andeavor Corporation and Mutual of Omaha.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28" w:lineRule="exact"/>
        <w:rPr>
          <w:sz w:val="20"/>
          <w:szCs w:val="20"/>
          <w:color w:val="auto"/>
        </w:rPr>
      </w:pPr>
    </w:p>
    <w:p>
      <w:pPr>
        <w:ind w:left="340" w:hanging="228"/>
        <w:spacing w:after="0"/>
        <w:tabs>
          <w:tab w:leader="none" w:pos="340" w:val="left"/>
        </w:tabs>
        <w:numPr>
          <w:ilvl w:val="0"/>
          <w:numId w:val="17"/>
        </w:numPr>
        <w:rPr>
          <w:rFonts w:ascii="Arial" w:cs="Arial" w:eastAsia="Arial" w:hAnsi="Arial"/>
          <w:sz w:val="25"/>
          <w:szCs w:val="25"/>
          <w:b w:val="1"/>
          <w:bCs w:val="1"/>
          <w:color w:val="00A3E1"/>
        </w:rPr>
      </w:pPr>
      <w:r>
        <w:rPr>
          <w:rFonts w:ascii="Arial" w:cs="Arial" w:eastAsia="Arial" w:hAnsi="Arial"/>
          <w:sz w:val="18"/>
          <w:szCs w:val="18"/>
          <w:color w:val="auto"/>
        </w:rPr>
        <w:t>Palo Alto Networks, Inc.</w:t>
      </w:r>
    </w:p>
    <w:p>
      <w:pPr>
        <w:spacing w:after="0" w:line="22" w:lineRule="exact"/>
        <w:rPr>
          <w:sz w:val="20"/>
          <w:szCs w:val="20"/>
          <w:color w:val="auto"/>
        </w:rPr>
      </w:pPr>
    </w:p>
    <w:p>
      <w:pPr>
        <w:sectPr>
          <w:pgSz w:w="11900" w:h="16838" w:orient="portrait"/>
          <w:cols w:equalWidth="0" w:num="2">
            <w:col w:w="1740" w:space="720"/>
            <w:col w:w="8760"/>
          </w:cols>
          <w:pgMar w:left="320" w:top="1098" w:right="359" w:bottom="1440" w:gutter="0" w:footer="0" w:header="0"/>
        </w:sect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81" w:lineRule="exact"/>
        <w:rPr>
          <w:sz w:val="20"/>
          <w:szCs w:val="20"/>
          <w:color w:val="auto"/>
        </w:rPr>
      </w:pPr>
    </w:p>
    <w:p>
      <w:pPr>
        <w:jc w:val="both"/>
        <w:ind w:left="2460" w:right="40"/>
        <w:spacing w:after="0" w:line="253" w:lineRule="auto"/>
        <w:rPr>
          <w:sz w:val="20"/>
          <w:szCs w:val="20"/>
          <w:color w:val="auto"/>
        </w:rPr>
      </w:pPr>
      <w:r>
        <w:rPr>
          <w:rFonts w:ascii="Arial" w:cs="Arial" w:eastAsia="Arial" w:hAnsi="Arial"/>
          <w:sz w:val="17"/>
          <w:szCs w:val="17"/>
          <w:color w:val="auto"/>
        </w:rPr>
        <w:t>Ms. McCarthy’s experience advising numerous companies on financial and accounting matters as a Certified Public Accountant (ret.) provides our Board deep technical expertise in financial and accounting matters, and contributes valuable insights and perspectives to our business and operations. We believe these experiences, qualifications, attributes, and skills qualify Ms. McCarthy to serve as a member of our Board of Directors.</w:t>
      </w: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66</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2018</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Audit, 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type w:val="continuous"/>
        </w:sectPr>
      </w:pPr>
    </w:p>
    <w:p>
      <w:pPr>
        <w:spacing w:after="0" w:line="345" w:lineRule="exact"/>
        <w:rPr>
          <w:sz w:val="20"/>
          <w:szCs w:val="20"/>
          <w:color w:val="auto"/>
        </w:rPr>
      </w:pPr>
    </w:p>
    <w:p>
      <w:pPr>
        <w:ind w:left="20" w:right="180"/>
        <w:spacing w:after="0" w:line="250" w:lineRule="auto"/>
        <w:rPr>
          <w:sz w:val="20"/>
          <w:szCs w:val="20"/>
          <w:color w:val="auto"/>
        </w:rPr>
      </w:pPr>
      <w:r>
        <w:rPr>
          <w:rFonts w:ascii="Arial" w:cs="Arial" w:eastAsia="Arial" w:hAnsi="Arial"/>
          <w:sz w:val="35"/>
          <w:szCs w:val="35"/>
          <w:b w:val="1"/>
          <w:bCs w:val="1"/>
          <w:color w:val="auto"/>
        </w:rPr>
        <w:t>Sanjay Mehrotra</w:t>
      </w:r>
    </w:p>
    <w:p>
      <w:pPr>
        <w:ind w:left="20" w:right="100"/>
        <w:spacing w:after="0" w:line="258" w:lineRule="auto"/>
        <w:rPr>
          <w:sz w:val="20"/>
          <w:szCs w:val="20"/>
          <w:color w:val="auto"/>
        </w:rPr>
      </w:pPr>
      <w:r>
        <w:rPr>
          <w:rFonts w:ascii="Arial" w:cs="Arial" w:eastAsia="Arial" w:hAnsi="Arial"/>
          <w:sz w:val="21"/>
          <w:szCs w:val="21"/>
          <w:b w:val="1"/>
          <w:bCs w:val="1"/>
          <w:color w:val="00A3E1"/>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ind w:left="340" w:hanging="228"/>
        <w:spacing w:after="0" w:line="229" w:lineRule="auto"/>
        <w:tabs>
          <w:tab w:leader="none" w:pos="340" w:val="left"/>
        </w:tabs>
        <w:numPr>
          <w:ilvl w:val="0"/>
          <w:numId w:val="18"/>
        </w:numPr>
        <w:rPr>
          <w:rFonts w:ascii="Arial" w:cs="Arial" w:eastAsia="Arial" w:hAnsi="Arial"/>
          <w:sz w:val="25"/>
          <w:szCs w:val="25"/>
          <w:b w:val="1"/>
          <w:bCs w:val="1"/>
          <w:color w:val="00A3E1"/>
        </w:rPr>
      </w:pPr>
      <w:r>
        <w:rPr>
          <w:rFonts w:ascii="Arial" w:cs="Arial" w:eastAsia="Arial" w:hAnsi="Arial"/>
          <w:sz w:val="18"/>
          <w:szCs w:val="18"/>
          <w:color w:val="auto"/>
        </w:rPr>
        <w:t>Mr. Mehrotra has served as Micron’s President, Chief Executive Officer, and Director since May 2017.</w:t>
      </w:r>
    </w:p>
    <w:p>
      <w:pPr>
        <w:spacing w:after="0" w:line="256" w:lineRule="exact"/>
        <w:rPr>
          <w:rFonts w:ascii="Arial" w:cs="Arial" w:eastAsia="Arial" w:hAnsi="Arial"/>
          <w:sz w:val="25"/>
          <w:szCs w:val="25"/>
          <w:b w:val="1"/>
          <w:bCs w:val="1"/>
          <w:color w:val="00A3E1"/>
        </w:rPr>
      </w:pPr>
    </w:p>
    <w:p>
      <w:pPr>
        <w:ind w:left="340" w:right="40" w:hanging="228"/>
        <w:spacing w:after="0" w:line="212" w:lineRule="auto"/>
        <w:tabs>
          <w:tab w:leader="none" w:pos="340" w:val="left"/>
        </w:tabs>
        <w:numPr>
          <w:ilvl w:val="0"/>
          <w:numId w:val="18"/>
        </w:numPr>
        <w:rPr>
          <w:rFonts w:ascii="Arial" w:cs="Arial" w:eastAsia="Arial" w:hAnsi="Arial"/>
          <w:sz w:val="25"/>
          <w:szCs w:val="25"/>
          <w:b w:val="1"/>
          <w:bCs w:val="1"/>
          <w:color w:val="00A3E1"/>
        </w:rPr>
      </w:pPr>
      <w:r>
        <w:rPr>
          <w:rFonts w:ascii="Arial" w:cs="Arial" w:eastAsia="Arial" w:hAnsi="Arial"/>
          <w:sz w:val="18"/>
          <w:szCs w:val="18"/>
          <w:color w:val="auto"/>
        </w:rPr>
        <w:t>Prior to that, Mr. Mehrotra co-founded and led SanDisk Corporation as a start-up in 1988 until its eventual sale in May 2016, serving as its President and Chief Executive Officer from January 2011 to May 2016 and as a member of its Board of Directors from July 2010 to May 2016.</w:t>
      </w:r>
    </w:p>
    <w:p>
      <w:pPr>
        <w:spacing w:after="0" w:line="284" w:lineRule="exact"/>
        <w:rPr>
          <w:rFonts w:ascii="Arial" w:cs="Arial" w:eastAsia="Arial" w:hAnsi="Arial"/>
          <w:sz w:val="25"/>
          <w:szCs w:val="25"/>
          <w:b w:val="1"/>
          <w:bCs w:val="1"/>
          <w:color w:val="00A3E1"/>
        </w:rPr>
      </w:pPr>
    </w:p>
    <w:p>
      <w:pPr>
        <w:ind w:left="340" w:right="320" w:hanging="228"/>
        <w:spacing w:after="0" w:line="203" w:lineRule="auto"/>
        <w:tabs>
          <w:tab w:leader="none" w:pos="340" w:val="left"/>
        </w:tabs>
        <w:numPr>
          <w:ilvl w:val="0"/>
          <w:numId w:val="18"/>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Mehrotra served on the Board of Directors of Cavium, Inc. and Western Digital Corp.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ind w:left="340" w:hanging="228"/>
        <w:spacing w:after="0" w:line="229" w:lineRule="auto"/>
        <w:tabs>
          <w:tab w:leader="none" w:pos="340" w:val="left"/>
        </w:tabs>
        <w:numPr>
          <w:ilvl w:val="0"/>
          <w:numId w:val="19"/>
        </w:numPr>
        <w:rPr>
          <w:rFonts w:ascii="Arial" w:cs="Arial" w:eastAsia="Arial" w:hAnsi="Arial"/>
          <w:sz w:val="25"/>
          <w:szCs w:val="25"/>
          <w:b w:val="1"/>
          <w:bCs w:val="1"/>
          <w:color w:val="00A3E1"/>
        </w:rPr>
      </w:pPr>
      <w:r>
        <w:rPr>
          <w:rFonts w:ascii="Arial" w:cs="Arial" w:eastAsia="Arial" w:hAnsi="Arial"/>
          <w:sz w:val="18"/>
          <w:szCs w:val="18"/>
          <w:color w:val="auto"/>
        </w:rPr>
        <w:t>CDW Corporation</w:t>
      </w:r>
    </w:p>
    <w:p>
      <w:pPr>
        <w:spacing w:after="0" w:line="63" w:lineRule="exact"/>
        <w:rPr>
          <w:sz w:val="20"/>
          <w:szCs w:val="20"/>
          <w:color w:val="auto"/>
        </w:rPr>
      </w:pPr>
    </w:p>
    <w:p>
      <w:pPr>
        <w:sectPr>
          <w:pgSz w:w="11900" w:h="16838" w:orient="portrait"/>
          <w:cols w:equalWidth="0" w:num="2">
            <w:col w:w="1740" w:space="720"/>
            <w:col w:w="8760"/>
          </w:cols>
          <w:pgMar w:left="320" w:top="1098" w:right="359" w:bottom="1440" w:gutter="0" w:footer="0" w:header="0"/>
          <w:type w:val="continuous"/>
        </w:sect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81" w:lineRule="exact"/>
        <w:rPr>
          <w:sz w:val="20"/>
          <w:szCs w:val="20"/>
          <w:color w:val="auto"/>
        </w:rPr>
      </w:pPr>
    </w:p>
    <w:p>
      <w:pPr>
        <w:ind w:left="2460" w:right="60"/>
        <w:spacing w:after="0" w:line="237" w:lineRule="auto"/>
        <w:rPr>
          <w:sz w:val="20"/>
          <w:szCs w:val="20"/>
          <w:color w:val="auto"/>
        </w:rPr>
      </w:pPr>
      <w:r>
        <w:rPr>
          <w:rFonts w:ascii="Arial" w:cs="Arial" w:eastAsia="Arial" w:hAnsi="Arial"/>
          <w:sz w:val="18"/>
          <w:szCs w:val="18"/>
          <w:color w:val="auto"/>
        </w:rPr>
        <w:t>Mr. Mehrotra has 41 years of experience in the semiconductor memory industry, and as a co-founder of SanDisk, he offers a unique perspective on the industry and has significant senior leadership and technological expertise. In addition, Mr. Mehrotra’s experience provides our Board expertise in finance, corporate development, corporate governance, and business strategy, all of which are critical to achieving our strategic objectives. We believe these experiences, qualifications, attributes, and skills qualify Mr. Mehrotra to serve as a member of our Board of Directors.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63</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2017</w:t>
      </w:r>
      <w:r>
        <w:rPr>
          <w:rFonts w:ascii="Arial" w:cs="Arial" w:eastAsia="Arial" w:hAnsi="Arial"/>
          <w:sz w:val="18"/>
          <w:szCs w:val="18"/>
          <w:color w:val="FFFFFF"/>
        </w:rPr>
        <w:t xml:space="preserve"> | Committee </w:t>
      </w:r>
      <w:r>
        <w:rPr>
          <w:rFonts w:ascii="Arial" w:cs="Arial" w:eastAsia="Arial" w:hAnsi="Arial"/>
          <w:sz w:val="21"/>
          <w:szCs w:val="21"/>
          <w:b w:val="1"/>
          <w:bCs w:val="1"/>
          <w:color w:val="FFFF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20"/>
          </w:cols>
          <w:pgMar w:left="320" w:top="1098" w:right="359" w:bottom="1440" w:gutter="0" w:footer="0" w:header="0"/>
          <w:type w:val="continuous"/>
        </w:sectPr>
      </w:pPr>
    </w:p>
    <w:bookmarkStart w:id="15" w:name="page16"/>
    <w:bookmarkEnd w:id="15"/>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Robert E.</w:t>
      </w:r>
    </w:p>
    <w:p>
      <w:pPr>
        <w:spacing w:after="0"/>
        <w:rPr>
          <w:sz w:val="20"/>
          <w:szCs w:val="20"/>
          <w:color w:val="auto"/>
        </w:rPr>
      </w:pPr>
      <w:r>
        <w:rPr>
          <w:rFonts w:ascii="Arial" w:cs="Arial" w:eastAsia="Arial" w:hAnsi="Arial"/>
          <w:sz w:val="36"/>
          <w:szCs w:val="36"/>
          <w:b w:val="1"/>
          <w:bCs w:val="1"/>
          <w:color w:val="auto"/>
        </w:rPr>
        <w:t>Switz</w:t>
      </w:r>
    </w:p>
    <w:p>
      <w:pPr>
        <w:spacing w:after="0" w:line="28" w:lineRule="exact"/>
        <w:rPr>
          <w:sz w:val="20"/>
          <w:szCs w:val="20"/>
          <w:color w:val="auto"/>
        </w:rPr>
      </w:pPr>
    </w:p>
    <w:p>
      <w:pPr>
        <w:ind w:right="360"/>
        <w:spacing w:after="0" w:line="237" w:lineRule="auto"/>
        <w:rPr>
          <w:sz w:val="20"/>
          <w:szCs w:val="20"/>
          <w:color w:val="auto"/>
        </w:rPr>
      </w:pPr>
      <w:r>
        <w:rPr>
          <w:rFonts w:ascii="Arial" w:cs="Arial" w:eastAsia="Arial" w:hAnsi="Arial"/>
          <w:sz w:val="21"/>
          <w:szCs w:val="21"/>
          <w:b w:val="1"/>
          <w:bCs w:val="1"/>
          <w:color w:val="00A3E1"/>
        </w:rPr>
        <w:t>Independent, Chair of the Board</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-185420</wp:posOffset>
            </wp:positionV>
            <wp:extent cx="713232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58" w:lineRule="exact"/>
        <w:rPr>
          <w:sz w:val="20"/>
          <w:szCs w:val="20"/>
          <w:color w:val="auto"/>
        </w:rPr>
      </w:pPr>
    </w:p>
    <w:p>
      <w:pPr>
        <w:ind w:left="340" w:right="320" w:hanging="228"/>
        <w:spacing w:after="0" w:line="217" w:lineRule="auto"/>
        <w:tabs>
          <w:tab w:leader="none" w:pos="340" w:val="left"/>
        </w:tabs>
        <w:numPr>
          <w:ilvl w:val="0"/>
          <w:numId w:val="20"/>
        </w:numPr>
        <w:rPr>
          <w:rFonts w:ascii="Arial" w:cs="Arial" w:eastAsia="Arial" w:hAnsi="Arial"/>
          <w:sz w:val="25"/>
          <w:szCs w:val="25"/>
          <w:b w:val="1"/>
          <w:bCs w:val="1"/>
          <w:color w:val="00A3E1"/>
        </w:rPr>
      </w:pPr>
      <w:r>
        <w:rPr>
          <w:rFonts w:ascii="Arial" w:cs="Arial" w:eastAsia="Arial" w:hAnsi="Arial"/>
          <w:sz w:val="18"/>
          <w:szCs w:val="18"/>
          <w:color w:val="auto"/>
        </w:rPr>
        <w:t>President and Chief Executive Officer of ADC Telecommunications, Inc., a supplier of network infrastructure products and services, from August 2003 until December 2010 and Chairman from 2008 until December 2010, when Tyco Electronics Ltd. acquired ADC. Mr. Switz joined ADC in 1994 and throughout his career there held numerous leadership positions.</w:t>
      </w:r>
    </w:p>
    <w:p>
      <w:pPr>
        <w:spacing w:after="0" w:line="228" w:lineRule="exact"/>
        <w:rPr>
          <w:rFonts w:ascii="Arial" w:cs="Arial" w:eastAsia="Arial" w:hAnsi="Arial"/>
          <w:sz w:val="25"/>
          <w:szCs w:val="25"/>
          <w:b w:val="1"/>
          <w:bCs w:val="1"/>
          <w:color w:val="00A3E1"/>
        </w:rPr>
      </w:pPr>
    </w:p>
    <w:p>
      <w:pPr>
        <w:ind w:left="340" w:hanging="228"/>
        <w:spacing w:after="0"/>
        <w:tabs>
          <w:tab w:leader="none" w:pos="340" w:val="left"/>
        </w:tabs>
        <w:numPr>
          <w:ilvl w:val="0"/>
          <w:numId w:val="20"/>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Switz served on the Board of Directors of Gigamon,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28" w:lineRule="exact"/>
        <w:rPr>
          <w:sz w:val="20"/>
          <w:szCs w:val="20"/>
          <w:color w:val="auto"/>
        </w:rPr>
      </w:pPr>
    </w:p>
    <w:p>
      <w:pPr>
        <w:ind w:left="340" w:hanging="228"/>
        <w:spacing w:after="0"/>
        <w:tabs>
          <w:tab w:leader="none" w:pos="340" w:val="left"/>
        </w:tabs>
        <w:numPr>
          <w:ilvl w:val="0"/>
          <w:numId w:val="21"/>
        </w:numPr>
        <w:rPr>
          <w:rFonts w:ascii="Arial" w:cs="Arial" w:eastAsia="Arial" w:hAnsi="Arial"/>
          <w:sz w:val="25"/>
          <w:szCs w:val="25"/>
          <w:b w:val="1"/>
          <w:bCs w:val="1"/>
          <w:color w:val="00A3E1"/>
        </w:rPr>
      </w:pPr>
      <w:r>
        <w:rPr>
          <w:rFonts w:ascii="Arial" w:cs="Arial" w:eastAsia="Arial" w:hAnsi="Arial"/>
          <w:sz w:val="18"/>
          <w:szCs w:val="18"/>
          <w:color w:val="auto"/>
        </w:rPr>
        <w:t>Marvell Technology Group Ltd.</w:t>
      </w:r>
    </w:p>
    <w:p>
      <w:pPr>
        <w:spacing w:after="0" w:line="21" w:lineRule="exact"/>
        <w:rPr>
          <w:rFonts w:ascii="Arial" w:cs="Arial" w:eastAsia="Arial" w:hAnsi="Arial"/>
          <w:sz w:val="25"/>
          <w:szCs w:val="25"/>
          <w:b w:val="1"/>
          <w:bCs w:val="1"/>
          <w:color w:val="00A3E1"/>
        </w:rPr>
      </w:pPr>
    </w:p>
    <w:p>
      <w:pPr>
        <w:ind w:left="340" w:hanging="228"/>
        <w:spacing w:after="0" w:line="229" w:lineRule="auto"/>
        <w:tabs>
          <w:tab w:leader="none" w:pos="340" w:val="left"/>
        </w:tabs>
        <w:numPr>
          <w:ilvl w:val="0"/>
          <w:numId w:val="21"/>
        </w:numPr>
        <w:rPr>
          <w:rFonts w:ascii="Arial" w:cs="Arial" w:eastAsia="Arial" w:hAnsi="Arial"/>
          <w:sz w:val="25"/>
          <w:szCs w:val="25"/>
          <w:b w:val="1"/>
          <w:bCs w:val="1"/>
          <w:color w:val="00A3E1"/>
        </w:rPr>
      </w:pPr>
      <w:r>
        <w:rPr>
          <w:rFonts w:ascii="Arial" w:cs="Arial" w:eastAsia="Arial" w:hAnsi="Arial"/>
          <w:sz w:val="18"/>
          <w:szCs w:val="18"/>
          <w:color w:val="auto"/>
        </w:rPr>
        <w:t>FireEye, Inc.</w:t>
      </w:r>
    </w:p>
    <w:p>
      <w:pPr>
        <w:spacing w:after="0" w:line="23" w:lineRule="exact"/>
        <w:rPr>
          <w:sz w:val="20"/>
          <w:szCs w:val="20"/>
          <w:color w:val="auto"/>
        </w:rPr>
      </w:pPr>
    </w:p>
    <w:p>
      <w:pPr>
        <w:sectPr>
          <w:pgSz w:w="11900" w:h="16838" w:orient="portrait"/>
          <w:cols w:equalWidth="0" w:num="2">
            <w:col w:w="1720" w:space="720"/>
            <w:col w:w="8780"/>
          </w:cols>
          <w:pgMar w:left="340" w:top="1341" w:right="339" w:bottom="1440" w:gutter="0" w:footer="0" w:header="0"/>
        </w:sectPr>
      </w:pPr>
    </w:p>
    <w:p>
      <w:pPr>
        <w:ind w:left="244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81" w:lineRule="exact"/>
        <w:rPr>
          <w:sz w:val="20"/>
          <w:szCs w:val="20"/>
          <w:color w:val="auto"/>
        </w:rPr>
      </w:pPr>
    </w:p>
    <w:p>
      <w:pPr>
        <w:ind w:left="2440" w:right="80"/>
        <w:spacing w:after="0" w:line="237" w:lineRule="auto"/>
        <w:rPr>
          <w:sz w:val="20"/>
          <w:szCs w:val="20"/>
          <w:color w:val="auto"/>
        </w:rPr>
      </w:pPr>
      <w:r>
        <w:rPr>
          <w:rFonts w:ascii="Arial" w:cs="Arial" w:eastAsia="Arial" w:hAnsi="Arial"/>
          <w:sz w:val="18"/>
          <w:szCs w:val="18"/>
          <w:color w:val="auto"/>
        </w:rPr>
        <w:t>Appointed Chair of Micron’s Board of Directors in 2012, Mr. Switz’s experience as Chief Executive Officer and Chairman of a leading technology company and history and leadership on Micron’s Board provide the Board expertise in the technology industry as well as international business operations, finance, corporate development, corporate governance, and management, all of which are critical to achieving our strategic objectives. We believe these experiences, qualifications, attributes, and skills qualify Mr. Switz to serve as a member of our Board of Directors.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75</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2006</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Governance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9</w:t>
      </w:r>
    </w:p>
    <w:p>
      <w:pPr>
        <w:sectPr>
          <w:pgSz w:w="11900" w:h="16838" w:orient="portrait"/>
          <w:cols w:equalWidth="0" w:num="1">
            <w:col w:w="11220"/>
          </w:cols>
          <w:pgMar w:left="340" w:top="1341" w:right="339" w:bottom="1440" w:gutter="0" w:footer="0" w:header="0"/>
          <w:type w:val="continuous"/>
        </w:sectPr>
      </w:pPr>
    </w:p>
    <w:bookmarkStart w:id="16" w:name="page17"/>
    <w:bookmarkEnd w:id="16"/>
    <w:p>
      <w:pPr>
        <w:spacing w:after="0" w:line="200" w:lineRule="exact"/>
        <w:rPr>
          <w:sz w:val="20"/>
          <w:szCs w:val="20"/>
          <w:color w:val="auto"/>
        </w:rPr>
      </w:pPr>
    </w:p>
    <w:p>
      <w:pPr>
        <w:spacing w:after="0" w:line="251" w:lineRule="exact"/>
        <w:rPr>
          <w:sz w:val="20"/>
          <w:szCs w:val="20"/>
          <w:color w:val="auto"/>
        </w:rPr>
      </w:pPr>
    </w:p>
    <w:p>
      <w:pPr>
        <w:ind w:left="20" w:right="180"/>
        <w:spacing w:after="0" w:line="250" w:lineRule="auto"/>
        <w:rPr>
          <w:sz w:val="20"/>
          <w:szCs w:val="20"/>
          <w:color w:val="auto"/>
        </w:rPr>
      </w:pPr>
      <w:r>
        <w:rPr>
          <w:rFonts w:ascii="Arial" w:cs="Arial" w:eastAsia="Arial" w:hAnsi="Arial"/>
          <w:sz w:val="35"/>
          <w:szCs w:val="35"/>
          <w:b w:val="1"/>
          <w:bCs w:val="1"/>
          <w:color w:val="auto"/>
        </w:rPr>
        <w:t>MaryAnn Wright</w:t>
      </w: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-185420</wp:posOffset>
            </wp:positionV>
            <wp:extent cx="71323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58" w:lineRule="exact"/>
        <w:rPr>
          <w:sz w:val="20"/>
          <w:szCs w:val="20"/>
          <w:color w:val="auto"/>
        </w:rPr>
      </w:pPr>
    </w:p>
    <w:p>
      <w:pPr>
        <w:ind w:left="340" w:right="20" w:hanging="228"/>
        <w:spacing w:after="0" w:line="212" w:lineRule="auto"/>
        <w:tabs>
          <w:tab w:leader="none" w:pos="340" w:val="left"/>
        </w:tabs>
        <w:numPr>
          <w:ilvl w:val="0"/>
          <w:numId w:val="22"/>
        </w:numPr>
        <w:rPr>
          <w:rFonts w:ascii="Arial" w:cs="Arial" w:eastAsia="Arial" w:hAnsi="Arial"/>
          <w:sz w:val="25"/>
          <w:szCs w:val="25"/>
          <w:b w:val="1"/>
          <w:bCs w:val="1"/>
          <w:color w:val="00A3E1"/>
        </w:rPr>
      </w:pPr>
      <w:r>
        <w:rPr>
          <w:rFonts w:ascii="Arial" w:cs="Arial" w:eastAsia="Arial" w:hAnsi="Arial"/>
          <w:sz w:val="18"/>
          <w:szCs w:val="18"/>
          <w:color w:val="auto"/>
        </w:rPr>
        <w:t>Group Vice President of Engineering and Product Development of Johnson Controls International (“JCI”) from 2013 to 2017. Ms. Wright also served as Vice President and General Manager for Johnson Controls’ Hybrid Systems business and as CEO of Johnson Controls-Saft from 2007 to 2009.</w:t>
      </w:r>
    </w:p>
    <w:p>
      <w:pPr>
        <w:spacing w:after="0" w:line="284" w:lineRule="exact"/>
        <w:rPr>
          <w:rFonts w:ascii="Arial" w:cs="Arial" w:eastAsia="Arial" w:hAnsi="Arial"/>
          <w:sz w:val="25"/>
          <w:szCs w:val="25"/>
          <w:b w:val="1"/>
          <w:bCs w:val="1"/>
          <w:color w:val="00A3E1"/>
        </w:rPr>
      </w:pPr>
    </w:p>
    <w:p>
      <w:pPr>
        <w:ind w:left="340" w:right="360" w:hanging="228"/>
        <w:spacing w:after="0" w:line="203" w:lineRule="auto"/>
        <w:tabs>
          <w:tab w:leader="none" w:pos="340" w:val="left"/>
        </w:tabs>
        <w:numPr>
          <w:ilvl w:val="0"/>
          <w:numId w:val="22"/>
        </w:numPr>
        <w:rPr>
          <w:rFonts w:ascii="Arial" w:cs="Arial" w:eastAsia="Arial" w:hAnsi="Arial"/>
          <w:sz w:val="25"/>
          <w:szCs w:val="25"/>
          <w:b w:val="1"/>
          <w:bCs w:val="1"/>
          <w:color w:val="00A3E1"/>
        </w:rPr>
      </w:pPr>
      <w:r>
        <w:rPr>
          <w:rFonts w:ascii="Arial" w:cs="Arial" w:eastAsia="Arial" w:hAnsi="Arial"/>
          <w:sz w:val="18"/>
          <w:szCs w:val="18"/>
          <w:color w:val="auto"/>
        </w:rPr>
        <w:t>Prior to joining JCI, Ms. Wright served in the Office of the Chair and was EVP Engineering, Sales and Program Management at Collins &amp; Aikman from 2006 to 2007.</w:t>
      </w:r>
    </w:p>
    <w:p>
      <w:pPr>
        <w:spacing w:after="0" w:line="200" w:lineRule="exact"/>
        <w:rPr>
          <w:sz w:val="20"/>
          <w:szCs w:val="20"/>
          <w:color w:val="auto"/>
        </w:rPr>
      </w:pPr>
    </w:p>
    <w:p>
      <w:pPr>
        <w:sectPr>
          <w:pgSz w:w="11900" w:h="16838" w:orient="portrait"/>
          <w:cols w:equalWidth="0" w:num="2">
            <w:col w:w="1740" w:space="720"/>
            <w:col w:w="8760"/>
          </w:cols>
          <w:pgMar w:left="320" w:top="1341" w:right="359" w:bottom="1440" w:gutter="0" w:footer="0" w:header="0"/>
        </w:sectPr>
      </w:pPr>
    </w:p>
    <w:p>
      <w:pPr>
        <w:spacing w:after="0" w:line="70" w:lineRule="exact"/>
        <w:rPr>
          <w:sz w:val="20"/>
          <w:szCs w:val="20"/>
          <w:color w:val="auto"/>
        </w:rPr>
      </w:pPr>
    </w:p>
    <w:p>
      <w:pPr>
        <w:ind w:left="2800" w:right="80" w:hanging="228"/>
        <w:spacing w:after="0" w:line="212" w:lineRule="auto"/>
        <w:tabs>
          <w:tab w:leader="none" w:pos="2800" w:val="left"/>
        </w:tabs>
        <w:numPr>
          <w:ilvl w:val="0"/>
          <w:numId w:val="23"/>
        </w:numPr>
        <w:rPr>
          <w:rFonts w:ascii="Arial" w:cs="Arial" w:eastAsia="Arial" w:hAnsi="Arial"/>
          <w:sz w:val="25"/>
          <w:szCs w:val="25"/>
          <w:b w:val="1"/>
          <w:bCs w:val="1"/>
          <w:color w:val="00A3E1"/>
        </w:rPr>
      </w:pPr>
      <w:r>
        <w:rPr>
          <w:rFonts w:ascii="Arial" w:cs="Arial" w:eastAsia="Arial" w:hAnsi="Arial"/>
          <w:sz w:val="18"/>
          <w:szCs w:val="18"/>
          <w:color w:val="auto"/>
        </w:rPr>
        <w:t>Prior to that, Ms. Wright held several executive positions at Ford Motor Company, including Chief Engineer, from 2003 to 2005, and Director of Sustainable Mobility Technologies and Hybrid and Fuel Cell Vehicle Programs from 2004 to 2005.</w:t>
      </w:r>
    </w:p>
    <w:p>
      <w:pPr>
        <w:spacing w:after="0" w:line="68" w:lineRule="exact"/>
        <w:rPr>
          <w:rFonts w:ascii="Arial" w:cs="Arial" w:eastAsia="Arial" w:hAnsi="Arial"/>
          <w:sz w:val="25"/>
          <w:szCs w:val="25"/>
          <w:b w:val="1"/>
          <w:bCs w:val="1"/>
          <w:color w:val="00A3E1"/>
        </w:rPr>
      </w:pPr>
    </w:p>
    <w:p>
      <w:pPr>
        <w:ind w:left="2800" w:right="20" w:hanging="228"/>
        <w:spacing w:after="0" w:line="203" w:lineRule="auto"/>
        <w:tabs>
          <w:tab w:leader="none" w:pos="2800" w:val="left"/>
        </w:tabs>
        <w:numPr>
          <w:ilvl w:val="0"/>
          <w:numId w:val="23"/>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Ms. Wright served on the Board of Directors of Maxim Integrated Products, Inc. and Delphi Technologies.</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00A3E1"/>
        </w:rPr>
        <w:t>Other Current Public Company Directorships</w:t>
      </w:r>
    </w:p>
    <w:p>
      <w:pPr>
        <w:sectPr>
          <w:pgSz w:w="11900" w:h="16838" w:orient="portrait"/>
          <w:cols w:equalWidth="0" w:num="1">
            <w:col w:w="11220"/>
          </w:cols>
          <w:pgMar w:left="320" w:top="1341" w:right="359" w:bottom="1440" w:gutter="0" w:footer="0" w:header="0"/>
          <w:type w:val="continuous"/>
        </w:sectPr>
      </w:pPr>
    </w:p>
    <w:p>
      <w:pPr>
        <w:spacing w:after="0" w:line="32" w:lineRule="exact"/>
        <w:rPr>
          <w:sz w:val="20"/>
          <w:szCs w:val="20"/>
          <w:color w:val="auto"/>
        </w:rPr>
      </w:pPr>
    </w:p>
    <w:p>
      <w:pPr>
        <w:ind w:left="2580"/>
        <w:spacing w:after="0"/>
        <w:rPr>
          <w:sz w:val="20"/>
          <w:szCs w:val="20"/>
          <w:color w:val="auto"/>
        </w:rPr>
      </w:pPr>
      <w:r>
        <w:rPr>
          <w:rFonts w:ascii="Arial" w:cs="Arial" w:eastAsia="Arial" w:hAnsi="Arial"/>
          <w:sz w:val="24"/>
          <w:szCs w:val="24"/>
          <w:b w:val="1"/>
          <w:bCs w:val="1"/>
          <w:color w:val="00A3E1"/>
        </w:rPr>
        <w:t>-</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24"/>
          <w:szCs w:val="24"/>
          <w:b w:val="1"/>
          <w:bCs w:val="1"/>
          <w:color w:val="00A3E1"/>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Group 1 Automotive,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Brunswick Corporation</w:t>
      </w:r>
    </w:p>
    <w:p>
      <w:pPr>
        <w:spacing w:after="0" w:line="31" w:lineRule="exact"/>
        <w:rPr>
          <w:sz w:val="20"/>
          <w:szCs w:val="20"/>
          <w:color w:val="auto"/>
        </w:rPr>
      </w:pPr>
    </w:p>
    <w:p>
      <w:pPr>
        <w:sectPr>
          <w:pgSz w:w="11900" w:h="16838" w:orient="portrait"/>
          <w:cols w:equalWidth="0" w:num="2">
            <w:col w:w="2660" w:space="140"/>
            <w:col w:w="8420"/>
          </w:cols>
          <w:pgMar w:left="320" w:top="1341" w:right="359" w:bottom="1440" w:gutter="0" w:footer="0" w:header="0"/>
          <w:type w:val="continuous"/>
        </w:sect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81" w:lineRule="exact"/>
        <w:rPr>
          <w:sz w:val="20"/>
          <w:szCs w:val="20"/>
          <w:color w:val="auto"/>
        </w:rPr>
      </w:pPr>
    </w:p>
    <w:p>
      <w:pPr>
        <w:ind w:left="2460" w:right="140"/>
        <w:spacing w:after="0" w:line="237" w:lineRule="auto"/>
        <w:rPr>
          <w:sz w:val="20"/>
          <w:szCs w:val="20"/>
          <w:color w:val="auto"/>
        </w:rPr>
      </w:pPr>
      <w:r>
        <w:rPr>
          <w:rFonts w:ascii="Arial" w:cs="Arial" w:eastAsia="Arial" w:hAnsi="Arial"/>
          <w:sz w:val="18"/>
          <w:szCs w:val="18"/>
          <w:color w:val="auto"/>
        </w:rPr>
        <w:t>Ms. Wright’s extensive experience in, and knowledge of, the automotive industry (OEM and Tier 1 supplier), public board experience and her expertise in vehicle, advance powertrain, and energy storage system technologies, provide our Board expertise in the technology industry as well as business operations, finance, corporate development, corporate governance, and management, all of which are critical to achieving our strategic objectives. We believe these experiences, qualifications, attributes, and skills qualify Ms. Wright to serve as a member of our Board of Directors.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59</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2019</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Governance and Sustainability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voting “</w:t>
      </w:r>
      <w:r>
        <w:rPr>
          <w:rFonts w:ascii="Arial" w:cs="Arial" w:eastAsia="Arial" w:hAnsi="Arial"/>
          <w:sz w:val="18"/>
          <w:szCs w:val="18"/>
          <w:b w:val="1"/>
          <w:bCs w:val="1"/>
          <w:color w:val="0090DA"/>
        </w:rPr>
        <w:t>FOR</w:t>
      </w:r>
      <w:r>
        <w:rPr>
          <w:rFonts w:ascii="Arial" w:cs="Arial" w:eastAsia="Arial" w:hAnsi="Arial"/>
          <w:sz w:val="18"/>
          <w:szCs w:val="18"/>
          <w:b w:val="1"/>
          <w:bCs w:val="1"/>
          <w:color w:val="auto"/>
        </w:rPr>
        <w:t>” approval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20"/>
          </w:cols>
          <w:pgMar w:left="320" w:top="1341"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39"/>
          <w:szCs w:val="39"/>
          <w:b w:val="1"/>
          <w:bCs w:val="1"/>
          <w:color w:val="auto"/>
        </w:rPr>
        <w:t>Director Nominations and Board Refreshment and Diversity</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Nomination Process</w:t>
      </w:r>
    </w:p>
    <w:p>
      <w:pPr>
        <w:spacing w:after="0" w:line="26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Governance and Sustainability Committee regularly reviews the appropriate size and composition of the Board, including by anticipating vacancies and required expertise for the effective oversight of the Company. In evaluating the existing Board and any desired characteristics of potential nominees, the Governance and Sustainability Committee considers the knowledge, experience, integrity, and judgment of the candidates, their contribution to the diversity of backgrounds, experience and skills on the Board, and their ability to devote sufficient time and effort to their duties as directors. The Governance and Sustainability Committee considers the following experience particularly relevant: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the Nasdaq Stock Market LLC (“Nasdaq”) and relevant rules and regulations of the Securities and Exchange Commission (“SEC”). The Governance and Sustainability Committee then recommends the best candidates to the Board.</w:t>
      </w:r>
    </w:p>
    <w:p>
      <w:pPr>
        <w:spacing w:after="0" w:line="23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When the Board of Directors decides to add directors to the Board, the Governance and Sustainability Committee works with a third party executive search firm to assist them in identifying and evaluating potential candidates.</w:t>
      </w:r>
    </w:p>
    <w:p>
      <w:pPr>
        <w:spacing w:after="0" w:line="2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Although the Governance and Sustainability Committee has not established specific diversity guidelines, the Board seeks to maintain a balance of perspectives, qualities, and skills on the Board to obtain a diversity of viewpoints to better understand the technical, economic, political, and social environments in which we operate and to enhance Micron’s performance. Accordingly, the Governance and Sustainability Committee takes into account the personal characteristics, experience, and skills of current and prospective directors, including gender, race, and ethnicity, to ensure that our Board comprises a broad range of perspectives, and measures success by the range of viewpoints represented on the Board.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Recommendations of Director Candidates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Bylaws permit shareholders to nominate directors at an annual meeting of shareholders or at a special meeting at which directors are to be elected. A shareholder may recommend a director candidate to the Governance and Sustainability Committee by delivering a written notice to our Corporate Secretary at our principal executive offices and including the following in the notice: the name and address of the shareholder as they appear on our books or other proof of share ownership; the number of shares of our Common Stock beneficially owned by the shareholder as of the date the shareholder gives written notice; a description of all arrangements or understandings between the shareholder and the director candidate and any other person(s) pursuant to which the recommendation or nomination is to be made by the shareholder; the name, age, business address, and residence address of the director candidate and a description of the director candidate’s business experience for at least the previous five years; the principal occupation or employment of the director candidate; the number of shares of our Common Stock beneficially owned by the director candidate; the consent of the director candidate to serve as a member of our Board of Directors if appointed or elected; and any other information required to be disclosed with respect to a director nominee in solicitations for proxies for the election of directors pursuant to our Bylaws and the applicable rules of the SEC.</w:t>
      </w:r>
    </w:p>
    <w:p>
      <w:pPr>
        <w:spacing w:after="0" w:line="2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Governance and Sustainability Committee may require additional information as it deems reasonably required to determine the eligibility of the director candidate to serve as a member of our Board of Directors. Shareholders recommending candidates for consideration by our Board in connection with the next annual meeting of shareholders should submit their written recommendation no later than one hundred twenty (120) calendar days in advance of the date of our Proxy Statement released in connection with the previous year's annual meeting of shareholders. The Governance and Sustainability Committee will evaluate director candidates recommended by shareholders for election to our Board in the same manner and using the same criteria as it uses for any other director candidate. If the Governance and Sustainability Committee determines that a shareholder-recommended candidate is suitable for membership on our Board of Directors, it will include the</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11</w:t>
      </w:r>
    </w:p>
    <w:p>
      <w:pPr>
        <w:sectPr>
          <w:pgSz w:w="11900" w:h="16838" w:orient="portrait"/>
          <w:cols w:equalWidth="0" w:num="1">
            <w:col w:w="11240"/>
          </w:cols>
          <w:pgMar w:left="320" w:top="1081" w:right="339" w:bottom="1440" w:gutter="0" w:footer="0" w:header="0"/>
        </w:sectPr>
      </w:pPr>
    </w:p>
    <w:bookmarkStart w:id="18" w:name="page19"/>
    <w:bookmarkEnd w:id="18"/>
    <w:p>
      <w:pPr>
        <w:ind w:right="180"/>
        <w:spacing w:after="0" w:line="261" w:lineRule="auto"/>
        <w:rPr>
          <w:sz w:val="20"/>
          <w:szCs w:val="20"/>
          <w:color w:val="auto"/>
        </w:rPr>
      </w:pPr>
      <w:r>
        <w:rPr>
          <w:rFonts w:ascii="Arial" w:cs="Arial" w:eastAsia="Arial" w:hAnsi="Arial"/>
          <w:sz w:val="18"/>
          <w:szCs w:val="18"/>
          <w:color w:val="auto"/>
        </w:rPr>
        <w:t>candidate in the pool of candidates to be considered for nomination upon the occurrence of the next vacancy on our Board or in connection with the next annual meeting of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Access</w:t>
      </w:r>
    </w:p>
    <w:p>
      <w:pPr>
        <w:spacing w:after="0" w:line="2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Our Bylaws permit up to 20 shareholders owning continuously for at least three years shares representing in the aggregate at least 3% of the total voting power of the Company’s outstanding common stock to nominate and include shareholder-nominated director candidates in our proxy materials for annual meetings of shareholders. A shareholder, or group of not more than 20 shareholders (collectively, an “eligible shareholder”), meeting specified eligibility requirements is generally permitted to nominate the greater of (i) two director nominees or (ii) 20% of the number of directors on our Board. Use of the proxy access process to submit shareholder nominees is subject to additional eligibility, procedural, and disclosure requirements set forth in Article II, Section 11 of our Bylaws. A copy of our Bylaws can be found on the Corporate Governance page of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available in print without charge upon request to corporatesecretary@micron.com.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Director Nominations</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Shareholders who wish to nominate a person for election as a director in connection with an annual meeting of shareholders (as opposed to making a recommendation to the Governance and Sustainability Committee as described above) and who do not intend for the nomination to be included in our proxy materials pursuant to the proxy access process described above must comply with the advance notice requirement set forth in Article II, Section 11 of our Bylaws.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Refreshment and Diversity</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believes that periodic Board refreshment can provide new experiences and fresh perspectives to our Board and is most effective if it is sufficiently balanced to maintain continuity among Board members that will allow for the sharing of historical perspectives and experiences relevant to the Company. Our Board seeks to achieve this balance through its director succession planning process, as well as in response to the annual Board and individual director assessment process discussed below.</w:t>
      </w:r>
    </w:p>
    <w:p>
      <w:pPr>
        <w:spacing w:after="0" w:line="23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In February 2021, our Board appointed Ms. Linnie Haynesworth as a director. Ms. Haynesworth brings valuable insights and experience to our Board, including extensive experience in and knowledge of technology integration, cybersecurity, enterprise strategy, risk management, and large complex system development, delivery, and deployment. With the appointments of Ms. Haynesworth in 2021, Ms. Dugle in 2020, Ms. Wright in 2019, and Ms. McCarthy and Mr. Gomo in 2018, our Board refreshed its composition while maintaining institutional knowledge with directors of varying lengths of tenure.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111" w:right="339" w:bottom="1440" w:gutter="0" w:footer="0" w:header="0"/>
        </w:sectPr>
      </w:pPr>
    </w:p>
    <w:bookmarkStart w:id="19" w:name="page20"/>
    <w:bookmarkEnd w:id="19"/>
    <w:p>
      <w:pPr>
        <w:ind w:right="180"/>
        <w:spacing w:after="0" w:line="254" w:lineRule="auto"/>
        <w:rPr>
          <w:sz w:val="20"/>
          <w:szCs w:val="20"/>
          <w:color w:val="auto"/>
        </w:rPr>
      </w:pPr>
      <w:r>
        <w:rPr>
          <w:rFonts w:ascii="Arial" w:cs="Arial" w:eastAsia="Arial" w:hAnsi="Arial"/>
          <w:sz w:val="18"/>
          <w:szCs w:val="18"/>
          <w:color w:val="auto"/>
        </w:rPr>
        <w:t>The Governance and Sustainability Committee is committed to continuing to identify and recruit highly qualified director candidates with diverse experiences, perspectives, and backgrounds to join our Board. The table below provides certain information regarding the composition of our Board. Each of the categories listed in the below table has the meaning as it is used in Nasdaq Rule 5605(f) and related instructions.</w:t>
      </w:r>
    </w:p>
    <w:p>
      <w:pPr>
        <w:spacing w:after="0" w:line="24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Board Diversity Matrix (as of September 2, 2021)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0090DA"/>
              <w:bottom w:val="single" w:sz="8" w:color="0090DA"/>
            </w:tcBorders>
          </w:tcPr>
          <w:p>
            <w:pPr>
              <w:ind w:left="20"/>
              <w:spacing w:after="0"/>
              <w:rPr>
                <w:sz w:val="20"/>
                <w:szCs w:val="20"/>
                <w:color w:val="auto"/>
              </w:rPr>
            </w:pPr>
            <w:r>
              <w:rPr>
                <w:rFonts w:ascii="Arial" w:cs="Arial" w:eastAsia="Arial" w:hAnsi="Arial"/>
                <w:sz w:val="18"/>
                <w:szCs w:val="18"/>
                <w:color w:val="auto"/>
              </w:rPr>
              <w:t>Total Number of Directors</w:t>
            </w:r>
          </w:p>
        </w:tc>
        <w:tc>
          <w:tcPr>
            <w:tcW w:w="1260" w:type="dxa"/>
            <w:vAlign w:val="bottom"/>
            <w:tcBorders>
              <w:top w:val="single" w:sz="8" w:color="0090DA"/>
              <w:bottom w:val="single" w:sz="8" w:color="0090DA"/>
            </w:tcBorders>
          </w:tcPr>
          <w:p>
            <w:pPr>
              <w:spacing w:after="0"/>
              <w:rPr>
                <w:sz w:val="21"/>
                <w:szCs w:val="21"/>
                <w:color w:val="auto"/>
              </w:rPr>
            </w:pPr>
          </w:p>
        </w:tc>
        <w:tc>
          <w:tcPr>
            <w:tcW w:w="1040" w:type="dxa"/>
            <w:vAlign w:val="bottom"/>
            <w:tcBorders>
              <w:top w:val="single" w:sz="8" w:color="0090DA"/>
              <w:bottom w:val="single" w:sz="8" w:color="0090DA"/>
            </w:tcBorders>
          </w:tcPr>
          <w:p>
            <w:pPr>
              <w:spacing w:after="0"/>
              <w:rPr>
                <w:sz w:val="21"/>
                <w:szCs w:val="21"/>
                <w:color w:val="auto"/>
              </w:rPr>
            </w:pPr>
          </w:p>
        </w:tc>
        <w:tc>
          <w:tcPr>
            <w:tcW w:w="1640" w:type="dxa"/>
            <w:vAlign w:val="bottom"/>
            <w:tcBorders>
              <w:top w:val="single" w:sz="8" w:color="0090DA"/>
              <w:bottom w:val="single" w:sz="8" w:color="0090DA"/>
            </w:tcBorders>
          </w:tcPr>
          <w:p>
            <w:pPr>
              <w:jc w:val="center"/>
              <w:ind w:right="1050"/>
              <w:spacing w:after="0"/>
              <w:rPr>
                <w:sz w:val="20"/>
                <w:szCs w:val="20"/>
                <w:color w:val="auto"/>
              </w:rPr>
            </w:pPr>
            <w:r>
              <w:rPr>
                <w:rFonts w:ascii="Arial" w:cs="Arial" w:eastAsia="Arial" w:hAnsi="Arial"/>
                <w:sz w:val="18"/>
                <w:szCs w:val="18"/>
                <w:color w:val="auto"/>
                <w:w w:val="99"/>
              </w:rPr>
              <w:t>8</w:t>
            </w:r>
          </w:p>
        </w:tc>
        <w:tc>
          <w:tcPr>
            <w:tcW w:w="1280" w:type="dxa"/>
            <w:vAlign w:val="bottom"/>
            <w:tcBorders>
              <w:top w:val="single" w:sz="8" w:color="0090DA"/>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Did Not</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2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Female</w:t>
            </w:r>
          </w:p>
        </w:tc>
        <w:tc>
          <w:tcPr>
            <w:tcW w:w="10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Male</w:t>
            </w:r>
          </w:p>
        </w:tc>
        <w:tc>
          <w:tcPr>
            <w:tcW w:w="164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8"/>
              </w:rPr>
              <w:t>Non-Binary</w:t>
            </w:r>
          </w:p>
        </w:tc>
        <w:tc>
          <w:tcPr>
            <w:tcW w:w="1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Disclose</w:t>
            </w:r>
          </w:p>
        </w:tc>
        <w:tc>
          <w:tcPr>
            <w:tcW w:w="0" w:type="dxa"/>
            <w:vAlign w:val="bottom"/>
          </w:tcPr>
          <w:p>
            <w:pPr>
              <w:spacing w:after="0"/>
              <w:rPr>
                <w:sz w:val="1"/>
                <w:szCs w:val="1"/>
                <w:color w:val="auto"/>
              </w:rPr>
            </w:pPr>
          </w:p>
        </w:tc>
      </w:tr>
      <w:tr>
        <w:trPr>
          <w:trHeight w:val="239"/>
        </w:trPr>
        <w:tc>
          <w:tcPr>
            <w:tcW w:w="5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2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Gender</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0090DA"/>
            </w:tcBorders>
            <w:vMerge w:val="continue"/>
          </w:tcPr>
          <w:p>
            <w:pPr>
              <w:spacing w:after="0"/>
              <w:rPr>
                <w:sz w:val="19"/>
                <w:szCs w:val="19"/>
                <w:color w:val="auto"/>
              </w:rPr>
            </w:pPr>
          </w:p>
        </w:tc>
        <w:tc>
          <w:tcPr>
            <w:tcW w:w="126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spacing w:after="0"/>
              <w:rPr>
                <w:sz w:val="19"/>
                <w:szCs w:val="19"/>
                <w:color w:val="auto"/>
              </w:rPr>
            </w:pPr>
          </w:p>
        </w:tc>
        <w:tc>
          <w:tcPr>
            <w:tcW w:w="164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20"/>
              <w:spacing w:after="0"/>
              <w:rPr>
                <w:sz w:val="20"/>
                <w:szCs w:val="20"/>
                <w:color w:val="auto"/>
              </w:rPr>
            </w:pPr>
            <w:r>
              <w:rPr>
                <w:rFonts w:ascii="Arial" w:cs="Arial" w:eastAsia="Arial" w:hAnsi="Arial"/>
                <w:sz w:val="18"/>
                <w:szCs w:val="18"/>
                <w:color w:val="auto"/>
              </w:rPr>
              <w:t>Directors</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4</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4</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9"/>
        </w:trPr>
        <w:tc>
          <w:tcPr>
            <w:tcW w:w="52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26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tcPr>
          <w:p>
            <w:pPr>
              <w:spacing w:after="0"/>
              <w:rPr>
                <w:sz w:val="20"/>
                <w:szCs w:val="20"/>
                <w:color w:val="auto"/>
              </w:rPr>
            </w:pPr>
          </w:p>
        </w:tc>
        <w:tc>
          <w:tcPr>
            <w:tcW w:w="1640" w:type="dxa"/>
            <w:vAlign w:val="bottom"/>
            <w:tcBorders>
              <w:bottom w:val="single" w:sz="8" w:color="0090DA"/>
            </w:tcBorders>
          </w:tcPr>
          <w:p>
            <w:pPr>
              <w:spacing w:after="0"/>
              <w:rPr>
                <w:sz w:val="20"/>
                <w:szCs w:val="20"/>
                <w:color w:val="auto"/>
              </w:rPr>
            </w:pPr>
          </w:p>
        </w:tc>
        <w:tc>
          <w:tcPr>
            <w:tcW w:w="128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African American or Black</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1</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Alaskan Native or Native American</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Asian</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1</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Hispanic or Latinx</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Native Hawaiian or Pacific Islander</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White</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3</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Two or More Races or Ethnicities</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LGBTQ+</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jc w:val="center"/>
              <w:ind w:right="105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Did Not Disclose Demographic Background</w:t>
            </w:r>
          </w:p>
        </w:tc>
        <w:tc>
          <w:tcPr>
            <w:tcW w:w="126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40" w:type="dxa"/>
            <w:vAlign w:val="bottom"/>
            <w:shd w:val="clear" w:color="auto" w:fill="DBDBDB"/>
          </w:tcPr>
          <w:p>
            <w:pPr>
              <w:jc w:val="center"/>
              <w:ind w:right="10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5260" w:type="dxa"/>
            <w:vAlign w:val="bottom"/>
          </w:tcPr>
          <w:p>
            <w:pPr>
              <w:spacing w:after="0"/>
              <w:rPr>
                <w:sz w:val="20"/>
                <w:szCs w:val="20"/>
                <w:color w:val="auto"/>
              </w:rPr>
            </w:pPr>
            <w:r>
              <w:rPr>
                <w:rFonts w:ascii="Arial" w:cs="Arial" w:eastAsia="Arial" w:hAnsi="Arial"/>
                <w:sz w:val="18"/>
                <w:szCs w:val="18"/>
                <w:color w:val="auto"/>
              </w:rPr>
              <w:t>In addition, one of our directors is a veteran of the U.S. military.</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The Board’s Role and Responsibilities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Shareholder Engagement</w:t>
      </w:r>
    </w:p>
    <w:p>
      <w:pPr>
        <w:spacing w:after="0" w:line="26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We are committed to engaging with our shareholders and soliciting their views and input on important matters, including performance, executive compensation, governance, and environmental, social, and human capital management.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directors periodically engage directly with our shareholders by participating in shareholder outreach.</w:t>
      </w:r>
    </w:p>
    <w:p>
      <w:pPr>
        <w:spacing w:after="0" w:line="252"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Members of our management team, together with our investor relations, sustainability and legal teams, maintain an active dialogue with shareholders throughout the year to obtain their input on key matters, and keep our management and Board informed about the issues that matter most to our shareholders.</w:t>
      </w:r>
    </w:p>
    <w:p>
      <w:pPr>
        <w:spacing w:after="0" w:line="228" w:lineRule="exact"/>
        <w:rPr>
          <w:rFonts w:ascii="Arial" w:cs="Arial" w:eastAsia="Arial" w:hAnsi="Arial"/>
          <w:sz w:val="18"/>
          <w:szCs w:val="18"/>
          <w:color w:val="auto"/>
        </w:rPr>
      </w:pPr>
    </w:p>
    <w:p>
      <w:pPr>
        <w:ind w:left="660" w:right="140" w:hanging="328"/>
        <w:spacing w:after="0" w:line="25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Compensation Committee and Governance and Sustainability Committee routinely review our executive compensation design and governance practices and policies, with an eye towards continual improvement and enhancements. Our investor relations team updates the Board concerning shareholder input on these issues, allowing the Board and its committees to take shareholder input into account when setting pay and governance practices.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our discussions with investors covered a variety of topics, including our response to COVID-19, environmental and social topics including diversity issues and our efforts to support social justice as well as our environmental goals, enhanced disclosures in our 2021 Sustainability Report that included investor-oriented</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13</w:t>
      </w:r>
    </w:p>
    <w:p>
      <w:pPr>
        <w:sectPr>
          <w:pgSz w:w="11900" w:h="16838" w:orient="portrait"/>
          <w:cols w:equalWidth="0" w:num="1">
            <w:col w:w="11240"/>
          </w:cols>
          <w:pgMar w:left="320" w:top="1111" w:right="339" w:bottom="1440" w:gutter="0" w:footer="0" w:header="0"/>
        </w:sectPr>
      </w:pPr>
    </w:p>
    <w:bookmarkStart w:id="20" w:name="page21"/>
    <w:bookmarkEnd w:id="20"/>
    <w:p>
      <w:pPr>
        <w:ind w:right="440"/>
        <w:spacing w:after="0" w:line="246" w:lineRule="auto"/>
        <w:rPr>
          <w:sz w:val="20"/>
          <w:szCs w:val="20"/>
          <w:color w:val="auto"/>
        </w:rPr>
      </w:pPr>
      <w:r>
        <w:rPr>
          <w:rFonts w:ascii="Arial" w:cs="Arial" w:eastAsia="Arial" w:hAnsi="Arial"/>
          <w:sz w:val="18"/>
          <w:szCs w:val="18"/>
          <w:color w:val="auto"/>
        </w:rPr>
        <w:t>Sustainability Accounting Standards Board disclosures, Board composition and refreshment efforts (including the recent additions to our Board), and 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Human Capital and Culture</w:t>
      </w:r>
    </w:p>
    <w:p>
      <w:pPr>
        <w:spacing w:after="0" w:line="2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our people are our most important resource and a critical driver of our competitive advantage. We also believe that our best innovation springs from our team members’ diverse experiences, perspectives, and backgrounds. Our Board considers the creation and maintenance of a diverse and inclusive environment to be a crucial element of the Company’s business strategy, including effectively addressing customer, shareholder, and other stakeholder needs, and believes each Micron hire is an opportunity to enhance the competencies, skills, talent, experience, and perspectives in our Company with diverse perspectives, backgrounds, and viewpoints. The Board has tasked the Company’s management team with taking a proactive approach to diversity, equality, and inclusion, and periodically reviews our programs and processes to ensure continual improvement. In addition to this proactive approach to improving our Company, the Board encouraged the Company to commit resources to the well-being of our communities across the globe. In fiscal 2021, we committed a percentage of our cash investments, about $280 million, to be managed by financial institutions owned by underrepresented groups — a goal we exceeded this year. These investments will have a multiplying effect on the economies of underrepresented communities. We also awarded each of Micron’s ten employee resource groups (“ERGs”) $50,000 to distribute to charities. These awards empowered our ERGs to direct resources and investments to further uplift the communities where team members live and work, and they distributed $500,000 across 19 nonprofits.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w:t>
      </w: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Board believes a diverse workforce is a competitive advantage and that diverse teams drive more innovation, delivering value to our customers and increased returns to shareholders. We believe diverse teams expand creativity and problem-solving, lead to better decision-making, and enhance team member engagement and retention. Encouraged by our Board, we actively pursue a diverse talent pool using advanced technologies and inclusive hiring practices, and we partner with universities around the world to help us grow a workforce that reflects our customers and our communities.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Equality</w:t>
      </w:r>
    </w:p>
    <w:p>
      <w:pPr>
        <w:spacing w:after="0" w:line="27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our vision to enrich life for all includes how we compensate our employees. We analyze our global compensation and benefits to ensure opportunities for all employees because our People value makes it essential we pay everyone fairly. In fiscal 2021, we achieved comprehensive global pay equity for all employees in total compensation across base, bonuses, and stock rewards. We have a regular review cadence for pay globally—including base pay and stock awards. If we find gaps during the review, we fix them. We work with a third-party and use dynamic technology to help us analyze and understand our pay variances and adjust when needed. Historically, our pay equity study has focused on gender globally. We have expanded our study to focus on all underrepresented groups: women and people with disabilities globally and veterans, Blacks, and Hispanics in the United States. We are committed to pay equity for all.</w:t>
      </w:r>
    </w:p>
    <w:p>
      <w:pPr>
        <w:spacing w:after="0" w:line="2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introduced training on inclusion allyship, inviting our global employees to learn from various underrepresented groups about the challenges and injustices they face as a result of their differences. These trainings help our employees and leaders understand, recognize, and overcome the unconscious biases we all have. We have also added an inclusion advocate in talent review meetings. The inclusion advocate listens carefully for unconscious bias, calls any to the attention of the team, and challenges unfair assumptions to ensure decisions regarding promotions, rotation assignments, access to training and other advancement opportunities are determined fairly.</w:t>
      </w: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also provide grants to minority-owned businesses to help underrepresented businesses have equitable opportunities, which also creates a multiplying effect on the economies of those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Inclusion</w:t>
      </w:r>
    </w:p>
    <w:p>
      <w:pPr>
        <w:spacing w:after="0" w:line="274"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We believe that creating an inclusive culture at Micron helps us unleash the human potential of our team members, so everyone feels seen, heard, valued, and respected. These values help us create an environment where team members know they can bring their whole selves to work developing the next solution for data storage, health care technology, self-driving cars, or whatever our applications need to do to drive technology forward. In fiscal 2021, we set a goal of having all team members complete inclusion ally training, led by our various ERGs.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Almost all our team members — 99.9% — completed the course, and thousands completed more than one course because they understand the importance of active allyship.</w:t>
      </w: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Please see our Diversity, Equality &amp; Inclusion Report 2020, available at micron.com/DEI, for more information about how we are ensuring diversity, equality, and inclusion are part of our Company’s global DNA, expanding to a global focus, especially in Asia. Our Diversity, Equality</w:t>
      </w:r>
    </w:p>
    <w:p>
      <w:pPr>
        <w:ind w:right="80" w:firstLine="8"/>
        <w:spacing w:after="0" w:line="261" w:lineRule="auto"/>
        <w:tabs>
          <w:tab w:leader="none" w:pos="1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Inclusion Report 2020 and the information at or accessible through our website, are not part of or incorporated by reference into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Sustainability</w:t>
      </w:r>
    </w:p>
    <w:p>
      <w:pPr>
        <w:spacing w:after="0" w:line="26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Our commitment to understanding and addressing environmental, social, and governance (“ESG”) issues along our value chain and in our communities is a critical part of our culture and our vision to transform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Our Board considers ESG issues to be an integral part of its business oversight and our corporate strategy, and has encouraged a proactive approach toward mitigating our impact on the environment, supporting our team members and the communities in which they live, respecting human rights, driving transparency and accountability in our supply chain, and developing innovative products that support a sustainable future. We have developed and are executing on a sustainability strategy in response to these issues that leverages our leading products, responsible sourcing and operations, and engaged team members.</w:t>
      </w:r>
    </w:p>
    <w:p>
      <w:pPr>
        <w:spacing w:after="0" w:line="2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supported by the Governance and Sustainability Committee and other Board committees as needed, oversees and monitors the development and integration of this strategy, and regularly reviews sustainability performance. Board oversight includes, but is not limited to, material ESG trends and related long and short-term impacts of the Company’s operations, supply chains, and products, as well as the Company’s activities and annual public reporting on these topics directed by the Company’s Sustainability Council, sustainability staff, and various teams implementing the Company’s sustainability efforts.</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Governance and Sustainability Committee reviews and discusses ESG issues at each regularly-scheduled committee meeting. Discussions and reports to the Committee include information about significant ESG issues, such as observations from consultations with team members, customers, investors, and other stakeholders about their interests and expectations for us; our social and environmental impacts and benefits; and the impacts of these issues on our business. Over the past year, the Governance and Sustainability Committee reviewed the implementation of our first-ever long-term environmental goals and aspirations. We expect to allocate about $1 billion of capital expenditures to support these goals, though we cannot guarantee that our environmental goals and aspirations set forth below will be realized. These goals and initiatives have been developed based in part on feedback from investors, customers, and current and prospective team members, and are a critical component of our management of evolving physical, regulatory, market, supply chain, and other risks and opportunities related to climate change, water availability, and other ESG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15</w:t>
      </w:r>
    </w:p>
    <w:p>
      <w:pPr>
        <w:sectPr>
          <w:pgSz w:w="11900" w:h="16838" w:orient="portrait"/>
          <w:cols w:equalWidth="0" w:num="1">
            <w:col w:w="11240"/>
          </w:cols>
          <w:pgMar w:left="320" w:top="1089"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9"/>
          <w:szCs w:val="29"/>
          <w:b w:val="1"/>
          <w:bCs w:val="1"/>
          <w:color w:val="auto"/>
        </w:rPr>
        <w:t>Our Environmental Goals and Aspirations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09803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0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Arial" w:cs="Arial" w:eastAsia="Arial" w:hAnsi="Arial"/>
                <w:sz w:val="18"/>
                <w:szCs w:val="18"/>
                <w:b w:val="1"/>
                <w:bCs w:val="1"/>
                <w:color w:val="00A3E1"/>
                <w:w w:val="99"/>
              </w:rPr>
              <w:t>Goals</w:t>
            </w:r>
          </w:p>
        </w:tc>
        <w:tc>
          <w:tcPr>
            <w:tcW w:w="4760" w:type="dxa"/>
            <w:vAlign w:val="bottom"/>
          </w:tcPr>
          <w:p>
            <w:pPr>
              <w:jc w:val="center"/>
              <w:spacing w:after="0"/>
              <w:rPr>
                <w:sz w:val="20"/>
                <w:szCs w:val="20"/>
                <w:color w:val="auto"/>
              </w:rPr>
            </w:pPr>
            <w:r>
              <w:rPr>
                <w:rFonts w:ascii="Arial" w:cs="Arial" w:eastAsia="Arial" w:hAnsi="Arial"/>
                <w:sz w:val="18"/>
                <w:szCs w:val="18"/>
                <w:b w:val="1"/>
                <w:bCs w:val="1"/>
                <w:color w:val="00A3E1"/>
              </w:rPr>
              <w:t>Aspirations</w:t>
            </w:r>
          </w:p>
        </w:tc>
      </w:tr>
      <w:tr>
        <w:trPr>
          <w:trHeight w:val="202"/>
        </w:trPr>
        <w:tc>
          <w:tcPr>
            <w:tcW w:w="1400" w:type="dxa"/>
            <w:vAlign w:val="bottom"/>
            <w:shd w:val="clear" w:color="auto" w:fill="DBDBDB"/>
          </w:tcPr>
          <w:p>
            <w:pPr>
              <w:ind w:left="20"/>
              <w:spacing w:after="0" w:line="201" w:lineRule="exact"/>
              <w:rPr>
                <w:sz w:val="20"/>
                <w:szCs w:val="20"/>
                <w:color w:val="auto"/>
              </w:rPr>
            </w:pPr>
            <w:r>
              <w:rPr>
                <w:rFonts w:ascii="Arial" w:cs="Arial" w:eastAsia="Arial" w:hAnsi="Arial"/>
                <w:sz w:val="18"/>
                <w:szCs w:val="18"/>
                <w:b w:val="1"/>
                <w:bCs w:val="1"/>
                <w:color w:val="auto"/>
              </w:rPr>
              <w:t>Emissions:</w:t>
            </w:r>
          </w:p>
        </w:tc>
        <w:tc>
          <w:tcPr>
            <w:tcW w:w="5020" w:type="dxa"/>
            <w:vAlign w:val="bottom"/>
            <w:shd w:val="clear" w:color="auto" w:fill="DBDBDB"/>
          </w:tcPr>
          <w:p>
            <w:pPr>
              <w:jc w:val="center"/>
              <w:ind w:left="50"/>
              <w:spacing w:after="0" w:line="201" w:lineRule="exact"/>
              <w:rPr>
                <w:sz w:val="20"/>
                <w:szCs w:val="20"/>
                <w:color w:val="auto"/>
              </w:rPr>
            </w:pPr>
            <w:r>
              <w:rPr>
                <w:rFonts w:ascii="Arial" w:cs="Arial" w:eastAsia="Arial" w:hAnsi="Arial"/>
                <w:sz w:val="18"/>
                <w:szCs w:val="18"/>
                <w:color w:val="auto"/>
                <w:w w:val="99"/>
              </w:rPr>
              <w:t>75% reduction in greenhouse gas emissions per unit in</w:t>
            </w:r>
          </w:p>
        </w:tc>
        <w:tc>
          <w:tcPr>
            <w:tcW w:w="4760" w:type="dxa"/>
            <w:vAlign w:val="bottom"/>
            <w:shd w:val="clear" w:color="auto" w:fill="DBDBDB"/>
          </w:tcPr>
          <w:p>
            <w:pPr>
              <w:jc w:val="center"/>
              <w:spacing w:after="0" w:line="201" w:lineRule="exact"/>
              <w:rPr>
                <w:sz w:val="20"/>
                <w:szCs w:val="20"/>
                <w:color w:val="auto"/>
              </w:rPr>
            </w:pPr>
            <w:r>
              <w:rPr>
                <w:rFonts w:ascii="Arial" w:cs="Arial" w:eastAsia="Arial" w:hAnsi="Arial"/>
                <w:sz w:val="18"/>
                <w:szCs w:val="18"/>
                <w:color w:val="auto"/>
              </w:rPr>
              <w:t>Carbon neutral</w:t>
            </w:r>
          </w:p>
        </w:tc>
      </w:tr>
      <w:tr>
        <w:trPr>
          <w:trHeight w:val="230"/>
        </w:trPr>
        <w:tc>
          <w:tcPr>
            <w:tcW w:w="1400" w:type="dxa"/>
            <w:vAlign w:val="bottom"/>
            <w:shd w:val="clear" w:color="auto" w:fill="DBDBDB"/>
          </w:tcPr>
          <w:p>
            <w:pPr>
              <w:spacing w:after="0"/>
              <w:rPr>
                <w:sz w:val="20"/>
                <w:szCs w:val="20"/>
                <w:color w:val="auto"/>
              </w:rPr>
            </w:pPr>
          </w:p>
        </w:tc>
        <w:tc>
          <w:tcPr>
            <w:tcW w:w="502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9"/>
              </w:rPr>
              <w:t>calendar year 2030 vs. calendar year 2018</w:t>
            </w:r>
          </w:p>
        </w:tc>
        <w:tc>
          <w:tcPr>
            <w:tcW w:w="4760" w:type="dxa"/>
            <w:vAlign w:val="bottom"/>
            <w:shd w:val="clear" w:color="auto" w:fill="DBDBDB"/>
          </w:tcPr>
          <w:p>
            <w:pPr>
              <w:spacing w:after="0"/>
              <w:rPr>
                <w:sz w:val="20"/>
                <w:szCs w:val="20"/>
                <w:color w:val="auto"/>
              </w:rPr>
            </w:pPr>
          </w:p>
        </w:tc>
      </w:tr>
      <w:tr>
        <w:trPr>
          <w:trHeight w:val="202"/>
        </w:trPr>
        <w:tc>
          <w:tcPr>
            <w:tcW w:w="140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Energy:</w:t>
            </w:r>
          </w:p>
        </w:tc>
        <w:tc>
          <w:tcPr>
            <w:tcW w:w="502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9"/>
              </w:rPr>
              <w:t>100% renewable energy in U.S. operations in</w:t>
            </w:r>
          </w:p>
        </w:tc>
        <w:tc>
          <w:tcPr>
            <w:tcW w:w="4760" w:type="dxa"/>
            <w:vAlign w:val="bottom"/>
          </w:tcPr>
          <w:p>
            <w:pPr>
              <w:jc w:val="center"/>
              <w:spacing w:after="0" w:line="201" w:lineRule="exact"/>
              <w:rPr>
                <w:sz w:val="20"/>
                <w:szCs w:val="20"/>
                <w:color w:val="auto"/>
              </w:rPr>
            </w:pPr>
            <w:r>
              <w:rPr>
                <w:rFonts w:ascii="Arial" w:cs="Arial" w:eastAsia="Arial" w:hAnsi="Arial"/>
                <w:sz w:val="18"/>
                <w:szCs w:val="18"/>
                <w:color w:val="auto"/>
                <w:w w:val="99"/>
              </w:rPr>
              <w:t>100% renewable energy worldwide, where available</w:t>
            </w:r>
          </w:p>
        </w:tc>
      </w:tr>
      <w:tr>
        <w:trPr>
          <w:trHeight w:val="224"/>
        </w:trPr>
        <w:tc>
          <w:tcPr>
            <w:tcW w:w="140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Arial" w:cs="Arial" w:eastAsia="Arial" w:hAnsi="Arial"/>
                <w:sz w:val="18"/>
                <w:szCs w:val="18"/>
                <w:color w:val="auto"/>
                <w:w w:val="99"/>
              </w:rPr>
              <w:t>calendar year 2025</w:t>
            </w:r>
          </w:p>
        </w:tc>
        <w:tc>
          <w:tcPr>
            <w:tcW w:w="4760" w:type="dxa"/>
            <w:vAlign w:val="bottom"/>
          </w:tcPr>
          <w:p>
            <w:pPr>
              <w:spacing w:after="0"/>
              <w:rPr>
                <w:sz w:val="19"/>
                <w:szCs w:val="19"/>
                <w:color w:val="auto"/>
              </w:rPr>
            </w:pPr>
          </w:p>
        </w:tc>
      </w:tr>
      <w:tr>
        <w:trPr>
          <w:trHeight w:val="208"/>
        </w:trPr>
        <w:tc>
          <w:tcPr>
            <w:tcW w:w="14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Water:</w:t>
            </w:r>
          </w:p>
        </w:tc>
        <w:tc>
          <w:tcPr>
            <w:tcW w:w="502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9"/>
              </w:rPr>
              <w:t>75% water reuse, recycling, or restoration in calendar</w:t>
            </w:r>
          </w:p>
        </w:tc>
        <w:tc>
          <w:tcPr>
            <w:tcW w:w="47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100% water reuse, recycling, or restoration</w:t>
            </w:r>
          </w:p>
        </w:tc>
      </w:tr>
      <w:tr>
        <w:trPr>
          <w:trHeight w:val="230"/>
        </w:trPr>
        <w:tc>
          <w:tcPr>
            <w:tcW w:w="1400" w:type="dxa"/>
            <w:vAlign w:val="bottom"/>
            <w:shd w:val="clear" w:color="auto" w:fill="DBDBDB"/>
          </w:tcPr>
          <w:p>
            <w:pPr>
              <w:spacing w:after="0"/>
              <w:rPr>
                <w:sz w:val="20"/>
                <w:szCs w:val="20"/>
                <w:color w:val="auto"/>
              </w:rPr>
            </w:pPr>
          </w:p>
        </w:tc>
        <w:tc>
          <w:tcPr>
            <w:tcW w:w="5020" w:type="dxa"/>
            <w:vAlign w:val="bottom"/>
            <w:shd w:val="clear" w:color="auto" w:fill="DBDBDB"/>
          </w:tcPr>
          <w:p>
            <w:pPr>
              <w:jc w:val="center"/>
              <w:ind w:left="50"/>
              <w:spacing w:after="0"/>
              <w:rPr>
                <w:sz w:val="20"/>
                <w:szCs w:val="20"/>
                <w:color w:val="auto"/>
              </w:rPr>
            </w:pPr>
            <w:r>
              <w:rPr>
                <w:rFonts w:ascii="Arial" w:cs="Arial" w:eastAsia="Arial" w:hAnsi="Arial"/>
                <w:sz w:val="18"/>
                <w:szCs w:val="18"/>
                <w:color w:val="auto"/>
                <w:w w:val="99"/>
              </w:rPr>
              <w:t>year 2030</w:t>
            </w:r>
          </w:p>
        </w:tc>
        <w:tc>
          <w:tcPr>
            <w:tcW w:w="4760" w:type="dxa"/>
            <w:vAlign w:val="bottom"/>
            <w:shd w:val="clear" w:color="auto" w:fill="DBDBDB"/>
          </w:tcPr>
          <w:p>
            <w:pPr>
              <w:spacing w:after="0"/>
              <w:rPr>
                <w:sz w:val="20"/>
                <w:szCs w:val="20"/>
                <w:color w:val="auto"/>
              </w:rPr>
            </w:pPr>
          </w:p>
        </w:tc>
      </w:tr>
      <w:tr>
        <w:trPr>
          <w:trHeight w:val="202"/>
        </w:trPr>
        <w:tc>
          <w:tcPr>
            <w:tcW w:w="140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Waste:</w:t>
            </w:r>
          </w:p>
        </w:tc>
        <w:tc>
          <w:tcPr>
            <w:tcW w:w="5020" w:type="dxa"/>
            <w:vAlign w:val="bottom"/>
          </w:tcPr>
          <w:p>
            <w:pPr>
              <w:jc w:val="center"/>
              <w:ind w:left="50"/>
              <w:spacing w:after="0" w:line="201" w:lineRule="exact"/>
              <w:rPr>
                <w:sz w:val="20"/>
                <w:szCs w:val="20"/>
                <w:color w:val="auto"/>
              </w:rPr>
            </w:pPr>
            <w:r>
              <w:rPr>
                <w:rFonts w:ascii="Arial" w:cs="Arial" w:eastAsia="Arial" w:hAnsi="Arial"/>
                <w:sz w:val="18"/>
                <w:szCs w:val="18"/>
                <w:color w:val="auto"/>
              </w:rPr>
              <w:t>95% reuse, recycle, and recovery and zero hazardous</w:t>
            </w:r>
          </w:p>
        </w:tc>
        <w:tc>
          <w:tcPr>
            <w:tcW w:w="4760" w:type="dxa"/>
            <w:vAlign w:val="bottom"/>
          </w:tcPr>
          <w:p>
            <w:pPr>
              <w:jc w:val="center"/>
              <w:spacing w:after="0" w:line="201" w:lineRule="exact"/>
              <w:rPr>
                <w:sz w:val="20"/>
                <w:szCs w:val="20"/>
                <w:color w:val="auto"/>
              </w:rPr>
            </w:pPr>
            <w:r>
              <w:rPr>
                <w:rFonts w:ascii="Arial" w:cs="Arial" w:eastAsia="Arial" w:hAnsi="Arial"/>
                <w:sz w:val="18"/>
                <w:szCs w:val="18"/>
                <w:color w:val="auto"/>
                <w:w w:val="99"/>
              </w:rPr>
              <w:t>100% reuse, recycle, and recovery and zero waste to</w:t>
            </w:r>
          </w:p>
        </w:tc>
      </w:tr>
      <w:tr>
        <w:trPr>
          <w:trHeight w:val="217"/>
        </w:trPr>
        <w:tc>
          <w:tcPr>
            <w:tcW w:w="1400" w:type="dxa"/>
            <w:vAlign w:val="bottom"/>
          </w:tcPr>
          <w:p>
            <w:pPr>
              <w:spacing w:after="0"/>
              <w:rPr>
                <w:sz w:val="18"/>
                <w:szCs w:val="18"/>
                <w:color w:val="auto"/>
              </w:rPr>
            </w:pPr>
          </w:p>
        </w:tc>
        <w:tc>
          <w:tcPr>
            <w:tcW w:w="5020" w:type="dxa"/>
            <w:vAlign w:val="bottom"/>
          </w:tcPr>
          <w:p>
            <w:pPr>
              <w:jc w:val="center"/>
              <w:ind w:left="50"/>
              <w:spacing w:after="0"/>
              <w:rPr>
                <w:sz w:val="20"/>
                <w:szCs w:val="20"/>
                <w:color w:val="auto"/>
              </w:rPr>
            </w:pPr>
            <w:r>
              <w:rPr>
                <w:rFonts w:ascii="Arial" w:cs="Arial" w:eastAsia="Arial" w:hAnsi="Arial"/>
                <w:sz w:val="18"/>
                <w:szCs w:val="18"/>
                <w:color w:val="auto"/>
                <w:w w:val="99"/>
              </w:rPr>
              <w:t>waste to landfill in calendar year 2030*</w:t>
            </w:r>
          </w:p>
        </w:tc>
        <w:tc>
          <w:tcPr>
            <w:tcW w:w="4760" w:type="dxa"/>
            <w:vAlign w:val="bottom"/>
          </w:tcPr>
          <w:p>
            <w:pPr>
              <w:jc w:val="center"/>
              <w:spacing w:after="0"/>
              <w:rPr>
                <w:sz w:val="20"/>
                <w:szCs w:val="20"/>
                <w:color w:val="auto"/>
              </w:rPr>
            </w:pPr>
            <w:r>
              <w:rPr>
                <w:rFonts w:ascii="Arial" w:cs="Arial" w:eastAsia="Arial" w:hAnsi="Arial"/>
                <w:sz w:val="18"/>
                <w:szCs w:val="18"/>
                <w:color w:val="auto"/>
              </w:rPr>
              <w:t>landfill</w:t>
            </w:r>
          </w:p>
        </w:tc>
      </w:tr>
    </w:tbl>
    <w:p>
      <w:pPr>
        <w:spacing w:after="0" w:line="179" w:lineRule="exact"/>
        <w:rPr>
          <w:sz w:val="20"/>
          <w:szCs w:val="20"/>
          <w:color w:val="auto"/>
        </w:rPr>
      </w:pPr>
    </w:p>
    <w:p>
      <w:pPr>
        <w:ind w:left="120" w:hanging="112"/>
        <w:spacing w:after="0"/>
        <w:tabs>
          <w:tab w:leader="none" w:pos="120" w:val="left"/>
        </w:tabs>
        <w:numPr>
          <w:ilvl w:val="0"/>
          <w:numId w:val="26"/>
        </w:numPr>
        <w:rPr>
          <w:rFonts w:ascii="Arial" w:cs="Arial" w:eastAsia="Arial" w:hAnsi="Arial"/>
          <w:sz w:val="18"/>
          <w:szCs w:val="18"/>
          <w:color w:val="auto"/>
        </w:rPr>
      </w:pPr>
      <w:r>
        <w:rPr>
          <w:rFonts w:ascii="Arial" w:cs="Arial" w:eastAsia="Arial" w:hAnsi="Arial"/>
          <w:sz w:val="16"/>
          <w:szCs w:val="16"/>
          <w:color w:val="auto"/>
        </w:rPr>
        <w:t>Subject to alternate disposal vendor availability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the Board also reviewed:</w:t>
      </w:r>
    </w:p>
    <w:p>
      <w:pPr>
        <w:spacing w:after="0" w:line="252" w:lineRule="exact"/>
        <w:rPr>
          <w:sz w:val="20"/>
          <w:szCs w:val="20"/>
          <w:color w:val="auto"/>
        </w:rPr>
      </w:pPr>
    </w:p>
    <w:p>
      <w:pPr>
        <w:ind w:left="660" w:right="24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sustainability report content and processes, which in fiscal 2021 included indexes and information aligning with the Sustainability Accounting Standards Board (“SASB”) semiconductor industry standard and Taskforce on Climate-related Financial Disclosures (“TCFD”), supporting investor requests to align with the SASB standard and TCFD recommendations;</w:t>
      </w:r>
    </w:p>
    <w:p>
      <w:pPr>
        <w:spacing w:after="0" w:line="228"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responsible sourcing and human rights efforts, including our conflict minerals report outlining our response to human rights and other concerns related to mineral sourcing as well as our annual modern slavery and human trafficking statement;</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human capital initiatives, including our talent acquisition, retention, and development policies and practices;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findings from team member, customer, investor and other stakeholder engagement exercises.</w:t>
      </w:r>
    </w:p>
    <w:p>
      <w:pPr>
        <w:spacing w:after="0" w:line="25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We strive to make a positive impact on our team members, the communities in which we operate, and the planet, as well as our customers’ sustainability performance. We plan to continue regular consultation with stakeholders regarding environmental and social issues and report annually on our progress in these efforts. Our 2021 Sustainability Report, available at micron.com/sustainability, includes more details about the ways we are committed to sustainable practices and supporting our global community. Our Sustainability Report, and the information at or accessible through our website, are not part of or incorporated by reference into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Risk Assessment and Mitigation</w:t>
      </w:r>
    </w:p>
    <w:p>
      <w:pPr>
        <w:spacing w:after="0" w:line="2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operate in a dynamic economic, social, and political landscape, making structured and conscientious risk management more important than ever. Our Board reviews and oversees our Enterprise Risk Management (“ERM”) program, which is a unified approach to risk management that helps us achieve a shared understanding of risks and make informed business decisions. This approach enhances our capability to address future events that create uncertainty and respond in an efficient and effective manner. It also facilitates prompt action to mitigate identified risks and embeds risk management into our culture.</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has delegated primary oversight of our ERM process to the Audit Committee, which conducts reviews of our risk assessment and ERM policies as described below, including overseeing the management of risks related to financial reporting and compliance. Other Board committees provide additional insights into our ERM program in the areas of their core competencies, and report to the Board regularly on matters relating to the following specific areas of risk the committees oversee:</w:t>
      </w:r>
    </w:p>
    <w:p>
      <w:pPr>
        <w:spacing w:after="0" w:line="23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Committee oversees management of risks relating to our compensation plans and programs.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180"/>
          </w:cols>
          <w:pgMar w:left="320" w:top="1098" w:right="399" w:bottom="1440" w:gutter="0" w:footer="0" w:header="0"/>
        </w:sectPr>
      </w:pPr>
    </w:p>
    <w:bookmarkStart w:id="23" w:name="page24"/>
    <w:bookmarkEnd w:id="23"/>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Finance Committee oversees the Company’s strategies for management of significant financial risks.</w:t>
      </w:r>
    </w:p>
    <w:p>
      <w:pPr>
        <w:spacing w:after="0" w:line="252"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Governance and Sustainability Committee oversees risks associated with the Board of Directors’ governance, director independence, and the Company’s human capital programs and sustainability initiatives.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Security Committee oversees risks associated with physical security and cybersecurity.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ERM Process</w:t>
      </w:r>
    </w:p>
    <w:p>
      <w:pPr>
        <w:spacing w:after="0" w:line="27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designed our ERM program to clearly identify risk management roles and responsibilities, bring together senior management to discuss risk, promote visibility and constructive dialogue, and facilitate risk response and mitigation strategies. The Audit Committee plays a key role in this process, and the full Board conducts periodic reviews.</w:t>
      </w:r>
    </w:p>
    <w:p>
      <w:pPr>
        <w:spacing w:after="0" w:line="229" w:lineRule="exact"/>
        <w:rPr>
          <w:sz w:val="20"/>
          <w:szCs w:val="20"/>
          <w:color w:val="auto"/>
        </w:rPr>
      </w:pPr>
    </w:p>
    <w:p>
      <w:pPr>
        <w:ind w:left="660" w:right="5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an initial step, our Risk Advisory Services representative meets periodically with business unit and functional area heads to identify significant financial and nonfinancial risk exposures and to develop risk mitigation measures and contingency plans.</w:t>
      </w:r>
    </w:p>
    <w:p>
      <w:pPr>
        <w:spacing w:after="0" w:line="224"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After we collect data from stakeholders throughout the Company, our Risk Advisory Services representative summarizes the results of these meetings and creates a consolidated risk profile.</w:t>
      </w:r>
    </w:p>
    <w:p>
      <w:pPr>
        <w:spacing w:after="0" w:line="224" w:lineRule="exact"/>
        <w:rPr>
          <w:rFonts w:ascii="Arial" w:cs="Arial" w:eastAsia="Arial" w:hAnsi="Arial"/>
          <w:sz w:val="18"/>
          <w:szCs w:val="18"/>
          <w:color w:val="auto"/>
        </w:rPr>
      </w:pPr>
    </w:p>
    <w:p>
      <w:pPr>
        <w:jc w:val="both"/>
        <w:ind w:left="660" w:right="22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Risk Advisory Services representative then reviews this risk profile with our senior management, seeking input and agreement on mitigation and response strategies. This process is iterative, and repeats as significant risks are added to, or are removed from, the ERM program.</w:t>
      </w:r>
    </w:p>
    <w:p>
      <w:pPr>
        <w:spacing w:after="0" w:line="228" w:lineRule="exact"/>
        <w:rPr>
          <w:rFonts w:ascii="Arial" w:cs="Arial" w:eastAsia="Arial" w:hAnsi="Arial"/>
          <w:sz w:val="18"/>
          <w:szCs w:val="18"/>
          <w:color w:val="auto"/>
        </w:rPr>
      </w:pPr>
    </w:p>
    <w:p>
      <w:pPr>
        <w:jc w:val="both"/>
        <w:ind w:left="660" w:right="8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Risk Advisory Services representative attends quarterly Audit Committee meetings, where the Audit Committee reviews our risk profile and mitigation and response strategies, as well as our progress toward mitigating identified risks. This process repeats for the full Board periodically.</w:t>
      </w:r>
    </w:p>
    <w:p>
      <w:pPr>
        <w:spacing w:after="0" w:line="228"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After incorporating input from the Audit Committee and/or the full Board, Risk Advisory Services designs our internal audit strategies and plans to minimize the impact of relevant risks.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Compensation Committee reviews our compensation programs annually and has concluded that our compensation policies and practices are not reasonably likely to create situations that would have a material adverse effect on us. In making this assessment, the Compensation Committee reviewed our compensation programs to determine if the programs’ provisions and operations create undesired or unintentional risk of a material nature. The Compensation Committee also reviewed the results of our findings with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 to potential reward, and risk-control. Although the Compensation Committee reviewed all compensation programs, the Committee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across the Company. Certain internal groups have different or supplemental compensation programs tailored to their specific operations and goals, and programs may differ by country due to variations in local laws and customs.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17</w:t>
      </w:r>
    </w:p>
    <w:p>
      <w:pPr>
        <w:sectPr>
          <w:pgSz w:w="11900" w:h="16838" w:orient="portrait"/>
          <w:cols w:equalWidth="0" w:num="1">
            <w:col w:w="11240"/>
          </w:cols>
          <w:pgMar w:left="320" w:top="1354"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0090DA"/>
        </w:rPr>
        <w:t>Board Processes and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Acting ethically is a critical part of our culture and our vision to transform how the world uses information to enrich life for all. The Board has adopted a Code of Business Conduct and Ethics that is applicable to all our directors, officers, and team members. The Code of Business Conduct and Ethics sets out our expectations regarding the treatment of our team members, customers, and the communities in which we operate, as well as our commitment to high product quality, ethical and legal sourcing of our materials, and acting with integrity for our investors. A copy of our Code of Business Conduct and Ethics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 and the Listing Rules of Nasdaq.</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Self-Evaluation</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Governance and Sustainability Committee oversees the Board’s ongoing and annual assessments of its effectiveness, including the effectiveness of its committees and directors. All directors complete an evaluation form for the Board and for each committee on which they serve. These forms include ratings for certain key metrics, as well as the opportunity for written comments. The comments provide key insights into the areas directors believe the Board can improve or in which its performance is strong. Evaluation topics include number and length of meetings, topics covered and materials provided, committee structure and activities, Board composition and expertise, succession planning, director participation and interaction with management, and promotion of ethical behavior. Our Board considers the results when making decisions on the structure and responsibilities of our Board and its committees, agendas and meeting schedules for our Board and its committees, and changes in the performance or functioning of our Board.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Skills Evaluation</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Governance and Sustainability Committee oversees the Board’s ongoing and annual assessments of the Board’s composition and the skills each director possesses. The Governance and Sustainability Committee has identified and continually refines a list of skills, attributes, and experiences that it believes will result in an effective, dynamic, and diverse Board. The Governance and Sustainability Committee then reviews each director on a matrix in an effort to identify needed skills, experiences, or perspectives. The Governance and Sustainability Committee uses the insights this matrix provides to recommend committee assignments and inform searches for new director candidates or opportunities to refresh Board composition.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Board Structure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has determined that directors Beyer, Dugle, Gomo, Haynesworth, McCarthy, Switz, and Wright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Mr. Switz has served as our independent Chair of the Board since February 2012. We do not have a fixed policy on whether the roles of Chair of the Board and Chief Executive Officer should be separate or combined. The Board’s decision is based on our and our shareholders’ best interests under the circumstances existing at the time. In his role as Chair, Mr. Switz oversees meetings of the independent directors and acts as a liaison between the independent directors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Board Meetings and Committees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Board held ten formal meetings during fiscal 2021. The Board met in Executive Session (meetings in which only non-employee directors are present) four times during fiscal 2021. In fiscal 2021, the Board had a standing Audit Committee, Compensation Committee, Finance Committee, Governance and Sustainability Committee, and Security Committee (established in June 2021). During fiscal 2021, the Audit Committee met eight times, the Compensation Committee met five times, the Finance Committee met four times, the Governance and Sustainability Committee met four times, and the Security Committee met one time. In addition to formal committee meetings, the chair of each committee engaged in regular discussions with management regarding various issues relevant to their respective committees. All incumbent directors attended 75% or more of the total number of meetings of the Board during fiscal 2021. All incumbent directors who served on the Audit, Compensation, Finance, Governance and Sustainability, and Security Committees attended 75% or more of the total number of applicable committee meetings during fiscal 2021. We encourage director attendance at the Annual Meeting of Shareholders, and all then-incumbent members of our Board were present at the Fiscal 2020 Annual Meeting of Shareholders.</w:t>
      </w:r>
    </w:p>
    <w:p>
      <w:pPr>
        <w:spacing w:after="0" w:line="2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Audit, Compensation, Finance, Governance and Sustainability, and Security Committees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are also available in print upon request to corporatesecretary@micron.com. The Board has determined that all the members of the Audit, Compensation, Governance and Sustainability, and Security Committees satisfy the independence requirements of applicable SEC laws and the Listing Rules of Nasdaq for such committees.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Mses. McCarthy and Dugle and Mr. Gomo currently serve on the Audit Committee. During fiscal 2021, Mses. McCarthy and Dugle and Messrs. Bailey and Gomo served on the Audit Committee (Mr. Bailey served until his resignation from the Board in January 2021). Mr. Gomo has served as the Chair of the Audit Committee since January 2019. The Board has determined that all Audit Committee members qualify as an “audit committee financial expert” for purposes of the rules and regulations of the SEC and that each of these members is sufficiently proficient in reading and understanding our financial statements to serve on the Audit Committee. The purpose of the Audit Committee is to assist the Board in overseeing and monitoring:</w:t>
      </w:r>
    </w:p>
    <w:p>
      <w:pPr>
        <w:spacing w:after="0" w:line="23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adequacy of our internal controls and procedures;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“Audit Committee Matters –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Ms. Wright and Messrs. Beyer and Switz currently serve on the Compensation Committee. During fiscal 2021, Ms. Wright and Messrs. Beyer and Switz served on the Compensation Committee. Mr. Beyer has served as the Chair of the Compensation Committee since April 2021. Previously, Mr. Switz had served as the Chair of the Compensation Committee since January 2019. The Board has determined that all Compensation Committee members qualify as “non-employee directors” as defined under Rule 16b-3, promulgated under Section 16 of the</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19</w:t>
      </w:r>
    </w:p>
    <w:p>
      <w:pPr>
        <w:sectPr>
          <w:pgSz w:w="11900" w:h="16838" w:orient="portrait"/>
          <w:cols w:equalWidth="0" w:num="1">
            <w:col w:w="11240"/>
          </w:cols>
          <w:pgMar w:left="320" w:top="1089" w:right="339" w:bottom="1440" w:gutter="0" w:footer="0" w:header="0"/>
        </w:sectPr>
      </w:pPr>
    </w:p>
    <w:bookmarkStart w:id="26" w:name="page27"/>
    <w:bookmarkEnd w:id="26"/>
    <w:p>
      <w:pPr>
        <w:ind w:right="240"/>
        <w:spacing w:after="0" w:line="252" w:lineRule="auto"/>
        <w:rPr>
          <w:sz w:val="20"/>
          <w:szCs w:val="20"/>
          <w:color w:val="auto"/>
        </w:rPr>
      </w:pPr>
      <w:r>
        <w:rPr>
          <w:rFonts w:ascii="Arial" w:cs="Arial" w:eastAsia="Arial" w:hAnsi="Arial"/>
          <w:sz w:val="18"/>
          <w:szCs w:val="18"/>
          <w:color w:val="auto"/>
        </w:rPr>
        <w:t xml:space="preserve">Securities Exchange Act of 1934, as amended (the “Exchange Act”). The Compensation Committee is responsible for reviewing and approving the compensation of our executive officers. See “Executive Compensation and Related Information – Compensation Discussion and Analysis” and “–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also available in print upon request to corporatesecretary@micron.com.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Ms. McCarthy and Messrs. Gomo and Mehrotra currently serve on the Finance Committee. During fiscal 2021, Mses. Dugle and McCarthy, and Messrs. Bailey, Gomo, and Mehrotra served on the Finance Committee (Mr. Bailey served until his resignation from the Board in January 2021, and Ms. Dugle served until June 2021 when she became Chair of the Security Committee). Mr. Mehrotra joined the Finance Committee when he became our President and CEO in May 2017. Ms. McCarthy has served as the Chair of the Finance Committee since January 2019. The Finance Committee represents and assists the Board in discharging its responsibilities with respect to oversight of our financial policies, financial strategies, capital structure, debt and equity offerings, capital return program, cash management and investments, risk management related to hedge and derivative instruments, and insurance. The complete duties of the Finance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and Sustainability Committee</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Mses. Haynesworth and Wright and Messrs. Beyer and Switz currently serve on the Governance and Sustainability Committee. During fiscal 2021, Mses. Haynesworth and Wright and Messrs. Beyer and Switz served on the Governance and Sustainability Committee, with Ms. Haynesworth joining the Committee in April 2021. Ms. Wright has served as Chair of the Governance and Sustainability Committee since April 2021. Previously, Mr. Beyer had served as Chair of the Governance and Sustainability Committee since July 2018. The responsibilities of the Governance and Sustainability Committee include assisting the Board in discharging its duties with respect to the following:</w:t>
      </w:r>
    </w:p>
    <w:p>
      <w:pPr>
        <w:spacing w:after="0" w:line="23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identification and selection of nominees to our Board;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oversight and monitoring of the development and integration of material social and environmental strategies;</w:t>
      </w:r>
    </w:p>
    <w:p>
      <w:pPr>
        <w:spacing w:after="0" w:line="238"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oversight and monitoring of our human capital management efforts, including culture, talent development and retention, and diversity, equality, and inclusion programs and initiatives;</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our Corporate Governance Guidelines;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evaluation of the Board and management.</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The complete duties and responsibilities of the Governance and Sustainability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Committee</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Mses. Dugle and Haynesworth and Mr. Beyer currently serve on the Security Committee, which was established in June 2021. During fiscal 2021, Mses. Dugle and Haynesworth and Mr. Beyer served on the Security Committee. Ms. Dugle has served as Chair of the Security Committee since June 2021. The responsibilities of the Security Committee include assisting the Board in discharging its duties with respect to oversight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20"/>
          </w:cols>
          <w:pgMar w:left="320" w:top="1111" w:right="359" w:bottom="1440" w:gutter="0" w:footer="0" w:header="0"/>
        </w:sectPr>
      </w:pPr>
    </w:p>
    <w:bookmarkStart w:id="27" w:name="page28"/>
    <w:bookmarkEnd w:id="27"/>
    <w:p>
      <w:pPr>
        <w:ind w:left="660" w:right="40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physical security of our facilities and employees as well as enterprise cybersecurity and data protection risks associated with our security-related infrastructure and related operations including outside partners;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cyber crisis preparedness and security breach and incident response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applicable information security and data protection laws and industry standards;</w:t>
      </w:r>
    </w:p>
    <w:p>
      <w:pPr>
        <w:spacing w:after="0" w:line="252"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physical and cybersecurity strategy, crisis or incident management, and security-related information technology planning processes; and</w:t>
      </w:r>
    </w:p>
    <w:p>
      <w:pPr>
        <w:spacing w:after="0" w:line="224"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disclosure relating to security of our employees, facilities, and information technology systems, including privacy, network security, and data security.</w:t>
      </w:r>
    </w:p>
    <w:p>
      <w:pPr>
        <w:spacing w:after="0" w:line="20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The complete duties and responsibilities of the Security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and Communications with the Board of Directors</w:t>
      </w:r>
    </w:p>
    <w:p>
      <w:pPr>
        <w:spacing w:after="0" w:line="274"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Mr. Switz has been the independent Chair of our Board since February 2012. As part of his duties as Chair, Mr. Switz chairs Executive Session meetings of our Board. Shareholders and interested parties wishing to communicate with our Board may contact Mr. Switz at chair@micron.com.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CERTAIN RELATIONSHIPS AND RELATED TRANSACTIONS</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Related party transactions are reviewed by our Board in accordance with our related party transaction policy.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 (i) the nature and terms of the transaction,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There were no actual or proposed related party transactions in excess of $120,000 for fiscal 2021 and through November 19, 2021.</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21</w:t>
      </w:r>
    </w:p>
    <w:p>
      <w:pPr>
        <w:sectPr>
          <w:pgSz w:w="11900" w:h="16838" w:orient="portrait"/>
          <w:cols w:equalWidth="0" w:num="1">
            <w:col w:w="11240"/>
          </w:cols>
          <w:pgMar w:left="320" w:top="1111" w:right="339" w:bottom="1440" w:gutter="0" w:footer="0" w:header="0"/>
        </w:sectPr>
      </w:pPr>
    </w:p>
    <w:bookmarkStart w:id="28" w:name="page29"/>
    <w:bookmarkEnd w:id="28"/>
    <w:p>
      <w:pPr>
        <w:spacing w:after="0"/>
        <w:rPr>
          <w:sz w:val="20"/>
          <w:szCs w:val="20"/>
          <w:color w:val="auto"/>
        </w:rPr>
      </w:pPr>
      <w:r>
        <w:rPr>
          <w:rFonts w:ascii="Arial" w:cs="Arial" w:eastAsia="Arial" w:hAnsi="Arial"/>
          <w:sz w:val="40"/>
          <w:szCs w:val="40"/>
          <w:b w:val="1"/>
          <w:bCs w:val="1"/>
          <w:color w:val="auto"/>
        </w:rPr>
        <w:t>DIRECTOR COMPENSATION</w:t>
      </w:r>
    </w:p>
    <w:p>
      <w:pPr>
        <w:spacing w:after="0" w:line="28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Governance and Sustainability Committee oversees the setting of compensation for our non-employee members of the Board. Each year, the Governance and Sustainability Committee works with our compensation consultant to review and evaluate director compensation for the ensuing fiscal year, in light of prevailing market conditions and to attract, retain, and reward qualified non-employee directors. The compensation consultant gathers and reviews market data for non-employee directors from the same Compensation Peer Group used to evaluate officer compensation. For a discussion concerning the companies that comprised our Compensation Peer Group, please see “Executive Compensation and Related Information – Compensation Discussion and Analysis” below. Upon completion of its review and evaluation, the Governance and Sustainability Committee did not recommend any changes to the Board in director compensation for fiscal 2022 except compensation for the newly-added position of Security Committee Chair.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Elements of Director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Retainer and Committee Chair Remuneration</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Non-employee directors were entitled to receive an annual retainer of $125,000 in fiscal 2021. Pursuant to our 2008 Director’s Compensation Plan (the “DCP”), which operates as a sub-plan of the Amended and Restated 2007 Equity Incentive Plan (the “2007 Plan”), non-employee directors may elect to take some or all of their annual retainer in the form of cash, shares of Common Stock, or deferred rights to receive Common Stock upon termination as a director. Employee directors receive no additional or special remuneration for their service as directors. The amounts earned by the non-employee directors in respect of their service during fiscal 2021 are set forth below under “Fiscal 2021 Director Compensation.”</w:t>
      </w:r>
    </w:p>
    <w:p>
      <w:pPr>
        <w:spacing w:after="0" w:line="23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Set forth below are the amounts directors are entitled to receive for their service as committee chair or Chair of the Board of Directors for fiscal 2021 and 2022:</w:t>
      </w:r>
    </w:p>
    <w:tbl>
      <w:tblPr>
        <w:tblLayout w:type="fixed"/>
        <w:tblInd w:w="0" w:type="dxa"/>
        <w:tblCellMar>
          <w:top w:w="0" w:type="dxa"/>
          <w:left w:w="0" w:type="dxa"/>
          <w:bottom w:w="0" w:type="dxa"/>
          <w:right w:w="0" w:type="dxa"/>
        </w:tblCellMar>
      </w:tblPr>
      <w:tr>
        <w:trPr>
          <w:trHeight w:val="239"/>
        </w:trPr>
        <w:tc>
          <w:tcPr>
            <w:tcW w:w="6140" w:type="dxa"/>
            <w:vAlign w:val="bottom"/>
            <w:tcBorders>
              <w:bottom w:val="single" w:sz="8" w:color="0090DA"/>
            </w:tcBorders>
          </w:tcPr>
          <w:p>
            <w:pPr>
              <w:spacing w:after="0"/>
              <w:rPr>
                <w:sz w:val="20"/>
                <w:szCs w:val="20"/>
                <w:color w:val="auto"/>
              </w:rPr>
            </w:pPr>
          </w:p>
        </w:tc>
        <w:tc>
          <w:tcPr>
            <w:tcW w:w="25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20"/>
                <w:szCs w:val="20"/>
                <w:color w:val="auto"/>
              </w:rPr>
            </w:pPr>
          </w:p>
        </w:tc>
        <w:tc>
          <w:tcPr>
            <w:tcW w:w="10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34"/>
        </w:trPr>
        <w:tc>
          <w:tcPr>
            <w:tcW w:w="6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6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Audit Committee Chair</w:t>
            </w:r>
          </w:p>
        </w:tc>
        <w:tc>
          <w:tcPr>
            <w:tcW w:w="25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35,000</w:t>
            </w:r>
          </w:p>
        </w:tc>
        <w:tc>
          <w:tcPr>
            <w:tcW w:w="3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35,000</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2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6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Finance Committee Chair</w:t>
            </w:r>
          </w:p>
        </w:tc>
        <w:tc>
          <w:tcPr>
            <w:tcW w:w="25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Governance and Sustainability Committee Chair</w:t>
            </w:r>
          </w:p>
        </w:tc>
        <w:tc>
          <w:tcPr>
            <w:tcW w:w="2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6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Security Committee Chair</w:t>
            </w:r>
          </w:p>
        </w:tc>
        <w:tc>
          <w:tcPr>
            <w:tcW w:w="25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Chair of the Board of Directors</w:t>
            </w:r>
          </w:p>
        </w:tc>
        <w:tc>
          <w:tcPr>
            <w:tcW w:w="2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w:t>
            </w:r>
          </w:p>
        </w:tc>
      </w:tr>
    </w:tbl>
    <w:p>
      <w:pPr>
        <w:spacing w:after="0" w:line="3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We reimburse directors for travel and lodging expenses, if any, incurred in connection with attendance at Board of Directors’ meetings.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w:t>
      </w:r>
    </w:p>
    <w:p>
      <w:pPr>
        <w:spacing w:after="0" w:line="27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Non-employee directors receive an equity award each fiscal year. Since fiscal 2007, the equity award has been exclusively in the form of restricted stock. The “targeted value” for the annual non-employee director equity award is established each year by the Board following discussions with our compensation consultant and has been set at $ 250,000 since fiscal 2015.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2021 lapse for 100% of such shares on the first anniversary of the date of grant (the “Vesting Period”). Notwithstanding the foregoing, the restrictions will lapse for 100% of such shares in the event a director reaches the mandatory retirement age, if any, or retires from the Board during the Vesting Period having achieved a minimum of three years of service with the Board prior to the effective date of their retirement, or upon a director’s death or disability.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081"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0090DA"/>
        </w:rPr>
        <w:t>Fiscal 2021 Director Compensation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80" w:type="dxa"/>
            <w:vAlign w:val="bottom"/>
            <w:gridSpan w:val="4"/>
          </w:tcPr>
          <w:p>
            <w:pPr>
              <w:spacing w:after="0"/>
              <w:rPr>
                <w:sz w:val="20"/>
                <w:szCs w:val="20"/>
                <w:color w:val="auto"/>
              </w:rPr>
            </w:pPr>
            <w:r>
              <w:rPr>
                <w:rFonts w:ascii="Arial" w:cs="Arial" w:eastAsia="Arial" w:hAnsi="Arial"/>
                <w:sz w:val="18"/>
                <w:szCs w:val="18"/>
                <w:color w:val="auto"/>
                <w:w w:val="99"/>
              </w:rPr>
              <w:t>The following table details the total compensation earned by our non-employee directors in fiscal 2021.</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380" w:type="dxa"/>
            <w:vAlign w:val="bottom"/>
          </w:tcPr>
          <w:p>
            <w:pPr>
              <w:spacing w:after="0"/>
              <w:rPr>
                <w:sz w:val="17"/>
                <w:szCs w:val="17"/>
                <w:color w:val="auto"/>
              </w:rPr>
            </w:pPr>
          </w:p>
        </w:tc>
        <w:tc>
          <w:tcPr>
            <w:tcW w:w="15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Fees Earned or</w:t>
            </w:r>
          </w:p>
        </w:tc>
        <w:tc>
          <w:tcPr>
            <w:tcW w:w="200" w:type="dxa"/>
            <w:vAlign w:val="bottom"/>
          </w:tcPr>
          <w:p>
            <w:pPr>
              <w:spacing w:after="0"/>
              <w:rPr>
                <w:sz w:val="17"/>
                <w:szCs w:val="17"/>
                <w:color w:val="auto"/>
              </w:rPr>
            </w:pPr>
          </w:p>
        </w:tc>
        <w:tc>
          <w:tcPr>
            <w:tcW w:w="15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Stock Awards(2)</w:t>
            </w:r>
          </w:p>
        </w:tc>
        <w:tc>
          <w:tcPr>
            <w:tcW w:w="36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0090DA"/>
            </w:tcBorders>
            <w:vMerge w:val="continue"/>
          </w:tcPr>
          <w:p>
            <w:pPr>
              <w:spacing w:after="0"/>
              <w:rPr>
                <w:sz w:val="19"/>
                <w:szCs w:val="19"/>
                <w:color w:val="auto"/>
              </w:rPr>
            </w:pPr>
          </w:p>
        </w:tc>
        <w:tc>
          <w:tcPr>
            <w:tcW w:w="2380" w:type="dxa"/>
            <w:vAlign w:val="bottom"/>
            <w:tcBorders>
              <w:bottom w:val="single" w:sz="8" w:color="0090DA"/>
            </w:tcBorders>
          </w:tcPr>
          <w:p>
            <w:pPr>
              <w:spacing w:after="0"/>
              <w:rPr>
                <w:sz w:val="19"/>
                <w:szCs w:val="19"/>
                <w:color w:val="auto"/>
              </w:rPr>
            </w:pPr>
          </w:p>
        </w:tc>
        <w:tc>
          <w:tcPr>
            <w:tcW w:w="154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Paid in Cash(1)</w:t>
            </w:r>
          </w:p>
        </w:tc>
        <w:tc>
          <w:tcPr>
            <w:tcW w:w="200" w:type="dxa"/>
            <w:vAlign w:val="bottom"/>
            <w:tcBorders>
              <w:bottom w:val="single" w:sz="8" w:color="0090DA"/>
            </w:tcBorders>
          </w:tcPr>
          <w:p>
            <w:pPr>
              <w:spacing w:after="0"/>
              <w:rPr>
                <w:sz w:val="19"/>
                <w:szCs w:val="19"/>
                <w:color w:val="auto"/>
              </w:rPr>
            </w:pPr>
          </w:p>
        </w:tc>
        <w:tc>
          <w:tcPr>
            <w:tcW w:w="1560" w:type="dxa"/>
            <w:vAlign w:val="bottom"/>
            <w:tcBorders>
              <w:bottom w:val="single" w:sz="8" w:color="0090DA"/>
            </w:tcBorders>
            <w:vMerge w:val="continue"/>
          </w:tcPr>
          <w:p>
            <w:pPr>
              <w:spacing w:after="0"/>
              <w:rPr>
                <w:sz w:val="19"/>
                <w:szCs w:val="19"/>
                <w:color w:val="auto"/>
              </w:rPr>
            </w:pPr>
          </w:p>
        </w:tc>
        <w:tc>
          <w:tcPr>
            <w:tcW w:w="3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Robert L. Bailey(3)</w:t>
            </w:r>
          </w:p>
        </w:tc>
        <w:tc>
          <w:tcPr>
            <w:tcW w:w="2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46,528</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249,987</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296,515</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Richard M. Beyer</w:t>
            </w:r>
          </w:p>
        </w:tc>
        <w:tc>
          <w:tcPr>
            <w:tcW w:w="2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148,388</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249,987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398,375</w:t>
            </w:r>
          </w:p>
        </w:tc>
        <w:tc>
          <w:tcPr>
            <w:tcW w:w="0" w:type="dxa"/>
            <w:vAlign w:val="bottom"/>
          </w:tcPr>
          <w:p>
            <w:pPr>
              <w:spacing w:after="0"/>
              <w:rPr>
                <w:sz w:val="1"/>
                <w:szCs w:val="1"/>
                <w:color w:val="auto"/>
              </w:rPr>
            </w:pPr>
          </w:p>
        </w:tc>
      </w:tr>
      <w:tr>
        <w:trPr>
          <w:trHeight w:val="230"/>
        </w:trPr>
        <w:tc>
          <w:tcPr>
            <w:tcW w:w="4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Lynn A. Dugle</w:t>
            </w:r>
          </w:p>
        </w:tc>
        <w:tc>
          <w:tcPr>
            <w:tcW w:w="238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127,458</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249,987</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377,445</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Steven Gomo</w:t>
            </w:r>
          </w:p>
        </w:tc>
        <w:tc>
          <w:tcPr>
            <w:tcW w:w="2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160,000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249,987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409,987</w:t>
            </w:r>
          </w:p>
        </w:tc>
        <w:tc>
          <w:tcPr>
            <w:tcW w:w="0" w:type="dxa"/>
            <w:vAlign w:val="bottom"/>
          </w:tcPr>
          <w:p>
            <w:pPr>
              <w:spacing w:after="0"/>
              <w:rPr>
                <w:sz w:val="1"/>
                <w:szCs w:val="1"/>
                <w:color w:val="auto"/>
              </w:rPr>
            </w:pPr>
          </w:p>
        </w:tc>
      </w:tr>
      <w:tr>
        <w:trPr>
          <w:trHeight w:val="229"/>
        </w:trPr>
        <w:tc>
          <w:tcPr>
            <w:tcW w:w="4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Linnie Haynesworth(4)</w:t>
            </w:r>
          </w:p>
        </w:tc>
        <w:tc>
          <w:tcPr>
            <w:tcW w:w="238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67,708</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137,384</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205,092</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2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145,000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249,987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394,987</w:t>
            </w:r>
          </w:p>
        </w:tc>
        <w:tc>
          <w:tcPr>
            <w:tcW w:w="0" w:type="dxa"/>
            <w:vAlign w:val="bottom"/>
          </w:tcPr>
          <w:p>
            <w:pPr>
              <w:spacing w:after="0"/>
              <w:rPr>
                <w:sz w:val="1"/>
                <w:szCs w:val="1"/>
                <w:color w:val="auto"/>
              </w:rPr>
            </w:pPr>
          </w:p>
        </w:tc>
      </w:tr>
      <w:tr>
        <w:trPr>
          <w:trHeight w:val="229"/>
        </w:trPr>
        <w:tc>
          <w:tcPr>
            <w:tcW w:w="4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Robert E. Switz</w:t>
            </w:r>
          </w:p>
        </w:tc>
        <w:tc>
          <w:tcPr>
            <w:tcW w:w="238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294,835</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249,987</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544,822</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MaryAnn Wright</w:t>
            </w:r>
          </w:p>
        </w:tc>
        <w:tc>
          <w:tcPr>
            <w:tcW w:w="2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131,776</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249,987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381,763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240" w:hanging="332"/>
        <w:spacing w:after="0" w:line="261"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for Mr. Bailey represent fees earned up to his resignation on January 14, 2021. Amounts for Ms. Haynesworth represent fees earned from February 15, 2021, the date she joined the Board, to September 2, 2021.</w:t>
      </w:r>
    </w:p>
    <w:p>
      <w:pPr>
        <w:spacing w:after="0" w:line="157" w:lineRule="exact"/>
        <w:rPr>
          <w:rFonts w:ascii="Arial" w:cs="Arial" w:eastAsia="Arial" w:hAnsi="Arial"/>
          <w:sz w:val="18"/>
          <w:szCs w:val="18"/>
          <w:color w:val="auto"/>
        </w:rPr>
      </w:pPr>
    </w:p>
    <w:p>
      <w:pPr>
        <w:ind w:left="340" w:right="280" w:hanging="332"/>
        <w:spacing w:after="0" w:line="254"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October 16, 2020, each of Messrs. Bailey, Beyer, Gomo, and Switz, and Mses. Dugle, McCarthy, and Wright was granted 4,813 shares of restricted stock with a grant date fair value of $249,987 ($51.94 per share). On February 15, 2021, Ms. Haynesworth was granted 1,561 shares of restricted stock with a grant date fair value of $137,384 ($88.01 per share). For information on the restrictions associated with these awards, see “Elements of Director Compensation – Equity Award” above.</w:t>
      </w:r>
    </w:p>
    <w:p>
      <w:pPr>
        <w:spacing w:after="0" w:line="163"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Bailey terminated Board service on January 14, 2021.</w:t>
      </w:r>
    </w:p>
    <w:p>
      <w:pPr>
        <w:spacing w:after="0" w:line="198" w:lineRule="exact"/>
        <w:rPr>
          <w:rFonts w:ascii="Arial" w:cs="Arial" w:eastAsia="Arial" w:hAnsi="Arial"/>
          <w:sz w:val="18"/>
          <w:szCs w:val="18"/>
          <w:color w:val="auto"/>
        </w:rPr>
      </w:pPr>
    </w:p>
    <w:p>
      <w:pPr>
        <w:ind w:left="340" w:right="460" w:hanging="332"/>
        <w:spacing w:after="0" w:line="261"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Ms. Haynesworth joined the Board on February 15, 2021, and therefore, her “Fees Earned or Paid in Cash” and “Stock Awards” are prorated.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 Ownership Guidelines</w:t>
      </w:r>
    </w:p>
    <w:p>
      <w:pPr>
        <w:spacing w:after="0" w:line="265"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We have established stock ownership guidelines for our directors. The minimum ownership guideline for directors is to hold shares with a value equal to five times their annual retainer. The minimum ownership guideline for our CEO is to hold shares with a value equal to five times his base salary. Directors are given five years to meet the ownership guidelines. The Governance and Sustainability Committee reviews the Ownership Guidelines annually and monitors each person’s progress toward, and continued compliance with, the guidelines. Stock sales restrictions may be imposed upon directors if the stock ownership guidelines are not met. All our directors are either in compliance with the guidelines or are newer directors who have time remaining to meet the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23</w:t>
      </w:r>
    </w:p>
    <w:p>
      <w:pPr>
        <w:sectPr>
          <w:pgSz w:w="11900" w:h="16838" w:orient="portrait"/>
          <w:cols w:equalWidth="0" w:num="1">
            <w:col w:w="11240"/>
          </w:cols>
          <w:pgMar w:left="320" w:top="13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shows non-employee director compliance with the guidelines as of the Record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Director</w:t>
            </w:r>
          </w:p>
        </w:tc>
        <w:tc>
          <w:tcPr>
            <w:tcW w:w="3900" w:type="dxa"/>
            <w:vAlign w:val="bottom"/>
          </w:tcPr>
          <w:p>
            <w:pPr>
              <w:jc w:val="center"/>
              <w:ind w:left="2710"/>
              <w:spacing w:after="0"/>
              <w:rPr>
                <w:sz w:val="20"/>
                <w:szCs w:val="20"/>
                <w:color w:val="auto"/>
              </w:rPr>
            </w:pPr>
            <w:r>
              <w:rPr>
                <w:rFonts w:ascii="Arial" w:cs="Arial" w:eastAsia="Arial" w:hAnsi="Arial"/>
                <w:sz w:val="18"/>
                <w:szCs w:val="18"/>
                <w:b w:val="1"/>
                <w:bCs w:val="1"/>
                <w:color w:val="auto"/>
                <w:w w:val="99"/>
              </w:rPr>
              <w:t>Guideline</w:t>
            </w:r>
          </w:p>
        </w:tc>
        <w:tc>
          <w:tcPr>
            <w:tcW w:w="300" w:type="dxa"/>
            <w:vAlign w:val="bottom"/>
          </w:tcPr>
          <w:p>
            <w:pPr>
              <w:spacing w:after="0"/>
              <w:rPr>
                <w:sz w:val="17"/>
                <w:szCs w:val="17"/>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Guideline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Compliance</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0090DA"/>
            </w:tcBorders>
            <w:vMerge w:val="continue"/>
          </w:tcPr>
          <w:p>
            <w:pPr>
              <w:spacing w:after="0"/>
              <w:rPr>
                <w:sz w:val="19"/>
                <w:szCs w:val="19"/>
                <w:color w:val="auto"/>
              </w:rPr>
            </w:pPr>
          </w:p>
        </w:tc>
        <w:tc>
          <w:tcPr>
            <w:tcW w:w="3900" w:type="dxa"/>
            <w:vAlign w:val="bottom"/>
            <w:tcBorders>
              <w:bottom w:val="single" w:sz="8" w:color="0090DA"/>
            </w:tcBorders>
          </w:tcPr>
          <w:p>
            <w:pPr>
              <w:jc w:val="center"/>
              <w:ind w:left="2690"/>
              <w:spacing w:after="0"/>
              <w:rPr>
                <w:sz w:val="20"/>
                <w:szCs w:val="20"/>
                <w:color w:val="auto"/>
              </w:rPr>
            </w:pPr>
            <w:r>
              <w:rPr>
                <w:rFonts w:ascii="Arial" w:cs="Arial" w:eastAsia="Arial" w:hAnsi="Arial"/>
                <w:sz w:val="18"/>
                <w:szCs w:val="18"/>
                <w:b w:val="1"/>
                <w:bCs w:val="1"/>
                <w:color w:val="auto"/>
                <w:w w:val="99"/>
              </w:rPr>
              <w:t>Multiplier</w:t>
            </w:r>
          </w:p>
        </w:tc>
        <w:tc>
          <w:tcPr>
            <w:tcW w:w="30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with Guideline</w:t>
            </w:r>
          </w:p>
        </w:tc>
        <w:tc>
          <w:tcPr>
            <w:tcW w:w="0" w:type="dxa"/>
            <w:vAlign w:val="bottom"/>
          </w:tcPr>
          <w:p>
            <w:pPr>
              <w:spacing w:after="0"/>
              <w:rPr>
                <w:sz w:val="1"/>
                <w:szCs w:val="1"/>
                <w:color w:val="auto"/>
              </w:rPr>
            </w:pPr>
          </w:p>
        </w:tc>
      </w:tr>
      <w:tr>
        <w:trPr>
          <w:trHeight w:val="34"/>
        </w:trPr>
        <w:tc>
          <w:tcPr>
            <w:tcW w:w="45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BCBCB"/>
          </w:tcPr>
          <w:p>
            <w:pPr>
              <w:ind w:left="20"/>
              <w:spacing w:after="0"/>
              <w:rPr>
                <w:sz w:val="20"/>
                <w:szCs w:val="20"/>
                <w:color w:val="auto"/>
              </w:rPr>
            </w:pPr>
            <w:r>
              <w:rPr>
                <w:rFonts w:ascii="Arial" w:cs="Arial" w:eastAsia="Arial" w:hAnsi="Arial"/>
                <w:sz w:val="18"/>
                <w:szCs w:val="18"/>
                <w:color w:val="auto"/>
              </w:rPr>
              <w:t>Richard M. Beyer</w:t>
            </w:r>
          </w:p>
        </w:tc>
        <w:tc>
          <w:tcPr>
            <w:tcW w:w="3900" w:type="dxa"/>
            <w:vAlign w:val="bottom"/>
            <w:shd w:val="clear" w:color="auto" w:fill="CBCBCB"/>
          </w:tcPr>
          <w:p>
            <w:pPr>
              <w:jc w:val="center"/>
              <w:ind w:left="271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3900" w:type="dxa"/>
            <w:vAlign w:val="bottom"/>
          </w:tcPr>
          <w:p>
            <w:pPr>
              <w:jc w:val="center"/>
              <w:ind w:left="271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45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Steven J. Gomo</w:t>
            </w:r>
          </w:p>
        </w:tc>
        <w:tc>
          <w:tcPr>
            <w:tcW w:w="3900" w:type="dxa"/>
            <w:vAlign w:val="bottom"/>
            <w:shd w:val="clear" w:color="auto" w:fill="CBCBCB"/>
          </w:tcPr>
          <w:p>
            <w:pPr>
              <w:jc w:val="center"/>
              <w:ind w:left="271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CBCBCB"/>
          </w:tcPr>
          <w:p>
            <w:pPr>
              <w:spacing w:after="0"/>
              <w:rPr>
                <w:sz w:val="19"/>
                <w:szCs w:val="19"/>
                <w:color w:val="auto"/>
              </w:rPr>
            </w:pPr>
          </w:p>
        </w:tc>
        <w:tc>
          <w:tcPr>
            <w:tcW w:w="116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Linnie Haynesworth</w:t>
            </w:r>
          </w:p>
        </w:tc>
        <w:tc>
          <w:tcPr>
            <w:tcW w:w="3900" w:type="dxa"/>
            <w:vAlign w:val="bottom"/>
          </w:tcPr>
          <w:p>
            <w:pPr>
              <w:jc w:val="center"/>
              <w:ind w:left="271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54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Mary Pat McCarthy</w:t>
            </w:r>
          </w:p>
        </w:tc>
        <w:tc>
          <w:tcPr>
            <w:tcW w:w="3900" w:type="dxa"/>
            <w:vAlign w:val="bottom"/>
            <w:shd w:val="clear" w:color="auto" w:fill="CBCBCB"/>
          </w:tcPr>
          <w:p>
            <w:pPr>
              <w:jc w:val="center"/>
              <w:ind w:left="271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CBCBCB"/>
          </w:tcPr>
          <w:p>
            <w:pPr>
              <w:spacing w:after="0"/>
              <w:rPr>
                <w:sz w:val="19"/>
                <w:szCs w:val="19"/>
                <w:color w:val="auto"/>
              </w:rPr>
            </w:pPr>
          </w:p>
        </w:tc>
        <w:tc>
          <w:tcPr>
            <w:tcW w:w="116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3900" w:type="dxa"/>
            <w:vAlign w:val="bottom"/>
          </w:tcPr>
          <w:p>
            <w:pPr>
              <w:jc w:val="center"/>
              <w:ind w:left="271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454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MaryAnn Wright</w:t>
            </w:r>
          </w:p>
        </w:tc>
        <w:tc>
          <w:tcPr>
            <w:tcW w:w="3900" w:type="dxa"/>
            <w:vAlign w:val="bottom"/>
            <w:shd w:val="clear" w:color="auto" w:fill="CBCBCB"/>
          </w:tcPr>
          <w:p>
            <w:pPr>
              <w:jc w:val="center"/>
              <w:ind w:left="271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CBCBCB"/>
          </w:tcPr>
          <w:p>
            <w:pPr>
              <w:spacing w:after="0"/>
              <w:rPr>
                <w:sz w:val="19"/>
                <w:szCs w:val="19"/>
                <w:color w:val="auto"/>
              </w:rPr>
            </w:pPr>
          </w:p>
        </w:tc>
        <w:tc>
          <w:tcPr>
            <w:tcW w:w="116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Ms. Haynesworth has until February 15, 2026 to meet the guidelines because she first joined the Board in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page 48 for information on the stock ownership guidelines for our Named Executive Officers, including Mr. Mehrotra.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111" w:right="339" w:bottom="1440" w:gutter="0" w:footer="0" w:header="0"/>
        </w:sectPr>
      </w:pPr>
    </w:p>
    <w:bookmarkStart w:id="31" w:name="page32"/>
    <w:bookmarkEnd w:id="31"/>
    <w:p>
      <w:pPr>
        <w:ind w:right="2760"/>
        <w:spacing w:after="0" w:line="260" w:lineRule="auto"/>
        <w:rPr>
          <w:sz w:val="20"/>
          <w:szCs w:val="20"/>
          <w:color w:val="auto"/>
        </w:rPr>
      </w:pPr>
      <w:r>
        <w:rPr>
          <w:rFonts w:ascii="Arial" w:cs="Arial" w:eastAsia="Arial" w:hAnsi="Arial"/>
          <w:sz w:val="40"/>
          <w:szCs w:val="40"/>
          <w:b w:val="1"/>
          <w:bCs w:val="1"/>
          <w:color w:val="0090DA"/>
        </w:rPr>
        <w:t>EXECUTIVE COMPENSATION AND RELATED INFORMATION</w:t>
      </w:r>
    </w:p>
    <w:p>
      <w:pPr>
        <w:spacing w:after="0" w:line="2" w:lineRule="exact"/>
        <w:rPr>
          <w:sz w:val="20"/>
          <w:szCs w:val="20"/>
          <w:color w:val="auto"/>
        </w:rPr>
      </w:pPr>
    </w:p>
    <w:p>
      <w:pPr>
        <w:ind w:left="20" w:right="480"/>
        <w:spacing w:after="0" w:line="286" w:lineRule="auto"/>
        <w:rPr>
          <w:sz w:val="20"/>
          <w:szCs w:val="20"/>
          <w:color w:val="auto"/>
        </w:rPr>
      </w:pPr>
      <w:r>
        <w:rPr>
          <w:rFonts w:ascii="Arial" w:cs="Arial" w:eastAsia="Arial" w:hAnsi="Arial"/>
          <w:sz w:val="36"/>
          <w:szCs w:val="36"/>
          <w:b w:val="1"/>
          <w:bCs w:val="1"/>
          <w:color w:val="FFFFFF"/>
        </w:rPr>
        <w:t>PROPOSAL 2 – ADVISORY VOTE ON THE COMPENSATION OF OUR NAMED EXECUTIVE OFFICERS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915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Dodd-Frank Wall Street Reform and Consumer Protection Act of 2010 enables our shareholders to vote to approve, on an advisory (non-binding) basis, the compensation of our Named Executive Officers as described in this Proxy Statement in the “Compensation Discussion and Analysis” section and the related compensation tables beginning on page 27. We seek your advisory vote and ask that you indicate your support for the compensation of the Named Executive Officers as disclosed in this Proxy Statement.</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2017 Annual Meeting of Shareholders, our shareholders voted to have an annual advisory vote on say-on-pay and in accordance with the results of this vote, the Board of Directors determined to implement an advisory vote on executive compensation every year until the next required vote on the frequency of shareholder votes on the compensation of executives, which is expected to occur at the Fiscal 2023 Annual Meeting of Shareholders.</w:t>
      </w:r>
    </w:p>
    <w:p>
      <w:pPr>
        <w:spacing w:after="0" w:line="2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At our annual meeting of shareholders held in January 2021, 85% of the votes cast on the say-on-pay proposal were voted in favor of the proposal. See “Consideration of the Fiscal 2020 Advisory Vote on Executive Compensation” on page 31.</w:t>
      </w:r>
    </w:p>
    <w:p>
      <w:pPr>
        <w:spacing w:after="0" w:line="22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Please read the “Compensation Discussion and Analysis” section and related compensation tables for information necessary to inform your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4911725"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60"/>
        <w:spacing w:after="0" w:line="318" w:lineRule="auto"/>
        <w:rPr>
          <w:sz w:val="20"/>
          <w:szCs w:val="20"/>
          <w:color w:val="auto"/>
        </w:rPr>
      </w:pPr>
      <w:r>
        <w:rPr>
          <w:rFonts w:ascii="Arial" w:cs="Arial" w:eastAsia="Arial" w:hAnsi="Arial"/>
          <w:sz w:val="17"/>
          <w:szCs w:val="17"/>
          <w:b w:val="1"/>
          <w:bCs w:val="1"/>
          <w:color w:val="auto"/>
        </w:rPr>
        <w:t>The Board of Directors invites you to review carefully the Compensation Discussion and Analysis beginning on page 27 and the tabular and other disclosures on executive compensation beginning on page 50, and cast a vote “</w:t>
      </w:r>
      <w:r>
        <w:rPr>
          <w:rFonts w:ascii="Arial" w:cs="Arial" w:eastAsia="Arial" w:hAnsi="Arial"/>
          <w:sz w:val="17"/>
          <w:szCs w:val="17"/>
          <w:b w:val="1"/>
          <w:bCs w:val="1"/>
          <w:color w:val="0090DA"/>
        </w:rPr>
        <w:t>FOR</w:t>
      </w:r>
      <w:r>
        <w:rPr>
          <w:rFonts w:ascii="Arial" w:cs="Arial" w:eastAsia="Arial" w:hAnsi="Arial"/>
          <w:sz w:val="17"/>
          <w:szCs w:val="17"/>
          <w:b w:val="1"/>
          <w:bCs w:val="1"/>
          <w:color w:val="auto"/>
        </w:rPr>
        <w:t>” the following resolution:</w:t>
      </w:r>
    </w:p>
    <w:p>
      <w:pPr>
        <w:spacing w:after="0" w:line="161"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2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say-on-pay vote is required by Section 14A of the Exchange Act (15 U.S.C. 78n-1) and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may not be an opportunity for us to revisit these decisions. However, the Board of Directors and Compensation Committee value the opinions of our shareholders and will consider the results of the say-on-pay vote and any other feedback from shareholders in their evaluation of our compensation program as they believe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25</w:t>
      </w:r>
    </w:p>
    <w:p>
      <w:pPr>
        <w:sectPr>
          <w:pgSz w:w="11900" w:h="16838" w:orient="portrait"/>
          <w:cols w:equalWidth="0" w:num="1">
            <w:col w:w="11240"/>
          </w:cols>
          <w:pgMar w:left="320" w:top="919"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208280</wp:posOffset>
            </wp:positionH>
            <wp:positionV relativeFrom="page">
              <wp:posOffset>620395</wp:posOffset>
            </wp:positionV>
            <wp:extent cx="4911725"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11725" cy="197485"/>
                    </a:xfrm>
                    <a:prstGeom prst="rect">
                      <a:avLst/>
                    </a:prstGeom>
                    <a:noFill/>
                  </pic:spPr>
                </pic:pic>
              </a:graphicData>
            </a:graphic>
          </wp:anchor>
        </w:drawing>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affirmative vote of a majority of the voting power of our Common Stock present in person or represented by proxy at the Annual Meeting and entitled to vote on this Proposal 2 is required to approve the non-binding advisory vote on the compensation of our Named Executive Officers.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While this vote is non-binding on our Company and our Board of Directors, and will not be construed as overruling a decision by our Company or our Board or creating or implying any additional fiduciary duty for our Company or our Board, our Board and the Compensation Committee value the opinions of our shareholders and will consider the outcome of the vote when making future compensation decisions for Named Executive Officers under our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160"/>
          </w:cols>
          <w:pgMar w:left="320" w:top="985" w:right="4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40"/>
          <w:szCs w:val="40"/>
          <w:b w:val="1"/>
          <w:bCs w:val="1"/>
          <w:color w:val="auto"/>
        </w:rPr>
        <w:t>COMPENSATION DISCUSSION AND ANALYSIS</w:t>
      </w:r>
    </w:p>
    <w:p>
      <w:pPr>
        <w:spacing w:after="0" w:line="2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22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Sanjay Mehrotra, our President and Chief Executive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David A. Zinsner, our Executive Vice President and Chief Financial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Manish Bhatia, our Executive Vice President, Global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Scott J. DeBoer, our Executive Vice President, Technology and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Sumit Sadana, our Executive Vice President and Chief Business Officer.</w:t>
      </w:r>
    </w:p>
    <w:p>
      <w:pPr>
        <w:spacing w:after="0" w:line="25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Throughout this discussion and elsewhere in this Proxy Statement, the foregoing individuals are referred to as our “Named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Executive Summary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Highlights</w:t>
      </w:r>
    </w:p>
    <w:p>
      <w:pPr>
        <w:spacing w:after="0" w:line="261" w:lineRule="exact"/>
        <w:rPr>
          <w:sz w:val="20"/>
          <w:szCs w:val="20"/>
          <w:color w:val="auto"/>
        </w:rPr>
      </w:pPr>
    </w:p>
    <w:p>
      <w:pPr>
        <w:ind w:left="500" w:right="60" w:hanging="209"/>
        <w:spacing w:after="0" w:line="235"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achieved robust profitability in fiscal 2021 with record revenues across a diverse set of markets, including mobile, embedded, auto, and industrial, with an all-time high for NAND revenue:</w:t>
      </w:r>
    </w:p>
    <w:p>
      <w:pPr>
        <w:spacing w:after="0" w:line="229" w:lineRule="exact"/>
        <w:rPr>
          <w:rFonts w:ascii="Arial" w:cs="Arial" w:eastAsia="Arial" w:hAnsi="Arial"/>
          <w:sz w:val="18"/>
          <w:szCs w:val="18"/>
          <w:color w:val="auto"/>
        </w:rPr>
      </w:pPr>
    </w:p>
    <w:p>
      <w:pPr>
        <w:ind w:left="700" w:hanging="20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$27.7 billion in revenue (compared to $21.4 billion in fiscal 2020);</w:t>
      </w:r>
    </w:p>
    <w:p>
      <w:pPr>
        <w:spacing w:after="0" w:line="9" w:lineRule="exact"/>
        <w:rPr>
          <w:rFonts w:ascii="Arial" w:cs="Arial" w:eastAsia="Arial" w:hAnsi="Arial"/>
          <w:sz w:val="18"/>
          <w:szCs w:val="18"/>
          <w:color w:val="auto"/>
        </w:rPr>
      </w:pPr>
    </w:p>
    <w:p>
      <w:pPr>
        <w:ind w:left="700" w:right="280" w:hanging="206"/>
        <w:spacing w:after="0" w:line="261" w:lineRule="auto"/>
        <w:tabs>
          <w:tab w:leader="none" w:pos="6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$5.9 billion in GAAP net income attributable to Micron, or $5.14 in earnings per diluted share (compared to $2.7 billion and $2.37, respectively, in fiscal 2020).</w:t>
      </w:r>
    </w:p>
    <w:p>
      <w:pPr>
        <w:spacing w:after="0" w:line="224" w:lineRule="exact"/>
        <w:rPr>
          <w:rFonts w:ascii="Arial" w:cs="Arial" w:eastAsia="Arial" w:hAnsi="Arial"/>
          <w:sz w:val="18"/>
          <w:szCs w:val="18"/>
          <w:color w:val="auto"/>
        </w:rPr>
      </w:pPr>
    </w:p>
    <w:p>
      <w:pPr>
        <w:ind w:left="480" w:hanging="189"/>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ended fiscal 2021 with $10.5 billion of cash, marketable investments, and restricted cash.</w:t>
      </w:r>
    </w:p>
    <w:p>
      <w:pPr>
        <w:spacing w:after="0" w:line="252" w:lineRule="exact"/>
        <w:rPr>
          <w:rFonts w:ascii="Arial" w:cs="Arial" w:eastAsia="Arial" w:hAnsi="Arial"/>
          <w:sz w:val="18"/>
          <w:szCs w:val="18"/>
          <w:color w:val="auto"/>
        </w:rPr>
      </w:pPr>
    </w:p>
    <w:p>
      <w:pPr>
        <w:ind w:left="500" w:right="180" w:hanging="209"/>
        <w:spacing w:after="0" w:line="261"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initiated a quarterly dividend that was paid in October 2021, reflecting our confidence in the durable cash generation power of our business, and we plan to grow the dividend over time.</w:t>
      </w:r>
    </w:p>
    <w:p>
      <w:pPr>
        <w:spacing w:after="0" w:line="224" w:lineRule="exact"/>
        <w:rPr>
          <w:rFonts w:ascii="Arial" w:cs="Arial" w:eastAsia="Arial" w:hAnsi="Arial"/>
          <w:sz w:val="18"/>
          <w:szCs w:val="18"/>
          <w:color w:val="auto"/>
        </w:rPr>
      </w:pPr>
    </w:p>
    <w:p>
      <w:pPr>
        <w:ind w:left="500" w:right="180" w:hanging="209"/>
        <w:spacing w:after="0" w:line="256"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first time in our history, we established technology leadership concurrently in both DRAM and NAND with our 1-alpha DRAM and 176-layer NAND, the industry’s most advanced nodes in high volume production, reaching mature yields 20% to 30% faster than prior nodes:</w:t>
      </w:r>
    </w:p>
    <w:p>
      <w:pPr>
        <w:spacing w:after="0" w:line="228" w:lineRule="exact"/>
        <w:rPr>
          <w:rFonts w:ascii="Arial" w:cs="Arial" w:eastAsia="Arial" w:hAnsi="Arial"/>
          <w:sz w:val="18"/>
          <w:szCs w:val="18"/>
          <w:color w:val="auto"/>
        </w:rPr>
      </w:pPr>
    </w:p>
    <w:p>
      <w:pPr>
        <w:ind w:left="700" w:hanging="20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DRAM:</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1-alpha and 1z DRAM nodes combined represented the majority of our DRAM bit production by fiscal year end; and</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We were the first to introduce LP5X DRAM in mobile applications and safety-capable LP5 for automotive applications.</w:t>
      </w:r>
    </w:p>
    <w:p>
      <w:pPr>
        <w:spacing w:after="0" w:line="252" w:lineRule="exact"/>
        <w:rPr>
          <w:rFonts w:ascii="Arial" w:cs="Arial" w:eastAsia="Arial" w:hAnsi="Arial"/>
          <w:sz w:val="18"/>
          <w:szCs w:val="18"/>
          <w:color w:val="auto"/>
        </w:rPr>
      </w:pPr>
    </w:p>
    <w:p>
      <w:pPr>
        <w:ind w:left="700" w:hanging="20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NAND:</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We were the first to introduce uMCP5 managed NAND in mobile applications;</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We continued our leadership on high-density QLC NAND storage with client QLC SSD bit mix hitting a new record; and</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We moved our SSD portfolios toward leadership datacenter solutions.</w:t>
      </w:r>
    </w:p>
    <w:p>
      <w:pPr>
        <w:spacing w:after="0" w:line="252" w:lineRule="exact"/>
        <w:rPr>
          <w:sz w:val="20"/>
          <w:szCs w:val="20"/>
          <w:color w:val="auto"/>
        </w:rPr>
      </w:pPr>
    </w:p>
    <w:p>
      <w:pPr>
        <w:ind w:left="500" w:right="120" w:hanging="209"/>
        <w:spacing w:after="0" w:line="261" w:lineRule="auto"/>
        <w:tabs>
          <w:tab w:leader="none" w:pos="4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entered into new credit facilities with interest rates and fees linked in part to achievement of sustainability targets and continued to make progress toward achieving our long-term environmental goals</w:t>
      </w:r>
    </w:p>
    <w:p>
      <w:pPr>
        <w:sectPr>
          <w:pgSz w:w="11900" w:h="16838" w:orient="portrait"/>
          <w:cols w:equalWidth="0" w:num="1">
            <w:col w:w="11240"/>
          </w:cols>
          <w:pgMar w:left="320" w:top="108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9980"/>
        <w:spacing w:after="0"/>
        <w:rPr>
          <w:sz w:val="20"/>
          <w:szCs w:val="20"/>
          <w:color w:val="auto"/>
        </w:rPr>
      </w:pPr>
      <w:r>
        <w:rPr>
          <w:sz w:val="1"/>
          <w:szCs w:val="1"/>
          <w:color w:val="auto"/>
        </w:rPr>
        <w:drawing>
          <wp:inline distT="0" distB="0" distL="0" distR="0">
            <wp:extent cx="643255" cy="1797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27</w:t>
      </w:r>
    </w:p>
    <w:p>
      <w:pPr>
        <w:sectPr>
          <w:pgSz w:w="11900" w:h="16838" w:orient="portrait"/>
          <w:cols w:equalWidth="0" w:num="1">
            <w:col w:w="11240"/>
          </w:cols>
          <w:pgMar w:left="320" w:top="1081" w:right="339" w:bottom="1440" w:gutter="0" w:footer="0" w:header="0"/>
          <w:type w:val="continuous"/>
        </w:sectPr>
      </w:pPr>
    </w:p>
    <w:bookmarkStart w:id="34" w:name="page35"/>
    <w:bookmarkEnd w:id="34"/>
    <w:p>
      <w:pPr>
        <w:ind w:left="500" w:right="220"/>
        <w:spacing w:after="0" w:line="261" w:lineRule="auto"/>
        <w:rPr>
          <w:sz w:val="20"/>
          <w:szCs w:val="20"/>
          <w:color w:val="auto"/>
        </w:rPr>
      </w:pPr>
      <w:r>
        <w:rPr>
          <w:rFonts w:ascii="Arial" w:cs="Arial" w:eastAsia="Arial" w:hAnsi="Arial"/>
          <w:sz w:val="18"/>
          <w:szCs w:val="18"/>
          <w:color w:val="auto"/>
        </w:rPr>
        <w:t>and aspirations announced in fiscal 2020 with plans to allocate about $1 billion of capital expenditures in support of those goals and aspirations.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The representation of women on the Board grew to comprise one-half of the Board in fiscal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Shareholder Return (“TSR”)</w:t>
      </w:r>
    </w:p>
    <w:p>
      <w:pPr>
        <w:spacing w:after="0" w:line="2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chart shows our relative TSR data as compared to the S&amp;P 500 Composite Index and the median of our Compensation Peer Group as identified in "Compensation-setting Process and the Determination of Compensation Levels – ”Market Data”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143510</wp:posOffset>
            </wp:positionV>
            <wp:extent cx="3429000" cy="2314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information presented is based on closing prices on or nearest to September 2 for each period presented above and represents annualized rates of return reflecting price appreciation plus reinvestment of dividends and the compounding effect of dividends paid, if any, on reinvested dividends.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Highlights</w:t>
      </w:r>
    </w:p>
    <w:p>
      <w:pPr>
        <w:spacing w:after="0" w:line="274" w:lineRule="exact"/>
        <w:rPr>
          <w:sz w:val="20"/>
          <w:szCs w:val="20"/>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October 2020, the Compensation Committee set compensation levels and performance goals for fiscal 2021 based on a review of financial results, projections, individual contributions, strategic objectives, Market Data (as defined below),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160"/>
          </w:cols>
          <w:pgMar w:left="320" w:top="1111" w:right="419" w:bottom="1440" w:gutter="0" w:footer="0" w:header="0"/>
        </w:sectPr>
      </w:pPr>
    </w:p>
    <w:bookmarkStart w:id="35" w:name="page36"/>
    <w:bookmarkEnd w:id="35"/>
    <w:p>
      <w:pPr>
        <w:ind w:left="324" w:right="340" w:hanging="324"/>
        <w:spacing w:after="0" w:line="261"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pay mix, based on target amounts, was established for our Chief Executive Officer and other Named Executive Officers (on average)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143510</wp:posOffset>
            </wp:positionV>
            <wp:extent cx="5760720" cy="1645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324" w:right="260" w:hanging="324"/>
        <w:spacing w:after="0" w:line="256"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Named Executive Officers are eligible to earn short-term incentive awards pursuant to our Executive Officer Performance Incentive Plan (“EIP”). The Compensation Committee selected performance goals for our Named Executive Officers based on their correlation to the creation of shareholder value and their alignment with our strategic objectives.</w:t>
      </w:r>
    </w:p>
    <w:p>
      <w:pPr>
        <w:spacing w:after="0" w:line="228" w:lineRule="exact"/>
        <w:rPr>
          <w:rFonts w:ascii="Arial" w:cs="Arial" w:eastAsia="Arial" w:hAnsi="Arial"/>
          <w:sz w:val="18"/>
          <w:szCs w:val="18"/>
          <w:color w:val="auto"/>
        </w:rPr>
      </w:pPr>
    </w:p>
    <w:p>
      <w:pPr>
        <w:ind w:left="964" w:right="280" w:hanging="316"/>
        <w:spacing w:after="0" w:line="278" w:lineRule="auto"/>
        <w:tabs>
          <w:tab w:leader="none" w:pos="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For fiscal 2021, the Compensation Committee established goals tied to profitability and the achievement of certain technology, inventory, product, and cost milestones, and goals focusing on key stakeholders. Please see “Fiscal 2021 Executive Compensation – Fiscal 2021 Short-Term Incentive Awards” for additional detail concerning these goals.</w:t>
      </w:r>
    </w:p>
    <w:p>
      <w:pPr>
        <w:spacing w:after="0" w:line="211" w:lineRule="exact"/>
        <w:rPr>
          <w:rFonts w:ascii="Arial" w:cs="Arial" w:eastAsia="Arial" w:hAnsi="Arial"/>
          <w:sz w:val="17"/>
          <w:szCs w:val="17"/>
          <w:color w:val="auto"/>
        </w:rPr>
      </w:pPr>
    </w:p>
    <w:p>
      <w:pPr>
        <w:ind w:left="324" w:right="280" w:hanging="324"/>
        <w:spacing w:after="0" w:line="261"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used a mix of 50% time-based restricted stock and 50% performance-based restricted stock units for our fiscal 2021 long-term equity incentives.</w:t>
      </w:r>
    </w:p>
    <w:p>
      <w:pPr>
        <w:spacing w:after="0" w:line="224" w:lineRule="exact"/>
        <w:rPr>
          <w:rFonts w:ascii="Arial" w:cs="Arial" w:eastAsia="Arial" w:hAnsi="Arial"/>
          <w:sz w:val="18"/>
          <w:szCs w:val="18"/>
          <w:color w:val="auto"/>
        </w:rPr>
      </w:pPr>
    </w:p>
    <w:p>
      <w:pPr>
        <w:ind w:left="324" w:right="460" w:hanging="324"/>
        <w:spacing w:after="0" w:line="254"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metrics for our performance-based restricted stock units include percentage of sales as high value solutions and TSR relative to the semiconductor sector. In addition, there is a technology product engineering sample and product qualification sample stretch goal associated with the high-value solutions goals. The relative TSR and high-value solutions goals have a three-year measurement period.</w:t>
      </w:r>
    </w:p>
    <w:p>
      <w:pPr>
        <w:spacing w:after="0" w:line="163" w:lineRule="exact"/>
        <w:rPr>
          <w:rFonts w:ascii="Arial" w:cs="Arial" w:eastAsia="Arial" w:hAnsi="Arial"/>
          <w:sz w:val="18"/>
          <w:szCs w:val="18"/>
          <w:color w:val="auto"/>
        </w:rPr>
      </w:pPr>
    </w:p>
    <w:p>
      <w:pPr>
        <w:ind w:left="324" w:right="200" w:hanging="324"/>
        <w:spacing w:after="0" w:line="261"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Salary and short-term incentive targets as a percentage of base salary did not change for any of our Named Executive Officers for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29</w:t>
      </w:r>
    </w:p>
    <w:p>
      <w:pPr>
        <w:sectPr>
          <w:pgSz w:w="11900" w:h="16838" w:orient="portrait"/>
          <w:cols w:equalWidth="0" w:num="1">
            <w:col w:w="10584"/>
          </w:cols>
          <w:pgMar w:left="976" w:top="1111" w:right="339" w:bottom="1440" w:gutter="0" w:footer="0" w:header="0"/>
        </w:sectPr>
      </w:pPr>
    </w:p>
    <w:bookmarkStart w:id="36" w:name="page37"/>
    <w:bookmarkEnd w:id="36"/>
    <w:p>
      <w:pPr>
        <w:jc w:val="both"/>
        <w:spacing w:after="0" w:line="204" w:lineRule="auto"/>
        <w:framePr w:w="11100" w:h="471" w:wrap="auto" w:vAnchor="page" w:hAnchor="page" w:x="300" w:y="12670"/>
        <w:rPr>
          <w:rFonts w:ascii="Arial" w:cs="Arial" w:eastAsia="Arial" w:hAnsi="Arial"/>
          <w:sz w:val="16"/>
          <w:szCs w:val="16"/>
          <w:color w:val="auto"/>
        </w:rPr>
      </w:pPr>
      <w:r>
        <w:rPr>
          <w:rFonts w:ascii="Arial" w:cs="Arial" w:eastAsia="Arial" w:hAnsi="Arial"/>
          <w:sz w:val="16"/>
          <w:szCs w:val="16"/>
          <w:color w:val="auto"/>
        </w:rPr>
        <w:t>* The percentages shown for each of the compensation components in the table above are presented based on base salary, target annual STI award, and the annual LTI awards (at the target award values approved by the Compensation Committee) granted to our CEO (on the left) and averaged for all other Named Executive Officers, excluding our CEO (on the right).</w:t>
      </w:r>
    </w:p>
    <w:p>
      <w:pPr>
        <w:spacing w:after="0" w:line="194" w:lineRule="auto"/>
        <w:framePr w:w="2320" w:h="195" w:wrap="auto" w:vAnchor="page" w:hAnchor="page" w:x="280" w:y="14025"/>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pacing w:after="0" w:line="191" w:lineRule="auto"/>
        <w:framePr w:w="2140" w:h="147" w:wrap="auto" w:vAnchor="page" w:hAnchor="page" w:x="4180" w:y="11738"/>
        <w:rPr>
          <w:rFonts w:ascii="Arial" w:cs="Arial" w:eastAsia="Arial" w:hAnsi="Arial"/>
          <w:sz w:val="16"/>
          <w:szCs w:val="16"/>
          <w:b w:val="1"/>
          <w:bCs w:val="1"/>
          <w:color w:val="auto"/>
        </w:rPr>
      </w:pPr>
      <w:r>
        <w:rPr>
          <w:rFonts w:ascii="Arial" w:cs="Arial" w:eastAsia="Arial" w:hAnsi="Arial"/>
          <w:sz w:val="16"/>
          <w:szCs w:val="16"/>
          <w:b w:val="1"/>
          <w:bCs w:val="1"/>
          <w:color w:val="auto"/>
        </w:rPr>
        <w:t>–  Vests ratably over 3 years</w:t>
      </w:r>
    </w:p>
    <w:p>
      <w:pPr>
        <w:spacing w:after="0" w:line="191" w:lineRule="auto"/>
        <w:framePr w:w="2020" w:h="147" w:wrap="auto" w:vAnchor="page" w:hAnchor="page" w:x="6520" w:y="11738"/>
        <w:rPr>
          <w:rFonts w:ascii="Arial" w:cs="Arial" w:eastAsia="Arial" w:hAnsi="Arial"/>
          <w:sz w:val="16"/>
          <w:szCs w:val="16"/>
          <w:b w:val="1"/>
          <w:bCs w:val="1"/>
          <w:color w:val="auto"/>
        </w:rPr>
      </w:pPr>
      <w:r>
        <w:rPr>
          <w:rFonts w:ascii="Arial" w:cs="Arial" w:eastAsia="Arial" w:hAnsi="Arial"/>
          <w:sz w:val="16"/>
          <w:szCs w:val="16"/>
          <w:b w:val="1"/>
          <w:bCs w:val="1"/>
          <w:color w:val="auto"/>
        </w:rPr>
        <w:t>–  Provides retention value</w:t>
      </w:r>
    </w:p>
    <w:p>
      <w:pPr>
        <w:spacing w:after="0" w:line="191" w:lineRule="auto"/>
        <w:framePr w:w="4320" w:h="147" w:wrap="auto" w:vAnchor="page" w:hAnchor="page" w:x="4180" w:y="10942"/>
        <w:rPr>
          <w:rFonts w:ascii="Arial" w:cs="Arial" w:eastAsia="Arial" w:hAnsi="Arial"/>
          <w:sz w:val="16"/>
          <w:szCs w:val="16"/>
          <w:b w:val="1"/>
          <w:bCs w:val="1"/>
          <w:color w:val="auto"/>
        </w:rPr>
      </w:pPr>
      <w:r>
        <w:rPr>
          <w:rFonts w:ascii="Arial" w:cs="Arial" w:eastAsia="Arial" w:hAnsi="Arial"/>
          <w:sz w:val="16"/>
          <w:szCs w:val="16"/>
          <w:b w:val="1"/>
          <w:bCs w:val="1"/>
          <w:color w:val="auto"/>
        </w:rPr>
        <w:t>–  Variable, performance-based –  Provides alignment with</w:t>
      </w:r>
    </w:p>
    <w:p>
      <w:pPr>
        <w:spacing w:after="0" w:line="201" w:lineRule="auto"/>
        <w:framePr w:w="1560" w:h="147" w:wrap="auto" w:vAnchor="page" w:hAnchor="page" w:x="4380" w:y="11117"/>
        <w:rPr>
          <w:rFonts w:ascii="Arial" w:cs="Arial" w:eastAsia="Arial" w:hAnsi="Arial"/>
          <w:sz w:val="16"/>
          <w:szCs w:val="16"/>
          <w:b w:val="1"/>
          <w:bCs w:val="1"/>
          <w:color w:val="auto"/>
        </w:rPr>
      </w:pPr>
      <w:r>
        <w:rPr>
          <w:rFonts w:ascii="Arial" w:cs="Arial" w:eastAsia="Arial" w:hAnsi="Arial"/>
          <w:sz w:val="16"/>
          <w:szCs w:val="16"/>
          <w:b w:val="1"/>
          <w:bCs w:val="1"/>
          <w:color w:val="auto"/>
        </w:rPr>
        <w:t>equity compensation</w:t>
      </w:r>
    </w:p>
    <w:p>
      <w:pPr>
        <w:spacing w:after="0" w:line="201" w:lineRule="auto"/>
        <w:framePr w:w="2120" w:h="309" w:wrap="auto" w:vAnchor="page" w:hAnchor="page" w:x="6720" w:y="11104"/>
        <w:rPr>
          <w:rFonts w:ascii="Arial" w:cs="Arial" w:eastAsia="Arial" w:hAnsi="Arial"/>
          <w:sz w:val="16"/>
          <w:szCs w:val="16"/>
          <w:b w:val="1"/>
          <w:bCs w:val="1"/>
          <w:color w:val="auto"/>
        </w:rPr>
      </w:pPr>
      <w:r>
        <w:rPr>
          <w:rFonts w:ascii="Arial" w:cs="Arial" w:eastAsia="Arial" w:hAnsi="Arial"/>
          <w:sz w:val="16"/>
          <w:szCs w:val="16"/>
          <w:b w:val="1"/>
          <w:bCs w:val="1"/>
          <w:color w:val="auto"/>
        </w:rPr>
        <w:t>shareholder interests by focusing executives on long-</w:t>
      </w:r>
    </w:p>
    <w:p>
      <w:pPr>
        <w:spacing w:after="0" w:line="191" w:lineRule="auto"/>
        <w:framePr w:w="1460" w:h="147" w:wrap="auto" w:vAnchor="page" w:hAnchor="page" w:x="6720" w:y="11428"/>
        <w:rPr>
          <w:rFonts w:ascii="Arial" w:cs="Arial" w:eastAsia="Arial" w:hAnsi="Arial"/>
          <w:sz w:val="16"/>
          <w:szCs w:val="16"/>
          <w:b w:val="1"/>
          <w:bCs w:val="1"/>
          <w:color w:val="auto"/>
        </w:rPr>
      </w:pPr>
      <w:r>
        <w:rPr>
          <w:rFonts w:ascii="Arial" w:cs="Arial" w:eastAsia="Arial" w:hAnsi="Arial"/>
          <w:sz w:val="16"/>
          <w:szCs w:val="16"/>
          <w:b w:val="1"/>
          <w:bCs w:val="1"/>
          <w:color w:val="auto"/>
        </w:rPr>
        <w:t>term value creation</w:t>
      </w:r>
    </w:p>
    <w:p>
      <w:pPr>
        <w:spacing w:after="0" w:line="191" w:lineRule="auto"/>
        <w:framePr w:w="2200" w:h="147" w:wrap="auto" w:vAnchor="page" w:hAnchor="page" w:x="8980" w:y="10942"/>
        <w:rPr>
          <w:rFonts w:ascii="Arial" w:cs="Arial" w:eastAsia="Arial" w:hAnsi="Arial"/>
          <w:sz w:val="16"/>
          <w:szCs w:val="16"/>
          <w:b w:val="1"/>
          <w:bCs w:val="1"/>
          <w:color w:val="auto"/>
        </w:rPr>
      </w:pPr>
      <w:r>
        <w:rPr>
          <w:rFonts w:ascii="Arial" w:cs="Arial" w:eastAsia="Arial" w:hAnsi="Arial"/>
          <w:sz w:val="16"/>
          <w:szCs w:val="16"/>
          <w:b w:val="1"/>
          <w:bCs w:val="1"/>
          <w:color w:val="auto"/>
        </w:rPr>
        <w:t>–  Value based on stock price</w:t>
      </w:r>
    </w:p>
    <w:p>
      <w:pPr>
        <w:spacing w:after="0" w:line="199" w:lineRule="auto"/>
        <w:framePr w:w="1620" w:h="163" w:wrap="auto" w:vAnchor="page" w:hAnchor="page" w:x="520" w:y="10710"/>
        <w:rPr>
          <w:rFonts w:ascii="Arial" w:cs="Arial" w:eastAsia="Arial" w:hAnsi="Arial"/>
          <w:sz w:val="17"/>
          <w:szCs w:val="17"/>
          <w:b w:val="1"/>
          <w:bCs w:val="1"/>
          <w:i w:val="1"/>
          <w:iCs w:val="1"/>
          <w:color w:val="FF8F1C"/>
        </w:rPr>
      </w:pPr>
      <w:r>
        <w:rPr>
          <w:rFonts w:ascii="Arial" w:cs="Arial" w:eastAsia="Arial" w:hAnsi="Arial"/>
          <w:sz w:val="17"/>
          <w:szCs w:val="17"/>
          <w:b w:val="1"/>
          <w:bCs w:val="1"/>
          <w:i w:val="1"/>
          <w:iCs w:val="1"/>
          <w:color w:val="FF8F1C"/>
        </w:rPr>
        <w:t>Time-Based RSAs</w:t>
      </w:r>
    </w:p>
    <w:p>
      <w:pPr>
        <w:spacing w:after="0" w:line="207" w:lineRule="auto"/>
        <w:framePr w:w="2220" w:h="795" w:wrap="auto" w:vAnchor="page" w:hAnchor="page" w:x="4180" w:y="9794"/>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 50% of total banked PRSU vests at end of year 2, remaining and/or incremental vests at end of year 3</w:t>
      </w:r>
    </w:p>
    <w:p>
      <w:pPr>
        <w:spacing w:after="0" w:line="221" w:lineRule="auto"/>
        <w:framePr w:w="1700" w:h="849" w:wrap="auto" w:vAnchor="page" w:hAnchor="page" w:x="9380" w:y="8836"/>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semiconductor sector - Additional earning opportunities for achievement of stretch product milestones</w:t>
      </w:r>
    </w:p>
    <w:p>
      <w:pPr>
        <w:spacing w:after="0" w:line="207" w:lineRule="auto"/>
        <w:framePr w:w="2340" w:h="957" w:wrap="auto" w:vAnchor="page" w:hAnchor="page" w:x="4180" w:y="8728"/>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 Earned at the end of the second and third year for the operational goal and each day beginning on the first day of the second year for the financial goal</w:t>
      </w:r>
    </w:p>
    <w:p>
      <w:pPr>
        <w:spacing w:after="0" w:line="191" w:lineRule="auto"/>
        <w:framePr w:w="1140" w:h="147" w:wrap="auto" w:vAnchor="page" w:hAnchor="page" w:x="9380" w:y="8485"/>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value solutions</w:t>
      </w:r>
    </w:p>
    <w:p>
      <w:pPr>
        <w:spacing w:after="0" w:line="191" w:lineRule="auto"/>
        <w:framePr w:w="1520" w:h="147" w:wrap="auto" w:vAnchor="page" w:hAnchor="page" w:x="9380" w:y="8660"/>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 TSR relative to the</w:t>
      </w:r>
    </w:p>
    <w:p>
      <w:pPr>
        <w:spacing w:after="0" w:line="201" w:lineRule="auto"/>
        <w:framePr w:w="2020" w:h="309" w:wrap="auto" w:vAnchor="page" w:hAnchor="page" w:x="4180" w:y="8309"/>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 Three-year performance period</w:t>
      </w:r>
    </w:p>
    <w:p>
      <w:pPr>
        <w:spacing w:after="0" w:line="191" w:lineRule="auto"/>
        <w:framePr w:w="2180" w:h="147" w:wrap="auto" w:vAnchor="page" w:hAnchor="page" w:x="9380" w:y="8309"/>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 Percentage of sales as high</w:t>
      </w:r>
    </w:p>
    <w:p>
      <w:pPr>
        <w:spacing w:after="0" w:line="191" w:lineRule="auto"/>
        <w:framePr w:w="4260" w:h="147" w:wrap="auto" w:vAnchor="page" w:hAnchor="page" w:x="4180" w:y="7891"/>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  Variable, performance-based –  Creates direct, specific</w:t>
      </w:r>
    </w:p>
    <w:p>
      <w:pPr>
        <w:spacing w:after="0" w:line="208" w:lineRule="auto"/>
        <w:framePr w:w="1560" w:h="147" w:wrap="auto" w:vAnchor="page" w:hAnchor="page" w:x="4380" w:y="8053"/>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equity compensation</w:t>
      </w:r>
    </w:p>
    <w:p>
      <w:pPr>
        <w:spacing w:after="0" w:line="208" w:lineRule="auto"/>
        <w:framePr w:w="2240" w:h="1119" w:wrap="auto" w:vAnchor="page" w:hAnchor="page" w:x="6720" w:y="8053"/>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alignment with shareholders’ interests by focusing executives on long-term value creation through the achievement of key operational milestones and stock price performance</w:t>
      </w:r>
    </w:p>
    <w:p>
      <w:pPr>
        <w:spacing w:after="0" w:line="201" w:lineRule="auto"/>
        <w:framePr w:w="2540" w:h="309" w:wrap="auto" w:vAnchor="page" w:hAnchor="page" w:x="8980" w:y="7891"/>
        <w:rPr>
          <w:rFonts w:ascii="Arial" w:cs="Arial" w:eastAsia="Arial" w:hAnsi="Arial"/>
          <w:sz w:val="16"/>
          <w:szCs w:val="16"/>
          <w:b w:val="1"/>
          <w:bCs w:val="1"/>
          <w:i w:val="1"/>
          <w:iCs w:val="1"/>
          <w:color w:val="FF8F1C"/>
        </w:rPr>
      </w:pPr>
      <w:r>
        <w:rPr>
          <w:rFonts w:ascii="Arial" w:cs="Arial" w:eastAsia="Arial" w:hAnsi="Arial"/>
          <w:sz w:val="16"/>
          <w:szCs w:val="16"/>
          <w:b w:val="1"/>
          <w:bCs w:val="1"/>
          <w:i w:val="1"/>
          <w:iCs w:val="1"/>
          <w:color w:val="FF8F1C"/>
        </w:rPr>
        <w:t>– Goals set by the Compensation Committee</w:t>
      </w:r>
    </w:p>
    <w:p>
      <w:pPr>
        <w:spacing w:after="0" w:line="201" w:lineRule="auto"/>
        <w:framePr w:w="2200" w:h="392" w:wrap="auto" w:vAnchor="page" w:hAnchor="page" w:x="300" w:y="7429"/>
        <w:rPr>
          <w:rFonts w:ascii="Arial" w:cs="Arial" w:eastAsia="Arial" w:hAnsi="Arial"/>
          <w:sz w:val="17"/>
          <w:szCs w:val="17"/>
          <w:b w:val="1"/>
          <w:bCs w:val="1"/>
          <w:i w:val="1"/>
          <w:iCs w:val="1"/>
          <w:color w:val="71C5E8"/>
        </w:rPr>
      </w:pPr>
      <w:r>
        <w:rPr>
          <w:rFonts w:ascii="Arial" w:cs="Arial" w:eastAsia="Arial" w:hAnsi="Arial"/>
          <w:sz w:val="17"/>
          <w:szCs w:val="17"/>
          <w:b w:val="1"/>
          <w:bCs w:val="1"/>
          <w:i w:val="1"/>
          <w:iCs w:val="1"/>
          <w:color w:val="FF8F1C"/>
        </w:rPr>
        <w:t xml:space="preserve">Long Term Incentive Pay </w:t>
      </w:r>
      <w:r>
        <w:rPr>
          <w:rFonts w:ascii="Arial" w:cs="Arial" w:eastAsia="Arial" w:hAnsi="Arial"/>
          <w:sz w:val="17"/>
          <w:szCs w:val="17"/>
          <w:b w:val="1"/>
          <w:bCs w:val="1"/>
          <w:i w:val="1"/>
          <w:iCs w:val="1"/>
          <w:color w:val="71C5E8"/>
        </w:rPr>
        <w:t>Performance RSUs</w:t>
      </w:r>
    </w:p>
    <w:p>
      <w:pPr>
        <w:spacing w:after="0" w:line="206" w:lineRule="auto"/>
        <w:framePr w:w="2120" w:h="633" w:wrap="auto" w:vAnchor="page" w:hAnchor="page" w:x="6520" w:y="6068"/>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Focuses executives on achievement of near-term financial and operational objectives</w:t>
      </w:r>
    </w:p>
    <w:p>
      <w:pPr>
        <w:spacing w:after="0" w:line="204" w:lineRule="auto"/>
        <w:framePr w:w="2400" w:h="471" w:wrap="auto" w:vAnchor="page" w:hAnchor="page" w:x="6520" w:y="6824"/>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Promotes long-term company success and drives shareholder value</w:t>
      </w:r>
    </w:p>
    <w:p>
      <w:pPr>
        <w:spacing w:after="0" w:line="191" w:lineRule="auto"/>
        <w:framePr w:w="1460" w:h="147" w:wrap="auto" w:vAnchor="page" w:hAnchor="page" w:x="9380" w:y="6068"/>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Net income target</w:t>
      </w:r>
    </w:p>
    <w:p>
      <w:pPr>
        <w:spacing w:after="0" w:line="208" w:lineRule="auto"/>
        <w:framePr w:w="2140" w:h="1119" w:wrap="auto" w:vAnchor="page" w:hAnchor="page" w:x="9380" w:y="6230"/>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Achievement of certain technology, inventory, product, and cost milestones and other goals (including environmental sustainability and diversity, equality, and inclusion)</w:t>
      </w:r>
    </w:p>
    <w:p>
      <w:pPr>
        <w:jc w:val="both"/>
        <w:spacing w:after="0" w:line="216" w:lineRule="auto"/>
        <w:framePr w:w="2120" w:h="498" w:wrap="auto" w:vAnchor="page" w:hAnchor="page" w:x="4180" w:y="5474"/>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Target payout is tied to a percentage of executive’s base salary</w:t>
      </w:r>
    </w:p>
    <w:p>
      <w:pPr>
        <w:spacing w:after="0" w:line="204" w:lineRule="auto"/>
        <w:framePr w:w="2380" w:h="471" w:wrap="auto" w:vAnchor="page" w:hAnchor="page" w:x="6520" w:y="5474"/>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Encourages accountability by rewarding achievement of specific performance goals</w:t>
      </w:r>
    </w:p>
    <w:p>
      <w:pPr>
        <w:spacing w:after="0" w:line="204" w:lineRule="auto"/>
        <w:framePr w:w="2400" w:h="471" w:wrap="auto" w:vAnchor="page" w:hAnchor="page" w:x="8980" w:y="5474"/>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Annual, pre-determined goals set by the Compensation Committee</w:t>
      </w:r>
    </w:p>
    <w:p>
      <w:pPr>
        <w:spacing w:after="0" w:line="191" w:lineRule="auto"/>
        <w:framePr w:w="4740" w:h="147" w:wrap="auto" w:vAnchor="page" w:hAnchor="page" w:x="4180" w:y="4556"/>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Variable, performance-based –  Provides performance-based,</w:t>
      </w:r>
    </w:p>
    <w:p>
      <w:pPr>
        <w:spacing w:after="0" w:line="206" w:lineRule="auto"/>
        <w:framePr w:w="1480" w:h="147" w:wrap="auto" w:vAnchor="page" w:hAnchor="page" w:x="4380" w:y="4718"/>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cash compensation</w:t>
      </w:r>
    </w:p>
    <w:p>
      <w:pPr>
        <w:spacing w:after="0" w:line="206" w:lineRule="auto"/>
        <w:framePr w:w="2120" w:h="633" w:wrap="auto" w:vAnchor="page" w:hAnchor="page" w:x="6720" w:y="4718"/>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incentive cash awards for outstanding performance at the individual, business-unit, and/or company-wide level</w:t>
      </w:r>
    </w:p>
    <w:p>
      <w:pPr>
        <w:spacing w:after="0" w:line="201" w:lineRule="auto"/>
        <w:framePr w:w="2180" w:h="309" w:wrap="auto" w:vAnchor="page" w:hAnchor="page" w:x="8980" w:y="4556"/>
        <w:rPr>
          <w:rFonts w:ascii="Arial" w:cs="Arial" w:eastAsia="Arial" w:hAnsi="Arial"/>
          <w:sz w:val="16"/>
          <w:szCs w:val="16"/>
          <w:b w:val="1"/>
          <w:bCs w:val="1"/>
          <w:i w:val="1"/>
          <w:iCs w:val="1"/>
          <w:color w:val="71C5E8"/>
        </w:rPr>
      </w:pPr>
      <w:r>
        <w:rPr>
          <w:rFonts w:ascii="Arial" w:cs="Arial" w:eastAsia="Arial" w:hAnsi="Arial"/>
          <w:sz w:val="16"/>
          <w:szCs w:val="16"/>
          <w:b w:val="1"/>
          <w:bCs w:val="1"/>
          <w:i w:val="1"/>
          <w:iCs w:val="1"/>
          <w:color w:val="71C5E8"/>
        </w:rPr>
        <w:t>– Market Data median forms baseline</w:t>
      </w:r>
    </w:p>
    <w:p>
      <w:pPr>
        <w:spacing w:after="0" w:line="199" w:lineRule="auto"/>
        <w:framePr w:w="2240" w:h="163" w:wrap="auto" w:vAnchor="page" w:hAnchor="page" w:x="300" w:y="4324"/>
        <w:rPr>
          <w:rFonts w:ascii="Arial" w:cs="Arial" w:eastAsia="Arial" w:hAnsi="Arial"/>
          <w:sz w:val="17"/>
          <w:szCs w:val="17"/>
          <w:b w:val="1"/>
          <w:bCs w:val="1"/>
          <w:i w:val="1"/>
          <w:iCs w:val="1"/>
          <w:color w:val="5F259F"/>
        </w:rPr>
      </w:pPr>
      <w:r>
        <w:rPr>
          <w:rFonts w:ascii="Arial" w:cs="Arial" w:eastAsia="Arial" w:hAnsi="Arial"/>
          <w:sz w:val="17"/>
          <w:szCs w:val="17"/>
          <w:b w:val="1"/>
          <w:bCs w:val="1"/>
          <w:i w:val="1"/>
          <w:iCs w:val="1"/>
          <w:color w:val="5F259F"/>
        </w:rPr>
        <w:t>Short Term Incentive Pay</w:t>
      </w:r>
    </w:p>
    <w:p>
      <w:pPr>
        <w:spacing w:after="0" w:line="191" w:lineRule="auto"/>
        <w:framePr w:w="4440" w:h="147" w:wrap="auto" w:vAnchor="page" w:hAnchor="page" w:x="6520" w:y="3247"/>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  Attracts, develops, and retains –  Adjusted for executive’s</w:t>
      </w:r>
    </w:p>
    <w:p>
      <w:pPr>
        <w:spacing w:after="0" w:line="191" w:lineRule="auto"/>
        <w:framePr w:w="1880" w:h="147" w:wrap="auto" w:vAnchor="page" w:hAnchor="page" w:x="6720" w:y="3409"/>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highly-qualified executive</w:t>
      </w:r>
    </w:p>
    <w:p>
      <w:pPr>
        <w:spacing w:after="0" w:line="191" w:lineRule="auto"/>
        <w:framePr w:w="2240" w:h="147" w:wrap="auto" w:vAnchor="page" w:hAnchor="page" w:x="9180" w:y="3409"/>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contributions, experience, and</w:t>
      </w:r>
    </w:p>
    <w:p>
      <w:pPr>
        <w:spacing w:after="0" w:line="191" w:lineRule="auto"/>
        <w:framePr w:w="480" w:h="147" w:wrap="auto" w:vAnchor="page" w:hAnchor="page" w:x="6720" w:y="3571"/>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talent</w:t>
      </w:r>
    </w:p>
    <w:p>
      <w:pPr>
        <w:spacing w:after="0" w:line="191" w:lineRule="auto"/>
        <w:framePr w:w="980" w:h="147" w:wrap="auto" w:vAnchor="page" w:hAnchor="page" w:x="9180" w:y="3571"/>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performance</w:t>
      </w:r>
    </w:p>
    <w:p>
      <w:pPr>
        <w:spacing w:after="0" w:line="201" w:lineRule="auto"/>
        <w:framePr w:w="2440" w:h="309" w:wrap="auto" w:vAnchor="page" w:hAnchor="page" w:x="6520" w:y="3854"/>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 Maintains stable management team</w:t>
      </w:r>
    </w:p>
    <w:p>
      <w:pPr>
        <w:spacing w:after="0" w:line="191" w:lineRule="auto"/>
        <w:framePr w:w="680" w:h="147" w:wrap="auto" w:vAnchor="page" w:hAnchor="page" w:x="9180" w:y="2774"/>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baseline</w:t>
      </w:r>
    </w:p>
    <w:p>
      <w:pPr>
        <w:spacing w:after="0" w:line="191" w:lineRule="auto"/>
        <w:framePr w:w="1760" w:h="147" w:wrap="auto" w:vAnchor="page" w:hAnchor="page" w:x="4180" w:y="2599"/>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  Fixed Compensation</w:t>
      </w:r>
    </w:p>
    <w:p>
      <w:pPr>
        <w:spacing w:after="0" w:line="191" w:lineRule="auto"/>
        <w:framePr w:w="2320" w:h="147" w:wrap="auto" w:vAnchor="page" w:hAnchor="page" w:x="6520" w:y="2599"/>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  Compensates executives for</w:t>
      </w:r>
    </w:p>
    <w:p>
      <w:pPr>
        <w:spacing w:after="0" w:line="201" w:lineRule="auto"/>
        <w:framePr w:w="1920" w:h="309" w:wrap="auto" w:vAnchor="page" w:hAnchor="page" w:x="6720" w:y="2761"/>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performing day-to-day job responsibilities</w:t>
      </w:r>
    </w:p>
    <w:p>
      <w:pPr>
        <w:spacing w:after="0" w:line="191" w:lineRule="auto"/>
        <w:framePr w:w="2080" w:h="147" w:wrap="auto" w:vAnchor="page" w:hAnchor="page" w:x="8980" w:y="2599"/>
        <w:rPr>
          <w:rFonts w:ascii="Arial" w:cs="Arial" w:eastAsia="Arial" w:hAnsi="Arial"/>
          <w:sz w:val="16"/>
          <w:szCs w:val="16"/>
          <w:b w:val="1"/>
          <w:bCs w:val="1"/>
          <w:i w:val="1"/>
          <w:iCs w:val="1"/>
          <w:color w:val="5F259F"/>
        </w:rPr>
      </w:pPr>
      <w:r>
        <w:rPr>
          <w:rFonts w:ascii="Arial" w:cs="Arial" w:eastAsia="Arial" w:hAnsi="Arial"/>
          <w:sz w:val="16"/>
          <w:szCs w:val="16"/>
          <w:b w:val="1"/>
          <w:bCs w:val="1"/>
          <w:i w:val="1"/>
          <w:iCs w:val="1"/>
          <w:color w:val="5F259F"/>
        </w:rPr>
        <w:t>–  Market Data median sets</w:t>
      </w:r>
    </w:p>
    <w:p>
      <w:pPr>
        <w:spacing w:after="0" w:line="199" w:lineRule="auto"/>
        <w:framePr w:w="1100" w:h="163" w:wrap="auto" w:vAnchor="page" w:hAnchor="page" w:x="300" w:y="2367"/>
        <w:rPr>
          <w:rFonts w:ascii="Arial" w:cs="Arial" w:eastAsia="Arial" w:hAnsi="Arial"/>
          <w:sz w:val="17"/>
          <w:szCs w:val="17"/>
          <w:b w:val="1"/>
          <w:bCs w:val="1"/>
          <w:i w:val="1"/>
          <w:iCs w:val="1"/>
          <w:color w:val="009D85"/>
        </w:rPr>
      </w:pPr>
      <w:r>
        <w:rPr>
          <w:rFonts w:ascii="Arial" w:cs="Arial" w:eastAsia="Arial" w:hAnsi="Arial"/>
          <w:sz w:val="17"/>
          <w:szCs w:val="17"/>
          <w:b w:val="1"/>
          <w:bCs w:val="1"/>
          <w:i w:val="1"/>
          <w:iCs w:val="1"/>
          <w:color w:val="009D85"/>
        </w:rPr>
        <w:t>Base Salary</w:t>
      </w:r>
    </w:p>
    <w:p>
      <w:pPr>
        <w:spacing w:after="0"/>
        <w:rPr>
          <w:sz w:val="20"/>
          <w:szCs w:val="20"/>
          <w:color w:val="auto"/>
        </w:rPr>
      </w:pPr>
      <w:r>
        <w:rPr>
          <w:rFonts w:ascii="Arial" w:cs="Arial" w:eastAsia="Arial" w:hAnsi="Arial"/>
          <w:sz w:val="22"/>
          <w:szCs w:val="22"/>
          <w:b w:val="1"/>
          <w:bCs w:val="1"/>
          <w:color w:val="0090DA"/>
        </w:rPr>
        <w:t>Components of our Executive Compensation Program</w:t>
      </w:r>
    </w:p>
    <w:p>
      <w:pPr>
        <w:spacing w:after="0" w:line="265" w:lineRule="exact"/>
        <w:rPr>
          <w:rFonts w:ascii="Arial" w:cs="Arial" w:eastAsia="Arial" w:hAnsi="Arial"/>
          <w:sz w:val="17"/>
          <w:szCs w:val="17"/>
          <w:b w:val="1"/>
          <w:bCs w:val="1"/>
          <w:i w:val="1"/>
          <w:iCs w:val="1"/>
          <w:color w:val="009D85"/>
        </w:rPr>
      </w:pPr>
    </w:p>
    <w:p>
      <w:pPr>
        <w:ind w:right="580"/>
        <w:spacing w:after="0" w:line="261" w:lineRule="auto"/>
        <w:rPr>
          <w:sz w:val="20"/>
          <w:szCs w:val="20"/>
          <w:color w:val="auto"/>
        </w:rPr>
      </w:pPr>
      <w:r>
        <w:rPr>
          <w:rFonts w:ascii="Arial" w:cs="Arial" w:eastAsia="Arial" w:hAnsi="Arial"/>
          <w:sz w:val="18"/>
          <w:szCs w:val="18"/>
          <w:color w:val="auto"/>
        </w:rPr>
        <w:t>As illustrated in the table below, our executive compensation program is designed to focus on the longer-term and performance-based components of target compensation.</w:t>
      </w:r>
    </w:p>
    <w:p>
      <w:pPr>
        <w:spacing w:after="0" w:line="20" w:lineRule="exact"/>
        <w:rPr>
          <w:rFonts w:ascii="Arial" w:cs="Arial" w:eastAsia="Arial" w:hAnsi="Arial"/>
          <w:sz w:val="17"/>
          <w:szCs w:val="17"/>
          <w:b w:val="1"/>
          <w:bCs w:val="1"/>
          <w:i w:val="1"/>
          <w:iCs w:val="1"/>
          <w:color w:val="009D85"/>
        </w:rPr>
      </w:pPr>
      <w:r>
        <w:rPr>
          <w:rFonts w:ascii="Arial" w:cs="Arial" w:eastAsia="Arial" w:hAnsi="Arial"/>
          <w:sz w:val="17"/>
          <w:szCs w:val="17"/>
          <w:b w:val="1"/>
          <w:bCs w:val="1"/>
          <w:i w:val="1"/>
          <w:iCs w:val="1"/>
          <w:color w:val="009D85"/>
        </w:rPr>
        <w:drawing>
          <wp:anchor simplePos="0" relativeHeight="251657728" behindDoc="1" locked="0" layoutInCell="0" allowOverlap="1">
            <wp:simplePos x="0" y="0"/>
            <wp:positionH relativeFrom="column">
              <wp:posOffset>201930</wp:posOffset>
            </wp:positionH>
            <wp:positionV relativeFrom="paragraph">
              <wp:posOffset>332105</wp:posOffset>
            </wp:positionV>
            <wp:extent cx="2065655" cy="1028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65655" cy="102870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1934845</wp:posOffset>
            </wp:positionV>
            <wp:extent cx="2065655" cy="1028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65655" cy="102870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4035425</wp:posOffset>
            </wp:positionV>
            <wp:extent cx="2065655" cy="1028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5655" cy="102870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5629910</wp:posOffset>
            </wp:positionV>
            <wp:extent cx="2065655" cy="1028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5655" cy="1028700"/>
                    </a:xfrm>
                    <a:prstGeom prst="rect">
                      <a:avLst/>
                    </a:prstGeom>
                    <a:noFill/>
                  </pic:spPr>
                </pic:pic>
              </a:graphicData>
            </a:graphic>
          </wp:anchor>
        </w:drawing>
      </w: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37"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101"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131"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200" w:lineRule="exact"/>
        <w:rPr>
          <w:rFonts w:ascii="Arial" w:cs="Arial" w:eastAsia="Arial" w:hAnsi="Arial"/>
          <w:sz w:val="17"/>
          <w:szCs w:val="17"/>
          <w:b w:val="1"/>
          <w:bCs w:val="1"/>
          <w:i w:val="1"/>
          <w:iCs w:val="1"/>
          <w:color w:val="009D85"/>
        </w:rPr>
      </w:pPr>
    </w:p>
    <w:p>
      <w:pPr>
        <w:spacing w:after="0" w:line="56" w:lineRule="exact"/>
        <w:rPr>
          <w:rFonts w:ascii="Arial" w:cs="Arial" w:eastAsia="Arial" w:hAnsi="Arial"/>
          <w:sz w:val="17"/>
          <w:szCs w:val="17"/>
          <w:b w:val="1"/>
          <w:bCs w:val="1"/>
          <w:i w:val="1"/>
          <w:iCs w:val="1"/>
          <w:color w:val="009D85"/>
        </w:rPr>
      </w:pPr>
    </w:p>
    <w:p>
      <w:pPr>
        <w:spacing w:after="0" w:line="40" w:lineRule="exact"/>
        <w:rPr>
          <w:rFonts w:ascii="Arial" w:cs="Arial" w:eastAsia="Arial" w:hAnsi="Arial"/>
          <w:sz w:val="17"/>
          <w:szCs w:val="17"/>
          <w:b w:val="1"/>
          <w:bCs w:val="1"/>
          <w:i w:val="1"/>
          <w:iCs w:val="1"/>
          <w:color w:val="009D85"/>
        </w:rPr>
      </w:pPr>
    </w:p>
    <w:tbl>
      <w:tblPr>
        <w:tblLayout w:type="fixed"/>
        <w:tblInd w:w="0" w:type="dxa"/>
        <w:tblCellMar>
          <w:top w:w="0" w:type="dxa"/>
          <w:left w:w="0" w:type="dxa"/>
          <w:bottom w:w="0" w:type="dxa"/>
          <w:right w:w="0" w:type="dxa"/>
        </w:tblCellMar>
      </w:tblPr>
      <w:tr>
        <w:trPr>
          <w:trHeight w:val="0"/>
        </w:trPr>
        <w:tc>
          <w:tcPr>
            <w:tcW w:w="3900" w:type="dxa"/>
            <w:vAlign w:val="bottom"/>
            <w:tcBorders>
              <w:right w:val="single" w:sz="8" w:color="818386"/>
            </w:tcBorders>
            <w:shd w:val="clear" w:color="auto" w:fill="929292"/>
          </w:tcPr>
          <w:p>
            <w:pPr>
              <w:ind w:left="520"/>
              <w:spacing w:after="0"/>
              <w:rPr>
                <w:sz w:val="20"/>
                <w:szCs w:val="20"/>
                <w:color w:val="auto"/>
              </w:rPr>
            </w:pPr>
            <w:r>
              <w:rPr>
                <w:rFonts w:ascii="Arial" w:cs="Arial" w:eastAsia="Arial" w:hAnsi="Arial"/>
                <w:sz w:val="22"/>
                <w:szCs w:val="22"/>
                <w:b w:val="1"/>
                <w:bCs w:val="1"/>
                <w:color w:val="auto"/>
              </w:rPr>
              <w:t>Compensation Component*</w:t>
            </w:r>
          </w:p>
        </w:tc>
        <w:tc>
          <w:tcPr>
            <w:tcW w:w="2340" w:type="dxa"/>
            <w:vAlign w:val="bottom"/>
            <w:tcBorders>
              <w:right w:val="single" w:sz="8" w:color="818386"/>
            </w:tcBorders>
            <w:shd w:val="clear" w:color="auto" w:fill="929292"/>
          </w:tcPr>
          <w:p>
            <w:pPr>
              <w:ind w:left="380"/>
              <w:spacing w:after="0"/>
              <w:rPr>
                <w:sz w:val="20"/>
                <w:szCs w:val="20"/>
                <w:color w:val="auto"/>
              </w:rPr>
            </w:pPr>
            <w:r>
              <w:rPr>
                <w:rFonts w:ascii="Arial" w:cs="Arial" w:eastAsia="Arial" w:hAnsi="Arial"/>
                <w:sz w:val="22"/>
                <w:szCs w:val="22"/>
                <w:b w:val="1"/>
                <w:bCs w:val="1"/>
                <w:color w:val="auto"/>
              </w:rPr>
              <w:t>Characteristics</w:t>
            </w:r>
          </w:p>
        </w:tc>
        <w:tc>
          <w:tcPr>
            <w:tcW w:w="2460" w:type="dxa"/>
            <w:vAlign w:val="bottom"/>
            <w:tcBorders>
              <w:right w:val="single" w:sz="8" w:color="818386"/>
            </w:tcBorders>
            <w:shd w:val="clear" w:color="auto" w:fill="929292"/>
          </w:tcPr>
          <w:p>
            <w:pPr>
              <w:ind w:left="780"/>
              <w:spacing w:after="0"/>
              <w:rPr>
                <w:sz w:val="20"/>
                <w:szCs w:val="20"/>
                <w:color w:val="auto"/>
              </w:rPr>
            </w:pPr>
            <w:r>
              <w:rPr>
                <w:rFonts w:ascii="Arial" w:cs="Arial" w:eastAsia="Arial" w:hAnsi="Arial"/>
                <w:sz w:val="22"/>
                <w:szCs w:val="22"/>
                <w:b w:val="1"/>
                <w:bCs w:val="1"/>
                <w:color w:val="auto"/>
              </w:rPr>
              <w:t>Purpose</w:t>
            </w:r>
          </w:p>
        </w:tc>
        <w:tc>
          <w:tcPr>
            <w:tcW w:w="2540" w:type="dxa"/>
            <w:vAlign w:val="bottom"/>
            <w:shd w:val="clear" w:color="auto" w:fill="929292"/>
          </w:tcPr>
          <w:p>
            <w:pPr>
              <w:ind w:left="220"/>
              <w:spacing w:after="0"/>
              <w:rPr>
                <w:sz w:val="20"/>
                <w:szCs w:val="20"/>
                <w:color w:val="auto"/>
              </w:rPr>
            </w:pPr>
            <w:r>
              <w:rPr>
                <w:rFonts w:ascii="Arial" w:cs="Arial" w:eastAsia="Arial" w:hAnsi="Arial"/>
                <w:sz w:val="22"/>
                <w:szCs w:val="22"/>
                <w:b w:val="1"/>
                <w:bCs w:val="1"/>
                <w:color w:val="auto"/>
              </w:rPr>
              <w:t>Determining Factors</w:t>
            </w:r>
          </w:p>
        </w:tc>
      </w:tr>
      <w:tr>
        <w:trPr>
          <w:trHeight w:val="20"/>
        </w:trPr>
        <w:tc>
          <w:tcPr>
            <w:tcW w:w="3900" w:type="dxa"/>
            <w:vAlign w:val="bottom"/>
            <w:tcBorders>
              <w:bottom w:val="single" w:sz="8" w:color="929292"/>
            </w:tcBorders>
          </w:tcPr>
          <w:p>
            <w:pPr>
              <w:spacing w:after="0" w:line="20" w:lineRule="exact"/>
              <w:rPr>
                <w:sz w:val="1"/>
                <w:szCs w:val="1"/>
                <w:color w:val="auto"/>
              </w:rPr>
            </w:pPr>
          </w:p>
        </w:tc>
        <w:tc>
          <w:tcPr>
            <w:tcW w:w="2340" w:type="dxa"/>
            <w:vAlign w:val="bottom"/>
            <w:tcBorders>
              <w:bottom w:val="single" w:sz="8" w:color="929292"/>
            </w:tcBorders>
          </w:tcPr>
          <w:p>
            <w:pPr>
              <w:spacing w:after="0" w:line="20" w:lineRule="exact"/>
              <w:rPr>
                <w:sz w:val="1"/>
                <w:szCs w:val="1"/>
                <w:color w:val="auto"/>
              </w:rPr>
            </w:pPr>
          </w:p>
        </w:tc>
        <w:tc>
          <w:tcPr>
            <w:tcW w:w="2460" w:type="dxa"/>
            <w:vAlign w:val="bottom"/>
            <w:tcBorders>
              <w:bottom w:val="single" w:sz="8" w:color="929292"/>
            </w:tcBorders>
          </w:tcPr>
          <w:p>
            <w:pPr>
              <w:spacing w:after="0" w:line="20" w:lineRule="exact"/>
              <w:rPr>
                <w:sz w:val="1"/>
                <w:szCs w:val="1"/>
                <w:color w:val="auto"/>
              </w:rPr>
            </w:pPr>
          </w:p>
        </w:tc>
        <w:tc>
          <w:tcPr>
            <w:tcW w:w="2540" w:type="dxa"/>
            <w:vAlign w:val="bottom"/>
            <w:tcBorders>
              <w:bottom w:val="single" w:sz="8" w:color="929292"/>
            </w:tcBorders>
          </w:tcPr>
          <w:p>
            <w:pPr>
              <w:spacing w:after="0" w:line="20" w:lineRule="exact"/>
              <w:rPr>
                <w:sz w:val="1"/>
                <w:szCs w:val="1"/>
                <w:color w:val="auto"/>
              </w:rPr>
            </w:pPr>
          </w:p>
        </w:tc>
      </w:tr>
    </w:tbl>
    <w:p>
      <w:pPr>
        <w:sectPr>
          <w:pgSz w:w="11900" w:h="16838" w:orient="portrait"/>
          <w:cols w:equalWidth="0" w:num="1">
            <w:col w:w="11240"/>
          </w:cols>
          <w:pgMar w:left="320" w:top="1093" w:right="339" w:bottom="1440" w:gutter="0" w:footer="0" w:header="0"/>
        </w:sectPr>
      </w:pPr>
    </w:p>
    <w:bookmarkStart w:id="37" w:name="page38"/>
    <w:bookmarkEnd w:id="37"/>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Consideration of the Fiscal 2020 Advisory Vote on Executive Compensation</w:t>
      </w:r>
    </w:p>
    <w:p>
      <w:pPr>
        <w:spacing w:after="0" w:line="359"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At the Fiscal 2020 Annual Meeting of Shareholders on January 14, 2021, in our annual advisory vote on executive compensation, 85% of the votes cast were voted in support of the compensation of our Named Executive Officers. The Compensation Committee appreciates and values the views of our shareholders. In considering the results of the fiscal 2020 advisory vote on executive compensation, the Compensation Committee concluded that the compensation paid to our executive officers and our overall executive pay practices have shareholder support and have been effective in implementing our stated compensation philosophy and objectives. The Compensation Committee recognizes that executive pay practices and governance principles continue to evolve. Consequently, we discussed executive compensation and other matters with shareholders throughout fiscal 2021 and intend to continue our outreach to shareholders on executive compensation and other matters. The Compensation Committee also intends to continue to seek the advice and counsel of its compensation advisors. Our shareholders may communicate any concerns or opinions on executive pay directly to the Compensation Committee or the Board of Directors. Please refer to “Executive Sessions and Communications with the Board of Directors” on page 21 for information about communicating with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Oversight of the Executive Compensation Program</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Each year, the Compensation Committee, advised by its independent compensation consultant, undertakes a rigorous process to review our executive compensation program and determine executive compensation in the context of our pay-for-performance philosophy. The Compensation Committee believes a substantial portion of our executive compensation should be incentive-based and focused on long-term performance to help ensure that the interests of our executive officers are aligned with those of our shareholders. Our primary long-term objective is to drive sustainable value creation for our shareholders by attracting, retaining, developing, and motivating a diverse group of top executive talent through a comprehensive and market-competitive executive compensation program. The Compensation Committee reviews and approves the goals and objectives used to determine executive compensation, evaluates performance in light of such goals and objectives, and determines and approves compensation levels based on that evaluation.</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Compensation Committee annually engages an outside compensation consultant. The Compensation Committee also works closely with our CEO with respect to the determination of compensation of other officers. A more complete description of the Compensation Committee’s responsibilities is provided in the Compensation Committee’s Charter approved by the Board of Directors, which can be found on our website, </w:t>
      </w:r>
      <w:r>
        <w:rPr>
          <w:rFonts w:ascii="Arial" w:cs="Arial" w:eastAsia="Arial" w:hAnsi="Arial"/>
          <w:sz w:val="18"/>
          <w:szCs w:val="18"/>
          <w:i w:val="1"/>
          <w:iCs w:val="1"/>
          <w:color w:val="auto"/>
        </w:rPr>
        <w:t>www.micron.com</w:t>
      </w:r>
      <w:r>
        <w:rPr>
          <w:rFonts w:ascii="Arial" w:cs="Arial" w:eastAsia="Arial" w:hAnsi="Arial"/>
          <w:sz w:val="18"/>
          <w:szCs w:val="18"/>
          <w:color w:val="auto"/>
        </w:rPr>
        <w:t>. A more complete description of the role of the Compensation Committee’s compensation consultant and our CEO in the compensation process is described later in this Compensation Discussion and Analysis. Additional information regarding the Compensation Committee’s compensation consultant, the specific activities it undertakes for us, and its fees can be found under “Compensation-setting Process and the Determination of Compensation Levels” on page 34.</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31</w:t>
      </w:r>
    </w:p>
    <w:p>
      <w:pPr>
        <w:sectPr>
          <w:pgSz w:w="11900" w:h="16838" w:orient="portrait"/>
          <w:cols w:equalWidth="0" w:num="1">
            <w:col w:w="11240"/>
          </w:cols>
          <w:pgMar w:left="320" w:top="1440" w:right="339" w:bottom="1440" w:gutter="0" w:footer="0" w:header="0"/>
        </w:sectPr>
      </w:pPr>
    </w:p>
    <w:bookmarkStart w:id="38" w:name="page39"/>
    <w:bookmarkEnd w:id="38"/>
    <w:p>
      <w:pPr>
        <w:jc w:val="center"/>
        <w:ind w:right="-179"/>
        <w:spacing w:after="0"/>
        <w:rPr>
          <w:sz w:val="20"/>
          <w:szCs w:val="20"/>
          <w:color w:val="auto"/>
        </w:rPr>
      </w:pPr>
      <w:r>
        <w:rPr>
          <w:rFonts w:ascii="Arial" w:cs="Arial" w:eastAsia="Arial" w:hAnsi="Arial"/>
          <w:sz w:val="21"/>
          <w:szCs w:val="21"/>
          <w:b w:val="1"/>
          <w:bCs w:val="1"/>
          <w:color w:val="auto"/>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1120" w:right="519" w:bottom="1440" w:gutter="0" w:footer="0" w:header="0"/>
        </w:sectPr>
      </w:pPr>
    </w:p>
    <w:p>
      <w:pPr>
        <w:spacing w:after="0" w:line="83"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64870B"/>
        </w:rPr>
        <w:t>WHAT WE DO</w:t>
      </w:r>
    </w:p>
    <w:p>
      <w:pPr>
        <w:spacing w:after="0" w:line="76" w:lineRule="exact"/>
        <w:rPr>
          <w:sz w:val="20"/>
          <w:szCs w:val="20"/>
          <w:color w:val="auto"/>
        </w:rPr>
      </w:pPr>
    </w:p>
    <w:p>
      <w:pPr>
        <w:jc w:val="both"/>
        <w:ind w:left="20" w:right="480" w:firstLine="6"/>
        <w:spacing w:after="0" w:line="227" w:lineRule="auto"/>
        <w:tabs>
          <w:tab w:leader="none" w:pos="170" w:val="left"/>
        </w:tabs>
        <w:numPr>
          <w:ilvl w:val="0"/>
          <w:numId w:val="41"/>
        </w:numPr>
        <w:rPr>
          <w:rFonts w:ascii="Arial" w:cs="Arial" w:eastAsia="Arial" w:hAnsi="Arial"/>
          <w:sz w:val="18"/>
          <w:szCs w:val="18"/>
          <w:color w:val="64870B"/>
        </w:rPr>
      </w:pPr>
      <w:r>
        <w:rPr>
          <w:rFonts w:ascii="Arial" w:cs="Arial" w:eastAsia="Arial" w:hAnsi="Arial"/>
          <w:sz w:val="18"/>
          <w:szCs w:val="18"/>
          <w:color w:val="auto"/>
        </w:rPr>
        <w:t>Pay for performance by requiring that a substantial portion of our executives’ compensation be earned based on performance goals</w:t>
      </w:r>
    </w:p>
    <w:p>
      <w:pPr>
        <w:spacing w:after="0" w:line="40" w:lineRule="exact"/>
        <w:rPr>
          <w:rFonts w:ascii="Arial" w:cs="Arial" w:eastAsia="Arial" w:hAnsi="Arial"/>
          <w:sz w:val="18"/>
          <w:szCs w:val="18"/>
          <w:color w:val="64870B"/>
        </w:rPr>
      </w:pPr>
    </w:p>
    <w:p>
      <w:pPr>
        <w:ind w:left="20" w:right="380" w:firstLine="6"/>
        <w:spacing w:after="0" w:line="241" w:lineRule="auto"/>
        <w:tabs>
          <w:tab w:leader="none" w:pos="170" w:val="left"/>
        </w:tabs>
        <w:numPr>
          <w:ilvl w:val="0"/>
          <w:numId w:val="41"/>
        </w:numPr>
        <w:rPr>
          <w:rFonts w:ascii="Arial" w:cs="Arial" w:eastAsia="Arial" w:hAnsi="Arial"/>
          <w:sz w:val="17"/>
          <w:szCs w:val="17"/>
          <w:color w:val="64870B"/>
        </w:rPr>
      </w:pPr>
      <w:r>
        <w:rPr>
          <w:rFonts w:ascii="Arial" w:cs="Arial" w:eastAsia="Arial" w:hAnsi="Arial"/>
          <w:sz w:val="17"/>
          <w:szCs w:val="17"/>
          <w:color w:val="auto"/>
        </w:rPr>
        <w:t>Link our compensation program to our long-term corporate growth strategy and key drivers of sustainable shareholder value creation</w:t>
      </w:r>
    </w:p>
    <w:p>
      <w:pPr>
        <w:spacing w:after="0" w:line="12" w:lineRule="exact"/>
        <w:rPr>
          <w:rFonts w:ascii="Arial" w:cs="Arial" w:eastAsia="Arial" w:hAnsi="Arial"/>
          <w:sz w:val="17"/>
          <w:szCs w:val="17"/>
          <w:color w:val="64870B"/>
        </w:rPr>
      </w:pPr>
    </w:p>
    <w:p>
      <w:pPr>
        <w:ind w:left="20" w:firstLine="6"/>
        <w:spacing w:after="0" w:line="215" w:lineRule="auto"/>
        <w:tabs>
          <w:tab w:leader="none" w:pos="170" w:val="left"/>
        </w:tabs>
        <w:numPr>
          <w:ilvl w:val="0"/>
          <w:numId w:val="41"/>
        </w:numPr>
        <w:rPr>
          <w:rFonts w:ascii="Arial" w:cs="Arial" w:eastAsia="Arial" w:hAnsi="Arial"/>
          <w:sz w:val="18"/>
          <w:szCs w:val="18"/>
          <w:color w:val="64870B"/>
        </w:rPr>
      </w:pPr>
      <w:r>
        <w:rPr>
          <w:rFonts w:ascii="Arial" w:cs="Arial" w:eastAsia="Arial" w:hAnsi="Arial"/>
          <w:sz w:val="18"/>
          <w:szCs w:val="18"/>
          <w:color w:val="auto"/>
        </w:rPr>
        <w:t>Use a mix of objective performance measures, cash- and equity-based components, and short- and long-term incentive opportunities that hold our executive officers accountable for executing on our long-term strategy</w:t>
      </w:r>
    </w:p>
    <w:p>
      <w:pPr>
        <w:spacing w:after="0" w:line="27" w:lineRule="exact"/>
        <w:rPr>
          <w:rFonts w:ascii="Arial" w:cs="Arial" w:eastAsia="Arial" w:hAnsi="Arial"/>
          <w:sz w:val="18"/>
          <w:szCs w:val="18"/>
          <w:color w:val="64870B"/>
        </w:rPr>
      </w:pPr>
    </w:p>
    <w:p>
      <w:pPr>
        <w:jc w:val="both"/>
        <w:ind w:left="20" w:right="380" w:firstLine="6"/>
        <w:spacing w:after="0"/>
        <w:tabs>
          <w:tab w:leader="none" w:pos="170" w:val="left"/>
        </w:tabs>
        <w:numPr>
          <w:ilvl w:val="0"/>
          <w:numId w:val="41"/>
        </w:numPr>
        <w:rPr>
          <w:rFonts w:ascii="Arial" w:cs="Arial" w:eastAsia="Arial" w:hAnsi="Arial"/>
          <w:sz w:val="18"/>
          <w:szCs w:val="18"/>
          <w:color w:val="548435"/>
        </w:rPr>
      </w:pPr>
      <w:r>
        <w:rPr>
          <w:rFonts w:ascii="Arial" w:cs="Arial" w:eastAsia="Arial" w:hAnsi="Arial"/>
          <w:sz w:val="18"/>
          <w:szCs w:val="18"/>
          <w:color w:val="auto"/>
        </w:rPr>
        <w:t>Engage an independent compensation consultant to evaluate and advise the Compensation Committee on our compensation program design and pay decisions for our executive officers</w:t>
      </w:r>
    </w:p>
    <w:p>
      <w:pPr>
        <w:spacing w:after="0" w:line="40" w:lineRule="exact"/>
        <w:rPr>
          <w:rFonts w:ascii="Arial" w:cs="Arial" w:eastAsia="Arial" w:hAnsi="Arial"/>
          <w:sz w:val="18"/>
          <w:szCs w:val="18"/>
          <w:color w:val="548435"/>
        </w:rPr>
      </w:pPr>
    </w:p>
    <w:p>
      <w:pPr>
        <w:ind w:left="180" w:hanging="154"/>
        <w:spacing w:after="0"/>
        <w:tabs>
          <w:tab w:leader="none" w:pos="180" w:val="left"/>
        </w:tabs>
        <w:numPr>
          <w:ilvl w:val="0"/>
          <w:numId w:val="41"/>
        </w:numPr>
        <w:rPr>
          <w:rFonts w:ascii="Arial" w:cs="Arial" w:eastAsia="Arial" w:hAnsi="Arial"/>
          <w:sz w:val="18"/>
          <w:szCs w:val="18"/>
          <w:color w:val="64870B"/>
        </w:rPr>
      </w:pPr>
      <w:r>
        <w:rPr>
          <w:rFonts w:ascii="Arial" w:cs="Arial" w:eastAsia="Arial" w:hAnsi="Arial"/>
          <w:sz w:val="18"/>
          <w:szCs w:val="18"/>
          <w:color w:val="auto"/>
        </w:rPr>
        <w:t>Cap maximum payout levels under our incentive plans</w:t>
      </w:r>
    </w:p>
    <w:p>
      <w:pPr>
        <w:spacing w:after="0" w:line="49" w:lineRule="exact"/>
        <w:rPr>
          <w:rFonts w:ascii="Arial" w:cs="Arial" w:eastAsia="Arial" w:hAnsi="Arial"/>
          <w:sz w:val="18"/>
          <w:szCs w:val="18"/>
          <w:color w:val="64870B"/>
        </w:rPr>
      </w:pPr>
    </w:p>
    <w:p>
      <w:pPr>
        <w:ind w:left="20" w:firstLine="6"/>
        <w:spacing w:after="0" w:line="238" w:lineRule="auto"/>
        <w:tabs>
          <w:tab w:leader="none" w:pos="170" w:val="left"/>
        </w:tabs>
        <w:numPr>
          <w:ilvl w:val="0"/>
          <w:numId w:val="41"/>
        </w:numPr>
        <w:rPr>
          <w:rFonts w:ascii="Arial" w:cs="Arial" w:eastAsia="Arial" w:hAnsi="Arial"/>
          <w:sz w:val="18"/>
          <w:szCs w:val="18"/>
          <w:color w:val="64870B"/>
        </w:rPr>
      </w:pPr>
      <w:r>
        <w:rPr>
          <w:rFonts w:ascii="Arial" w:cs="Arial" w:eastAsia="Arial" w:hAnsi="Arial"/>
          <w:sz w:val="18"/>
          <w:szCs w:val="18"/>
          <w:color w:val="auto"/>
        </w:rPr>
        <w:t>Maintain a compensation recoupment (“clawback”) policy that provides for recoupment of incentive compensation paid to current and former executives in the event of an accounting restatement due to material noncompliance</w:t>
      </w:r>
    </w:p>
    <w:p>
      <w:pPr>
        <w:spacing w:after="0" w:line="42" w:lineRule="exact"/>
        <w:rPr>
          <w:rFonts w:ascii="Arial" w:cs="Arial" w:eastAsia="Arial" w:hAnsi="Arial"/>
          <w:sz w:val="18"/>
          <w:szCs w:val="18"/>
          <w:color w:val="64870B"/>
        </w:rPr>
      </w:pPr>
    </w:p>
    <w:p>
      <w:pPr>
        <w:ind w:left="180" w:hanging="154"/>
        <w:spacing w:after="0"/>
        <w:tabs>
          <w:tab w:leader="none" w:pos="180" w:val="left"/>
        </w:tabs>
        <w:numPr>
          <w:ilvl w:val="0"/>
          <w:numId w:val="41"/>
        </w:numPr>
        <w:rPr>
          <w:rFonts w:ascii="Arial" w:cs="Arial" w:eastAsia="Arial" w:hAnsi="Arial"/>
          <w:sz w:val="18"/>
          <w:szCs w:val="18"/>
          <w:color w:val="64870B"/>
        </w:rPr>
      </w:pPr>
      <w:r>
        <w:rPr>
          <w:rFonts w:ascii="Arial" w:cs="Arial" w:eastAsia="Arial" w:hAnsi="Arial"/>
          <w:sz w:val="18"/>
          <w:szCs w:val="18"/>
          <w:color w:val="auto"/>
        </w:rPr>
        <w:t>Maintain executive stock ownership guidelines</w:t>
      </w:r>
    </w:p>
    <w:p>
      <w:pPr>
        <w:spacing w:after="0" w:line="49" w:lineRule="exact"/>
        <w:rPr>
          <w:rFonts w:ascii="Arial" w:cs="Arial" w:eastAsia="Arial" w:hAnsi="Arial"/>
          <w:sz w:val="18"/>
          <w:szCs w:val="18"/>
          <w:color w:val="64870B"/>
        </w:rPr>
      </w:pPr>
    </w:p>
    <w:p>
      <w:pPr>
        <w:ind w:left="180" w:hanging="154"/>
        <w:spacing w:after="0"/>
        <w:tabs>
          <w:tab w:leader="none" w:pos="180" w:val="left"/>
        </w:tabs>
        <w:numPr>
          <w:ilvl w:val="0"/>
          <w:numId w:val="41"/>
        </w:numPr>
        <w:rPr>
          <w:rFonts w:ascii="Arial" w:cs="Arial" w:eastAsia="Arial" w:hAnsi="Arial"/>
          <w:sz w:val="18"/>
          <w:szCs w:val="18"/>
          <w:color w:val="64870B"/>
        </w:rPr>
      </w:pPr>
      <w:r>
        <w:rPr>
          <w:rFonts w:ascii="Arial" w:cs="Arial" w:eastAsia="Arial" w:hAnsi="Arial"/>
          <w:sz w:val="18"/>
          <w:szCs w:val="18"/>
          <w:color w:val="auto"/>
        </w:rPr>
        <w:t>Provide limited perquisites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1459"/>
        <w:spacing w:after="0"/>
        <w:rPr>
          <w:sz w:val="20"/>
          <w:szCs w:val="20"/>
          <w:color w:val="auto"/>
        </w:rPr>
      </w:pPr>
      <w:r>
        <w:rPr>
          <w:rFonts w:ascii="Arial" w:cs="Arial" w:eastAsia="Arial" w:hAnsi="Arial"/>
          <w:sz w:val="22"/>
          <w:szCs w:val="22"/>
          <w:b w:val="1"/>
          <w:bCs w:val="1"/>
          <w:color w:val="C00D1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-147955</wp:posOffset>
            </wp:positionV>
            <wp:extent cx="8890" cy="26574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2657475"/>
                    </a:xfrm>
                    <a:prstGeom prst="rect">
                      <a:avLst/>
                    </a:prstGeom>
                    <a:noFill/>
                  </pic:spPr>
                </pic:pic>
              </a:graphicData>
            </a:graphic>
          </wp:anchor>
        </w:drawing>
      </w:r>
    </w:p>
    <w:p>
      <w:pPr>
        <w:spacing w:after="0" w:line="42" w:lineRule="exact"/>
        <w:rPr>
          <w:sz w:val="20"/>
          <w:szCs w:val="20"/>
          <w:color w:val="auto"/>
        </w:rPr>
      </w:pPr>
    </w:p>
    <w:p>
      <w:pPr>
        <w:ind w:left="-1" w:firstLine="1"/>
        <w:spacing w:after="0" w:line="246" w:lineRule="auto"/>
        <w:tabs>
          <w:tab w:leader="none" w:pos="149" w:val="left"/>
        </w:tabs>
        <w:numPr>
          <w:ilvl w:val="0"/>
          <w:numId w:val="42"/>
        </w:numPr>
        <w:rPr>
          <w:rFonts w:ascii="Arial" w:cs="Arial" w:eastAsia="Arial" w:hAnsi="Arial"/>
          <w:sz w:val="18"/>
          <w:szCs w:val="18"/>
          <w:color w:val="C00D1E"/>
        </w:rPr>
      </w:pPr>
      <w:r>
        <w:rPr>
          <w:rFonts w:ascii="Arial" w:cs="Arial" w:eastAsia="Arial" w:hAnsi="Arial"/>
          <w:sz w:val="18"/>
          <w:szCs w:val="18"/>
          <w:color w:val="auto"/>
        </w:rPr>
        <w:t>No special retirement benefits other than participation in our retirement plans on the same basis as other employees</w:t>
      </w:r>
    </w:p>
    <w:p>
      <w:pPr>
        <w:spacing w:after="0" w:line="34" w:lineRule="exact"/>
        <w:rPr>
          <w:rFonts w:ascii="Arial" w:cs="Arial" w:eastAsia="Arial" w:hAnsi="Arial"/>
          <w:sz w:val="18"/>
          <w:szCs w:val="18"/>
          <w:color w:val="C00D1E"/>
        </w:rPr>
      </w:pPr>
    </w:p>
    <w:p>
      <w:pPr>
        <w:ind w:left="159" w:hanging="159"/>
        <w:spacing w:after="0"/>
        <w:tabs>
          <w:tab w:leader="none" w:pos="159" w:val="left"/>
        </w:tabs>
        <w:numPr>
          <w:ilvl w:val="0"/>
          <w:numId w:val="42"/>
        </w:numPr>
        <w:rPr>
          <w:rFonts w:ascii="Arial" w:cs="Arial" w:eastAsia="Arial" w:hAnsi="Arial"/>
          <w:sz w:val="18"/>
          <w:szCs w:val="18"/>
          <w:color w:val="C00D1E"/>
        </w:rPr>
      </w:pPr>
      <w:r>
        <w:rPr>
          <w:rFonts w:ascii="Arial" w:cs="Arial" w:eastAsia="Arial" w:hAnsi="Arial"/>
          <w:sz w:val="18"/>
          <w:szCs w:val="18"/>
          <w:color w:val="auto"/>
        </w:rPr>
        <w:t>No tax gross-ups for change in control pay</w:t>
      </w:r>
    </w:p>
    <w:p>
      <w:pPr>
        <w:spacing w:after="0" w:line="198" w:lineRule="exact"/>
        <w:rPr>
          <w:rFonts w:ascii="Arial" w:cs="Arial" w:eastAsia="Arial" w:hAnsi="Arial"/>
          <w:sz w:val="18"/>
          <w:szCs w:val="18"/>
          <w:color w:val="C00D1E"/>
        </w:rPr>
      </w:pPr>
    </w:p>
    <w:p>
      <w:pPr>
        <w:ind w:left="-1" w:right="140" w:firstLine="1"/>
        <w:spacing w:after="0" w:line="246" w:lineRule="auto"/>
        <w:tabs>
          <w:tab w:leader="none" w:pos="149" w:val="left"/>
        </w:tabs>
        <w:numPr>
          <w:ilvl w:val="0"/>
          <w:numId w:val="42"/>
        </w:numPr>
        <w:rPr>
          <w:rFonts w:ascii="Arial" w:cs="Arial" w:eastAsia="Arial" w:hAnsi="Arial"/>
          <w:sz w:val="18"/>
          <w:szCs w:val="18"/>
          <w:color w:val="C00D1E"/>
        </w:rPr>
      </w:pPr>
      <w:r>
        <w:rPr>
          <w:rFonts w:ascii="Arial" w:cs="Arial" w:eastAsia="Arial" w:hAnsi="Arial"/>
          <w:sz w:val="18"/>
          <w:szCs w:val="18"/>
          <w:color w:val="auto"/>
        </w:rPr>
        <w:t>No repricing of options or stock appreciation rights without prior shareholder approval</w:t>
      </w:r>
    </w:p>
    <w:p>
      <w:pPr>
        <w:spacing w:after="0" w:line="331" w:lineRule="exact"/>
        <w:rPr>
          <w:rFonts w:ascii="Arial" w:cs="Arial" w:eastAsia="Arial" w:hAnsi="Arial"/>
          <w:sz w:val="18"/>
          <w:szCs w:val="18"/>
          <w:color w:val="C00D1E"/>
        </w:rPr>
      </w:pPr>
    </w:p>
    <w:p>
      <w:pPr>
        <w:ind w:left="159" w:hanging="159"/>
        <w:spacing w:after="0"/>
        <w:tabs>
          <w:tab w:leader="none" w:pos="159" w:val="left"/>
        </w:tabs>
        <w:numPr>
          <w:ilvl w:val="0"/>
          <w:numId w:val="42"/>
        </w:numPr>
        <w:rPr>
          <w:rFonts w:ascii="Arial" w:cs="Arial" w:eastAsia="Arial" w:hAnsi="Arial"/>
          <w:sz w:val="18"/>
          <w:szCs w:val="18"/>
          <w:color w:val="C00D1E"/>
        </w:rPr>
      </w:pPr>
      <w:r>
        <w:rPr>
          <w:rFonts w:ascii="Arial" w:cs="Arial" w:eastAsia="Arial" w:hAnsi="Arial"/>
          <w:sz w:val="18"/>
          <w:szCs w:val="18"/>
          <w:color w:val="auto"/>
        </w:rPr>
        <w:t>No “single-trigger” vesting for awards</w:t>
      </w:r>
    </w:p>
    <w:p>
      <w:pPr>
        <w:spacing w:after="0" w:line="200" w:lineRule="exact"/>
        <w:rPr>
          <w:rFonts w:ascii="Arial" w:cs="Arial" w:eastAsia="Arial" w:hAnsi="Arial"/>
          <w:sz w:val="18"/>
          <w:szCs w:val="18"/>
          <w:color w:val="C00D1E"/>
        </w:rPr>
      </w:pPr>
    </w:p>
    <w:p>
      <w:pPr>
        <w:spacing w:after="0" w:line="254" w:lineRule="exact"/>
        <w:rPr>
          <w:rFonts w:ascii="Arial" w:cs="Arial" w:eastAsia="Arial" w:hAnsi="Arial"/>
          <w:sz w:val="18"/>
          <w:szCs w:val="18"/>
          <w:color w:val="C00D1E"/>
        </w:rPr>
      </w:pPr>
    </w:p>
    <w:p>
      <w:pPr>
        <w:ind w:left="159" w:hanging="159"/>
        <w:spacing w:after="0"/>
        <w:tabs>
          <w:tab w:leader="none" w:pos="159" w:val="left"/>
        </w:tabs>
        <w:numPr>
          <w:ilvl w:val="0"/>
          <w:numId w:val="42"/>
        </w:numPr>
        <w:rPr>
          <w:rFonts w:ascii="Arial" w:cs="Arial" w:eastAsia="Arial" w:hAnsi="Arial"/>
          <w:sz w:val="18"/>
          <w:szCs w:val="18"/>
          <w:color w:val="C00D1E"/>
        </w:rPr>
      </w:pPr>
      <w:r>
        <w:rPr>
          <w:rFonts w:ascii="Arial" w:cs="Arial" w:eastAsia="Arial" w:hAnsi="Arial"/>
          <w:sz w:val="18"/>
          <w:szCs w:val="18"/>
          <w:color w:val="auto"/>
        </w:rPr>
        <w:t>No pledging or hedging activities involving our stock</w:t>
      </w:r>
    </w:p>
    <w:p>
      <w:pPr>
        <w:spacing w:after="0" w:line="1576" w:lineRule="exact"/>
        <w:rPr>
          <w:sz w:val="20"/>
          <w:szCs w:val="20"/>
          <w:color w:val="auto"/>
        </w:rPr>
      </w:pPr>
    </w:p>
    <w:p>
      <w:pPr>
        <w:sectPr>
          <w:pgSz w:w="11900" w:h="16838" w:orient="portrait"/>
          <w:cols w:equalWidth="0" w:num="2">
            <w:col w:w="5800" w:space="341"/>
            <w:col w:w="4919"/>
          </w:cols>
          <w:pgMar w:left="320" w:top="112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060"/>
          </w:cols>
          <w:pgMar w:left="320" w:top="1120" w:right="5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0090DA"/>
        </w:rPr>
        <w:t>Pay-for-Performance Philosophy</w:t>
      </w:r>
    </w:p>
    <w:p>
      <w:pPr>
        <w:spacing w:after="0" w:line="26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compensation philosophy for executive officers is based on the belief that the interests of our executives should be closely aligned with our long-term performance and sustainable value creation for our shareholders. To support this philosophy, a large portion of each executive officer’s compensation is placed “at risk” and linked to the accomplishment of specific financial and operational performance goals that we expect will lead to increased long-term value creation for our shareholders. The table below summarizes the key elements of the compensation that applied to our Named Executive Officers in fiscal 2021 relative to our pay-for-performance philosophy.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Highlights of Our Pay-for-Performance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220" w:right="320" w:hanging="194"/>
        <w:spacing w:after="0" w:line="246"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substantial majority of the compensation available for executives is performance-based and delivered in the form of equity in order to more closely align management and shareholder interests.</w:t>
      </w:r>
    </w:p>
    <w:p>
      <w:pPr>
        <w:spacing w:after="0" w:line="21" w:lineRule="exact"/>
        <w:rPr>
          <w:rFonts w:ascii="Arial" w:cs="Arial" w:eastAsia="Arial" w:hAnsi="Arial"/>
          <w:sz w:val="18"/>
          <w:szCs w:val="18"/>
          <w:color w:val="auto"/>
        </w:rPr>
      </w:pPr>
    </w:p>
    <w:p>
      <w:pPr>
        <w:ind w:left="220" w:right="100" w:hanging="194"/>
        <w:spacing w:after="0" w:line="227"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Data forms the basis of our compensation targets, with differentiation based on individual factors such as nature of the individual’s role, proficiency in the role, sustained performance over time, and importance to our leadership succession plans.</w:t>
      </w:r>
    </w:p>
    <w:p>
      <w:pPr>
        <w:spacing w:after="0" w:line="13" w:lineRule="exact"/>
        <w:rPr>
          <w:rFonts w:ascii="Arial" w:cs="Arial" w:eastAsia="Arial" w:hAnsi="Arial"/>
          <w:sz w:val="18"/>
          <w:szCs w:val="18"/>
          <w:color w:val="auto"/>
        </w:rPr>
      </w:pPr>
    </w:p>
    <w:p>
      <w:pPr>
        <w:ind w:left="220" w:right="280" w:hanging="194"/>
        <w:spacing w:after="0" w:line="227"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Incentive awards require achievement of critical financial and operating goals and are primarily measured against objective metrics that we believe result in the creation of sustainable value for our shareholders.</w:t>
      </w:r>
    </w:p>
    <w:p>
      <w:pPr>
        <w:spacing w:after="0" w:line="13" w:lineRule="exact"/>
        <w:rPr>
          <w:rFonts w:ascii="Arial" w:cs="Arial" w:eastAsia="Arial" w:hAnsi="Arial"/>
          <w:sz w:val="18"/>
          <w:szCs w:val="18"/>
          <w:color w:val="auto"/>
        </w:rPr>
      </w:pPr>
    </w:p>
    <w:p>
      <w:pPr>
        <w:ind w:left="220" w:hanging="194"/>
        <w:spacing w:after="0"/>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realized compensation is designed to fluctuate and be commensurate with changes in shareholder value over time.</w:t>
      </w:r>
    </w:p>
    <w:p>
      <w:pPr>
        <w:spacing w:after="0" w:line="22" w:lineRule="exact"/>
        <w:rPr>
          <w:rFonts w:ascii="Arial" w:cs="Arial" w:eastAsia="Arial" w:hAnsi="Arial"/>
          <w:sz w:val="18"/>
          <w:szCs w:val="18"/>
          <w:color w:val="auto"/>
        </w:rPr>
      </w:pPr>
    </w:p>
    <w:p>
      <w:pPr>
        <w:ind w:left="220" w:right="800" w:hanging="194"/>
        <w:spacing w:after="0" w:line="227"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Performance-based equity, measured by internal and external metrics ultimately aimed at driving shareholder value, comprises a significant portion of our long-term incentives.</w:t>
      </w:r>
    </w:p>
    <w:p>
      <w:pPr>
        <w:spacing w:after="0" w:line="13" w:lineRule="exact"/>
        <w:rPr>
          <w:rFonts w:ascii="Arial" w:cs="Arial" w:eastAsia="Arial" w:hAnsi="Arial"/>
          <w:sz w:val="18"/>
          <w:szCs w:val="18"/>
          <w:color w:val="auto"/>
        </w:rPr>
      </w:pPr>
    </w:p>
    <w:p>
      <w:pPr>
        <w:ind w:left="220" w:right="520" w:hanging="194"/>
        <w:spacing w:after="0" w:line="227"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Compensation Committee reviews our pay-for-performance compensation arrangements annually, with input from our CEO and advice from the Compensation Committee’s independent compensation consultant.</w:t>
      </w:r>
    </w:p>
    <w:p>
      <w:pPr>
        <w:spacing w:after="0" w:line="13" w:lineRule="exact"/>
        <w:rPr>
          <w:rFonts w:ascii="Arial" w:cs="Arial" w:eastAsia="Arial" w:hAnsi="Arial"/>
          <w:sz w:val="18"/>
          <w:szCs w:val="18"/>
          <w:color w:val="auto"/>
        </w:rPr>
      </w:pPr>
    </w:p>
    <w:p>
      <w:pPr>
        <w:ind w:left="220" w:right="120" w:hanging="194"/>
        <w:spacing w:after="0" w:line="219"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Individual performance assessment is based on numerous factors, including among others: contribution to business results and company performance; completion of objectives; behavior consistent with the highest standard of integrity, ethics, and company values; and commitment to sustainability and diversity, equality, and inclusion programs and initiatives.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Targeting “Reasonable” and “Competitive” Pay</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believe that offering a compensation package that is “reasonable” and “competitive” with what our executives could otherwise obtain in the market, and especially from companies within our Compensation Peer Group, enables us to attract, motivate, reward, and retain qualified individuals and to meet our overall objective of increasing shareholder value. Our Compensation Peer Group consists of companies that we believe are especially likely to be our competitors for executive talent and is discussed further in </w:t>
      </w:r>
      <w:r>
        <w:rPr>
          <w:rFonts w:ascii="Arial" w:cs="Arial" w:eastAsia="Arial" w:hAnsi="Arial"/>
          <w:sz w:val="18"/>
          <w:szCs w:val="18"/>
          <w:i w:val="1"/>
          <w:iCs w:val="1"/>
          <w:color w:val="auto"/>
        </w:rPr>
        <w:t>“Market Data Defined”</w:t>
      </w:r>
      <w:r>
        <w:rPr>
          <w:rFonts w:ascii="Arial" w:cs="Arial" w:eastAsia="Arial" w:hAnsi="Arial"/>
          <w:sz w:val="18"/>
          <w:szCs w:val="18"/>
          <w:color w:val="auto"/>
        </w:rPr>
        <w:t xml:space="preserve"> below. We determine what would be “reasonable” and “competitive” compensation based upon an analysis of the Market Data, recommendations of our compensation consultant, and our historical experience.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w:t>
      </w:r>
    </w:p>
    <w:p>
      <w:pPr>
        <w:spacing w:after="0" w:line="27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Compensation Committee generally considers the Market Data median to be “reasonable,” but could deviate from such benchmark based on certain factors, such as:</w:t>
      </w:r>
    </w:p>
    <w:p>
      <w:pPr>
        <w:spacing w:after="0" w:line="225" w:lineRule="exact"/>
        <w:rPr>
          <w:sz w:val="20"/>
          <w:szCs w:val="20"/>
          <w:color w:val="auto"/>
        </w:rPr>
      </w:pPr>
    </w:p>
    <w:p>
      <w:pPr>
        <w:ind w:left="660" w:right="52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past and anticipated contributions;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52"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980"/>
        <w:spacing w:after="0"/>
        <w:rPr>
          <w:sz w:val="20"/>
          <w:szCs w:val="20"/>
          <w:color w:val="auto"/>
        </w:rPr>
      </w:pPr>
      <w:r>
        <w:rPr>
          <w:sz w:val="1"/>
          <w:szCs w:val="1"/>
          <w:color w:val="auto"/>
        </w:rPr>
        <w:drawing>
          <wp:inline distT="0" distB="0" distL="0" distR="0">
            <wp:extent cx="643255" cy="1803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33</w:t>
      </w:r>
    </w:p>
    <w:p>
      <w:pPr>
        <w:sectPr>
          <w:pgSz w:w="11900" w:h="16838" w:orient="portrait"/>
          <w:cols w:equalWidth="0" w:num="1">
            <w:col w:w="11240"/>
          </w:cols>
          <w:pgMar w:left="320" w:top="1093" w:right="339" w:bottom="1440" w:gutter="0" w:footer="0" w:header="0"/>
          <w:type w:val="continuous"/>
        </w:sectPr>
      </w:pPr>
    </w:p>
    <w:bookmarkStart w:id="40" w:name="page41"/>
    <w:bookmarkEnd w:id="40"/>
    <w:p>
      <w:pPr>
        <w:ind w:right="60"/>
        <w:spacing w:after="0" w:line="237" w:lineRule="auto"/>
        <w:rPr>
          <w:sz w:val="20"/>
          <w:szCs w:val="20"/>
          <w:color w:val="auto"/>
        </w:rPr>
      </w:pPr>
      <w:r>
        <w:rPr>
          <w:rFonts w:ascii="Arial" w:cs="Arial" w:eastAsia="Arial" w:hAnsi="Arial"/>
          <w:sz w:val="18"/>
          <w:szCs w:val="18"/>
          <w:color w:val="auto"/>
        </w:rPr>
        <w:t>The semiconductor industry is highly volatile. Market Data, which is a compilation of data from many companies provided by our compensation consultant as further described below, may change dramatically from year to year and can evolve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Compensation Committee generally uses the Market Data median as its benchmark and guiding principle, officer compensation may vary, above or below the median, or a range from the median, year over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w:t>
      </w:r>
    </w:p>
    <w:p>
      <w:pPr>
        <w:spacing w:after="0" w:line="27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We believe, including based on advice from our compensation consultant, that a competitive compensation package will address and measure compensation practices for executive positions with respect to three primary elements of compensation:</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long-term incentive compensation (time-based restricted stock and performance-based restricted stock units).</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do not require that a particular element comprises a set portion of the total compensation mix. We do believe, however, that a significant portion of the compensation should be variable (such as performance-based incentives and incentives tied to the performance of the Company and its stock) as compared to fixed (such as base salary), and that such variable compensation aligns executives’ interests with those of our shareholders. Additionally, although the Compensation Committee reviews total direct compensation (which is the sum of base salary, short-term incentive, and long-term incentive compensation) for each of our Named Executive Officers, it does not have a fixed objective with respect to such total direct compensation. The Compensation Committee’s philosophy is to use incentive pay opportunities as a way to ensure we are able to attract and retain top talent, rather than base salary.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Compensation-setting Process and the Determination of Compensation Levels</w:t>
      </w:r>
    </w:p>
    <w:p>
      <w:pPr>
        <w:spacing w:after="0" w:line="2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Compensation Committee reviews the compensation of our executive officers on an annual basis and sets compensation levels at the beginning of each fiscal year. As part of this process, the Compensation Committee reviews our financial results for the year just ended, projections for future periods, our strategic business plan, and the Market Data provided by our compensation consultant. The Compensation Committee also works with our CEO to establish performance goals that further our strategic objectives.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of Compensation Consultant</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Committee annually engages a compensation consultant to provide a comprehensive review of executive compensation matters. This compensation consultant provided the Compensation Committee with information for our officers on cash and non-cash compensation elements and historical and trend payment data.</w:t>
      </w:r>
    </w:p>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Compensation Committee has established procedures intended to keep its compensation consultant’s advice to the Compensation Committee objective and free of influence from our management. These procedures include: a direct reporting relationship to the Compensation Committee; a provision in the Compensation Committee’s engagement letter with the compensation consultant specifying what information, data, and recommendations can be shared with management; and an annual update to the Compensation Committee on the compensation consultant’s relationship with the Company, including a summary of the work performed during the preceding 12 months. For fiscal 2021, the specific activities undertaken by the compensation consultant for the Compensation Committee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00"/>
          </w:cols>
          <w:pgMar w:left="320" w:top="1111" w:right="379" w:bottom="1440" w:gutter="0" w:footer="0" w:header="0"/>
        </w:sectPr>
      </w:pPr>
    </w:p>
    <w:bookmarkStart w:id="41" w:name="page42"/>
    <w:bookmarkEnd w:id="41"/>
    <w:p>
      <w:pPr>
        <w:ind w:left="660" w:right="4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the Compensation Peer Group (as defined in the Compensation Discussion and Analysis) and recommend any changes to its members;</w:t>
      </w:r>
    </w:p>
    <w:p>
      <w:pPr>
        <w:spacing w:after="0" w:line="224"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benchmark total target direct compensation and its components (salary, target short-term incentives, and target long-term incentives) of our officers using several data sources;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practices;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our proxy statement disclosure;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pacing w:after="0" w:line="25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Compensia, Inc. (“Compensia") was the Compensation Committee’s compensation consultant in fiscal 2021. We paid Compensia a total of $140,539 in fiscal 2021 for services provided. Compensia provided services related exclusively to the executive and non-employee director compensation consulting work performed for the Compensation Committee and for the Governance and Sustainability Committee.</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Compensation Committee considered Compensia’s independence in light of SEC rules and Nasdaq Listing Rules. The Compensation Committee received a letter from Compensia addressing its independence, including the following factors: (i) other services provided to us by them; (ii) fees paid by us as a percentage of their total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them or the individual consultants involved in the engagement. The Compensation Committee concluded that there were no conflicts of interest with Compensia.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 Defined</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year, our Compensation Committee, with assistance from the management team (including our CEO) and Compensia, identifies a group of peer companies to use as benchmarks when setting target pay levels (our “Compensation Peer Group”). With input and advice from our compensation consultant, the Compensation Committee reviews our Compensation Peer Group annually to ensure that it reflects industry or economic changes, such as changes in business strategies, operations, product lines, revenues, or availability of key talent. Historically, the Compensation Committee’s peer selection process focused primarily on the semiconductor industry and revenue size.</w:t>
      </w:r>
    </w:p>
    <w:p>
      <w:pPr>
        <w:spacing w:after="0" w:line="23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Our Compensation Peer Group for fiscal 2021 is comprised of the following 16 companies, which we believe are companies with which we are likely to compete for executive talent. In consultation with Compensia, the Compensation Committee did not make any changes to the Compensation Peer Group for fiscal 2021.</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35</w:t>
      </w:r>
    </w:p>
    <w:p>
      <w:pPr>
        <w:sectPr>
          <w:pgSz w:w="11900" w:h="16838" w:orient="portrait"/>
          <w:cols w:equalWidth="0" w:num="1">
            <w:col w:w="11240"/>
          </w:cols>
          <w:pgMar w:left="320" w:top="111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For fiscal 2021, our Compensation Peer Group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shd w:val="clear" w:color="auto" w:fill="CBCBCB"/>
          </w:tcPr>
          <w:p>
            <w:pPr>
              <w:ind w:left="20"/>
              <w:spacing w:after="0"/>
              <w:rPr>
                <w:sz w:val="20"/>
                <w:szCs w:val="20"/>
                <w:color w:val="auto"/>
              </w:rPr>
            </w:pPr>
            <w:r>
              <w:rPr>
                <w:rFonts w:ascii="Arial" w:cs="Arial" w:eastAsia="Arial" w:hAnsi="Arial"/>
                <w:sz w:val="18"/>
                <w:szCs w:val="18"/>
                <w:color w:val="auto"/>
              </w:rPr>
              <w:t>Adobe Inc.</w:t>
            </w:r>
          </w:p>
        </w:tc>
        <w:tc>
          <w:tcPr>
            <w:tcW w:w="7320" w:type="dxa"/>
            <w:vAlign w:val="bottom"/>
            <w:shd w:val="clear" w:color="auto" w:fill="CBCBCB"/>
          </w:tcPr>
          <w:p>
            <w:pPr>
              <w:ind w:left="1720"/>
              <w:spacing w:after="0"/>
              <w:rPr>
                <w:sz w:val="20"/>
                <w:szCs w:val="20"/>
                <w:color w:val="auto"/>
              </w:rPr>
            </w:pPr>
            <w:r>
              <w:rPr>
                <w:rFonts w:ascii="Arial" w:cs="Arial" w:eastAsia="Arial" w:hAnsi="Arial"/>
                <w:sz w:val="18"/>
                <w:szCs w:val="18"/>
                <w:color w:val="auto"/>
              </w:rPr>
              <w:t>Advanced Micro Devices, Inc.</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Applied Materials, Inc.</w:t>
            </w:r>
          </w:p>
        </w:tc>
        <w:tc>
          <w:tcPr>
            <w:tcW w:w="7320" w:type="dxa"/>
            <w:vAlign w:val="bottom"/>
          </w:tcPr>
          <w:p>
            <w:pPr>
              <w:ind w:left="1720"/>
              <w:spacing w:after="0"/>
              <w:rPr>
                <w:sz w:val="20"/>
                <w:szCs w:val="20"/>
                <w:color w:val="auto"/>
              </w:rPr>
            </w:pPr>
            <w:r>
              <w:rPr>
                <w:rFonts w:ascii="Arial" w:cs="Arial" w:eastAsia="Arial" w:hAnsi="Arial"/>
                <w:sz w:val="18"/>
                <w:szCs w:val="18"/>
                <w:color w:val="auto"/>
              </w:rPr>
              <w:t>Broadcom Inc.</w:t>
            </w:r>
          </w:p>
        </w:tc>
      </w:tr>
      <w:tr>
        <w:trPr>
          <w:trHeight w:val="230"/>
        </w:trPr>
        <w:tc>
          <w:tcPr>
            <w:tcW w:w="3920" w:type="dxa"/>
            <w:vAlign w:val="bottom"/>
            <w:shd w:val="clear" w:color="auto" w:fill="CBCBCB"/>
          </w:tcPr>
          <w:p>
            <w:pPr>
              <w:ind w:left="20"/>
              <w:spacing w:after="0"/>
              <w:rPr>
                <w:sz w:val="20"/>
                <w:szCs w:val="20"/>
                <w:color w:val="auto"/>
              </w:rPr>
            </w:pPr>
            <w:r>
              <w:rPr>
                <w:rFonts w:ascii="Arial" w:cs="Arial" w:eastAsia="Arial" w:hAnsi="Arial"/>
                <w:sz w:val="18"/>
                <w:szCs w:val="18"/>
                <w:color w:val="auto"/>
              </w:rPr>
              <w:t>Cisco Systems, Inc.</w:t>
            </w:r>
          </w:p>
        </w:tc>
        <w:tc>
          <w:tcPr>
            <w:tcW w:w="7320" w:type="dxa"/>
            <w:vAlign w:val="bottom"/>
            <w:shd w:val="clear" w:color="auto" w:fill="CBCBCB"/>
          </w:tcPr>
          <w:p>
            <w:pPr>
              <w:ind w:left="1720"/>
              <w:spacing w:after="0"/>
              <w:rPr>
                <w:sz w:val="20"/>
                <w:szCs w:val="20"/>
                <w:color w:val="auto"/>
              </w:rPr>
            </w:pPr>
            <w:r>
              <w:rPr>
                <w:rFonts w:ascii="Arial" w:cs="Arial" w:eastAsia="Arial" w:hAnsi="Arial"/>
                <w:sz w:val="18"/>
                <w:szCs w:val="18"/>
                <w:color w:val="auto"/>
              </w:rPr>
              <w:t>Hewlett Packard Enterprise Company</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IBM</w:t>
            </w:r>
          </w:p>
        </w:tc>
        <w:tc>
          <w:tcPr>
            <w:tcW w:w="7320" w:type="dxa"/>
            <w:vAlign w:val="bottom"/>
          </w:tcPr>
          <w:p>
            <w:pPr>
              <w:ind w:left="1720"/>
              <w:spacing w:after="0"/>
              <w:rPr>
                <w:sz w:val="20"/>
                <w:szCs w:val="20"/>
                <w:color w:val="auto"/>
              </w:rPr>
            </w:pPr>
            <w:r>
              <w:rPr>
                <w:rFonts w:ascii="Arial" w:cs="Arial" w:eastAsia="Arial" w:hAnsi="Arial"/>
                <w:sz w:val="18"/>
                <w:szCs w:val="18"/>
                <w:color w:val="auto"/>
              </w:rPr>
              <w:t>Intel Corporation</w:t>
            </w:r>
          </w:p>
        </w:tc>
      </w:tr>
      <w:tr>
        <w:trPr>
          <w:trHeight w:val="230"/>
        </w:trPr>
        <w:tc>
          <w:tcPr>
            <w:tcW w:w="3920" w:type="dxa"/>
            <w:vAlign w:val="bottom"/>
            <w:shd w:val="clear" w:color="auto" w:fill="CBCBCB"/>
          </w:tcPr>
          <w:p>
            <w:pPr>
              <w:ind w:left="20"/>
              <w:spacing w:after="0"/>
              <w:rPr>
                <w:sz w:val="20"/>
                <w:szCs w:val="20"/>
                <w:color w:val="auto"/>
              </w:rPr>
            </w:pPr>
            <w:r>
              <w:rPr>
                <w:rFonts w:ascii="Arial" w:cs="Arial" w:eastAsia="Arial" w:hAnsi="Arial"/>
                <w:sz w:val="18"/>
                <w:szCs w:val="18"/>
                <w:color w:val="auto"/>
              </w:rPr>
              <w:t>Lam Research Corporation</w:t>
            </w:r>
          </w:p>
        </w:tc>
        <w:tc>
          <w:tcPr>
            <w:tcW w:w="7320" w:type="dxa"/>
            <w:vAlign w:val="bottom"/>
            <w:shd w:val="clear" w:color="auto" w:fill="CBCBCB"/>
          </w:tcPr>
          <w:p>
            <w:pPr>
              <w:ind w:left="1720"/>
              <w:spacing w:after="0"/>
              <w:rPr>
                <w:sz w:val="20"/>
                <w:szCs w:val="20"/>
                <w:color w:val="auto"/>
              </w:rPr>
            </w:pPr>
            <w:r>
              <w:rPr>
                <w:rFonts w:ascii="Arial" w:cs="Arial" w:eastAsia="Arial" w:hAnsi="Arial"/>
                <w:sz w:val="18"/>
                <w:szCs w:val="18"/>
                <w:color w:val="auto"/>
              </w:rPr>
              <w:t>NVIDIA Corporation</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QUALCOMM Corporation</w:t>
            </w:r>
          </w:p>
        </w:tc>
        <w:tc>
          <w:tcPr>
            <w:tcW w:w="7320" w:type="dxa"/>
            <w:vAlign w:val="bottom"/>
          </w:tcPr>
          <w:p>
            <w:pPr>
              <w:ind w:left="1720"/>
              <w:spacing w:after="0"/>
              <w:rPr>
                <w:sz w:val="20"/>
                <w:szCs w:val="20"/>
                <w:color w:val="auto"/>
              </w:rPr>
            </w:pPr>
            <w:r>
              <w:rPr>
                <w:rFonts w:ascii="Arial" w:cs="Arial" w:eastAsia="Arial" w:hAnsi="Arial"/>
                <w:sz w:val="18"/>
                <w:szCs w:val="18"/>
                <w:color w:val="auto"/>
              </w:rPr>
              <w:t>Salesforce.com, Inc.</w:t>
            </w:r>
          </w:p>
        </w:tc>
      </w:tr>
      <w:tr>
        <w:trPr>
          <w:trHeight w:val="229"/>
        </w:trPr>
        <w:tc>
          <w:tcPr>
            <w:tcW w:w="3920" w:type="dxa"/>
            <w:vAlign w:val="bottom"/>
            <w:shd w:val="clear" w:color="auto" w:fill="CBCBCB"/>
          </w:tcPr>
          <w:p>
            <w:pPr>
              <w:ind w:left="20"/>
              <w:spacing w:after="0"/>
              <w:rPr>
                <w:sz w:val="20"/>
                <w:szCs w:val="20"/>
                <w:color w:val="auto"/>
              </w:rPr>
            </w:pPr>
            <w:r>
              <w:rPr>
                <w:rFonts w:ascii="Arial" w:cs="Arial" w:eastAsia="Arial" w:hAnsi="Arial"/>
                <w:sz w:val="18"/>
                <w:szCs w:val="18"/>
                <w:color w:val="auto"/>
              </w:rPr>
              <w:t>Seagate Technology</w:t>
            </w:r>
          </w:p>
        </w:tc>
        <w:tc>
          <w:tcPr>
            <w:tcW w:w="7320" w:type="dxa"/>
            <w:vAlign w:val="bottom"/>
            <w:shd w:val="clear" w:color="auto" w:fill="CBCBCB"/>
          </w:tcPr>
          <w:p>
            <w:pPr>
              <w:ind w:left="1720"/>
              <w:spacing w:after="0"/>
              <w:rPr>
                <w:sz w:val="20"/>
                <w:szCs w:val="20"/>
                <w:color w:val="auto"/>
              </w:rPr>
            </w:pPr>
            <w:r>
              <w:rPr>
                <w:rFonts w:ascii="Arial" w:cs="Arial" w:eastAsia="Arial" w:hAnsi="Arial"/>
                <w:sz w:val="18"/>
                <w:szCs w:val="18"/>
                <w:color w:val="auto"/>
              </w:rPr>
              <w:t>Texas Instruments Incorporated</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VMware, Inc.</w:t>
            </w:r>
          </w:p>
        </w:tc>
        <w:tc>
          <w:tcPr>
            <w:tcW w:w="7320" w:type="dxa"/>
            <w:vAlign w:val="bottom"/>
          </w:tcPr>
          <w:p>
            <w:pPr>
              <w:ind w:left="1720"/>
              <w:spacing w:after="0"/>
              <w:rPr>
                <w:sz w:val="20"/>
                <w:szCs w:val="20"/>
                <w:color w:val="auto"/>
              </w:rPr>
            </w:pPr>
            <w:r>
              <w:rPr>
                <w:rFonts w:ascii="Arial" w:cs="Arial" w:eastAsia="Arial" w:hAnsi="Arial"/>
                <w:sz w:val="18"/>
                <w:szCs w:val="18"/>
                <w:color w:val="auto"/>
              </w:rPr>
              <w:t>Western Digital Corporation</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Peer Group Data</w:t>
      </w:r>
    </w:p>
    <w:p>
      <w:pPr>
        <w:spacing w:after="0" w:line="2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Compensia gathers data from the proxy statements published by our Compensation Peer Group and from published compensation surveys. The relevant survey and Compensation Peer Group data for fiscal 2021, each as discussed below, were weighted equally by the Compensation Committee and are collectively referred to throughout this discussion as the “Market Data.”</w:t>
      </w:r>
    </w:p>
    <w:p>
      <w:pPr>
        <w:spacing w:after="0" w:line="22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When collecting and assessing market compensation data, we collect data based on job descriptions first. This permits the Compensation Committee to match positions held by our executives with those of our Compensation Peer Group and, as described more fully below, deviate from benchmarked data based on the factors described earlier. If we are not able to match positions to a reasonable number of companies within the Compensation Peer Group, we look to the rank of the person involved and match ranks, e.g., our third-highest paid officer could be compared to the third-highest paid officer at each company within the Compensation Peer Group.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Survey Data</w:t>
      </w:r>
    </w:p>
    <w:p>
      <w:pPr>
        <w:spacing w:after="0" w:line="274"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Survey data may vary from year to year. For fiscal 2021, our compensation consultant used the Radford Global Technology Survey and information obtained from public filings by the Compensation Peer Group. We believe these surveys are particularly relevant for high-technology companies given the high level of participation by such companies in the survey.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Compensation-Setting Process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Compensia reviews the most recent available data and identifies the Market Data values for the 25th, 50th (i.e., median), and 75th percentile with respect to each position or rank, then compares our compensation data, both as to elements and amounts to be paid or potential value to be delivered, with that of the Market Data and reports its findings to the CEO and the Compensation Committee. Our CEO works with Compensia by providing our financial data with respect to the most-recently completed fiscal year. The CEO also reviews projected financial results for the current fiscal year and our strategic business plan. For all Named Executive Officers other than himself, the CEO makes suggestions as to base salary, recommends a potential set of company-wide and/or business unit metrics and targets for the current fiscal year with respect to short-term incentives, and offers suggestions as to long-term incentive compensation. He makes no recommendations as to his own level of compensation. The Compensation Committee reviews the Market Data, discusses the Market Data with the CEO and with Compensia, discusses individual officer performance based on input from the CEO and, without the CEO present, discusses the CEO’s own performance for the most-recently completed fiscal year and anticipated performance for the current year. The Compensation Committee uses the Market Data and the deliberations to determine whether our compensation is competitive and reasonable as described above and whether, and to what extent, the Compensation Committee believes it would be appropriate to deviate from the Market Data and competitive practices. Following this deliberation, the Compensation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354"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0090DA"/>
        </w:rPr>
        <w:t>Fiscal 2021 Executive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Base Salaries</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the completion of fiscal 2020, Market Data showed that the base salaries of Messrs. Zinsner, DeBoer, and Sadana were below the 50th percentile for their positions or ranks, and the base salaries of Mr. Bhatia and Mr. Mehrotra were above the 50th and 75th percentiles, respectively, for their positions or ranks. The Compensation Committee decided not to increase the base pay for each of our Named Executive Officers to align with the Company’s decision to delay team member base pay increases in light of economic uncertainty relating to the COVID-19 pandemic.</w:t>
      </w: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00" w:type="dxa"/>
            <w:vAlign w:val="bottom"/>
          </w:tcPr>
          <w:p>
            <w:pPr>
              <w:jc w:val="right"/>
              <w:ind w:right="190"/>
              <w:spacing w:after="0" w:line="193" w:lineRule="exact"/>
              <w:rPr>
                <w:sz w:val="20"/>
                <w:szCs w:val="20"/>
                <w:color w:val="auto"/>
              </w:rPr>
            </w:pPr>
            <w:r>
              <w:rPr>
                <w:rFonts w:ascii="Arial" w:cs="Arial" w:eastAsia="Arial" w:hAnsi="Arial"/>
                <w:sz w:val="18"/>
                <w:szCs w:val="18"/>
                <w:b w:val="1"/>
                <w:bCs w:val="1"/>
                <w:color w:val="auto"/>
              </w:rPr>
              <w:t>Base Salary %</w:t>
            </w:r>
          </w:p>
        </w:tc>
        <w:tc>
          <w:tcPr>
            <w:tcW w:w="0" w:type="dxa"/>
            <w:vAlign w:val="bottom"/>
          </w:tcPr>
          <w:p>
            <w:pPr>
              <w:spacing w:after="0"/>
              <w:rPr>
                <w:sz w:val="1"/>
                <w:szCs w:val="1"/>
                <w:color w:val="auto"/>
              </w:rPr>
            </w:pPr>
          </w:p>
        </w:tc>
      </w:tr>
      <w:tr>
        <w:trPr>
          <w:trHeight w:val="175"/>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w:t>
            </w:r>
          </w:p>
        </w:tc>
        <w:tc>
          <w:tcPr>
            <w:tcW w:w="3420" w:type="dxa"/>
            <w:vAlign w:val="bottom"/>
          </w:tcPr>
          <w:p>
            <w:pPr>
              <w:spacing w:after="0"/>
              <w:rPr>
                <w:sz w:val="15"/>
                <w:szCs w:val="15"/>
                <w:color w:val="auto"/>
              </w:rPr>
            </w:pPr>
          </w:p>
        </w:tc>
        <w:tc>
          <w:tcPr>
            <w:tcW w:w="30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Fiscal 2021   Change From Fiscal</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0090DA"/>
            </w:tcBorders>
            <w:vMerge w:val="continue"/>
          </w:tcPr>
          <w:p>
            <w:pPr>
              <w:spacing w:after="0"/>
              <w:rPr>
                <w:sz w:val="19"/>
                <w:szCs w:val="19"/>
                <w:color w:val="auto"/>
              </w:rPr>
            </w:pPr>
          </w:p>
        </w:tc>
        <w:tc>
          <w:tcPr>
            <w:tcW w:w="342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w w:val="99"/>
              </w:rPr>
              <w:t>Base Salary</w:t>
            </w:r>
          </w:p>
        </w:tc>
        <w:tc>
          <w:tcPr>
            <w:tcW w:w="1700" w:type="dxa"/>
            <w:vAlign w:val="bottom"/>
            <w:tcBorders>
              <w:bottom w:val="single" w:sz="8" w:color="0090DA"/>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4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3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BCBCB"/>
          </w:tcPr>
          <w:p>
            <w:pPr>
              <w:jc w:val="right"/>
              <w:ind w:right="90"/>
              <w:spacing w:after="0"/>
              <w:rPr>
                <w:sz w:val="20"/>
                <w:szCs w:val="20"/>
                <w:color w:val="auto"/>
              </w:rPr>
            </w:pPr>
            <w:r>
              <w:rPr>
                <w:rFonts w:ascii="Arial" w:cs="Arial" w:eastAsia="Arial" w:hAnsi="Arial"/>
                <w:sz w:val="18"/>
                <w:szCs w:val="18"/>
                <w:color w:val="auto"/>
              </w:rPr>
              <w:t>1,350,000</w:t>
            </w:r>
          </w:p>
        </w:tc>
        <w:tc>
          <w:tcPr>
            <w:tcW w:w="17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342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662,000</w:t>
            </w:r>
          </w:p>
        </w:tc>
        <w:tc>
          <w:tcPr>
            <w:tcW w:w="1700" w:type="dxa"/>
            <w:vAlign w:val="bottom"/>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0"/>
        </w:trPr>
        <w:tc>
          <w:tcPr>
            <w:tcW w:w="480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3420" w:type="dxa"/>
            <w:vAlign w:val="bottom"/>
            <w:shd w:val="clear" w:color="auto" w:fill="CBCBCB"/>
          </w:tcPr>
          <w:p>
            <w:pPr>
              <w:spacing w:after="0"/>
              <w:rPr>
                <w:sz w:val="19"/>
                <w:szCs w:val="19"/>
                <w:color w:val="auto"/>
              </w:rPr>
            </w:pPr>
          </w:p>
        </w:tc>
        <w:tc>
          <w:tcPr>
            <w:tcW w:w="1320" w:type="dxa"/>
            <w:vAlign w:val="bottom"/>
            <w:shd w:val="clear" w:color="auto" w:fill="CBCBCB"/>
          </w:tcPr>
          <w:p>
            <w:pPr>
              <w:jc w:val="right"/>
              <w:ind w:right="90"/>
              <w:spacing w:after="0"/>
              <w:rPr>
                <w:sz w:val="20"/>
                <w:szCs w:val="20"/>
                <w:color w:val="auto"/>
              </w:rPr>
            </w:pPr>
            <w:r>
              <w:rPr>
                <w:rFonts w:ascii="Arial" w:cs="Arial" w:eastAsia="Arial" w:hAnsi="Arial"/>
                <w:sz w:val="18"/>
                <w:szCs w:val="18"/>
                <w:color w:val="auto"/>
              </w:rPr>
              <w:t>695,000</w:t>
            </w:r>
          </w:p>
        </w:tc>
        <w:tc>
          <w:tcPr>
            <w:tcW w:w="17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342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595,000</w:t>
            </w:r>
          </w:p>
        </w:tc>
        <w:tc>
          <w:tcPr>
            <w:tcW w:w="1700" w:type="dxa"/>
            <w:vAlign w:val="bottom"/>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9"/>
        </w:trPr>
        <w:tc>
          <w:tcPr>
            <w:tcW w:w="48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3420" w:type="dxa"/>
            <w:vAlign w:val="bottom"/>
            <w:shd w:val="clear" w:color="auto" w:fill="CBCBCB"/>
          </w:tcPr>
          <w:p>
            <w:pPr>
              <w:spacing w:after="0"/>
              <w:rPr>
                <w:sz w:val="19"/>
                <w:szCs w:val="19"/>
                <w:color w:val="auto"/>
              </w:rPr>
            </w:pPr>
          </w:p>
        </w:tc>
        <w:tc>
          <w:tcPr>
            <w:tcW w:w="1320" w:type="dxa"/>
            <w:vAlign w:val="bottom"/>
            <w:shd w:val="clear" w:color="auto" w:fill="CBCBCB"/>
          </w:tcPr>
          <w:p>
            <w:pPr>
              <w:jc w:val="right"/>
              <w:ind w:right="90"/>
              <w:spacing w:after="0"/>
              <w:rPr>
                <w:sz w:val="20"/>
                <w:szCs w:val="20"/>
                <w:color w:val="auto"/>
              </w:rPr>
            </w:pPr>
            <w:r>
              <w:rPr>
                <w:rFonts w:ascii="Arial" w:cs="Arial" w:eastAsia="Arial" w:hAnsi="Arial"/>
                <w:sz w:val="18"/>
                <w:szCs w:val="18"/>
                <w:color w:val="auto"/>
              </w:rPr>
              <w:t>745,000</w:t>
            </w:r>
          </w:p>
        </w:tc>
        <w:tc>
          <w:tcPr>
            <w:tcW w:w="17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Short-Term Incentive Awards</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provided annual short-term incentive cash awards to our executive officers pursuant to the EIP. The EIP was last approved by our shareholders in January 2018. The purpose of the EIP is to attract, retain, and reward qualified executives who are important to our success, by providing performance-based, incentive cash awards for outstanding performance at the individual and/or company-wide level. In fiscal 2021, the Compensation Committee set the short-term incentive “opportunity” (“Target Award”) for each Named Executive Officer in terms of a specified percentage of such officer’s base salary.</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target incentive amounts payable under the EIP for achievement of the fiscal 2021 goals are shown in the columns “Estimated Future Payouts under Non-Equity Incentive Plan Awards” of the “Grants of Plan-Based Awards in Fiscal 2021” table. All goals were established with threshold (50%), target (100%), exceptional (150%), and maximum (200%) payout levels, with the threshold, target, exceptional, and maximum payouts requiring a significant level of execution and effort and no assurance of goal achievement.</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Target Awards established for fiscal 2021 for our Named Executive Officers, as a percentage of base salary, were measured against the Market Data median, as part of the Compensation Committee’s efforts to make such opportunities “Reasonable” as described above. Though the Market Data median is instructive, the Compensation Committee also considers the other factors described under the section labeled “Reasonable” above when determining Target Awards for our Named Executive Officers. For fiscal 2021, the following Target Awards were established, and were unchanged from fiscal 2020: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Executive Officer</w:t>
            </w:r>
          </w:p>
        </w:tc>
        <w:tc>
          <w:tcPr>
            <w:tcW w:w="56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 of Base Salary</w:t>
            </w:r>
          </w:p>
        </w:tc>
      </w:tr>
      <w:tr>
        <w:trPr>
          <w:trHeight w:val="34"/>
        </w:trPr>
        <w:tc>
          <w:tcPr>
            <w:tcW w:w="564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0"/>
        </w:trPr>
        <w:tc>
          <w:tcPr>
            <w:tcW w:w="56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56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200 %</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56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64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56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56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6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56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37</w:t>
      </w:r>
    </w:p>
    <w:p>
      <w:pPr>
        <w:sectPr>
          <w:pgSz w:w="11900" w:h="16838" w:orient="portrait"/>
          <w:cols w:equalWidth="0" w:num="1">
            <w:col w:w="11240"/>
          </w:cols>
          <w:pgMar w:left="320" w:top="1093" w:right="339" w:bottom="1440" w:gutter="0" w:footer="0" w:header="0"/>
        </w:sectPr>
      </w:pPr>
    </w:p>
    <w:bookmarkStart w:id="44" w:name="page45"/>
    <w:bookmarkEnd w:id="44"/>
    <w:p>
      <w:pPr>
        <w:ind w:right="20"/>
        <w:spacing w:after="0" w:line="256" w:lineRule="auto"/>
        <w:rPr>
          <w:sz w:val="20"/>
          <w:szCs w:val="20"/>
          <w:color w:val="auto"/>
        </w:rPr>
      </w:pPr>
      <w:r>
        <w:rPr>
          <w:rFonts w:ascii="Arial" w:cs="Arial" w:eastAsia="Arial" w:hAnsi="Arial"/>
          <w:sz w:val="18"/>
          <w:szCs w:val="18"/>
          <w:color w:val="auto"/>
        </w:rPr>
        <w:t>The Compensation Committee established a profitability goal and five operational metrics for evaluating performance in fiscal 2021, which includes performance on sustainability issues including labor practices, health and safety, environmental issues including climate change and water, and management systems:</w:t>
      </w:r>
    </w:p>
    <w:p>
      <w:pPr>
        <w:spacing w:after="0" w:line="22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profitability (50% weighting);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achievement of targeted levels of inventory (10% weighting)</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achievement of certain product milestones (including sales of certain NAND and DRAM products as a percentage of total sales, growth of certain channel sales, and revenue from emerging technologies) (10% weighting);</w:t>
      </w:r>
    </w:p>
    <w:p>
      <w:pPr>
        <w:ind w:left="660" w:right="620" w:hanging="328"/>
        <w:spacing w:after="0" w:line="25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execution to, and acceleration of, our technology roadmap (objective criteria/milestones related to NAND and DRAM), with an additional stretch goal for exceptional performance (10% weighting, plus potential stretch goal);</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increases in our cost competitiveness (10% weighting);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achievement of certain milestones focusing on customers and other key stakeholders (10% weighting),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customer quality ranking, delivery performance, and customer business review;</w:t>
      </w:r>
    </w:p>
    <w:p>
      <w:pPr>
        <w:spacing w:after="0" w:line="9" w:lineRule="exact"/>
        <w:rPr>
          <w:rFonts w:ascii="Arial" w:cs="Arial" w:eastAsia="Arial" w:hAnsi="Arial"/>
          <w:sz w:val="18"/>
          <w:szCs w:val="18"/>
          <w:color w:val="auto"/>
        </w:rPr>
      </w:pPr>
    </w:p>
    <w:p>
      <w:pPr>
        <w:ind w:left="1300" w:right="220" w:hanging="320"/>
        <w:spacing w:after="0" w:line="250" w:lineRule="auto"/>
        <w:tabs>
          <w:tab w:leader="none" w:pos="1296" w:val="left"/>
        </w:tabs>
        <w:numPr>
          <w:ilvl w:val="1"/>
          <w:numId w:val="47"/>
        </w:numPr>
        <w:rPr>
          <w:rFonts w:ascii="Arial" w:cs="Arial" w:eastAsia="Arial" w:hAnsi="Arial"/>
          <w:sz w:val="18"/>
          <w:szCs w:val="18"/>
          <w:color w:val="auto"/>
        </w:rPr>
      </w:pPr>
      <w:r>
        <w:rPr>
          <w:rFonts w:ascii="Arial" w:cs="Arial" w:eastAsia="Arial" w:hAnsi="Arial"/>
          <w:sz w:val="18"/>
          <w:szCs w:val="18"/>
          <w:color w:val="auto"/>
        </w:rPr>
        <w:t>environmental sustainability (Process GHG emissions abatement, transition to renewables (vPPA / PPA); water restoration efforts; and increasing waste reuse, recycle, recovery (RRR)%); and</w:t>
      </w:r>
    </w:p>
    <w:p>
      <w:pPr>
        <w:ind w:left="1300" w:right="160" w:hanging="320"/>
        <w:spacing w:after="0" w:line="256" w:lineRule="auto"/>
        <w:tabs>
          <w:tab w:leader="none" w:pos="129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diversity, equality and inclusion (increasing representation of underrepresented groups at the new hire and senior leader levels; pay equity for underrepresented groups; increasing the inclusion index score in the Company’s engagement survey; and all team members completing one ally training session during fiscal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chose these metrics and their linkage to our business and results of operations because they believe:</w:t>
      </w:r>
    </w:p>
    <w:p>
      <w:pPr>
        <w:spacing w:after="0" w:line="252" w:lineRule="exact"/>
        <w:rPr>
          <w:sz w:val="20"/>
          <w:szCs w:val="20"/>
          <w:color w:val="auto"/>
        </w:rPr>
      </w:pPr>
    </w:p>
    <w:p>
      <w:pPr>
        <w:ind w:left="660" w:right="140" w:hanging="328"/>
        <w:spacing w:after="0" w:line="250"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against these metrics enhances shareholder value and rewards operational excellence that positions the Company for better long-term performance;</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focus on sustainability benefits our team members, communities, and other stakeholders;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balanced weighting limits the likelihood of rewarding executives for taking excessive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including a target encourages the pursuit of profitable revenue and strong margins;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using different measures avoids paying for the same performance twice.</w:t>
      </w:r>
    </w:p>
    <w:p>
      <w:pPr>
        <w:spacing w:after="0" w:line="25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Shortly after the fiscal year concluded, the Compensation Committee reviewed and determined the Company’s performance against these corporate metrics, applied the percentage of achievement to plan and weighted the results according to the weightings established at the beginning of the year. After applying this formula, the Compensation Committee considered each Named Executive Officer’s performance over fiscal 2021 and established a final EIP payout for fiscal 2021. Our Named Executive Officers received EIP bonuses in the following amounts in fiscal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Executive Officer</w:t>
            </w:r>
          </w:p>
        </w:tc>
        <w:tc>
          <w:tcPr>
            <w:tcW w:w="43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Bonus Paid</w:t>
            </w:r>
          </w:p>
        </w:tc>
      </w:tr>
      <w:tr>
        <w:trPr>
          <w:trHeight w:val="34"/>
        </w:trPr>
        <w:tc>
          <w:tcPr>
            <w:tcW w:w="5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7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43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4,800,600</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4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1,177,036</w:t>
            </w:r>
          </w:p>
        </w:tc>
      </w:tr>
      <w:tr>
        <w:trPr>
          <w:trHeight w:val="230"/>
        </w:trPr>
        <w:tc>
          <w:tcPr>
            <w:tcW w:w="570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4340" w:type="dxa"/>
            <w:vAlign w:val="bottom"/>
            <w:shd w:val="clear" w:color="auto" w:fill="CBCBCB"/>
          </w:tcPr>
          <w:p>
            <w:pPr>
              <w:spacing w:after="0"/>
              <w:rPr>
                <w:sz w:val="19"/>
                <w:szCs w:val="19"/>
                <w:color w:val="auto"/>
              </w:rPr>
            </w:pP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1,235,710</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4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1,057,910</w:t>
            </w:r>
          </w:p>
        </w:tc>
      </w:tr>
      <w:tr>
        <w:trPr>
          <w:trHeight w:val="230"/>
        </w:trPr>
        <w:tc>
          <w:tcPr>
            <w:tcW w:w="57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4340" w:type="dxa"/>
            <w:vAlign w:val="bottom"/>
            <w:shd w:val="clear" w:color="auto" w:fill="CBCBCB"/>
          </w:tcPr>
          <w:p>
            <w:pPr>
              <w:spacing w:after="0"/>
              <w:rPr>
                <w:sz w:val="19"/>
                <w:szCs w:val="19"/>
                <w:color w:val="auto"/>
              </w:rPr>
            </w:pP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1,457,071</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Long-Term Equity Incentives</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long-term incentive compensation should be tied to our success and promote increases in shareholder value. Accordingly, performance-based restricted stock unit awards are a significant component of our executive compensation program. We believe these awards are especially aligned with shareholders’ interests as their value is dependent upon the achievement of key operational milestones or stock price performance. 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111" w:right="339" w:bottom="1440" w:gutter="0" w:footer="0" w:header="0"/>
        </w:sectPr>
      </w:pPr>
    </w:p>
    <w:bookmarkStart w:id="45" w:name="page46"/>
    <w:bookmarkEnd w:id="45"/>
    <w:p>
      <w:pPr>
        <w:ind w:right="60"/>
        <w:spacing w:after="0" w:line="256" w:lineRule="auto"/>
        <w:rPr>
          <w:sz w:val="20"/>
          <w:szCs w:val="20"/>
          <w:color w:val="auto"/>
        </w:rPr>
      </w:pPr>
      <w:r>
        <w:rPr>
          <w:rFonts w:ascii="Arial" w:cs="Arial" w:eastAsia="Arial" w:hAnsi="Arial"/>
          <w:sz w:val="18"/>
          <w:szCs w:val="18"/>
          <w:color w:val="auto"/>
        </w:rPr>
        <w:t>help retain executives, we also grant time-based restricted stock awards. The Compensation Committee reviews peer data related to the mix and types of long-term incentive awards and works with its independent compensation consultant to determine the allocation and type of performance- and time-based awards to grant each fiscal year.</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fiscal 2021, the Compensation Committee set the long-term incentive mix at 50% performance-based restricted stock units (“PRSUs”) and 50% time-based restricted stock awards. The Compensation Committee believes that a high percentage of PRSUs emphasizes Micron’s strong pay-for-performance philosophy underlying our executive compensation program.</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determining the amount of the long-term equity incentive awards for our Named Executive Officers, the Compensation Committee reviewed Market Data and information provided by Mr. Mehrotra related to the other officers’ performance and his recommendation as to the amount of their awards. For information on Mr. Mehrotra’s long-term equity incentive, please see the discussion below on CEO compensation. The following table shows the value of our Named Executive Officers’ fiscal 2021 long-term equity incentives:</w:t>
      </w:r>
    </w:p>
    <w:tbl>
      <w:tblPr>
        <w:tblLayout w:type="fixed"/>
        <w:tblInd w:w="0" w:type="dxa"/>
        <w:tblCellMar>
          <w:top w:w="0" w:type="dxa"/>
          <w:left w:w="0" w:type="dxa"/>
          <w:bottom w:w="0" w:type="dxa"/>
          <w:right w:w="0" w:type="dxa"/>
        </w:tblCellMar>
      </w:tblPr>
      <w:tr>
        <w:trPr>
          <w:trHeight w:val="191"/>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562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Fiscal 2021 Long-Term</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0090DA"/>
            </w:tcBorders>
            <w:vMerge w:val="continue"/>
          </w:tcPr>
          <w:p>
            <w:pPr>
              <w:spacing w:after="0"/>
              <w:rPr>
                <w:sz w:val="19"/>
                <w:szCs w:val="19"/>
                <w:color w:val="auto"/>
              </w:rPr>
            </w:pPr>
          </w:p>
        </w:tc>
        <w:tc>
          <w:tcPr>
            <w:tcW w:w="3640" w:type="dxa"/>
            <w:vAlign w:val="bottom"/>
            <w:tcBorders>
              <w:bottom w:val="single" w:sz="8" w:color="0090DA"/>
            </w:tcBorders>
          </w:tcPr>
          <w:p>
            <w:pPr>
              <w:spacing w:after="0"/>
              <w:rPr>
                <w:sz w:val="19"/>
                <w:szCs w:val="19"/>
                <w:color w:val="auto"/>
              </w:rPr>
            </w:pPr>
          </w:p>
        </w:tc>
        <w:tc>
          <w:tcPr>
            <w:tcW w:w="198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Equity Incentives(1)</w:t>
            </w: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36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18,500,000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36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9"/>
        </w:trPr>
        <w:tc>
          <w:tcPr>
            <w:tcW w:w="562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3640" w:type="dxa"/>
            <w:vAlign w:val="bottom"/>
            <w:shd w:val="clear" w:color="auto" w:fill="CBCBCB"/>
          </w:tcPr>
          <w:p>
            <w:pPr>
              <w:spacing w:after="0"/>
              <w:rPr>
                <w:sz w:val="19"/>
                <w:szCs w:val="19"/>
                <w:color w:val="auto"/>
              </w:rPr>
            </w:pPr>
          </w:p>
        </w:tc>
        <w:tc>
          <w:tcPr>
            <w:tcW w:w="19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36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30"/>
        </w:trPr>
        <w:tc>
          <w:tcPr>
            <w:tcW w:w="562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3640" w:type="dxa"/>
            <w:vAlign w:val="bottom"/>
            <w:shd w:val="clear" w:color="auto" w:fill="CBCBCB"/>
          </w:tcPr>
          <w:p>
            <w:pPr>
              <w:spacing w:after="0"/>
              <w:rPr>
                <w:sz w:val="19"/>
                <w:szCs w:val="19"/>
                <w:color w:val="auto"/>
              </w:rPr>
            </w:pPr>
          </w:p>
        </w:tc>
        <w:tc>
          <w:tcPr>
            <w:tcW w:w="19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 Reflects target grant-date fair value.</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not, and do not plan to time the grant of long-term incentive awards (or the award or payment of any other compensation) with the release of material, non-public information. Historically, long-term incentive awards have been made in the first quarter of the fiscal year with the exact grant date corresponding with the date of the meeting of the Compensation Committee. Historically, long-term incentive grants to the Named Executive Officers are approved by the Compensation Committee on the same day as the grants to other executive officers. For purposes of our equity plans, fair market value is defined as the closing price as quoted on Nasdaq for the last market-trading day prior to the date of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 Granted in Fiscal 2021</w:t>
      </w:r>
    </w:p>
    <w:p>
      <w:pPr>
        <w:spacing w:after="0" w:line="2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PRSUs support the Compensation Committee’s desire to link realized value to the Company’s long-term success and help align executive compensation with shareholder interests. For fiscal 2021, the Compensation Committee awarded PRSUs under performance metrics that measure the percentage of bits shipped as part of a high-value solution (the “2021 High-Value Solutions PRSU Award”) and relative total shareholder return (TSR) growth (the “2021 TSR PRSU Award”). The achievement of these awards requires a significant level of execution and effort and there is no assurance of goal achievement.</w:t>
      </w:r>
    </w:p>
    <w:p>
      <w:pPr>
        <w:spacing w:after="0" w:line="23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PRSU awards are eligible to be earned (or “banked”) during the second and third years of the three-year period covering fiscal 2021, 2022, and 2023 (the “Performance Period”) based upon results against performance metrics set at the beginning of the Performance Period. The actual number of PRSUs that will be banked and become eligible to vest under the 2021 High-Value Solutions PRSU Award and the 2021 TSR PRSU Award (together the “2021 PRSU Awards”) is determined by reference to each Named Executive Officer’s target number of PRSUs and the payout factor that results from actual performance versus pre-established performance metrics (the “Payout Factor”), and is subject to the caps discussed below.</w:t>
      </w:r>
    </w:p>
    <w:p>
      <w:pPr>
        <w:spacing w:after="0" w:line="2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number of PRSUs that each Named Executive Officer may earn under all 2021 PRSU Awards (taken together) during the Performance Period will not exceed two times the aggregate target number of PRSUs covered by all of a Named Executive Officers’ 2021 PRSU Awards (the “2x Limit”). As a result, our Named Executive Officers’ ability to earn and vest any PRSUs is capped at the 2x Limit. Additionally, the maximum award</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39</w:t>
      </w:r>
    </w:p>
    <w:p>
      <w:pPr>
        <w:sectPr>
          <w:pgSz w:w="11900" w:h="16838" w:orient="portrait"/>
          <w:cols w:equalWidth="0" w:num="1">
            <w:col w:w="11240"/>
          </w:cols>
          <w:pgMar w:left="320" w:top="1111" w:right="339" w:bottom="1440" w:gutter="0" w:footer="0" w:header="0"/>
        </w:sectPr>
      </w:pPr>
    </w:p>
    <w:bookmarkStart w:id="46" w:name="page47"/>
    <w:bookmarkEnd w:id="46"/>
    <w:p>
      <w:pPr>
        <w:ind w:right="540"/>
        <w:spacing w:after="0" w:line="261" w:lineRule="auto"/>
        <w:rPr>
          <w:sz w:val="20"/>
          <w:szCs w:val="20"/>
          <w:color w:val="auto"/>
        </w:rPr>
      </w:pPr>
      <w:r>
        <w:rPr>
          <w:rFonts w:ascii="Arial" w:cs="Arial" w:eastAsia="Arial" w:hAnsi="Arial"/>
          <w:sz w:val="18"/>
          <w:szCs w:val="18"/>
          <w:color w:val="auto"/>
        </w:rPr>
        <w:t>of PRSUs may not exceed 5,000,000 shares of our Common Stock in any one calendar year to any one participant, as provided in the applicable equity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High-Value Solutions PRSU Award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2021 High-Value Solutions PRSU Award ties 50% of each Named Executive Officer’s target performance-based long-term incentive opportunity to the achievement of certain percentages of products shipped as high-value solutions, with two additional earnings opportunities for stretch goals based on product development milestones.</w:t>
      </w:r>
    </w:p>
    <w:p>
      <w:pPr>
        <w:spacing w:after="0" w:line="21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Performance is measured by exceeding a threshold, then meeting certain prescribed targets, subject to a maximum payout. The maximum payout for achieving such targets is 200% of the target number of PRSUs under the award, subject to any increases for achieving the stretch milestones described below but capped by the 2x Limit described further above. 2021 High-Value Solutions PRSU Awards do not bank unless performance meets or exceeds the established threshold. When performance results in achievement above the threshold and between performance levels, the applicable Payout Factor will be determined based on interpolation between performance levels.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2021 Payout Factors with respect to the 2021 High-Value Solutions PRSU Award may be increased upon achievement of two stretch milestones relating to revenues that the Compensation Committee believes represent significant progress in the development of next-generation products that will enhance long-term shareholder value.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Determination of Payout</w:t>
      </w:r>
    </w:p>
    <w:p>
      <w:pPr>
        <w:spacing w:after="0" w:line="23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Achievement levels with respect to the Payout Factor applicable to a 2021 High-Value Solutions PRSU Award are measured at the end of each applicable fiscal year of the Performance Period. No later than 60 days after the end of each fiscal year in the Performance Period (each, a “Certification Date”), the Compensation Committee determines and certifies the resulting Payout Factors for the applicable fiscal year as set forth above. PRSUs that have achieved the requisite performance become banked.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25"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PRSUs do not vest under the 2021 High-Value Solutions PRSU Award until the Certification Date that immediately follows the end of fiscal 2022, when 50% of the then-unvested banked PRSUs (for the avoidance of doubt, inclusive of any PRSUs becoming banked PRSUs as of such Certification Date) will vest. Remaining banked PRSUs and/or incremental PRSUs that become banked PRSUs will vest as of the Certification Date that immediately follows the end of fiscal 2023. If the Named Executive Officer terminates employment with the Company for any reason other than a termination by the Company for cause, any banked shares will continue to vest on the vesting schedule described above. No further PRSUs under the 2021 High-Value Solutions PRSU Award will vest following the Named Executive Officer’s termination for cause. For purposes of the 2021 High-Value Solutions PRSU Award, cause is as defined in the agreement between the Named Executive Officer and the Company governing the terms of such Named Executive Officer’s employment or termination thereof, or if not so defined, as defined in the equity incentive plan under which the award was granted.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TSR PRSU Award</w:t>
      </w:r>
    </w:p>
    <w:p>
      <w:pPr>
        <w:spacing w:after="0" w:line="25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2021 TSR PRSU Award ties 50% of each Named Executive Officer’s target performance-based long-term incentive opportunity to the Company’s share price growth as compared to the median total shareholder return of the companies in the PHLX Semiconductor Sector Index (SOX) over the three-year Performance Period. For fiscal 2021, the Compensation Committee set the target goal at the median of the SOX index, which is composed of companies primarily involved in the design, distribution, manufacture, and sale of semiconductors, calculated based on the difference between the Company’s and the median SOX index company’s 60-day average three-year TSR compounded annual growth rate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00"/>
          </w:cols>
          <w:pgMar w:left="320" w:top="1111"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Payout Factor</w:t>
      </w:r>
    </w:p>
    <w:p>
      <w:pPr>
        <w:spacing w:after="0" w:line="23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Payout Factor for the 2021 TSR PRSU Award is based on the average of the Company’s three-year total shareholder return for each of the 60 days trailing the applicable measurement date (inclusive of the measurement date), expressed as a compounded annual growth rate (the “TSR CAGR”), relative to the TSR CAGR of the median company in the PHLX Semiconductor Sector Index (SOX) (the “Median SOX Company”). The relative TSR (“rTSR”) CAGRs of the Company versus the Median SOX Company (the “rTSR CAGR”) will be measured on each day starting on the first day of fiscal 2022 through the last day of the Performance Period (each, a “measurement date”).</w:t>
      </w:r>
    </w:p>
    <w:p>
      <w:pPr>
        <w:spacing w:after="0" w:line="229" w:lineRule="exact"/>
        <w:rPr>
          <w:sz w:val="20"/>
          <w:szCs w:val="20"/>
          <w:color w:val="auto"/>
        </w:rPr>
      </w:pPr>
    </w:p>
    <w:p>
      <w:pPr>
        <w:ind w:right="540"/>
        <w:spacing w:after="0" w:line="245" w:lineRule="auto"/>
        <w:rPr>
          <w:sz w:val="20"/>
          <w:szCs w:val="20"/>
          <w:color w:val="auto"/>
        </w:rPr>
      </w:pPr>
      <w:r>
        <w:rPr>
          <w:rFonts w:ascii="Arial" w:cs="Arial" w:eastAsia="Arial" w:hAnsi="Arial"/>
          <w:sz w:val="18"/>
          <w:szCs w:val="18"/>
          <w:color w:val="auto"/>
        </w:rPr>
        <w:t>The following table sets forth the levels of rTSR CAGR required to be achieved under a 2021 TSR PRSU Award to result in the Payout Factors specified below:</w:t>
      </w:r>
    </w:p>
    <w:tbl>
      <w:tblPr>
        <w:tblLayout w:type="fixed"/>
        <w:tblInd w:w="0" w:type="dxa"/>
        <w:tblCellMar>
          <w:top w:w="0" w:type="dxa"/>
          <w:left w:w="0" w:type="dxa"/>
          <w:bottom w:w="0" w:type="dxa"/>
          <w:right w:w="0" w:type="dxa"/>
        </w:tblCellMar>
      </w:tblPr>
      <w:tr>
        <w:trPr>
          <w:trHeight w:val="186"/>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rTSR CAGR Achieved on a Measurement Date</w:t>
            </w:r>
          </w:p>
        </w:tc>
        <w:tc>
          <w:tcPr>
            <w:tcW w:w="4580" w:type="dxa"/>
            <w:vAlign w:val="bottom"/>
          </w:tcPr>
          <w:p>
            <w:pPr>
              <w:ind w:left="2700"/>
              <w:spacing w:after="0" w:line="186" w:lineRule="exact"/>
              <w:rPr>
                <w:sz w:val="20"/>
                <w:szCs w:val="20"/>
                <w:color w:val="auto"/>
              </w:rPr>
            </w:pPr>
            <w:r>
              <w:rPr>
                <w:rFonts w:ascii="Arial" w:cs="Arial" w:eastAsia="Arial" w:hAnsi="Arial"/>
                <w:sz w:val="18"/>
                <w:szCs w:val="18"/>
                <w:b w:val="1"/>
                <w:bCs w:val="1"/>
                <w:color w:val="auto"/>
              </w:rPr>
              <w:t>Payout Factor for the</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0090DA"/>
            </w:tcBorders>
            <w:vMerge w:val="continue"/>
          </w:tcPr>
          <w:p>
            <w:pPr>
              <w:spacing w:after="0"/>
              <w:rPr>
                <w:sz w:val="19"/>
                <w:szCs w:val="19"/>
                <w:color w:val="auto"/>
              </w:rPr>
            </w:pPr>
          </w:p>
        </w:tc>
        <w:tc>
          <w:tcPr>
            <w:tcW w:w="4580" w:type="dxa"/>
            <w:vAlign w:val="bottom"/>
            <w:tcBorders>
              <w:bottom w:val="single" w:sz="8" w:color="0090DA"/>
            </w:tcBorders>
          </w:tcPr>
          <w:p>
            <w:pPr>
              <w:ind w:left="3100"/>
              <w:spacing w:after="0"/>
              <w:rPr>
                <w:sz w:val="20"/>
                <w:szCs w:val="20"/>
                <w:color w:val="auto"/>
              </w:rPr>
            </w:pPr>
            <w:r>
              <w:rPr>
                <w:rFonts w:ascii="Arial" w:cs="Arial" w:eastAsia="Arial" w:hAnsi="Arial"/>
                <w:sz w:val="18"/>
                <w:szCs w:val="18"/>
                <w:b w:val="1"/>
                <w:bCs w:val="1"/>
                <w:color w:val="auto"/>
              </w:rPr>
              <w:t>rTSR CAGR</w:t>
            </w:r>
          </w:p>
        </w:tc>
        <w:tc>
          <w:tcPr>
            <w:tcW w:w="0" w:type="dxa"/>
            <w:vAlign w:val="bottom"/>
          </w:tcPr>
          <w:p>
            <w:pPr>
              <w:spacing w:after="0"/>
              <w:rPr>
                <w:sz w:val="1"/>
                <w:szCs w:val="1"/>
                <w:color w:val="auto"/>
              </w:rPr>
            </w:pPr>
          </w:p>
        </w:tc>
      </w:tr>
      <w:tr>
        <w:trPr>
          <w:trHeight w:val="34"/>
        </w:trPr>
        <w:tc>
          <w:tcPr>
            <w:tcW w:w="66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shd w:val="clear" w:color="auto" w:fill="CBCBCB"/>
          </w:tcPr>
          <w:p>
            <w:pPr>
              <w:ind w:left="20"/>
              <w:spacing w:after="0"/>
              <w:rPr>
                <w:sz w:val="20"/>
                <w:szCs w:val="20"/>
                <w:color w:val="auto"/>
              </w:rPr>
            </w:pPr>
            <w:r>
              <w:rPr>
                <w:rFonts w:ascii="Arial" w:cs="Arial" w:eastAsia="Arial" w:hAnsi="Arial"/>
                <w:sz w:val="18"/>
                <w:szCs w:val="18"/>
                <w:color w:val="auto"/>
              </w:rPr>
              <w:t>Less than -50 percentage points (“pp”)</w:t>
            </w:r>
          </w:p>
        </w:tc>
        <w:tc>
          <w:tcPr>
            <w:tcW w:w="4580" w:type="dxa"/>
            <w:vAlign w:val="bottom"/>
            <w:shd w:val="clear" w:color="auto" w:fill="CBCBCB"/>
          </w:tcPr>
          <w:p>
            <w:pPr>
              <w:ind w:left="4220"/>
              <w:spacing w:after="0"/>
              <w:rPr>
                <w:sz w:val="20"/>
                <w:szCs w:val="20"/>
                <w:color w:val="auto"/>
              </w:rPr>
            </w:pPr>
            <w:r>
              <w:rPr>
                <w:rFonts w:ascii="Arial" w:cs="Arial" w:eastAsia="Arial" w:hAnsi="Arial"/>
                <w:sz w:val="18"/>
                <w:szCs w:val="18"/>
                <w:color w:val="auto"/>
                <w:w w:val="99"/>
              </w:rPr>
              <w:t>0.0x</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-50pp (“rTSR Threshold”)</w:t>
            </w:r>
          </w:p>
        </w:tc>
        <w:tc>
          <w:tcPr>
            <w:tcW w:w="4580" w:type="dxa"/>
            <w:vAlign w:val="bottom"/>
          </w:tcPr>
          <w:p>
            <w:pPr>
              <w:ind w:left="4220"/>
              <w:spacing w:after="0"/>
              <w:rPr>
                <w:sz w:val="20"/>
                <w:szCs w:val="20"/>
                <w:color w:val="auto"/>
              </w:rPr>
            </w:pPr>
            <w:r>
              <w:rPr>
                <w:rFonts w:ascii="Arial" w:cs="Arial" w:eastAsia="Arial" w:hAnsi="Arial"/>
                <w:sz w:val="18"/>
                <w:szCs w:val="18"/>
                <w:color w:val="auto"/>
                <w:w w:val="99"/>
              </w:rPr>
              <w:t>0.5x</w:t>
            </w:r>
          </w:p>
        </w:tc>
        <w:tc>
          <w:tcPr>
            <w:tcW w:w="0" w:type="dxa"/>
            <w:vAlign w:val="bottom"/>
          </w:tcPr>
          <w:p>
            <w:pPr>
              <w:spacing w:after="0"/>
              <w:rPr>
                <w:sz w:val="1"/>
                <w:szCs w:val="1"/>
                <w:color w:val="auto"/>
              </w:rPr>
            </w:pPr>
          </w:p>
        </w:tc>
      </w:tr>
      <w:tr>
        <w:trPr>
          <w:trHeight w:val="229"/>
        </w:trPr>
        <w:tc>
          <w:tcPr>
            <w:tcW w:w="6660" w:type="dxa"/>
            <w:vAlign w:val="bottom"/>
            <w:shd w:val="clear" w:color="auto" w:fill="CBCBCB"/>
          </w:tcPr>
          <w:p>
            <w:pPr>
              <w:ind w:left="20"/>
              <w:spacing w:after="0"/>
              <w:rPr>
                <w:sz w:val="20"/>
                <w:szCs w:val="20"/>
                <w:color w:val="auto"/>
              </w:rPr>
            </w:pPr>
            <w:r>
              <w:rPr>
                <w:rFonts w:ascii="Arial" w:cs="Arial" w:eastAsia="Arial" w:hAnsi="Arial"/>
                <w:sz w:val="18"/>
                <w:szCs w:val="18"/>
                <w:color w:val="auto"/>
              </w:rPr>
              <w:t>0pp (“rTSR Target”)</w:t>
            </w:r>
          </w:p>
        </w:tc>
        <w:tc>
          <w:tcPr>
            <w:tcW w:w="4580" w:type="dxa"/>
            <w:vAlign w:val="bottom"/>
            <w:shd w:val="clear" w:color="auto" w:fill="CBCBCB"/>
          </w:tcPr>
          <w:p>
            <w:pPr>
              <w:ind w:left="4220"/>
              <w:spacing w:after="0"/>
              <w:rPr>
                <w:sz w:val="20"/>
                <w:szCs w:val="20"/>
                <w:color w:val="auto"/>
              </w:rPr>
            </w:pPr>
            <w:r>
              <w:rPr>
                <w:rFonts w:ascii="Arial" w:cs="Arial" w:eastAsia="Arial" w:hAnsi="Arial"/>
                <w:sz w:val="18"/>
                <w:szCs w:val="18"/>
                <w:color w:val="auto"/>
                <w:w w:val="99"/>
              </w:rPr>
              <w:t>1.0x</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+25pp (“rTSR Maximum”)</w:t>
            </w:r>
          </w:p>
        </w:tc>
        <w:tc>
          <w:tcPr>
            <w:tcW w:w="4580" w:type="dxa"/>
            <w:vAlign w:val="bottom"/>
          </w:tcPr>
          <w:p>
            <w:pPr>
              <w:ind w:left="4220"/>
              <w:spacing w:after="0"/>
              <w:rPr>
                <w:sz w:val="20"/>
                <w:szCs w:val="20"/>
                <w:color w:val="auto"/>
              </w:rPr>
            </w:pPr>
            <w:r>
              <w:rPr>
                <w:rFonts w:ascii="Arial" w:cs="Arial" w:eastAsia="Arial" w:hAnsi="Arial"/>
                <w:sz w:val="18"/>
                <w:szCs w:val="18"/>
                <w:color w:val="auto"/>
                <w:w w:val="99"/>
              </w:rPr>
              <w:t>1.5x</w:t>
            </w:r>
          </w:p>
        </w:tc>
        <w:tc>
          <w:tcPr>
            <w:tcW w:w="0" w:type="dxa"/>
            <w:vAlign w:val="bottom"/>
          </w:tcPr>
          <w:p>
            <w:pPr>
              <w:spacing w:after="0"/>
              <w:rPr>
                <w:sz w:val="1"/>
                <w:szCs w:val="1"/>
                <w:color w:val="auto"/>
              </w:rPr>
            </w:pPr>
          </w:p>
        </w:tc>
      </w:tr>
      <w:tr>
        <w:trPr>
          <w:trHeight w:val="229"/>
        </w:trPr>
        <w:tc>
          <w:tcPr>
            <w:tcW w:w="6660" w:type="dxa"/>
            <w:vAlign w:val="bottom"/>
            <w:shd w:val="clear" w:color="auto" w:fill="CBCBCB"/>
          </w:tcPr>
          <w:p>
            <w:pPr>
              <w:ind w:left="20"/>
              <w:spacing w:after="0"/>
              <w:rPr>
                <w:sz w:val="20"/>
                <w:szCs w:val="20"/>
                <w:color w:val="auto"/>
              </w:rPr>
            </w:pPr>
            <w:r>
              <w:rPr>
                <w:rFonts w:ascii="Arial" w:cs="Arial" w:eastAsia="Arial" w:hAnsi="Arial"/>
                <w:sz w:val="18"/>
                <w:szCs w:val="18"/>
                <w:color w:val="auto"/>
              </w:rPr>
              <w:t>Greater than +25pp</w:t>
            </w:r>
          </w:p>
        </w:tc>
        <w:tc>
          <w:tcPr>
            <w:tcW w:w="4580" w:type="dxa"/>
            <w:vAlign w:val="bottom"/>
            <w:shd w:val="clear" w:color="auto" w:fill="CBCBCB"/>
          </w:tcPr>
          <w:p>
            <w:pPr>
              <w:ind w:left="4220"/>
              <w:spacing w:after="0"/>
              <w:rPr>
                <w:sz w:val="20"/>
                <w:szCs w:val="20"/>
                <w:color w:val="auto"/>
              </w:rPr>
            </w:pPr>
            <w:r>
              <w:rPr>
                <w:rFonts w:ascii="Arial" w:cs="Arial" w:eastAsia="Arial" w:hAnsi="Arial"/>
                <w:sz w:val="18"/>
                <w:szCs w:val="18"/>
                <w:color w:val="auto"/>
                <w:w w:val="99"/>
              </w:rPr>
              <w:t>1.5x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If the rTSR CAGR achieved is between the rTSR Threshold and rTSR Target levels or the rTSR Target and rTSR Maximum levels, the Payout Factor will be determined using interpolation between the applicable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 on PRSU Earning and Vesting</w:t>
      </w:r>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maximum number of PRSUs that may vest is equal to 150% of the target number of PRSUs granted under the 2021 TSR PRSU Award (subject to the total 2x Limit cap discussed under “Performance-based RSUs Granted in Fiscal 2021”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Determination of Payout</w:t>
      </w:r>
    </w:p>
    <w:p>
      <w:pPr>
        <w:spacing w:after="0" w:line="17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of any measurement date, the number of PRSUs under a 2021 TSR PRSU Award that are considered banked through such date will equal the product of the Payout Factor determined based on the greatest rTSR CAGR achieved during the Performance Period through such date, and the target number of PRSUs subject to the 2021 TSR PRSU Award. Accordingly, once PRSUs under a 2021 TSR PRSU Award become banked on a measurement date (due to achievement of a particular rTSR CAGR level), additional PRSUs can become banked only if a greater rTSR CAGR level is achieved on a later measurement date. Such additional PRSUs banked, if any, will be equal to the excess of the Payout Factor determined using the new, greater rTSR CAGR achieved, over the Payout Factor determined using the next greatest rTSR CAGR previously achieved, multiplied by the target PRSUs subject to the 2021 TSR PRSU Award. Following completion of each of fiscal 2022 and 2023, the Compensation Committee will certify the extent of achievement of the Payout Factors as set forth above during fiscal 2022 and 2023, respectively (an “rTSR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2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the date of the first rTSR Certification (following fiscal 2022), 50% of any PRSUs that have been certified as banked through the date of such rTSR Certification will vest. On the date of the second rTSR Certification (following fiscal 2023), the remaining 50% of PRSUs that were certified as banked upon the first rTSR Certification, and 100% of any additional PRSUs that are certified as banked for achievement of a greater Payout Factor during the remainder of the Performance Period after the first rTSR Certification, will vest. If the Named Executive Officer terminates employment with the Company for any reason other than a termination by the Company for cause, any banked shares also will continue to vest on the vesting schedule described above. No further PRSUs under the 2021 TSR PRSU Award will vest following the Named Executive Officer’s termination for cause. For purposes of the 2021 TSR PRSU Award, cause is as defined in the agreement between the Named Executive Officer and the Company governing the terms of such Named Executive Officer’s employment or</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41</w:t>
      </w:r>
    </w:p>
    <w:p>
      <w:pPr>
        <w:sectPr>
          <w:pgSz w:w="11900" w:h="16838" w:orient="portrait"/>
          <w:cols w:equalWidth="0" w:num="1">
            <w:col w:w="11240"/>
          </w:cols>
          <w:pgMar w:left="320" w:top="111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termination thereof, or if not so defined, as defined in the equity incentive plan under which the award was granted.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PRSUs Achievement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measurement periods for the 2021 High-Value Solutions PRSU Award and the 2021 TSR PRSU Award do not begin until fiscal 2022.</w:t>
      </w:r>
    </w:p>
    <w:p>
      <w:pPr>
        <w:spacing w:after="0"/>
        <w:rPr>
          <w:sz w:val="20"/>
          <w:szCs w:val="20"/>
          <w:color w:val="auto"/>
        </w:rPr>
      </w:pPr>
      <w:r>
        <w:rPr>
          <w:rFonts w:ascii="Arial" w:cs="Arial" w:eastAsia="Arial" w:hAnsi="Arial"/>
          <w:sz w:val="18"/>
          <w:szCs w:val="18"/>
          <w:color w:val="auto"/>
        </w:rPr>
        <w:t>Accordingly, no shares were banked during fiscal 2021 under the 2021 PRSU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PRSUs Achievement</w:t>
      </w:r>
    </w:p>
    <w:p>
      <w:pPr>
        <w:spacing w:after="0" w:line="25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fiscal 2020, the Compensation Committee awarded PRSUs under performance metrics that measure TSR growth (the “2020 TSR PRSU Award”) and the percentage of bits shipped as part of a high value solution (the “2020 High-Value Solutions PRSU Award”), with the 2020 TSR PRSU Award and the 2020 High-Value Solutions PRSU Award each representing 50% of the total target PRSU opportunity for each Named Executive Officer. In October 2021, the Compensation Committee reviewed the Company’s performance relative to the 2020 PRSU Award metrics, applied the applicable 2020 Payout Factors, and certified that the following shares had been banked by our Named Executive Officers under the 2020 PRSU Awards:</w:t>
      </w: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6480" w:type="dxa"/>
            <w:vAlign w:val="bottom"/>
            <w:gridSpan w:val="2"/>
          </w:tcPr>
          <w:p>
            <w:pPr>
              <w:jc w:val="center"/>
              <w:ind w:left="2470"/>
              <w:spacing w:after="0" w:line="192" w:lineRule="exact"/>
              <w:rPr>
                <w:sz w:val="20"/>
                <w:szCs w:val="20"/>
                <w:color w:val="auto"/>
              </w:rPr>
            </w:pPr>
            <w:r>
              <w:rPr>
                <w:rFonts w:ascii="Arial" w:cs="Arial" w:eastAsia="Arial" w:hAnsi="Arial"/>
                <w:sz w:val="18"/>
                <w:szCs w:val="18"/>
                <w:b w:val="1"/>
                <w:bCs w:val="1"/>
                <w:color w:val="auto"/>
              </w:rPr>
              <w:t>Shares Banked for Fiscal 2021 Performance</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0090DA"/>
            </w:tcBorders>
          </w:tcPr>
          <w:p>
            <w:pPr>
              <w:spacing w:after="0"/>
              <w:rPr>
                <w:sz w:val="19"/>
                <w:szCs w:val="19"/>
                <w:color w:val="auto"/>
              </w:rPr>
            </w:pPr>
          </w:p>
        </w:tc>
        <w:tc>
          <w:tcPr>
            <w:tcW w:w="6480" w:type="dxa"/>
            <w:vAlign w:val="bottom"/>
            <w:tcBorders>
              <w:bottom w:val="single" w:sz="8" w:color="0090DA"/>
            </w:tcBorders>
            <w:gridSpan w:val="2"/>
          </w:tcPr>
          <w:p>
            <w:pPr>
              <w:jc w:val="center"/>
              <w:ind w:left="2450"/>
              <w:spacing w:after="0"/>
              <w:rPr>
                <w:sz w:val="20"/>
                <w:szCs w:val="20"/>
                <w:color w:val="auto"/>
              </w:rPr>
            </w:pPr>
            <w:r>
              <w:rPr>
                <w:rFonts w:ascii="Arial" w:cs="Arial" w:eastAsia="Arial" w:hAnsi="Arial"/>
                <w:sz w:val="18"/>
                <w:szCs w:val="18"/>
                <w:b w:val="1"/>
                <w:bCs w:val="1"/>
                <w:color w:val="auto"/>
                <w:w w:val="99"/>
              </w:rPr>
              <w:t>under 2020 TSR PRSU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BCBCB"/>
          </w:tcPr>
          <w:p>
            <w:pPr>
              <w:ind w:left="20"/>
              <w:spacing w:after="0"/>
              <w:rPr>
                <w:sz w:val="20"/>
                <w:szCs w:val="20"/>
                <w:color w:val="auto"/>
              </w:rPr>
            </w:pPr>
            <w:r>
              <w:rPr>
                <w:rFonts w:ascii="Arial" w:cs="Arial" w:eastAsia="Arial" w:hAnsi="Arial"/>
                <w:sz w:val="18"/>
                <w:szCs w:val="18"/>
                <w:color w:val="auto"/>
              </w:rPr>
              <w:t>2020 TSR PRSU Award</w:t>
            </w:r>
          </w:p>
        </w:tc>
        <w:tc>
          <w:tcPr>
            <w:tcW w:w="4280" w:type="dxa"/>
            <w:vAlign w:val="bottom"/>
            <w:shd w:val="clear" w:color="auto" w:fill="CBCBCB"/>
          </w:tcPr>
          <w:p>
            <w:pPr>
              <w:spacing w:after="0"/>
              <w:rPr>
                <w:sz w:val="19"/>
                <w:szCs w:val="19"/>
                <w:color w:val="auto"/>
              </w:rPr>
            </w:pP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16,589</w:t>
            </w:r>
          </w:p>
        </w:tc>
        <w:tc>
          <w:tcPr>
            <w:tcW w:w="0" w:type="dxa"/>
            <w:vAlign w:val="bottom"/>
          </w:tcPr>
          <w:p>
            <w:pPr>
              <w:spacing w:after="0"/>
              <w:rPr>
                <w:sz w:val="1"/>
                <w:szCs w:val="1"/>
                <w:color w:val="auto"/>
              </w:rPr>
            </w:pPr>
          </w:p>
        </w:tc>
      </w:tr>
      <w:tr>
        <w:trPr>
          <w:trHeight w:val="540"/>
        </w:trPr>
        <w:tc>
          <w:tcPr>
            <w:tcW w:w="4760" w:type="dxa"/>
            <w:vAlign w:val="bottom"/>
          </w:tcPr>
          <w:p>
            <w:pPr>
              <w:spacing w:after="0"/>
              <w:rPr>
                <w:sz w:val="24"/>
                <w:szCs w:val="24"/>
                <w:color w:val="auto"/>
              </w:rPr>
            </w:pPr>
          </w:p>
        </w:tc>
        <w:tc>
          <w:tcPr>
            <w:tcW w:w="4280" w:type="dxa"/>
            <w:vAlign w:val="bottom"/>
          </w:tcPr>
          <w:p>
            <w:pPr>
              <w:jc w:val="center"/>
              <w:ind w:left="1910"/>
              <w:spacing w:after="0"/>
              <w:rPr>
                <w:sz w:val="20"/>
                <w:szCs w:val="20"/>
                <w:color w:val="auto"/>
              </w:rPr>
            </w:pPr>
            <w:r>
              <w:rPr>
                <w:rFonts w:ascii="Arial" w:cs="Arial" w:eastAsia="Arial" w:hAnsi="Arial"/>
                <w:sz w:val="18"/>
                <w:szCs w:val="18"/>
                <w:b w:val="1"/>
                <w:bCs w:val="1"/>
                <w:color w:val="auto"/>
              </w:rPr>
              <w:t>Shares Banked for Fiscal</w:t>
            </w: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Shares Vested under</w:t>
            </w:r>
          </w:p>
        </w:tc>
        <w:tc>
          <w:tcPr>
            <w:tcW w:w="0" w:type="dxa"/>
            <w:vAlign w:val="bottom"/>
          </w:tcPr>
          <w:p>
            <w:pPr>
              <w:spacing w:after="0"/>
              <w:rPr>
                <w:sz w:val="1"/>
                <w:szCs w:val="1"/>
                <w:color w:val="auto"/>
              </w:rPr>
            </w:pPr>
          </w:p>
        </w:tc>
      </w:tr>
      <w:tr>
        <w:trPr>
          <w:trHeight w:val="176"/>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4280" w:type="dxa"/>
            <w:vAlign w:val="bottom"/>
          </w:tcPr>
          <w:p>
            <w:pPr>
              <w:jc w:val="center"/>
              <w:ind w:left="1890"/>
              <w:spacing w:after="0" w:line="176" w:lineRule="exact"/>
              <w:rPr>
                <w:sz w:val="20"/>
                <w:szCs w:val="20"/>
                <w:color w:val="auto"/>
              </w:rPr>
            </w:pPr>
            <w:r>
              <w:rPr>
                <w:rFonts w:ascii="Arial" w:cs="Arial" w:eastAsia="Arial" w:hAnsi="Arial"/>
                <w:sz w:val="18"/>
                <w:szCs w:val="18"/>
                <w:b w:val="1"/>
                <w:bCs w:val="1"/>
                <w:color w:val="auto"/>
                <w:w w:val="99"/>
              </w:rPr>
              <w:t>2021 Performance under</w:t>
            </w:r>
          </w:p>
        </w:tc>
        <w:tc>
          <w:tcPr>
            <w:tcW w:w="2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0090DA"/>
            </w:tcBorders>
            <w:vMerge w:val="continue"/>
          </w:tcPr>
          <w:p>
            <w:pPr>
              <w:spacing w:after="0"/>
              <w:rPr>
                <w:sz w:val="19"/>
                <w:szCs w:val="19"/>
                <w:color w:val="auto"/>
              </w:rPr>
            </w:pPr>
          </w:p>
        </w:tc>
        <w:tc>
          <w:tcPr>
            <w:tcW w:w="4280" w:type="dxa"/>
            <w:vAlign w:val="bottom"/>
            <w:tcBorders>
              <w:bottom w:val="single" w:sz="8" w:color="0090DA"/>
            </w:tcBorders>
          </w:tcPr>
          <w:p>
            <w:pPr>
              <w:jc w:val="center"/>
              <w:ind w:left="1910"/>
              <w:spacing w:after="0"/>
              <w:rPr>
                <w:sz w:val="20"/>
                <w:szCs w:val="20"/>
                <w:color w:val="auto"/>
              </w:rPr>
            </w:pPr>
            <w:r>
              <w:rPr>
                <w:rFonts w:ascii="Arial" w:cs="Arial" w:eastAsia="Arial" w:hAnsi="Arial"/>
                <w:sz w:val="18"/>
                <w:szCs w:val="18"/>
                <w:b w:val="1"/>
                <w:bCs w:val="1"/>
                <w:color w:val="auto"/>
                <w:w w:val="99"/>
              </w:rPr>
              <w:t>2020 TSR PRSU Award</w:t>
            </w:r>
          </w:p>
        </w:tc>
        <w:tc>
          <w:tcPr>
            <w:tcW w:w="22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 TSR PRSU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428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7,483</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4280" w:type="dxa"/>
            <w:vAlign w:val="bottom"/>
          </w:tcPr>
          <w:p>
            <w:pPr>
              <w:jc w:val="right"/>
              <w:ind w:right="10"/>
              <w:spacing w:after="0"/>
              <w:rPr>
                <w:sz w:val="20"/>
                <w:szCs w:val="20"/>
                <w:color w:val="auto"/>
              </w:rPr>
            </w:pPr>
            <w:r>
              <w:rPr>
                <w:rFonts w:ascii="Arial" w:cs="Arial" w:eastAsia="Arial" w:hAnsi="Arial"/>
                <w:sz w:val="18"/>
                <w:szCs w:val="18"/>
                <w:color w:val="auto"/>
              </w:rPr>
              <w:t>1,996</w:t>
            </w:r>
          </w:p>
        </w:tc>
        <w:tc>
          <w:tcPr>
            <w:tcW w:w="2200" w:type="dxa"/>
            <w:vAlign w:val="bottom"/>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9"/>
        </w:trPr>
        <w:tc>
          <w:tcPr>
            <w:tcW w:w="476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428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2,494</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428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220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47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428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2,745</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770"/>
        </w:trPr>
        <w:tc>
          <w:tcPr>
            <w:tcW w:w="4760" w:type="dxa"/>
            <w:vAlign w:val="bottom"/>
          </w:tcPr>
          <w:p>
            <w:pPr>
              <w:spacing w:after="0"/>
              <w:rPr>
                <w:sz w:val="24"/>
                <w:szCs w:val="24"/>
                <w:color w:val="auto"/>
              </w:rPr>
            </w:pPr>
          </w:p>
        </w:tc>
        <w:tc>
          <w:tcPr>
            <w:tcW w:w="6480" w:type="dxa"/>
            <w:vAlign w:val="bottom"/>
            <w:gridSpan w:val="2"/>
          </w:tcPr>
          <w:p>
            <w:pPr>
              <w:jc w:val="center"/>
              <w:ind w:left="2470"/>
              <w:spacing w:after="0"/>
              <w:rPr>
                <w:sz w:val="20"/>
                <w:szCs w:val="20"/>
                <w:color w:val="auto"/>
              </w:rPr>
            </w:pPr>
            <w:r>
              <w:rPr>
                <w:rFonts w:ascii="Arial" w:cs="Arial" w:eastAsia="Arial" w:hAnsi="Arial"/>
                <w:sz w:val="18"/>
                <w:szCs w:val="18"/>
                <w:b w:val="1"/>
                <w:bCs w:val="1"/>
                <w:color w:val="auto"/>
              </w:rPr>
              <w:t>Shares Banked for Fiscal 2021 Performance</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0090DA"/>
            </w:tcBorders>
          </w:tcPr>
          <w:p>
            <w:pPr>
              <w:spacing w:after="0"/>
              <w:rPr>
                <w:sz w:val="19"/>
                <w:szCs w:val="19"/>
                <w:color w:val="auto"/>
              </w:rPr>
            </w:pPr>
          </w:p>
        </w:tc>
        <w:tc>
          <w:tcPr>
            <w:tcW w:w="6480" w:type="dxa"/>
            <w:vAlign w:val="bottom"/>
            <w:tcBorders>
              <w:bottom w:val="single" w:sz="8" w:color="0090DA"/>
            </w:tcBorders>
            <w:gridSpan w:val="2"/>
          </w:tcPr>
          <w:p>
            <w:pPr>
              <w:jc w:val="center"/>
              <w:ind w:left="2470"/>
              <w:spacing w:after="0"/>
              <w:rPr>
                <w:sz w:val="20"/>
                <w:szCs w:val="20"/>
                <w:color w:val="auto"/>
              </w:rPr>
            </w:pPr>
            <w:r>
              <w:rPr>
                <w:rFonts w:ascii="Arial" w:cs="Arial" w:eastAsia="Arial" w:hAnsi="Arial"/>
                <w:sz w:val="18"/>
                <w:szCs w:val="18"/>
                <w:b w:val="1"/>
                <w:bCs w:val="1"/>
                <w:color w:val="auto"/>
                <w:w w:val="99"/>
              </w:rPr>
              <w:t>under 2020 High-Value Solutions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shd w:val="clear" w:color="auto" w:fill="CBCBCB"/>
          </w:tcPr>
          <w:p>
            <w:pPr>
              <w:ind w:left="20"/>
              <w:spacing w:after="0"/>
              <w:rPr>
                <w:sz w:val="20"/>
                <w:szCs w:val="20"/>
                <w:color w:val="auto"/>
              </w:rPr>
            </w:pPr>
            <w:r>
              <w:rPr>
                <w:rFonts w:ascii="Arial" w:cs="Arial" w:eastAsia="Arial" w:hAnsi="Arial"/>
                <w:sz w:val="18"/>
                <w:szCs w:val="18"/>
                <w:color w:val="auto"/>
              </w:rPr>
              <w:t>2020 High-Value Solutions Award</w:t>
            </w:r>
          </w:p>
        </w:tc>
        <w:tc>
          <w:tcPr>
            <w:tcW w:w="4280" w:type="dxa"/>
            <w:vAlign w:val="bottom"/>
            <w:shd w:val="clear" w:color="auto" w:fill="CBCBCB"/>
          </w:tcPr>
          <w:p>
            <w:pPr>
              <w:spacing w:after="0"/>
              <w:rPr>
                <w:sz w:val="19"/>
                <w:szCs w:val="19"/>
                <w:color w:val="auto"/>
              </w:rPr>
            </w:pP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83"/>
        </w:trPr>
        <w:tc>
          <w:tcPr>
            <w:tcW w:w="4760" w:type="dxa"/>
            <w:vAlign w:val="bottom"/>
          </w:tcPr>
          <w:p>
            <w:pPr>
              <w:spacing w:after="0"/>
              <w:rPr>
                <w:sz w:val="24"/>
                <w:szCs w:val="24"/>
                <w:color w:val="auto"/>
              </w:rPr>
            </w:pPr>
          </w:p>
        </w:tc>
        <w:tc>
          <w:tcPr>
            <w:tcW w:w="4280" w:type="dxa"/>
            <w:vAlign w:val="bottom"/>
            <w:vMerge w:val="restart"/>
          </w:tcPr>
          <w:p>
            <w:pPr>
              <w:jc w:val="center"/>
              <w:ind w:left="1910"/>
              <w:spacing w:after="0"/>
              <w:rPr>
                <w:sz w:val="20"/>
                <w:szCs w:val="20"/>
                <w:color w:val="auto"/>
              </w:rPr>
            </w:pPr>
            <w:r>
              <w:rPr>
                <w:rFonts w:ascii="Arial" w:cs="Arial" w:eastAsia="Arial" w:hAnsi="Arial"/>
                <w:sz w:val="18"/>
                <w:szCs w:val="18"/>
                <w:b w:val="1"/>
                <w:bCs w:val="1"/>
                <w:color w:val="auto"/>
              </w:rPr>
              <w:t>Shares Banked for Fiscal</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Shares Vested under</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4280" w:type="dxa"/>
            <w:vAlign w:val="bottom"/>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2020 High-Value</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4280" w:type="dxa"/>
            <w:vAlign w:val="bottom"/>
          </w:tcPr>
          <w:p>
            <w:pPr>
              <w:jc w:val="center"/>
              <w:ind w:left="1890"/>
              <w:spacing w:after="0" w:line="176" w:lineRule="exact"/>
              <w:rPr>
                <w:sz w:val="20"/>
                <w:szCs w:val="20"/>
                <w:color w:val="auto"/>
              </w:rPr>
            </w:pPr>
            <w:r>
              <w:rPr>
                <w:rFonts w:ascii="Arial" w:cs="Arial" w:eastAsia="Arial" w:hAnsi="Arial"/>
                <w:sz w:val="18"/>
                <w:szCs w:val="18"/>
                <w:b w:val="1"/>
                <w:bCs w:val="1"/>
                <w:color w:val="auto"/>
                <w:w w:val="99"/>
              </w:rPr>
              <w:t>2021 Performance under</w:t>
            </w: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Solutions PRSU Award</w:t>
            </w:r>
          </w:p>
        </w:tc>
        <w:tc>
          <w:tcPr>
            <w:tcW w:w="0" w:type="dxa"/>
            <w:vAlign w:val="bottom"/>
          </w:tcPr>
          <w:p>
            <w:pPr>
              <w:spacing w:after="0"/>
              <w:rPr>
                <w:sz w:val="1"/>
                <w:szCs w:val="1"/>
                <w:color w:val="auto"/>
              </w:rPr>
            </w:pPr>
          </w:p>
        </w:tc>
      </w:tr>
      <w:tr>
        <w:trPr>
          <w:trHeight w:val="175"/>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4280" w:type="dxa"/>
            <w:vAlign w:val="bottom"/>
          </w:tcPr>
          <w:p>
            <w:pPr>
              <w:jc w:val="center"/>
              <w:ind w:left="1890"/>
              <w:spacing w:after="0" w:line="176" w:lineRule="exact"/>
              <w:rPr>
                <w:sz w:val="20"/>
                <w:szCs w:val="20"/>
                <w:color w:val="auto"/>
              </w:rPr>
            </w:pPr>
            <w:r>
              <w:rPr>
                <w:rFonts w:ascii="Arial" w:cs="Arial" w:eastAsia="Arial" w:hAnsi="Arial"/>
                <w:sz w:val="18"/>
                <w:szCs w:val="18"/>
                <w:b w:val="1"/>
                <w:bCs w:val="1"/>
                <w:color w:val="auto"/>
                <w:w w:val="99"/>
              </w:rPr>
              <w:t>2020 High-Value</w:t>
            </w: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(for performance during</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0090DA"/>
            </w:tcBorders>
            <w:vMerge w:val="continue"/>
          </w:tcPr>
          <w:p>
            <w:pPr>
              <w:spacing w:after="0"/>
              <w:rPr>
                <w:sz w:val="19"/>
                <w:szCs w:val="19"/>
                <w:color w:val="auto"/>
              </w:rPr>
            </w:pPr>
          </w:p>
        </w:tc>
        <w:tc>
          <w:tcPr>
            <w:tcW w:w="4280" w:type="dxa"/>
            <w:vAlign w:val="bottom"/>
            <w:tcBorders>
              <w:bottom w:val="single" w:sz="8" w:color="0090DA"/>
            </w:tcBorders>
          </w:tcPr>
          <w:p>
            <w:pPr>
              <w:jc w:val="center"/>
              <w:ind w:left="1910"/>
              <w:spacing w:after="0"/>
              <w:rPr>
                <w:sz w:val="20"/>
                <w:szCs w:val="20"/>
                <w:color w:val="auto"/>
              </w:rPr>
            </w:pPr>
            <w:r>
              <w:rPr>
                <w:rFonts w:ascii="Arial" w:cs="Arial" w:eastAsia="Arial" w:hAnsi="Arial"/>
                <w:sz w:val="18"/>
                <w:szCs w:val="18"/>
                <w:b w:val="1"/>
                <w:bCs w:val="1"/>
                <w:color w:val="auto"/>
                <w:w w:val="99"/>
              </w:rPr>
              <w:t>Solutions PRSU Award</w:t>
            </w:r>
          </w:p>
        </w:tc>
        <w:tc>
          <w:tcPr>
            <w:tcW w:w="22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Fiscal 2020)</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428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141,251</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4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37,667</w:t>
            </w:r>
          </w:p>
        </w:tc>
        <w:tc>
          <w:tcPr>
            <w:tcW w:w="0" w:type="dxa"/>
            <w:vAlign w:val="bottom"/>
          </w:tcPr>
          <w:p>
            <w:pPr>
              <w:spacing w:after="0"/>
              <w:rPr>
                <w:sz w:val="1"/>
                <w:szCs w:val="1"/>
                <w:color w:val="auto"/>
              </w:rPr>
            </w:pPr>
          </w:p>
        </w:tc>
      </w:tr>
      <w:tr>
        <w:trPr>
          <w:trHeight w:val="230"/>
        </w:trPr>
        <w:tc>
          <w:tcPr>
            <w:tcW w:w="476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428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47,084</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4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35,313</w:t>
            </w:r>
          </w:p>
        </w:tc>
        <w:tc>
          <w:tcPr>
            <w:tcW w:w="0" w:type="dxa"/>
            <w:vAlign w:val="bottom"/>
          </w:tcPr>
          <w:p>
            <w:pPr>
              <w:spacing w:after="0"/>
              <w:rPr>
                <w:sz w:val="1"/>
                <w:szCs w:val="1"/>
                <w:color w:val="auto"/>
              </w:rPr>
            </w:pPr>
          </w:p>
        </w:tc>
      </w:tr>
      <w:tr>
        <w:trPr>
          <w:trHeight w:val="229"/>
        </w:trPr>
        <w:tc>
          <w:tcPr>
            <w:tcW w:w="47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428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PRSUs Achievement</w:t>
      </w:r>
    </w:p>
    <w:p>
      <w:pPr>
        <w:spacing w:after="0" w:line="25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For fiscal 2019, the Compensation Committee awarded PRSUs under performance metrics that measure cumulative adjusted free cash flow, the percentage of bits shipped as part of a high value solution, and forward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097" w:right="339" w:bottom="1440" w:gutter="0" w:footer="0" w:header="0"/>
        </w:sectPr>
      </w:pPr>
    </w:p>
    <w:bookmarkStart w:id="49" w:name="page50"/>
    <w:bookmarkEnd w:id="49"/>
    <w:p>
      <w:pPr>
        <w:ind w:right="600"/>
        <w:spacing w:after="0"/>
        <w:rPr>
          <w:sz w:val="20"/>
          <w:szCs w:val="20"/>
          <w:color w:val="auto"/>
        </w:rPr>
      </w:pPr>
      <w:r>
        <w:rPr>
          <w:rFonts w:ascii="Arial" w:cs="Arial" w:eastAsia="Arial" w:hAnsi="Arial"/>
          <w:sz w:val="18"/>
          <w:szCs w:val="18"/>
          <w:color w:val="auto"/>
        </w:rPr>
        <w:t>price-to-earnings ratio (the “2019 PRSU Award Metrics”). In October 2021, the Compensation Committee reviewed the Company’s performance relative to the 2019 PRSU Award Metrics, applied the applicable payout factors, and concluded that no conditions for the lapsing of restrictions were achieved during fiscal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RSAs</w:t>
      </w:r>
    </w:p>
    <w:p>
      <w:pPr>
        <w:spacing w:after="0" w:line="27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Time-based restricted stock awards (“RSAs”) support retention and are linked to shareholder value and ownership. Annual RSAs vest ratably over three years from the date of grant, subject to continued employment. In fiscal 2021, RSAs comprised 50% of the target value of awards granted.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Fiscal 2021 Employee Benefits</w:t>
      </w:r>
    </w:p>
    <w:p>
      <w:pPr>
        <w:spacing w:after="0" w:line="27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provide a competitive level of time-off, health, life, disability, and retirement benefits to substantially all employees. The Named Executive Officers participate in the same plans as our other employees. Executive perquisites are minor in scope and amount, and therefore are not considered to be material elements of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43</w:t>
      </w:r>
    </w:p>
    <w:p>
      <w:pPr>
        <w:sectPr>
          <w:pgSz w:w="11900" w:h="16838" w:orient="portrait"/>
          <w:cols w:equalWidth="0" w:num="1">
            <w:col w:w="11240"/>
          </w:cols>
          <w:pgMar w:left="320" w:top="1111"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0090DA"/>
        </w:rPr>
        <w:t>CEO Compensation</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charts show one-year relative TSR data, three-year relative TSR data, and CEO compensation for us and our Compensation Peer Group. The information presented in the one-year TSR chart below is based on closing prices of our Common Stock on September 2, 2020, and September 2, 2021, and represents the rates of return of our Common Stock reflecting price appreciation plus reinvestment of any dividends and the compounding effect of any dividends paid on reinvested dividends. The information presented in the three-year TSR chart below is based on closing prices of our Common Stock on August 31, 2018, and September 2, 2021, and represents the rates of return of our Common Stock reflecting price appreciation plus reinvestment of any dividends and the compounding effect of any dividends paid on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148590</wp:posOffset>
            </wp:positionV>
            <wp:extent cx="5271770" cy="4568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71770"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CEO pay information presented in the chart below represents peer compensation data via proxy statements presented to the Compensation Committee in September 2020.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presented in the charts below represents total target direct compensation (i.e., the sum of base salary, target short-term incentive, and target long-term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00"/>
          </w:cols>
          <w:pgMar w:left="320" w:top="1093" w:right="37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1553845</wp:posOffset>
            </wp:positionH>
            <wp:positionV relativeFrom="page">
              <wp:posOffset>706120</wp:posOffset>
            </wp:positionV>
            <wp:extent cx="4646295" cy="2863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464629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considered this data and Market Data in setting Mr. Mehrotra’s total target direct compensation for fiscal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Mr. Mehrotra’s compensation is comprised of the following elements: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7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Mr. Mehrotra’s base salary for fiscal 2021 was $1,350,000. Market Data showed that Mr. Mehrotra’s base salary was above the 75th percentile for CEOs in our Compensation Peer Group.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w:t>
      </w:r>
    </w:p>
    <w:p>
      <w:pPr>
        <w:spacing w:after="0" w:line="27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Mr. Mehrotra’s short-term incentive target was 200% of his base salary for fiscal 2021. Market Data showed that a short-term incentive of 200% of base salary was at the 60th percentile for CEOs in our Compensation Peer Group.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w:t>
      </w:r>
    </w:p>
    <w:p>
      <w:pPr>
        <w:spacing w:after="0" w:line="2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Mehrotra’s long-term equity incentive opportunity for fiscal 2021 was $18,500,000. Mr. Mehrotra’s equity awards were comprised of 50% time-based restricted stock and 50% performance-based restricted stock units. Market Data showed that Mr. Mehrotra’s long-term equity incentive was between the 60th and 75th percentile for our Compensation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45</w:t>
      </w:r>
    </w:p>
    <w:p>
      <w:pPr>
        <w:sectPr>
          <w:pgSz w:w="11900" w:h="16838" w:orient="portrait"/>
          <w:cols w:equalWidth="0" w:num="1">
            <w:col w:w="11240"/>
          </w:cols>
          <w:pgMar w:left="320" w:top="14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table sets forth the elements and amounts of Mr. Mehrotra’s long-term incentive awards: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2021 Awards</w:t>
            </w: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7"/>
                <w:szCs w:val="17"/>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Grant Date Fair</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0090DA"/>
            </w:tcBorders>
            <w:vMerge w:val="continue"/>
          </w:tcPr>
          <w:p>
            <w:pPr>
              <w:spacing w:after="0"/>
              <w:rPr>
                <w:sz w:val="19"/>
                <w:szCs w:val="19"/>
                <w:color w:val="auto"/>
              </w:rPr>
            </w:pPr>
          </w:p>
        </w:tc>
        <w:tc>
          <w:tcPr>
            <w:tcW w:w="16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w w:val="99"/>
              </w:rPr>
              <w:t>Options/ Shares(1)</w:t>
            </w:r>
          </w:p>
        </w:tc>
        <w:tc>
          <w:tcPr>
            <w:tcW w:w="160" w:type="dxa"/>
            <w:vAlign w:val="bottom"/>
            <w:tcBorders>
              <w:bottom w:val="single" w:sz="8" w:color="0090DA"/>
            </w:tcBorders>
          </w:tcPr>
          <w:p>
            <w:pPr>
              <w:spacing w:after="0"/>
              <w:rPr>
                <w:sz w:val="19"/>
                <w:szCs w:val="19"/>
                <w:color w:val="auto"/>
              </w:rPr>
            </w:pPr>
          </w:p>
        </w:tc>
        <w:tc>
          <w:tcPr>
            <w:tcW w:w="15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Value(1)</w:t>
            </w:r>
          </w:p>
        </w:tc>
        <w:tc>
          <w:tcPr>
            <w:tcW w:w="0" w:type="dxa"/>
            <w:vAlign w:val="bottom"/>
          </w:tcPr>
          <w:p>
            <w:pPr>
              <w:spacing w:after="0"/>
              <w:rPr>
                <w:sz w:val="1"/>
                <w:szCs w:val="1"/>
                <w:color w:val="auto"/>
              </w:rPr>
            </w:pPr>
          </w:p>
        </w:tc>
      </w:tr>
      <w:tr>
        <w:trPr>
          <w:trHeight w:val="34"/>
        </w:trPr>
        <w:tc>
          <w:tcPr>
            <w:tcW w:w="7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Time-based Restricted Stock</w:t>
            </w:r>
          </w:p>
        </w:tc>
        <w:tc>
          <w:tcPr>
            <w:tcW w:w="166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178,090</w:t>
            </w:r>
          </w:p>
        </w:tc>
        <w:tc>
          <w:tcPr>
            <w:tcW w:w="160" w:type="dxa"/>
            <w:vAlign w:val="bottom"/>
            <w:shd w:val="clear" w:color="auto" w:fill="CBCBC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9,249,995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BCBCB"/>
            </w:tcBorders>
          </w:tcPr>
          <w:p>
            <w:pPr>
              <w:ind w:left="20"/>
              <w:spacing w:after="0"/>
              <w:rPr>
                <w:sz w:val="20"/>
                <w:szCs w:val="20"/>
                <w:color w:val="auto"/>
              </w:rPr>
            </w:pPr>
            <w:r>
              <w:rPr>
                <w:rFonts w:ascii="Arial" w:cs="Arial" w:eastAsia="Arial" w:hAnsi="Arial"/>
                <w:sz w:val="18"/>
                <w:szCs w:val="18"/>
                <w:color w:val="auto"/>
              </w:rPr>
              <w:t>Performance-based Restricted Stock Units(2)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164,285</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9,250,000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BCBCB"/>
            </w:tcBorders>
            <w:shd w:val="clear" w:color="auto" w:fill="CBCBCB"/>
          </w:tcPr>
          <w:p>
            <w:pPr>
              <w:spacing w:after="0"/>
              <w:rPr>
                <w:sz w:val="21"/>
                <w:szCs w:val="21"/>
                <w:color w:val="auto"/>
              </w:rPr>
            </w:pPr>
          </w:p>
        </w:tc>
        <w:tc>
          <w:tcPr>
            <w:tcW w:w="166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8"/>
                <w:szCs w:val="18"/>
                <w:color w:val="auto"/>
              </w:rPr>
              <w:t>342,375</w:t>
            </w:r>
          </w:p>
        </w:tc>
        <w:tc>
          <w:tcPr>
            <w:tcW w:w="16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8"/>
                <w:szCs w:val="18"/>
                <w:color w:val="auto"/>
              </w:rPr>
              <w:t>18,499,995</w:t>
            </w:r>
          </w:p>
        </w:tc>
        <w:tc>
          <w:tcPr>
            <w:tcW w:w="0" w:type="dxa"/>
            <w:vAlign w:val="bottom"/>
          </w:tcPr>
          <w:p>
            <w:pPr>
              <w:spacing w:after="0"/>
              <w:rPr>
                <w:sz w:val="1"/>
                <w:szCs w:val="1"/>
                <w:color w:val="auto"/>
              </w:rPr>
            </w:pPr>
          </w:p>
        </w:tc>
      </w:tr>
      <w:tr>
        <w:trPr>
          <w:trHeight w:val="20"/>
        </w:trPr>
        <w:tc>
          <w:tcPr>
            <w:tcW w:w="7840" w:type="dxa"/>
            <w:vAlign w:val="bottom"/>
            <w:tcBorders>
              <w:top w:val="single" w:sz="8" w:color="CBCBCB"/>
            </w:tcBorders>
          </w:tcPr>
          <w:p>
            <w:pPr>
              <w:spacing w:after="0" w:line="20" w:lineRule="exact"/>
              <w:rPr>
                <w:sz w:val="1"/>
                <w:szCs w:val="1"/>
                <w:color w:val="auto"/>
              </w:rPr>
            </w:pPr>
          </w:p>
        </w:tc>
        <w:tc>
          <w:tcPr>
            <w:tcW w:w="1660" w:type="dxa"/>
            <w:vAlign w:val="bottom"/>
            <w:tcBorders>
              <w:top w:val="single" w:sz="8" w:color="CBCBCB"/>
              <w:bottom w:val="single" w:sz="8" w:color="auto"/>
            </w:tcBorders>
          </w:tcPr>
          <w:p>
            <w:pPr>
              <w:spacing w:after="0" w:line="20" w:lineRule="exact"/>
              <w:rPr>
                <w:sz w:val="1"/>
                <w:szCs w:val="1"/>
                <w:color w:val="auto"/>
              </w:rPr>
            </w:pPr>
          </w:p>
        </w:tc>
        <w:tc>
          <w:tcPr>
            <w:tcW w:w="160" w:type="dxa"/>
            <w:vAlign w:val="bottom"/>
            <w:tcBorders>
              <w:top w:val="single" w:sz="8" w:color="CBCBCB"/>
              <w:bottom w:val="single" w:sz="8" w:color="auto"/>
            </w:tcBorders>
          </w:tcPr>
          <w:p>
            <w:pPr>
              <w:spacing w:after="0" w:line="20" w:lineRule="exact"/>
              <w:rPr>
                <w:sz w:val="1"/>
                <w:szCs w:val="1"/>
                <w:color w:val="auto"/>
              </w:rPr>
            </w:pPr>
          </w:p>
        </w:tc>
        <w:tc>
          <w:tcPr>
            <w:tcW w:w="1520" w:type="dxa"/>
            <w:vAlign w:val="bottom"/>
            <w:tcBorders>
              <w:top w:val="single" w:sz="8" w:color="CBCBC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340" w:right="100" w:hanging="332"/>
        <w:spacing w:after="0" w:line="250" w:lineRule="auto"/>
        <w:tabs>
          <w:tab w:leader="none" w:pos="3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related to Mr. Mehrotra’s long-term incentive award is also included in the “Grants of Plan-Based Awards in Fiscal 2021” table. The time-based share amounts are listed in the column “All Other Stock Awards: Number of Shares of Stock or Units,” and the performance-based share amounts are listed in the column “Estimated Future Payouts under Equity Incentive Plan Awards.” The values included in those tables reflect the grant-date fair value under U.S. GAAP.</w:t>
      </w:r>
    </w:p>
    <w:p>
      <w:pPr>
        <w:spacing w:after="0" w:line="1" w:lineRule="exact"/>
        <w:rPr>
          <w:rFonts w:ascii="Arial" w:cs="Arial" w:eastAsia="Arial" w:hAnsi="Arial"/>
          <w:sz w:val="18"/>
          <w:szCs w:val="18"/>
          <w:color w:val="auto"/>
        </w:rPr>
      </w:pPr>
    </w:p>
    <w:p>
      <w:pPr>
        <w:ind w:left="340" w:right="640" w:hanging="332"/>
        <w:spacing w:after="0" w:line="261" w:lineRule="auto"/>
        <w:tabs>
          <w:tab w:leader="none" w:pos="3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Mehrotra banked 7,483 shares based on achievement of the 2021 Performance Metrics. Please see “– Fiscal 2021 Executive Compensation – Fiscal 2021 Long-Term Equity Incentives”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7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Compensation Committee agreed to reimburse Mr. Mehrotra for commuting expenses, and federal, state, and other income taxes resulting from imputed income related to his commuting expenses. See footnote 4 to the Fiscal 2021 Summary Compensation Table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Severance and Change in Control Arrangements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President and Chief Executive Officer</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the time of his hire, we entered into an executive agreement with Mr. Mehrotra (the “Executive Agreement”) providing for severance benefits in certain circumstances. The Executive Agreement provides that if Mr. Mehrotra’s employment is terminated (i) as result of his death or “disability,” (ii) by us without “cause” or (iii) as a result of Mr. Mehrotra’s resignation for “good reason,” then in addition to receiving his accrued base salary, accrued vacation pay, and other earned and vested employee benefits, Mr. Mehrotra will receive the following severance benefits:</w:t>
      </w:r>
    </w:p>
    <w:p>
      <w:pPr>
        <w:spacing w:after="0" w:line="232" w:lineRule="exact"/>
        <w:rPr>
          <w:sz w:val="20"/>
          <w:szCs w:val="20"/>
          <w:color w:val="auto"/>
        </w:rPr>
      </w:pPr>
    </w:p>
    <w:p>
      <w:pPr>
        <w:ind w:left="660" w:right="60" w:hanging="328"/>
        <w:spacing w:after="0" w:line="25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w:t>
      </w:r>
    </w:p>
    <w:p>
      <w:pPr>
        <w:spacing w:after="0" w:line="228"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pro-rated annual bonus under the EIP for the year of termination, subject to achievement of applicable performance criteria, paid in accordance with the terms of the EIP;</w:t>
      </w:r>
    </w:p>
    <w:p>
      <w:pPr>
        <w:spacing w:after="0" w:line="224"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additional bonus of two times Mr. Mehrotra’s target annual bonus under the EIP for the year of termination paid on the one-year anniversary of Mr. Mehrotra’s termination;</w:t>
      </w:r>
    </w:p>
    <w:p>
      <w:pPr>
        <w:spacing w:after="0" w:line="224" w:lineRule="exact"/>
        <w:rPr>
          <w:rFonts w:ascii="Arial" w:cs="Arial" w:eastAsia="Arial" w:hAnsi="Arial"/>
          <w:sz w:val="18"/>
          <w:szCs w:val="18"/>
          <w:color w:val="auto"/>
        </w:rPr>
      </w:pPr>
    </w:p>
    <w:p>
      <w:pPr>
        <w:jc w:val="both"/>
        <w:ind w:left="660" w:right="120" w:hanging="328"/>
        <w:spacing w:after="0" w:line="25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vesting (and exercisability) of any options, restricted stock or other time-based, and, subject to achievement of applicable performance criteria, performance-based equity awards for the one-year period following Mr. Mehrotra’s termination of employment; and</w:t>
      </w:r>
    </w:p>
    <w:p>
      <w:pPr>
        <w:spacing w:after="0" w:line="228"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cash payment equal to the medical benefits and employer qualified plan matching contributions Mr. Mehrotra would have received had Mr. Mehrotra remained employed for an additional two years, paid in a lump sum following termination.</w:t>
      </w:r>
    </w:p>
    <w:p>
      <w:pPr>
        <w:spacing w:after="0" w:line="22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If Mr. Mehrotra’s severance benefits become payable on account of his “good reason” resignation prior to a “change in control” and Mr. Mehrotra becomes employed within one year of his termination of employment, the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111" w:right="339" w:bottom="1440" w:gutter="0" w:footer="0" w:header="0"/>
          <w:type w:val="continuous"/>
        </w:sectPr>
      </w:pPr>
    </w:p>
    <w:bookmarkStart w:id="53" w:name="page54"/>
    <w:bookmarkEnd w:id="53"/>
    <w:p>
      <w:pPr>
        <w:spacing w:after="0" w:line="252" w:lineRule="auto"/>
        <w:rPr>
          <w:sz w:val="20"/>
          <w:szCs w:val="20"/>
          <w:color w:val="auto"/>
        </w:rPr>
      </w:pPr>
      <w:r>
        <w:rPr>
          <w:rFonts w:ascii="Arial" w:cs="Arial" w:eastAsia="Arial" w:hAnsi="Arial"/>
          <w:sz w:val="18"/>
          <w:szCs w:val="18"/>
          <w:color w:val="auto"/>
        </w:rPr>
        <w:t>unpaid portion of his salary continuation benefit will be forfeited. The Executive Agreement also includes a “cut-back” provision, which provides that Mr. Mehrotra’s benefits under the Executive Agreement will be reduced so that no excise tax will apply under Section 280G of the Code, if such reduction will result in a higher net after-tax benefit to Mr. Mehrotra. The Executive Agreement does not provide a tax gross-up for any such tax. Mr. Mehrotra’s entitlement to the benefits provided under the Executive Agreement are conditioned on Mr. Mehrotra signing a release of claims in favor of Micron and on Mr. Mehrotra’s compliance with terms of our non-competition, non-solicitation, and non-disclosure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Named Executive Officers</w:t>
      </w: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Each of our other Named Executive Officers have severance agreements (together, the “NEO Severance Agreements”). The NEO Severance Agreements provide for severance benefits upon certain terminations of employment. These benefits begin upon a “separation of service” as defined in Section 409A of the Code, regardless of when a termination of employment or loss of officer status occurs, and ends after one year (or 18 months if termination occurs within 12 months of a change in control). We believe severance agreements for certain of our officers are in the best interests of us and our shareholders, in that they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Provided a Named Executive Officer complies with post-employment obligations and restrictions described below and all other terms of the Severance Agreement, the Named Executive Officer is entitled to receive compensation during the 12- or 18-month period following termination of employment equivalent to the compensation and benefits customarily provided to such Named Executive Officer while employed including, but not limited to, salary, executive bonus, and in certain cases, continued vesting of outstanding stock options and restricted shares. With respect to cash and equity awards that are performance-based, the Named Executive Officer is entitled to receive such awards only if the goals are achieved before or during the 12- or 18-month period following termination of employment. Such terminated Named Executive Officers are not entitled to receive any new awards under our equity plans or the EIP or to the payment of any compensation that would be deferred past the 12- or 18-month period following termination of employment due to payment criteria of an incentive program, as those criteria exist as of the date of termination. Mr. Bhatia’s severance agreement also provides for acceleration of any unvested shares granted in connection with his hiring, with any shares that remain unvested at the end of the 12- or 18-month period following termination of employment becoming 100% vested and earned on the last day of such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Terminated Named Executive Officers are subject to the following post-termination obligations and restrictions:</w:t>
      </w:r>
    </w:p>
    <w:p>
      <w:pPr>
        <w:spacing w:after="0" w:line="25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52"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23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5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Upon receipt of all benefits under the NEO Severance Agreement,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12- or 18-month period following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47</w:t>
      </w:r>
    </w:p>
    <w:p>
      <w:pPr>
        <w:sectPr>
          <w:pgSz w:w="11900" w:h="16838" w:orient="portrait"/>
          <w:cols w:equalWidth="0" w:num="1">
            <w:col w:w="11240"/>
          </w:cols>
          <w:pgMar w:left="320" w:top="111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Estimated Severance Payments</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See “Potential Payments Upon Termination or Change in Control” on page 57 for a description of the estimated severance amounts as of the end of fiscal 2021 for Messrs. Mehrotra, Zinsner, Bhatia, DeBoer, and Sadana.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Arrangements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do not have separate change in control agreements for our Named Executive Officers and directors. The Executive Agreement and the NEO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Our equity plans provide for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The compensation that Named Executive Officers could receive if a change in control occurs is intended to enable them to objectively evaluate whether a potential change in control is in the best interest of us and our shareholders. Estimated value that the Named Executive Officers could receive from our change in control provisions can be found in “Potential Payments Upon Termination or Change in Control” on page 57.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Consideration of Tax Consequences when Making Compensation Decisions</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Section 162(m) generally disallows a tax deduction to public companies such as Micron for annual compensation over $1,000,000 per person paid to our Named Executive Officers and certain other current or former executive officers. Prior to fiscal 2019, qualifying performance-based compensation was not subject to the deduction limit if certain requirements were met. The key components of our long-term incentives in the form of stock option grants and performance-based restricted stock unit awards were designed to comply with these requirements. Awards under the EIP also generally were designed to comply with the statute. A number of requirements must be met for particular compensation to qualify, however, there can be no assurance that such compensation will be fully deductible under all circumstances. Although the Compensation Committee considers the deductibility of compensation under Section 162(m), it reserves the right to grant or approve compensation or awards that may be non-deductible when it believes such compensation or awards are in our and our shareholders’ best interests.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 Ownership Guidelines</w:t>
      </w:r>
    </w:p>
    <w:p>
      <w:pPr>
        <w:spacing w:after="0" w:line="2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established stock ownership guidelines for our executive officers. The Compensation Committee believes that officers will more effectively manage a company in the best interests of the shareholders if they are also shareholders. The minimum ownership guideline for our CEO is to hold shares with a value equal to five times his base salary. Messrs. Zinsner, Bhatia, DeBoer, and Sadana are required to hold shares with a value equal to three times their base salary. Executive officers are given five years to meet the ownership guidelines. The Governance and Sustainability Committee reviews the Ownership Guidelines annually and monitors each covered executive’s progress toward, and continued compliance with, the guidelines. Stock sales restrictions may be imposed upon executive officers if the stock ownership guidelines are not met. All our executive officers are in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108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The following table shows compliance with the guidelines as of the Record Date:</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w:t>
            </w:r>
          </w:p>
        </w:tc>
        <w:tc>
          <w:tcPr>
            <w:tcW w:w="150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Guideline</w:t>
            </w:r>
          </w:p>
        </w:tc>
        <w:tc>
          <w:tcPr>
            <w:tcW w:w="280" w:type="dxa"/>
            <w:vAlign w:val="bottom"/>
          </w:tcPr>
          <w:p>
            <w:pPr>
              <w:spacing w:after="0"/>
              <w:rPr>
                <w:sz w:val="17"/>
                <w:szCs w:val="17"/>
                <w:color w:val="auto"/>
              </w:rPr>
            </w:pP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Guideline</w:t>
            </w: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Compliance</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0090DA"/>
            </w:tcBorders>
            <w:vMerge w:val="continue"/>
          </w:tcPr>
          <w:p>
            <w:pPr>
              <w:spacing w:after="0"/>
              <w:rPr>
                <w:sz w:val="19"/>
                <w:szCs w:val="19"/>
                <w:color w:val="auto"/>
              </w:rPr>
            </w:pPr>
          </w:p>
        </w:tc>
        <w:tc>
          <w:tcPr>
            <w:tcW w:w="1500" w:type="dxa"/>
            <w:vAlign w:val="bottom"/>
            <w:tcBorders>
              <w:bottom w:val="single" w:sz="8" w:color="0090DA"/>
            </w:tcBorders>
          </w:tcPr>
          <w:p>
            <w:pPr>
              <w:jc w:val="center"/>
              <w:ind w:left="290"/>
              <w:spacing w:after="0"/>
              <w:rPr>
                <w:sz w:val="20"/>
                <w:szCs w:val="20"/>
                <w:color w:val="auto"/>
              </w:rPr>
            </w:pPr>
            <w:r>
              <w:rPr>
                <w:rFonts w:ascii="Arial" w:cs="Arial" w:eastAsia="Arial" w:hAnsi="Arial"/>
                <w:sz w:val="18"/>
                <w:szCs w:val="18"/>
                <w:b w:val="1"/>
                <w:bCs w:val="1"/>
                <w:color w:val="auto"/>
                <w:w w:val="99"/>
              </w:rPr>
              <w:t>Multiplier</w:t>
            </w:r>
          </w:p>
        </w:tc>
        <w:tc>
          <w:tcPr>
            <w:tcW w:w="2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Amount(1)</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with Guideline</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1500" w:type="dxa"/>
            <w:vAlign w:val="bottom"/>
            <w:shd w:val="clear" w:color="auto" w:fill="D1D2D4"/>
          </w:tcPr>
          <w:p>
            <w:pPr>
              <w:jc w:val="center"/>
              <w:ind w:left="310"/>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7,090,000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2,144,880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1500" w:type="dxa"/>
            <w:vAlign w:val="bottom"/>
            <w:shd w:val="clear" w:color="auto" w:fill="D1D2D4"/>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2,189,250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1,874,250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Sumit Sadana</w:t>
            </w:r>
          </w:p>
        </w:tc>
        <w:tc>
          <w:tcPr>
            <w:tcW w:w="1500" w:type="dxa"/>
            <w:vAlign w:val="bottom"/>
            <w:shd w:val="clear" w:color="auto" w:fill="D1D2D4"/>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2,346,750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Based on salary amounts as of the Record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see page 23 for information on stock ownership guidelines for our directors.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COMPENSATION COMMITTEE REPORT</w:t>
      </w:r>
    </w:p>
    <w:p>
      <w:pPr>
        <w:spacing w:after="0" w:line="2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ind w:left="5680"/>
        <w:spacing w:after="0" w:line="233" w:lineRule="auto"/>
        <w:rPr>
          <w:sz w:val="20"/>
          <w:szCs w:val="20"/>
          <w:color w:val="auto"/>
        </w:rPr>
      </w:pPr>
      <w:r>
        <w:rPr>
          <w:rFonts w:ascii="Arial" w:cs="Arial" w:eastAsia="Arial" w:hAnsi="Arial"/>
          <w:sz w:val="18"/>
          <w:szCs w:val="18"/>
          <w:color w:val="auto"/>
        </w:rPr>
        <w:t>The Compensation Committee</w:t>
      </w:r>
    </w:p>
    <w:p>
      <w:pPr>
        <w:ind w:left="5360"/>
        <w:spacing w:after="0" w:line="204" w:lineRule="auto"/>
        <w:rPr>
          <w:sz w:val="20"/>
          <w:szCs w:val="20"/>
          <w:color w:val="auto"/>
        </w:rPr>
      </w:pPr>
      <w:r>
        <w:rPr>
          <w:rFonts w:ascii="Arial" w:cs="Arial" w:eastAsia="Arial" w:hAnsi="Arial"/>
          <w:sz w:val="18"/>
          <w:szCs w:val="18"/>
          <w:color w:val="auto"/>
        </w:rPr>
        <w:t>Richard M. Beyer</w:t>
      </w:r>
    </w:p>
    <w:p>
      <w:pPr>
        <w:ind w:left="5360"/>
        <w:spacing w:after="0" w:line="203" w:lineRule="auto"/>
        <w:rPr>
          <w:sz w:val="20"/>
          <w:szCs w:val="20"/>
          <w:color w:val="auto"/>
        </w:rPr>
      </w:pPr>
      <w:r>
        <w:rPr>
          <w:rFonts w:ascii="Arial" w:cs="Arial" w:eastAsia="Arial" w:hAnsi="Arial"/>
          <w:sz w:val="18"/>
          <w:szCs w:val="18"/>
          <w:color w:val="auto"/>
        </w:rPr>
        <w:t>Robert E. Switz</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MaryAnn Wright</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 Committee Interlocks and Insider Participation</w:t>
      </w:r>
    </w:p>
    <w:p>
      <w:pPr>
        <w:spacing w:after="0" w:line="26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No member of the Compensation Committee is or has been one of our officers or employees or an officer or employee of any of our subsidiaries during fiscal 2021. During fiscal 2021, none of our executive officers served on the compensation committee (or equivalent) or the board of directors of another entity whose executive officer(s) served on our Compensation Committee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49</w:t>
      </w:r>
    </w:p>
    <w:p>
      <w:pPr>
        <w:sectPr>
          <w:pgSz w:w="11900" w:h="16838" w:orient="portrait"/>
          <w:cols w:equalWidth="0" w:num="1">
            <w:col w:w="11240"/>
          </w:cols>
          <w:pgMar w:left="320" w:top="1111" w:right="339" w:bottom="1440" w:gutter="0" w:footer="0" w:header="0"/>
        </w:sectPr>
      </w:pPr>
    </w:p>
    <w:bookmarkStart w:id="56" w:name="page57"/>
    <w:bookmarkEnd w:id="56"/>
    <w:p>
      <w:pPr>
        <w:spacing w:after="0"/>
        <w:rPr>
          <w:sz w:val="20"/>
          <w:szCs w:val="20"/>
          <w:color w:val="auto"/>
        </w:rPr>
      </w:pPr>
      <w:r>
        <w:rPr>
          <w:rFonts w:ascii="Arial" w:cs="Arial" w:eastAsia="Arial" w:hAnsi="Arial"/>
          <w:sz w:val="40"/>
          <w:szCs w:val="40"/>
          <w:b w:val="1"/>
          <w:bCs w:val="1"/>
          <w:color w:val="auto"/>
        </w:rPr>
        <w:t>FISCAL 2021 SUMMARY COMPENSATION TABLE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2021, 2020, and 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6"/>
                <w:szCs w:val="16"/>
                <w:color w:val="auto"/>
              </w:rPr>
            </w:pPr>
          </w:p>
        </w:tc>
        <w:tc>
          <w:tcPr>
            <w:tcW w:w="10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Option</w:t>
            </w: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rPr>
              <w:t>Non-Equity</w:t>
            </w:r>
          </w:p>
        </w:tc>
        <w:tc>
          <w:tcPr>
            <w:tcW w:w="140" w:type="dxa"/>
            <w:vAlign w:val="bottom"/>
          </w:tcPr>
          <w:p>
            <w:pPr>
              <w:spacing w:after="0"/>
              <w:rPr>
                <w:sz w:val="16"/>
                <w:szCs w:val="16"/>
                <w:color w:val="auto"/>
              </w:rPr>
            </w:pPr>
          </w:p>
        </w:tc>
        <w:tc>
          <w:tcPr>
            <w:tcW w:w="14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All 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Salary(1)</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Incentive Plan</w:t>
            </w: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760" w:type="dxa"/>
            <w:vAlign w:val="bottom"/>
            <w:tcBorders>
              <w:bottom w:val="single" w:sz="8" w:color="0090DA"/>
            </w:tcBorders>
            <w:vMerge w:val="continue"/>
          </w:tcPr>
          <w:p>
            <w:pPr>
              <w:spacing w:after="0"/>
              <w:rPr>
                <w:sz w:val="18"/>
                <w:szCs w:val="18"/>
                <w:color w:val="auto"/>
              </w:rPr>
            </w:pPr>
          </w:p>
        </w:tc>
        <w:tc>
          <w:tcPr>
            <w:tcW w:w="720" w:type="dxa"/>
            <w:vAlign w:val="bottom"/>
            <w:tcBorders>
              <w:bottom w:val="single" w:sz="8" w:color="0090DA"/>
            </w:tcBorders>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960" w:type="dxa"/>
            <w:vAlign w:val="bottom"/>
            <w:tcBorders>
              <w:bottom w:val="single" w:sz="8" w:color="0090DA"/>
            </w:tcBorders>
            <w:vMerge w:val="continue"/>
          </w:tcPr>
          <w:p>
            <w:pPr>
              <w:spacing w:after="0"/>
              <w:rPr>
                <w:sz w:val="18"/>
                <w:szCs w:val="18"/>
                <w:color w:val="auto"/>
              </w:rPr>
            </w:pPr>
          </w:p>
        </w:tc>
        <w:tc>
          <w:tcPr>
            <w:tcW w:w="180" w:type="dxa"/>
            <w:vAlign w:val="bottom"/>
            <w:tcBorders>
              <w:bottom w:val="single" w:sz="8" w:color="0090DA"/>
            </w:tcBorders>
          </w:tcPr>
          <w:p>
            <w:pPr>
              <w:spacing w:after="0"/>
              <w:rPr>
                <w:sz w:val="18"/>
                <w:szCs w:val="18"/>
                <w:color w:val="auto"/>
              </w:rPr>
            </w:pPr>
          </w:p>
        </w:tc>
        <w:tc>
          <w:tcPr>
            <w:tcW w:w="1040" w:type="dxa"/>
            <w:vAlign w:val="bottom"/>
            <w:tcBorders>
              <w:bottom w:val="single" w:sz="8" w:color="0090DA"/>
            </w:tcBorders>
          </w:tcPr>
          <w:p>
            <w:pPr>
              <w:jc w:val="right"/>
              <w:ind w:right="119"/>
              <w:spacing w:after="0"/>
              <w:rPr>
                <w:sz w:val="20"/>
                <w:szCs w:val="20"/>
                <w:color w:val="auto"/>
              </w:rPr>
            </w:pPr>
            <w:r>
              <w:rPr>
                <w:rFonts w:ascii="Arial" w:cs="Arial" w:eastAsia="Arial" w:hAnsi="Arial"/>
                <w:sz w:val="16"/>
                <w:szCs w:val="16"/>
                <w:b w:val="1"/>
                <w:bCs w:val="1"/>
                <w:color w:val="auto"/>
              </w:rPr>
              <w:t>Awards(2)</w:t>
            </w:r>
          </w:p>
        </w:tc>
        <w:tc>
          <w:tcPr>
            <w:tcW w:w="200" w:type="dxa"/>
            <w:vAlign w:val="bottom"/>
            <w:tcBorders>
              <w:bottom w:val="single" w:sz="8" w:color="0090DA"/>
            </w:tcBorders>
          </w:tcPr>
          <w:p>
            <w:pPr>
              <w:spacing w:after="0"/>
              <w:rPr>
                <w:sz w:val="18"/>
                <w:szCs w:val="18"/>
                <w:color w:val="auto"/>
              </w:rPr>
            </w:pPr>
          </w:p>
        </w:tc>
        <w:tc>
          <w:tcPr>
            <w:tcW w:w="1040" w:type="dxa"/>
            <w:vAlign w:val="bottom"/>
            <w:tcBorders>
              <w:bottom w:val="single" w:sz="8" w:color="0090DA"/>
            </w:tcBorders>
          </w:tcPr>
          <w:p>
            <w:pPr>
              <w:ind w:left="80"/>
              <w:spacing w:after="0"/>
              <w:rPr>
                <w:sz w:val="20"/>
                <w:szCs w:val="20"/>
                <w:color w:val="auto"/>
              </w:rPr>
            </w:pPr>
            <w:r>
              <w:rPr>
                <w:rFonts w:ascii="Arial" w:cs="Arial" w:eastAsia="Arial" w:hAnsi="Arial"/>
                <w:sz w:val="16"/>
                <w:szCs w:val="16"/>
                <w:b w:val="1"/>
                <w:bCs w:val="1"/>
                <w:color w:val="auto"/>
              </w:rPr>
              <w:t>Awards</w:t>
            </w:r>
          </w:p>
        </w:tc>
        <w:tc>
          <w:tcPr>
            <w:tcW w:w="14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Compensation(3)</w:t>
            </w:r>
          </w:p>
        </w:tc>
        <w:tc>
          <w:tcPr>
            <w:tcW w:w="140" w:type="dxa"/>
            <w:vAlign w:val="bottom"/>
            <w:tcBorders>
              <w:bottom w:val="single" w:sz="8" w:color="0090DA"/>
            </w:tcBorders>
          </w:tcPr>
          <w:p>
            <w:pPr>
              <w:spacing w:after="0"/>
              <w:rPr>
                <w:sz w:val="18"/>
                <w:szCs w:val="18"/>
                <w:color w:val="auto"/>
              </w:rPr>
            </w:pPr>
          </w:p>
        </w:tc>
        <w:tc>
          <w:tcPr>
            <w:tcW w:w="140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w w:val="99"/>
              </w:rPr>
              <w:t>Compensation(4)</w:t>
            </w:r>
          </w:p>
        </w:tc>
        <w:tc>
          <w:tcPr>
            <w:tcW w:w="240" w:type="dxa"/>
            <w:vAlign w:val="bottom"/>
            <w:tcBorders>
              <w:bottom w:val="single" w:sz="8" w:color="0090DA"/>
            </w:tcBorders>
          </w:tcPr>
          <w:p>
            <w:pPr>
              <w:spacing w:after="0"/>
              <w:rPr>
                <w:sz w:val="18"/>
                <w:szCs w:val="18"/>
                <w:color w:val="auto"/>
              </w:rPr>
            </w:pPr>
          </w:p>
        </w:tc>
        <w:tc>
          <w:tcPr>
            <w:tcW w:w="1000" w:type="dxa"/>
            <w:vAlign w:val="bottom"/>
            <w:tcBorders>
              <w:bottom w:val="single" w:sz="8" w:color="0090D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shd w:val="clear" w:color="auto" w:fill="CBCBCB"/>
          </w:tcPr>
          <w:p>
            <w:pPr>
              <w:ind w:left="20"/>
              <w:spacing w:after="0"/>
              <w:rPr>
                <w:sz w:val="20"/>
                <w:szCs w:val="20"/>
                <w:color w:val="auto"/>
              </w:rPr>
            </w:pPr>
            <w:r>
              <w:rPr>
                <w:rFonts w:ascii="Arial" w:cs="Arial" w:eastAsia="Arial" w:hAnsi="Arial"/>
                <w:sz w:val="16"/>
                <w:szCs w:val="16"/>
                <w:color w:val="auto"/>
              </w:rPr>
              <w:t>Sanjay Mehrotra</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BCBC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1,350,000</w:t>
            </w:r>
          </w:p>
        </w:tc>
        <w:tc>
          <w:tcPr>
            <w:tcW w:w="1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18,499,995</w:t>
            </w:r>
          </w:p>
        </w:tc>
        <w:tc>
          <w:tcPr>
            <w:tcW w:w="2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 $</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4,800,600</w:t>
            </w:r>
          </w:p>
        </w:tc>
        <w:tc>
          <w:tcPr>
            <w:tcW w:w="1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666,114</w:t>
            </w:r>
          </w:p>
        </w:tc>
        <w:tc>
          <w:tcPr>
            <w:tcW w:w="240" w:type="dxa"/>
            <w:vAlign w:val="bottom"/>
            <w:shd w:val="clear" w:color="auto" w:fill="CBCBCB"/>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25,316,709</w:t>
            </w:r>
          </w:p>
        </w:tc>
        <w:tc>
          <w:tcPr>
            <w:tcW w:w="0" w:type="dxa"/>
            <w:vAlign w:val="bottom"/>
          </w:tcPr>
          <w:p>
            <w:pPr>
              <w:spacing w:after="0"/>
              <w:rPr>
                <w:sz w:val="1"/>
                <w:szCs w:val="1"/>
                <w:color w:val="auto"/>
              </w:rPr>
            </w:pPr>
          </w:p>
        </w:tc>
      </w:tr>
      <w:tr>
        <w:trPr>
          <w:trHeight w:val="216"/>
        </w:trPr>
        <w:tc>
          <w:tcPr>
            <w:tcW w:w="2760" w:type="dxa"/>
            <w:vAlign w:val="bottom"/>
            <w:shd w:val="clear" w:color="auto" w:fill="CBCBCB"/>
          </w:tcPr>
          <w:p>
            <w:pPr>
              <w:ind w:left="100"/>
              <w:spacing w:after="0"/>
              <w:rPr>
                <w:sz w:val="20"/>
                <w:szCs w:val="20"/>
                <w:color w:val="auto"/>
              </w:rPr>
            </w:pPr>
            <w:r>
              <w:rPr>
                <w:rFonts w:ascii="Arial" w:cs="Arial" w:eastAsia="Arial" w:hAnsi="Arial"/>
                <w:sz w:val="16"/>
                <w:szCs w:val="16"/>
                <w:color w:val="auto"/>
              </w:rPr>
              <w:t>President and Chief</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BCBCB"/>
          </w:tcPr>
          <w:p>
            <w:pPr>
              <w:spacing w:after="0"/>
              <w:rPr>
                <w:sz w:val="18"/>
                <w:szCs w:val="18"/>
                <w:color w:val="auto"/>
              </w:rPr>
            </w:pP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1,369,039</w:t>
            </w:r>
          </w:p>
        </w:tc>
        <w:tc>
          <w:tcPr>
            <w:tcW w:w="180" w:type="dxa"/>
            <w:vAlign w:val="bottom"/>
            <w:shd w:val="clear" w:color="auto" w:fill="CBCBCB"/>
          </w:tcPr>
          <w:p>
            <w:pPr>
              <w:spacing w:after="0"/>
              <w:rPr>
                <w:sz w:val="18"/>
                <w:szCs w:val="18"/>
                <w:color w:val="auto"/>
              </w:rPr>
            </w:pP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14,999,989</w:t>
            </w:r>
          </w:p>
        </w:tc>
        <w:tc>
          <w:tcPr>
            <w:tcW w:w="200" w:type="dxa"/>
            <w:vAlign w:val="bottom"/>
            <w:shd w:val="clear" w:color="auto" w:fill="CBCBCB"/>
          </w:tcPr>
          <w:p>
            <w:pPr>
              <w:spacing w:after="0"/>
              <w:rPr>
                <w:sz w:val="18"/>
                <w:szCs w:val="18"/>
                <w:color w:val="auto"/>
              </w:rPr>
            </w:pP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3,591,001</w:t>
            </w:r>
          </w:p>
        </w:tc>
        <w:tc>
          <w:tcPr>
            <w:tcW w:w="140" w:type="dxa"/>
            <w:vAlign w:val="bottom"/>
            <w:shd w:val="clear" w:color="auto" w:fill="CBCBCB"/>
          </w:tcPr>
          <w:p>
            <w:pPr>
              <w:spacing w:after="0"/>
              <w:rPr>
                <w:sz w:val="18"/>
                <w:szCs w:val="18"/>
                <w:color w:val="auto"/>
              </w:rPr>
            </w:pP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35,459</w:t>
            </w:r>
          </w:p>
        </w:tc>
        <w:tc>
          <w:tcPr>
            <w:tcW w:w="240" w:type="dxa"/>
            <w:vAlign w:val="bottom"/>
            <w:shd w:val="clear" w:color="auto" w:fill="CBCBCB"/>
          </w:tcPr>
          <w:p>
            <w:pPr>
              <w:spacing w:after="0"/>
              <w:rPr>
                <w:sz w:val="18"/>
                <w:szCs w:val="18"/>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19,995,488</w:t>
            </w:r>
          </w:p>
        </w:tc>
        <w:tc>
          <w:tcPr>
            <w:tcW w:w="0" w:type="dxa"/>
            <w:vAlign w:val="bottom"/>
          </w:tcPr>
          <w:p>
            <w:pPr>
              <w:spacing w:after="0"/>
              <w:rPr>
                <w:sz w:val="1"/>
                <w:szCs w:val="1"/>
                <w:color w:val="auto"/>
              </w:rPr>
            </w:pPr>
          </w:p>
        </w:tc>
      </w:tr>
      <w:tr>
        <w:trPr>
          <w:trHeight w:val="222"/>
        </w:trPr>
        <w:tc>
          <w:tcPr>
            <w:tcW w:w="2760" w:type="dxa"/>
            <w:vAlign w:val="bottom"/>
            <w:shd w:val="clear" w:color="auto" w:fill="CBCBCB"/>
          </w:tcPr>
          <w:p>
            <w:pPr>
              <w:ind w:left="100"/>
              <w:spacing w:after="0"/>
              <w:rPr>
                <w:sz w:val="20"/>
                <w:szCs w:val="20"/>
                <w:color w:val="auto"/>
              </w:rPr>
            </w:pPr>
            <w:r>
              <w:rPr>
                <w:rFonts w:ascii="Arial" w:cs="Arial" w:eastAsia="Arial" w:hAnsi="Arial"/>
                <w:sz w:val="16"/>
                <w:szCs w:val="16"/>
                <w:color w:val="auto"/>
              </w:rPr>
              <w:t>Executive Officer</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2019</w:t>
            </w:r>
          </w:p>
        </w:tc>
        <w:tc>
          <w:tcPr>
            <w:tcW w:w="160" w:type="dxa"/>
            <w:vAlign w:val="bottom"/>
            <w:shd w:val="clear" w:color="auto" w:fill="CBCBCB"/>
          </w:tcPr>
          <w:p>
            <w:pPr>
              <w:spacing w:after="0"/>
              <w:rPr>
                <w:sz w:val="19"/>
                <w:szCs w:val="19"/>
                <w:color w:val="auto"/>
              </w:rPr>
            </w:pP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1,286,154</w:t>
            </w:r>
          </w:p>
        </w:tc>
        <w:tc>
          <w:tcPr>
            <w:tcW w:w="180" w:type="dxa"/>
            <w:vAlign w:val="bottom"/>
            <w:shd w:val="clear" w:color="auto" w:fill="CBCBCB"/>
          </w:tcPr>
          <w:p>
            <w:pPr>
              <w:spacing w:after="0"/>
              <w:rPr>
                <w:sz w:val="19"/>
                <w:szCs w:val="19"/>
                <w:color w:val="auto"/>
              </w:rPr>
            </w:pP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11,999,963</w:t>
            </w:r>
          </w:p>
        </w:tc>
        <w:tc>
          <w:tcPr>
            <w:tcW w:w="200" w:type="dxa"/>
            <w:vAlign w:val="bottom"/>
            <w:shd w:val="clear" w:color="auto" w:fill="CBCBCB"/>
          </w:tcPr>
          <w:p>
            <w:pPr>
              <w:spacing w:after="0"/>
              <w:rPr>
                <w:sz w:val="19"/>
                <w:szCs w:val="19"/>
                <w:color w:val="auto"/>
              </w:rPr>
            </w:pP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3,640,000</w:t>
            </w:r>
          </w:p>
        </w:tc>
        <w:tc>
          <w:tcPr>
            <w:tcW w:w="140" w:type="dxa"/>
            <w:vAlign w:val="bottom"/>
            <w:shd w:val="clear" w:color="auto" w:fill="CBCBCB"/>
          </w:tcPr>
          <w:p>
            <w:pPr>
              <w:spacing w:after="0"/>
              <w:rPr>
                <w:sz w:val="19"/>
                <w:szCs w:val="19"/>
                <w:color w:val="auto"/>
              </w:rPr>
            </w:pP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18,634</w:t>
            </w:r>
          </w:p>
        </w:tc>
        <w:tc>
          <w:tcPr>
            <w:tcW w:w="24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16,944,751</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color w:val="auto"/>
              </w:rPr>
              <w:t>David A. Zinsner</w:t>
            </w:r>
          </w:p>
        </w:tc>
        <w:tc>
          <w:tcPr>
            <w:tcW w:w="72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662,000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4,999,957</w:t>
            </w:r>
          </w:p>
        </w:tc>
        <w:tc>
          <w:tcPr>
            <w:tcW w:w="2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1,177,036</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14,500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6,853,493</w:t>
            </w:r>
          </w:p>
        </w:tc>
        <w:tc>
          <w:tcPr>
            <w:tcW w:w="0" w:type="dxa"/>
            <w:vAlign w:val="bottom"/>
          </w:tcPr>
          <w:p>
            <w:pPr>
              <w:spacing w:after="0"/>
              <w:rPr>
                <w:sz w:val="1"/>
                <w:szCs w:val="1"/>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6"/>
                <w:szCs w:val="16"/>
                <w:color w:val="auto"/>
              </w:rPr>
              <w:t>Executive Vice President and</w:t>
            </w:r>
          </w:p>
        </w:tc>
        <w:tc>
          <w:tcPr>
            <w:tcW w:w="720" w:type="dxa"/>
            <w:vAlign w:val="bottom"/>
          </w:tcPr>
          <w:p>
            <w:pPr>
              <w:ind w:left="18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670,992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4,000,021</w:t>
            </w:r>
          </w:p>
        </w:tc>
        <w:tc>
          <w:tcPr>
            <w:tcW w:w="2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880,461</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17,531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5,569,005</w:t>
            </w:r>
          </w:p>
        </w:tc>
        <w:tc>
          <w:tcPr>
            <w:tcW w:w="0" w:type="dxa"/>
            <w:vAlign w:val="bottom"/>
          </w:tcPr>
          <w:p>
            <w:pPr>
              <w:spacing w:after="0"/>
              <w:rPr>
                <w:sz w:val="1"/>
                <w:szCs w:val="1"/>
                <w:color w:val="auto"/>
              </w:rPr>
            </w:pPr>
          </w:p>
        </w:tc>
      </w:tr>
      <w:tr>
        <w:trPr>
          <w:trHeight w:val="219"/>
        </w:trPr>
        <w:tc>
          <w:tcPr>
            <w:tcW w:w="276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720" w:type="dxa"/>
            <w:vAlign w:val="bottom"/>
          </w:tcPr>
          <w:p>
            <w:pPr>
              <w:ind w:left="180"/>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632,923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3,000,019</w:t>
            </w:r>
          </w:p>
        </w:tc>
        <w:tc>
          <w:tcPr>
            <w:tcW w:w="20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666,750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14,000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4,313,692</w:t>
            </w:r>
          </w:p>
        </w:tc>
        <w:tc>
          <w:tcPr>
            <w:tcW w:w="0" w:type="dxa"/>
            <w:vAlign w:val="bottom"/>
          </w:tcPr>
          <w:p>
            <w:pPr>
              <w:spacing w:after="0"/>
              <w:rPr>
                <w:sz w:val="1"/>
                <w:szCs w:val="1"/>
                <w:color w:val="auto"/>
              </w:rPr>
            </w:pPr>
          </w:p>
        </w:tc>
      </w:tr>
      <w:tr>
        <w:trPr>
          <w:trHeight w:val="213"/>
        </w:trPr>
        <w:tc>
          <w:tcPr>
            <w:tcW w:w="2760" w:type="dxa"/>
            <w:vAlign w:val="bottom"/>
            <w:shd w:val="clear" w:color="auto" w:fill="CBCBCB"/>
          </w:tcPr>
          <w:p>
            <w:pPr>
              <w:ind w:left="20"/>
              <w:spacing w:after="0"/>
              <w:rPr>
                <w:sz w:val="20"/>
                <w:szCs w:val="20"/>
                <w:color w:val="auto"/>
              </w:rPr>
            </w:pPr>
            <w:r>
              <w:rPr>
                <w:rFonts w:ascii="Arial" w:cs="Arial" w:eastAsia="Arial" w:hAnsi="Arial"/>
                <w:sz w:val="16"/>
                <w:szCs w:val="16"/>
                <w:color w:val="auto"/>
              </w:rPr>
              <w:t>Manish Bhatia</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BCBCB"/>
          </w:tcPr>
          <w:p>
            <w:pPr>
              <w:spacing w:after="0"/>
              <w:rPr>
                <w:sz w:val="18"/>
                <w:szCs w:val="18"/>
                <w:color w:val="auto"/>
              </w:rPr>
            </w:pP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695,000</w:t>
            </w:r>
          </w:p>
        </w:tc>
        <w:tc>
          <w:tcPr>
            <w:tcW w:w="180" w:type="dxa"/>
            <w:vAlign w:val="bottom"/>
            <w:shd w:val="clear" w:color="auto" w:fill="CBCBCB"/>
          </w:tcPr>
          <w:p>
            <w:pPr>
              <w:spacing w:after="0"/>
              <w:rPr>
                <w:sz w:val="18"/>
                <w:szCs w:val="18"/>
                <w:color w:val="auto"/>
              </w:rPr>
            </w:pP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5,999,969</w:t>
            </w:r>
          </w:p>
        </w:tc>
        <w:tc>
          <w:tcPr>
            <w:tcW w:w="200" w:type="dxa"/>
            <w:vAlign w:val="bottom"/>
            <w:shd w:val="clear" w:color="auto" w:fill="CBCBCB"/>
          </w:tcPr>
          <w:p>
            <w:pPr>
              <w:spacing w:after="0"/>
              <w:rPr>
                <w:sz w:val="18"/>
                <w:szCs w:val="18"/>
                <w:color w:val="auto"/>
              </w:rPr>
            </w:pP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1,235,710</w:t>
            </w:r>
          </w:p>
        </w:tc>
        <w:tc>
          <w:tcPr>
            <w:tcW w:w="140" w:type="dxa"/>
            <w:vAlign w:val="bottom"/>
            <w:shd w:val="clear" w:color="auto" w:fill="CBCBCB"/>
          </w:tcPr>
          <w:p>
            <w:pPr>
              <w:spacing w:after="0"/>
              <w:rPr>
                <w:sz w:val="18"/>
                <w:szCs w:val="18"/>
                <w:color w:val="auto"/>
              </w:rPr>
            </w:pP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622,194</w:t>
            </w:r>
          </w:p>
        </w:tc>
        <w:tc>
          <w:tcPr>
            <w:tcW w:w="240" w:type="dxa"/>
            <w:vAlign w:val="bottom"/>
            <w:shd w:val="clear" w:color="auto" w:fill="CBCBCB"/>
          </w:tcPr>
          <w:p>
            <w:pPr>
              <w:spacing w:after="0"/>
              <w:rPr>
                <w:sz w:val="18"/>
                <w:szCs w:val="18"/>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8,552,873</w:t>
            </w:r>
          </w:p>
        </w:tc>
        <w:tc>
          <w:tcPr>
            <w:tcW w:w="0" w:type="dxa"/>
            <w:vAlign w:val="bottom"/>
          </w:tcPr>
          <w:p>
            <w:pPr>
              <w:spacing w:after="0"/>
              <w:rPr>
                <w:sz w:val="1"/>
                <w:szCs w:val="1"/>
                <w:color w:val="auto"/>
              </w:rPr>
            </w:pPr>
          </w:p>
        </w:tc>
      </w:tr>
      <w:tr>
        <w:trPr>
          <w:trHeight w:val="216"/>
        </w:trPr>
        <w:tc>
          <w:tcPr>
            <w:tcW w:w="2760" w:type="dxa"/>
            <w:vAlign w:val="bottom"/>
            <w:shd w:val="clear" w:color="auto" w:fill="CBCBCB"/>
          </w:tcPr>
          <w:p>
            <w:pPr>
              <w:ind w:left="100"/>
              <w:spacing w:after="0"/>
              <w:rPr>
                <w:sz w:val="20"/>
                <w:szCs w:val="20"/>
                <w:color w:val="auto"/>
              </w:rPr>
            </w:pPr>
            <w:r>
              <w:rPr>
                <w:rFonts w:ascii="Arial" w:cs="Arial" w:eastAsia="Arial" w:hAnsi="Arial"/>
                <w:sz w:val="16"/>
                <w:szCs w:val="16"/>
                <w:color w:val="auto"/>
              </w:rPr>
              <w:t>Executive Vice President,</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BCBCB"/>
          </w:tcPr>
          <w:p>
            <w:pPr>
              <w:spacing w:after="0"/>
              <w:rPr>
                <w:sz w:val="18"/>
                <w:szCs w:val="18"/>
                <w:color w:val="auto"/>
              </w:rPr>
            </w:pP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704,211</w:t>
            </w:r>
          </w:p>
        </w:tc>
        <w:tc>
          <w:tcPr>
            <w:tcW w:w="180" w:type="dxa"/>
            <w:vAlign w:val="bottom"/>
            <w:shd w:val="clear" w:color="auto" w:fill="CBCBCB"/>
          </w:tcPr>
          <w:p>
            <w:pPr>
              <w:spacing w:after="0"/>
              <w:rPr>
                <w:sz w:val="18"/>
                <w:szCs w:val="18"/>
                <w:color w:val="auto"/>
              </w:rPr>
            </w:pP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5,000,012</w:t>
            </w:r>
          </w:p>
        </w:tc>
        <w:tc>
          <w:tcPr>
            <w:tcW w:w="200" w:type="dxa"/>
            <w:vAlign w:val="bottom"/>
            <w:shd w:val="clear" w:color="auto" w:fill="CBCBCB"/>
          </w:tcPr>
          <w:p>
            <w:pPr>
              <w:spacing w:after="0"/>
              <w:rPr>
                <w:sz w:val="18"/>
                <w:szCs w:val="18"/>
                <w:color w:val="auto"/>
              </w:rPr>
            </w:pP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924,351</w:t>
            </w:r>
          </w:p>
        </w:tc>
        <w:tc>
          <w:tcPr>
            <w:tcW w:w="140" w:type="dxa"/>
            <w:vAlign w:val="bottom"/>
            <w:shd w:val="clear" w:color="auto" w:fill="CBCBCB"/>
          </w:tcPr>
          <w:p>
            <w:pPr>
              <w:spacing w:after="0"/>
              <w:rPr>
                <w:sz w:val="18"/>
                <w:szCs w:val="18"/>
                <w:color w:val="auto"/>
              </w:rPr>
            </w:pP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583,785</w:t>
            </w:r>
          </w:p>
        </w:tc>
        <w:tc>
          <w:tcPr>
            <w:tcW w:w="240" w:type="dxa"/>
            <w:vAlign w:val="bottom"/>
            <w:shd w:val="clear" w:color="auto" w:fill="CBCBCB"/>
          </w:tcPr>
          <w:p>
            <w:pPr>
              <w:spacing w:after="0"/>
              <w:rPr>
                <w:sz w:val="18"/>
                <w:szCs w:val="18"/>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7,212,359</w:t>
            </w:r>
          </w:p>
        </w:tc>
        <w:tc>
          <w:tcPr>
            <w:tcW w:w="0" w:type="dxa"/>
            <w:vAlign w:val="bottom"/>
          </w:tcPr>
          <w:p>
            <w:pPr>
              <w:spacing w:after="0"/>
              <w:rPr>
                <w:sz w:val="1"/>
                <w:szCs w:val="1"/>
                <w:color w:val="auto"/>
              </w:rPr>
            </w:pPr>
          </w:p>
        </w:tc>
      </w:tr>
      <w:tr>
        <w:trPr>
          <w:trHeight w:val="222"/>
        </w:trPr>
        <w:tc>
          <w:tcPr>
            <w:tcW w:w="2760" w:type="dxa"/>
            <w:vAlign w:val="bottom"/>
            <w:shd w:val="clear" w:color="auto" w:fill="CBCBCB"/>
          </w:tcPr>
          <w:p>
            <w:pPr>
              <w:ind w:left="100"/>
              <w:spacing w:after="0"/>
              <w:rPr>
                <w:sz w:val="20"/>
                <w:szCs w:val="20"/>
                <w:color w:val="auto"/>
              </w:rPr>
            </w:pPr>
            <w:r>
              <w:rPr>
                <w:rFonts w:ascii="Arial" w:cs="Arial" w:eastAsia="Arial" w:hAnsi="Arial"/>
                <w:sz w:val="16"/>
                <w:szCs w:val="16"/>
                <w:color w:val="auto"/>
              </w:rPr>
              <w:t>Global Operations</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2019</w:t>
            </w:r>
          </w:p>
        </w:tc>
        <w:tc>
          <w:tcPr>
            <w:tcW w:w="160" w:type="dxa"/>
            <w:vAlign w:val="bottom"/>
            <w:shd w:val="clear" w:color="auto" w:fill="CBCBCB"/>
          </w:tcPr>
          <w:p>
            <w:pPr>
              <w:spacing w:after="0"/>
              <w:rPr>
                <w:sz w:val="19"/>
                <w:szCs w:val="19"/>
                <w:color w:val="auto"/>
              </w:rPr>
            </w:pP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660,846</w:t>
            </w:r>
          </w:p>
        </w:tc>
        <w:tc>
          <w:tcPr>
            <w:tcW w:w="180" w:type="dxa"/>
            <w:vAlign w:val="bottom"/>
            <w:shd w:val="clear" w:color="auto" w:fill="CBCBCB"/>
          </w:tcPr>
          <w:p>
            <w:pPr>
              <w:spacing w:after="0"/>
              <w:rPr>
                <w:sz w:val="19"/>
                <w:szCs w:val="19"/>
                <w:color w:val="auto"/>
              </w:rPr>
            </w:pP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3,800,003</w:t>
            </w:r>
          </w:p>
        </w:tc>
        <w:tc>
          <w:tcPr>
            <w:tcW w:w="200" w:type="dxa"/>
            <w:vAlign w:val="bottom"/>
            <w:shd w:val="clear" w:color="auto" w:fill="CBCBCB"/>
          </w:tcPr>
          <w:p>
            <w:pPr>
              <w:spacing w:after="0"/>
              <w:rPr>
                <w:sz w:val="19"/>
                <w:szCs w:val="19"/>
                <w:color w:val="auto"/>
              </w:rPr>
            </w:pP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931,000</w:t>
            </w:r>
          </w:p>
        </w:tc>
        <w:tc>
          <w:tcPr>
            <w:tcW w:w="140" w:type="dxa"/>
            <w:vAlign w:val="bottom"/>
            <w:shd w:val="clear" w:color="auto" w:fill="CBCBCB"/>
          </w:tcPr>
          <w:p>
            <w:pPr>
              <w:spacing w:after="0"/>
              <w:rPr>
                <w:sz w:val="19"/>
                <w:szCs w:val="19"/>
                <w:color w:val="auto"/>
              </w:rPr>
            </w:pP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594,806</w:t>
            </w:r>
          </w:p>
        </w:tc>
        <w:tc>
          <w:tcPr>
            <w:tcW w:w="24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5,986,655</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color w:val="auto"/>
              </w:rPr>
              <w:t>Scott J. DeBoer</w:t>
            </w:r>
          </w:p>
        </w:tc>
        <w:tc>
          <w:tcPr>
            <w:tcW w:w="72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595,000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4,999,957</w:t>
            </w:r>
          </w:p>
        </w:tc>
        <w:tc>
          <w:tcPr>
            <w:tcW w:w="2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1,057,910</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15,700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6,668,567</w:t>
            </w:r>
          </w:p>
        </w:tc>
        <w:tc>
          <w:tcPr>
            <w:tcW w:w="0" w:type="dxa"/>
            <w:vAlign w:val="bottom"/>
          </w:tcPr>
          <w:p>
            <w:pPr>
              <w:spacing w:after="0"/>
              <w:rPr>
                <w:sz w:val="1"/>
                <w:szCs w:val="1"/>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6"/>
                <w:szCs w:val="16"/>
                <w:color w:val="auto"/>
              </w:rPr>
              <w:t>Executive Vice President,</w:t>
            </w:r>
          </w:p>
        </w:tc>
        <w:tc>
          <w:tcPr>
            <w:tcW w:w="720" w:type="dxa"/>
            <w:vAlign w:val="bottom"/>
          </w:tcPr>
          <w:p>
            <w:pPr>
              <w:ind w:left="18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601,596</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3,750,026</w:t>
            </w:r>
          </w:p>
        </w:tc>
        <w:tc>
          <w:tcPr>
            <w:tcW w:w="20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791,351</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16,887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5,159,860</w:t>
            </w:r>
          </w:p>
        </w:tc>
        <w:tc>
          <w:tcPr>
            <w:tcW w:w="0" w:type="dxa"/>
            <w:vAlign w:val="bottom"/>
          </w:tcPr>
          <w:p>
            <w:pPr>
              <w:spacing w:after="0"/>
              <w:rPr>
                <w:sz w:val="1"/>
                <w:szCs w:val="1"/>
                <w:color w:val="auto"/>
              </w:rPr>
            </w:pPr>
          </w:p>
        </w:tc>
      </w:tr>
      <w:tr>
        <w:trPr>
          <w:trHeight w:val="219"/>
        </w:trPr>
        <w:tc>
          <w:tcPr>
            <w:tcW w:w="2760" w:type="dxa"/>
            <w:vAlign w:val="bottom"/>
          </w:tcPr>
          <w:p>
            <w:pPr>
              <w:ind w:left="100"/>
              <w:spacing w:after="0"/>
              <w:rPr>
                <w:sz w:val="20"/>
                <w:szCs w:val="20"/>
                <w:color w:val="auto"/>
              </w:rPr>
            </w:pPr>
            <w:r>
              <w:rPr>
                <w:rFonts w:ascii="Arial" w:cs="Arial" w:eastAsia="Arial" w:hAnsi="Arial"/>
                <w:sz w:val="16"/>
                <w:szCs w:val="16"/>
                <w:color w:val="auto"/>
              </w:rPr>
              <w:t>Technology and Products</w:t>
            </w:r>
          </w:p>
        </w:tc>
        <w:tc>
          <w:tcPr>
            <w:tcW w:w="720" w:type="dxa"/>
            <w:vAlign w:val="bottom"/>
          </w:tcPr>
          <w:p>
            <w:pPr>
              <w:ind w:left="180"/>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554,462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3,000,019</w:t>
            </w:r>
          </w:p>
        </w:tc>
        <w:tc>
          <w:tcPr>
            <w:tcW w:w="20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784,000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15,662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4,354,143</w:t>
            </w:r>
          </w:p>
        </w:tc>
        <w:tc>
          <w:tcPr>
            <w:tcW w:w="0" w:type="dxa"/>
            <w:vAlign w:val="bottom"/>
          </w:tcPr>
          <w:p>
            <w:pPr>
              <w:spacing w:after="0"/>
              <w:rPr>
                <w:sz w:val="1"/>
                <w:szCs w:val="1"/>
                <w:color w:val="auto"/>
              </w:rPr>
            </w:pPr>
          </w:p>
        </w:tc>
      </w:tr>
      <w:tr>
        <w:trPr>
          <w:trHeight w:val="213"/>
        </w:trPr>
        <w:tc>
          <w:tcPr>
            <w:tcW w:w="2760" w:type="dxa"/>
            <w:vAlign w:val="bottom"/>
            <w:shd w:val="clear" w:color="auto" w:fill="CBCBCB"/>
          </w:tcPr>
          <w:p>
            <w:pPr>
              <w:ind w:left="20"/>
              <w:spacing w:after="0"/>
              <w:rPr>
                <w:sz w:val="20"/>
                <w:szCs w:val="20"/>
                <w:color w:val="auto"/>
              </w:rPr>
            </w:pPr>
            <w:r>
              <w:rPr>
                <w:rFonts w:ascii="Arial" w:cs="Arial" w:eastAsia="Arial" w:hAnsi="Arial"/>
                <w:sz w:val="16"/>
                <w:szCs w:val="16"/>
                <w:color w:val="auto"/>
              </w:rPr>
              <w:t>Sumit Sadana</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BCBCB"/>
          </w:tcPr>
          <w:p>
            <w:pPr>
              <w:spacing w:after="0"/>
              <w:rPr>
                <w:sz w:val="18"/>
                <w:szCs w:val="18"/>
                <w:color w:val="auto"/>
              </w:rPr>
            </w:pP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745,000</w:t>
            </w:r>
          </w:p>
        </w:tc>
        <w:tc>
          <w:tcPr>
            <w:tcW w:w="180" w:type="dxa"/>
            <w:vAlign w:val="bottom"/>
            <w:shd w:val="clear" w:color="auto" w:fill="CBCBCB"/>
          </w:tcPr>
          <w:p>
            <w:pPr>
              <w:spacing w:after="0"/>
              <w:rPr>
                <w:sz w:val="18"/>
                <w:szCs w:val="18"/>
                <w:color w:val="auto"/>
              </w:rPr>
            </w:pP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6,500,005</w:t>
            </w:r>
          </w:p>
        </w:tc>
        <w:tc>
          <w:tcPr>
            <w:tcW w:w="200" w:type="dxa"/>
            <w:vAlign w:val="bottom"/>
            <w:shd w:val="clear" w:color="auto" w:fill="CBCBCB"/>
          </w:tcPr>
          <w:p>
            <w:pPr>
              <w:spacing w:after="0"/>
              <w:rPr>
                <w:sz w:val="18"/>
                <w:szCs w:val="18"/>
                <w:color w:val="auto"/>
              </w:rPr>
            </w:pP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1,457,071</w:t>
            </w:r>
          </w:p>
        </w:tc>
        <w:tc>
          <w:tcPr>
            <w:tcW w:w="140" w:type="dxa"/>
            <w:vAlign w:val="bottom"/>
            <w:shd w:val="clear" w:color="auto" w:fill="CBCBCB"/>
          </w:tcPr>
          <w:p>
            <w:pPr>
              <w:spacing w:after="0"/>
              <w:rPr>
                <w:sz w:val="18"/>
                <w:szCs w:val="18"/>
                <w:color w:val="auto"/>
              </w:rPr>
            </w:pP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14,500</w:t>
            </w:r>
          </w:p>
        </w:tc>
        <w:tc>
          <w:tcPr>
            <w:tcW w:w="240" w:type="dxa"/>
            <w:vAlign w:val="bottom"/>
            <w:shd w:val="clear" w:color="auto" w:fill="CBCBCB"/>
          </w:tcPr>
          <w:p>
            <w:pPr>
              <w:spacing w:after="0"/>
              <w:rPr>
                <w:sz w:val="18"/>
                <w:szCs w:val="18"/>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8,716,576</w:t>
            </w:r>
          </w:p>
        </w:tc>
        <w:tc>
          <w:tcPr>
            <w:tcW w:w="0" w:type="dxa"/>
            <w:vAlign w:val="bottom"/>
          </w:tcPr>
          <w:p>
            <w:pPr>
              <w:spacing w:after="0"/>
              <w:rPr>
                <w:sz w:val="1"/>
                <w:szCs w:val="1"/>
                <w:color w:val="auto"/>
              </w:rPr>
            </w:pPr>
          </w:p>
        </w:tc>
      </w:tr>
      <w:tr>
        <w:trPr>
          <w:trHeight w:val="216"/>
        </w:trPr>
        <w:tc>
          <w:tcPr>
            <w:tcW w:w="2760" w:type="dxa"/>
            <w:vAlign w:val="bottom"/>
            <w:shd w:val="clear" w:color="auto" w:fill="CBCBCB"/>
          </w:tcPr>
          <w:p>
            <w:pPr>
              <w:ind w:left="100"/>
              <w:spacing w:after="0"/>
              <w:rPr>
                <w:sz w:val="20"/>
                <w:szCs w:val="20"/>
                <w:color w:val="auto"/>
              </w:rPr>
            </w:pPr>
            <w:r>
              <w:rPr>
                <w:rFonts w:ascii="Arial" w:cs="Arial" w:eastAsia="Arial" w:hAnsi="Arial"/>
                <w:sz w:val="16"/>
                <w:szCs w:val="16"/>
                <w:color w:val="auto"/>
              </w:rPr>
              <w:t>Executive Vice President</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BCBCB"/>
          </w:tcPr>
          <w:p>
            <w:pPr>
              <w:spacing w:after="0"/>
              <w:rPr>
                <w:sz w:val="18"/>
                <w:szCs w:val="18"/>
                <w:color w:val="auto"/>
              </w:rPr>
            </w:pP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755,173</w:t>
            </w:r>
          </w:p>
        </w:tc>
        <w:tc>
          <w:tcPr>
            <w:tcW w:w="180" w:type="dxa"/>
            <w:vAlign w:val="bottom"/>
            <w:shd w:val="clear" w:color="auto" w:fill="CBCBCB"/>
          </w:tcPr>
          <w:p>
            <w:pPr>
              <w:spacing w:after="0"/>
              <w:rPr>
                <w:sz w:val="18"/>
                <w:szCs w:val="18"/>
                <w:color w:val="auto"/>
              </w:rPr>
            </w:pP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5,500,013</w:t>
            </w:r>
          </w:p>
        </w:tc>
        <w:tc>
          <w:tcPr>
            <w:tcW w:w="200" w:type="dxa"/>
            <w:vAlign w:val="bottom"/>
            <w:shd w:val="clear" w:color="auto" w:fill="CBCBCB"/>
          </w:tcPr>
          <w:p>
            <w:pPr>
              <w:spacing w:after="0"/>
              <w:rPr>
                <w:sz w:val="18"/>
                <w:szCs w:val="18"/>
                <w:color w:val="auto"/>
              </w:rPr>
            </w:pP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1,089,936</w:t>
            </w:r>
          </w:p>
        </w:tc>
        <w:tc>
          <w:tcPr>
            <w:tcW w:w="140" w:type="dxa"/>
            <w:vAlign w:val="bottom"/>
            <w:shd w:val="clear" w:color="auto" w:fill="CBCBCB"/>
          </w:tcPr>
          <w:p>
            <w:pPr>
              <w:spacing w:after="0"/>
              <w:rPr>
                <w:sz w:val="18"/>
                <w:szCs w:val="18"/>
                <w:color w:val="auto"/>
              </w:rPr>
            </w:pP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14,250</w:t>
            </w:r>
          </w:p>
        </w:tc>
        <w:tc>
          <w:tcPr>
            <w:tcW w:w="240" w:type="dxa"/>
            <w:vAlign w:val="bottom"/>
            <w:shd w:val="clear" w:color="auto" w:fill="CBCBCB"/>
          </w:tcPr>
          <w:p>
            <w:pPr>
              <w:spacing w:after="0"/>
              <w:rPr>
                <w:sz w:val="18"/>
                <w:szCs w:val="18"/>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7,359,372</w:t>
            </w:r>
          </w:p>
        </w:tc>
        <w:tc>
          <w:tcPr>
            <w:tcW w:w="0" w:type="dxa"/>
            <w:vAlign w:val="bottom"/>
          </w:tcPr>
          <w:p>
            <w:pPr>
              <w:spacing w:after="0"/>
              <w:rPr>
                <w:sz w:val="1"/>
                <w:szCs w:val="1"/>
                <w:color w:val="auto"/>
              </w:rPr>
            </w:pPr>
          </w:p>
        </w:tc>
      </w:tr>
      <w:tr>
        <w:trPr>
          <w:trHeight w:val="222"/>
        </w:trPr>
        <w:tc>
          <w:tcPr>
            <w:tcW w:w="2760" w:type="dxa"/>
            <w:vAlign w:val="bottom"/>
            <w:shd w:val="clear" w:color="auto" w:fill="CBCBCB"/>
          </w:tcPr>
          <w:p>
            <w:pPr>
              <w:ind w:left="100"/>
              <w:spacing w:after="0"/>
              <w:rPr>
                <w:sz w:val="20"/>
                <w:szCs w:val="20"/>
                <w:color w:val="auto"/>
              </w:rPr>
            </w:pPr>
            <w:r>
              <w:rPr>
                <w:rFonts w:ascii="Arial" w:cs="Arial" w:eastAsia="Arial" w:hAnsi="Arial"/>
                <w:sz w:val="16"/>
                <w:szCs w:val="16"/>
                <w:color w:val="auto"/>
              </w:rPr>
              <w:t>and Chief Business Officer</w:t>
            </w:r>
          </w:p>
        </w:tc>
        <w:tc>
          <w:tcPr>
            <w:tcW w:w="7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2019</w:t>
            </w:r>
          </w:p>
        </w:tc>
        <w:tc>
          <w:tcPr>
            <w:tcW w:w="160" w:type="dxa"/>
            <w:vAlign w:val="bottom"/>
            <w:shd w:val="clear" w:color="auto" w:fill="CBCBCB"/>
          </w:tcPr>
          <w:p>
            <w:pPr>
              <w:spacing w:after="0"/>
              <w:rPr>
                <w:sz w:val="19"/>
                <w:szCs w:val="19"/>
                <w:color w:val="auto"/>
              </w:rPr>
            </w:pPr>
          </w:p>
        </w:tc>
        <w:tc>
          <w:tcPr>
            <w:tcW w:w="9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709,462</w:t>
            </w:r>
          </w:p>
        </w:tc>
        <w:tc>
          <w:tcPr>
            <w:tcW w:w="180" w:type="dxa"/>
            <w:vAlign w:val="bottom"/>
            <w:shd w:val="clear" w:color="auto" w:fill="CBCBCB"/>
          </w:tcPr>
          <w:p>
            <w:pPr>
              <w:spacing w:after="0"/>
              <w:rPr>
                <w:sz w:val="19"/>
                <w:szCs w:val="19"/>
                <w:color w:val="auto"/>
              </w:rPr>
            </w:pP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4,399,958</w:t>
            </w:r>
          </w:p>
        </w:tc>
        <w:tc>
          <w:tcPr>
            <w:tcW w:w="200" w:type="dxa"/>
            <w:vAlign w:val="bottom"/>
            <w:shd w:val="clear" w:color="auto" w:fill="CBCBCB"/>
          </w:tcPr>
          <w:p>
            <w:pPr>
              <w:spacing w:after="0"/>
              <w:rPr>
                <w:sz w:val="19"/>
                <w:szCs w:val="19"/>
                <w:color w:val="auto"/>
              </w:rPr>
            </w:pPr>
          </w:p>
        </w:tc>
        <w:tc>
          <w:tcPr>
            <w:tcW w:w="1040" w:type="dxa"/>
            <w:vAlign w:val="bottom"/>
            <w:shd w:val="clear" w:color="auto" w:fill="CBCBCB"/>
          </w:tcPr>
          <w:p>
            <w:pPr>
              <w:ind w:left="7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1,101,100</w:t>
            </w:r>
          </w:p>
        </w:tc>
        <w:tc>
          <w:tcPr>
            <w:tcW w:w="140" w:type="dxa"/>
            <w:vAlign w:val="bottom"/>
            <w:shd w:val="clear" w:color="auto" w:fill="CBCBCB"/>
          </w:tcPr>
          <w:p>
            <w:pPr>
              <w:spacing w:after="0"/>
              <w:rPr>
                <w:sz w:val="19"/>
                <w:szCs w:val="19"/>
                <w:color w:val="auto"/>
              </w:rPr>
            </w:pPr>
          </w:p>
        </w:tc>
        <w:tc>
          <w:tcPr>
            <w:tcW w:w="14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14,000</w:t>
            </w:r>
          </w:p>
        </w:tc>
        <w:tc>
          <w:tcPr>
            <w:tcW w:w="24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6,224,520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40" w:right="160" w:hanging="332"/>
        <w:spacing w:after="0" w:line="231" w:lineRule="auto"/>
        <w:tabs>
          <w:tab w:leader="none" w:pos="352" w:val="left"/>
        </w:tabs>
        <w:numPr>
          <w:ilvl w:val="0"/>
          <w:numId w:val="52"/>
        </w:numPr>
        <w:rPr>
          <w:rFonts w:ascii="Arial" w:cs="Arial" w:eastAsia="Arial" w:hAnsi="Arial"/>
          <w:sz w:val="20"/>
          <w:szCs w:val="20"/>
          <w:color w:val="auto"/>
        </w:rPr>
      </w:pPr>
      <w:r>
        <w:rPr>
          <w:rFonts w:ascii="Arial" w:cs="Arial" w:eastAsia="Arial" w:hAnsi="Arial"/>
          <w:sz w:val="18"/>
          <w:szCs w:val="18"/>
          <w:color w:val="auto"/>
        </w:rPr>
        <w:t>Our fiscal year is the 52 or 53-week period ending on the Thursday closest to August 31. Fiscal 2020 contained 53 weeks and fiscal 2021 and 2019 each contained 52 weeks. The amounts shown for salary for 2020 include an additional week as compared to 2021 and 2019 in accordance with our fiscal calendar.</w:t>
      </w:r>
    </w:p>
    <w:p>
      <w:pPr>
        <w:spacing w:after="0" w:line="230" w:lineRule="exact"/>
        <w:rPr>
          <w:rFonts w:ascii="Arial" w:cs="Arial" w:eastAsia="Arial" w:hAnsi="Arial"/>
          <w:sz w:val="20"/>
          <w:szCs w:val="20"/>
          <w:color w:val="auto"/>
        </w:rPr>
      </w:pPr>
    </w:p>
    <w:p>
      <w:pPr>
        <w:ind w:left="340" w:right="120" w:hanging="332"/>
        <w:spacing w:after="0" w:line="219" w:lineRule="auto"/>
        <w:tabs>
          <w:tab w:leader="none" w:pos="352" w:val="left"/>
        </w:tabs>
        <w:numPr>
          <w:ilvl w:val="0"/>
          <w:numId w:val="52"/>
        </w:numPr>
        <w:rPr>
          <w:rFonts w:ascii="Arial" w:cs="Arial" w:eastAsia="Arial" w:hAnsi="Arial"/>
          <w:sz w:val="20"/>
          <w:szCs w:val="20"/>
          <w:color w:val="auto"/>
        </w:rPr>
      </w:pPr>
      <w:r>
        <w:rPr>
          <w:rFonts w:ascii="Arial" w:cs="Arial" w:eastAsia="Arial" w:hAnsi="Arial"/>
          <w:sz w:val="18"/>
          <w:szCs w:val="18"/>
          <w:color w:val="auto"/>
        </w:rPr>
        <w:t>The grant-date fair values for the stock awards are based on the closing price on the last market-trading day prior to the date of grant. The grant date fair value of the performance-based awards granted in fiscal 2021, 2020, and 2019 was computed by multiplying (i) the target number of restricted shares or units awarded to each Named Executive Officer, which was the assumed probable outcome as of the grant date, by (ii) either (a) the closing price of our Common Stock on the last market-trading day prior to the date of grant; or (b) the fair value per share as calculated by the use of a Monte-Carlo simulation, which represents the most likely value if the award had a market condition performance goal. Although the assumed probable outcome as of the grant date was achievement at the target level, the terms of the awards for performance-based restricted stock unit awards granted in fiscal 2021, 2020, and 2019 also provide for achievement of up to 200% of the target amount (“maximum”). The table below presents the aggregate grant-date fair value of stock awards for the periods presented assuming achievement at the maximum level for such performance-based awards. Grant date fair values for both the target and maximum levels are consistent with the amounts used to determine compensation cost under Accounting Standards Codification 718.</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0090DA"/>
            </w:tcBorders>
          </w:tcPr>
          <w:p>
            <w:pPr>
              <w:spacing w:after="0"/>
              <w:rPr>
                <w:sz w:val="16"/>
                <w:szCs w:val="16"/>
                <w:color w:val="auto"/>
              </w:rPr>
            </w:pPr>
          </w:p>
        </w:tc>
        <w:tc>
          <w:tcPr>
            <w:tcW w:w="1040" w:type="dxa"/>
            <w:vAlign w:val="bottom"/>
            <w:tcBorders>
              <w:bottom w:val="single" w:sz="8" w:color="0090DA"/>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0090DA"/>
            </w:tcBorders>
          </w:tcPr>
          <w:p>
            <w:pPr>
              <w:spacing w:after="0"/>
              <w:rPr>
                <w:sz w:val="16"/>
                <w:szCs w:val="16"/>
                <w:color w:val="auto"/>
              </w:rPr>
            </w:pPr>
          </w:p>
        </w:tc>
        <w:tc>
          <w:tcPr>
            <w:tcW w:w="840" w:type="dxa"/>
            <w:vAlign w:val="bottom"/>
            <w:tcBorders>
              <w:bottom w:val="single" w:sz="8" w:color="0090DA"/>
            </w:tcBorders>
          </w:tcPr>
          <w:p>
            <w:pPr>
              <w:spacing w:after="0"/>
              <w:rPr>
                <w:sz w:val="16"/>
                <w:szCs w:val="16"/>
                <w:color w:val="auto"/>
              </w:rPr>
            </w:pPr>
          </w:p>
        </w:tc>
        <w:tc>
          <w:tcPr>
            <w:tcW w:w="1160" w:type="dxa"/>
            <w:vAlign w:val="bottom"/>
            <w:tcBorders>
              <w:bottom w:val="single" w:sz="8" w:color="0090DA"/>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0090DA"/>
            </w:tcBorders>
          </w:tcPr>
          <w:p>
            <w:pPr>
              <w:spacing w:after="0"/>
              <w:rPr>
                <w:sz w:val="16"/>
                <w:szCs w:val="16"/>
                <w:color w:val="auto"/>
              </w:rPr>
            </w:pPr>
          </w:p>
        </w:tc>
        <w:tc>
          <w:tcPr>
            <w:tcW w:w="780" w:type="dxa"/>
            <w:vAlign w:val="bottom"/>
            <w:tcBorders>
              <w:bottom w:val="single" w:sz="8" w:color="0090DA"/>
            </w:tcBorders>
          </w:tcPr>
          <w:p>
            <w:pPr>
              <w:spacing w:after="0"/>
              <w:rPr>
                <w:sz w:val="16"/>
                <w:szCs w:val="16"/>
                <w:color w:val="auto"/>
              </w:rPr>
            </w:pPr>
          </w:p>
        </w:tc>
        <w:tc>
          <w:tcPr>
            <w:tcW w:w="1160" w:type="dxa"/>
            <w:vAlign w:val="bottom"/>
            <w:tcBorders>
              <w:bottom w:val="single" w:sz="8" w:color="0090DA"/>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0090DA"/>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Performance-</w:t>
            </w:r>
          </w:p>
        </w:tc>
        <w:tc>
          <w:tcPr>
            <w:tcW w:w="900" w:type="dxa"/>
            <w:vAlign w:val="bottom"/>
          </w:tcPr>
          <w:p>
            <w:pPr>
              <w:spacing w:after="0"/>
              <w:rPr>
                <w:sz w:val="12"/>
                <w:szCs w:val="12"/>
                <w:color w:val="auto"/>
              </w:rPr>
            </w:pPr>
          </w:p>
        </w:tc>
        <w:tc>
          <w:tcPr>
            <w:tcW w:w="20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Performance-based</w:t>
            </w:r>
          </w:p>
        </w:tc>
        <w:tc>
          <w:tcPr>
            <w:tcW w:w="920" w:type="dxa"/>
            <w:vAlign w:val="bottom"/>
          </w:tcPr>
          <w:p>
            <w:pPr>
              <w:spacing w:after="0"/>
              <w:rPr>
                <w:sz w:val="12"/>
                <w:szCs w:val="12"/>
                <w:color w:val="auto"/>
              </w:rPr>
            </w:pPr>
          </w:p>
        </w:tc>
        <w:tc>
          <w:tcPr>
            <w:tcW w:w="19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Performance-based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Time-based</w:t>
            </w:r>
          </w:p>
        </w:tc>
        <w:tc>
          <w:tcPr>
            <w:tcW w:w="10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based Stock</w:t>
            </w:r>
          </w:p>
        </w:tc>
        <w:tc>
          <w:tcPr>
            <w:tcW w:w="90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Award at</w:t>
            </w:r>
          </w:p>
        </w:tc>
        <w:tc>
          <w:tcPr>
            <w:tcW w:w="1740" w:type="dxa"/>
            <w:vAlign w:val="bottom"/>
            <w:gridSpan w:val="2"/>
          </w:tcPr>
          <w:p>
            <w:pPr>
              <w:ind w:left="740"/>
              <w:spacing w:after="0" w:line="135" w:lineRule="exact"/>
              <w:rPr>
                <w:sz w:val="20"/>
                <w:szCs w:val="20"/>
                <w:color w:val="auto"/>
              </w:rPr>
            </w:pPr>
            <w:r>
              <w:rPr>
                <w:rFonts w:ascii="Arial" w:cs="Arial" w:eastAsia="Arial" w:hAnsi="Arial"/>
                <w:sz w:val="14"/>
                <w:szCs w:val="14"/>
                <w:b w:val="1"/>
                <w:bCs w:val="1"/>
                <w:color w:val="auto"/>
              </w:rPr>
              <w:t>Time-based</w:t>
            </w:r>
          </w:p>
        </w:tc>
        <w:tc>
          <w:tcPr>
            <w:tcW w:w="1160" w:type="dxa"/>
            <w:vAlign w:val="bottom"/>
          </w:tcPr>
          <w:p>
            <w:pPr>
              <w:jc w:val="right"/>
              <w:ind w:right="8"/>
              <w:spacing w:after="0" w:line="135" w:lineRule="exact"/>
              <w:rPr>
                <w:sz w:val="20"/>
                <w:szCs w:val="20"/>
                <w:color w:val="auto"/>
              </w:rPr>
            </w:pPr>
            <w:r>
              <w:rPr>
                <w:rFonts w:ascii="Arial" w:cs="Arial" w:eastAsia="Arial" w:hAnsi="Arial"/>
                <w:sz w:val="14"/>
                <w:szCs w:val="14"/>
                <w:b w:val="1"/>
                <w:bCs w:val="1"/>
                <w:color w:val="auto"/>
              </w:rPr>
              <w:t>Stock Award at</w:t>
            </w:r>
          </w:p>
        </w:tc>
        <w:tc>
          <w:tcPr>
            <w:tcW w:w="1700" w:type="dxa"/>
            <w:vAlign w:val="bottom"/>
            <w:gridSpan w:val="2"/>
          </w:tcPr>
          <w:p>
            <w:pPr>
              <w:jc w:val="right"/>
              <w:ind w:right="108"/>
              <w:spacing w:after="0" w:line="135" w:lineRule="exact"/>
              <w:rPr>
                <w:sz w:val="20"/>
                <w:szCs w:val="20"/>
                <w:color w:val="auto"/>
              </w:rPr>
            </w:pPr>
            <w:r>
              <w:rPr>
                <w:rFonts w:ascii="Arial" w:cs="Arial" w:eastAsia="Arial" w:hAnsi="Arial"/>
                <w:sz w:val="14"/>
                <w:szCs w:val="14"/>
                <w:b w:val="1"/>
                <w:bCs w:val="1"/>
                <w:color w:val="auto"/>
              </w:rPr>
              <w:t>Time-based</w:t>
            </w:r>
          </w:p>
        </w:tc>
        <w:tc>
          <w:tcPr>
            <w:tcW w:w="1160" w:type="dxa"/>
            <w:vAlign w:val="bottom"/>
          </w:tcPr>
          <w:p>
            <w:pPr>
              <w:jc w:val="right"/>
              <w:ind w:right="8"/>
              <w:spacing w:after="0" w:line="135" w:lineRule="exact"/>
              <w:rPr>
                <w:sz w:val="20"/>
                <w:szCs w:val="20"/>
                <w:color w:val="auto"/>
              </w:rPr>
            </w:pPr>
            <w:r>
              <w:rPr>
                <w:rFonts w:ascii="Arial" w:cs="Arial" w:eastAsia="Arial" w:hAnsi="Arial"/>
                <w:sz w:val="14"/>
                <w:szCs w:val="14"/>
                <w:b w:val="1"/>
                <w:bCs w:val="1"/>
                <w:color w:val="auto"/>
              </w:rPr>
              <w:t>Stock Award at</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208"/>
              <w:spacing w:after="0" w:line="135" w:lineRule="exact"/>
              <w:rPr>
                <w:sz w:val="20"/>
                <w:szCs w:val="20"/>
                <w:color w:val="auto"/>
              </w:rPr>
            </w:pPr>
            <w:r>
              <w:rPr>
                <w:rFonts w:ascii="Arial" w:cs="Arial" w:eastAsia="Arial" w:hAnsi="Arial"/>
                <w:sz w:val="14"/>
                <w:szCs w:val="14"/>
                <w:b w:val="1"/>
                <w:bCs w:val="1"/>
                <w:color w:val="auto"/>
              </w:rPr>
              <w:t>Stock</w:t>
            </w:r>
          </w:p>
        </w:tc>
        <w:tc>
          <w:tcPr>
            <w:tcW w:w="1940" w:type="dxa"/>
            <w:vAlign w:val="bottom"/>
            <w:gridSpan w:val="2"/>
          </w:tcPr>
          <w:p>
            <w:pPr>
              <w:jc w:val="right"/>
              <w:ind w:right="208"/>
              <w:spacing w:after="0" w:line="135" w:lineRule="exact"/>
              <w:rPr>
                <w:sz w:val="20"/>
                <w:szCs w:val="20"/>
                <w:color w:val="auto"/>
              </w:rPr>
            </w:pPr>
            <w:r>
              <w:rPr>
                <w:rFonts w:ascii="Arial" w:cs="Arial" w:eastAsia="Arial" w:hAnsi="Arial"/>
                <w:sz w:val="14"/>
                <w:szCs w:val="14"/>
                <w:b w:val="1"/>
                <w:bCs w:val="1"/>
                <w:color w:val="auto"/>
              </w:rPr>
              <w:t>Maximum Total Stock</w:t>
            </w:r>
          </w:p>
        </w:tc>
        <w:tc>
          <w:tcPr>
            <w:tcW w:w="84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Stock</w:t>
            </w:r>
          </w:p>
        </w:tc>
        <w:tc>
          <w:tcPr>
            <w:tcW w:w="2080" w:type="dxa"/>
            <w:vAlign w:val="bottom"/>
            <w:gridSpan w:val="2"/>
          </w:tcPr>
          <w:p>
            <w:pPr>
              <w:jc w:val="right"/>
              <w:ind w:right="228"/>
              <w:spacing w:after="0" w:line="135" w:lineRule="exact"/>
              <w:rPr>
                <w:sz w:val="20"/>
                <w:szCs w:val="20"/>
                <w:color w:val="auto"/>
              </w:rPr>
            </w:pPr>
            <w:r>
              <w:rPr>
                <w:rFonts w:ascii="Arial" w:cs="Arial" w:eastAsia="Arial" w:hAnsi="Arial"/>
                <w:sz w:val="14"/>
                <w:szCs w:val="14"/>
                <w:b w:val="1"/>
                <w:bCs w:val="1"/>
                <w:color w:val="auto"/>
              </w:rPr>
              <w:t>Maximum  Total Stock</w:t>
            </w:r>
          </w:p>
        </w:tc>
        <w:tc>
          <w:tcPr>
            <w:tcW w:w="780" w:type="dxa"/>
            <w:vAlign w:val="bottom"/>
          </w:tcPr>
          <w:p>
            <w:pPr>
              <w:jc w:val="right"/>
              <w:ind w:right="148"/>
              <w:spacing w:after="0" w:line="135" w:lineRule="exact"/>
              <w:rPr>
                <w:sz w:val="20"/>
                <w:szCs w:val="20"/>
                <w:color w:val="auto"/>
              </w:rPr>
            </w:pPr>
            <w:r>
              <w:rPr>
                <w:rFonts w:ascii="Arial" w:cs="Arial" w:eastAsia="Arial" w:hAnsi="Arial"/>
                <w:sz w:val="14"/>
                <w:szCs w:val="14"/>
                <w:b w:val="1"/>
                <w:bCs w:val="1"/>
                <w:color w:val="auto"/>
              </w:rPr>
              <w:t>Stock</w:t>
            </w:r>
          </w:p>
        </w:tc>
        <w:tc>
          <w:tcPr>
            <w:tcW w:w="2020" w:type="dxa"/>
            <w:vAlign w:val="bottom"/>
            <w:gridSpan w:val="2"/>
          </w:tcPr>
          <w:p>
            <w:pPr>
              <w:jc w:val="right"/>
              <w:ind w:right="168"/>
              <w:spacing w:after="0" w:line="135" w:lineRule="exact"/>
              <w:rPr>
                <w:sz w:val="20"/>
                <w:szCs w:val="20"/>
                <w:color w:val="auto"/>
              </w:rPr>
            </w:pPr>
            <w:r>
              <w:rPr>
                <w:rFonts w:ascii="Arial" w:cs="Arial" w:eastAsia="Arial" w:hAnsi="Arial"/>
                <w:sz w:val="14"/>
                <w:szCs w:val="14"/>
                <w:b w:val="1"/>
                <w:bCs w:val="1"/>
                <w:color w:val="auto"/>
              </w:rPr>
              <w:t>Maximum  Total Stock</w:t>
            </w:r>
          </w:p>
        </w:tc>
        <w:tc>
          <w:tcPr>
            <w:tcW w:w="0" w:type="dxa"/>
            <w:vAlign w:val="bottom"/>
          </w:tcPr>
          <w:p>
            <w:pPr>
              <w:spacing w:after="0"/>
              <w:rPr>
                <w:sz w:val="1"/>
                <w:szCs w:val="1"/>
                <w:color w:val="auto"/>
              </w:rPr>
            </w:pPr>
          </w:p>
        </w:tc>
      </w:tr>
      <w:tr>
        <w:trPr>
          <w:trHeight w:val="176"/>
        </w:trPr>
        <w:tc>
          <w:tcPr>
            <w:tcW w:w="17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Award</w:t>
            </w:r>
          </w:p>
        </w:tc>
        <w:tc>
          <w:tcPr>
            <w:tcW w:w="1040" w:type="dxa"/>
            <w:vAlign w:val="bottom"/>
          </w:tcPr>
          <w:p>
            <w:pPr>
              <w:jc w:val="center"/>
              <w:ind w:right="8"/>
              <w:spacing w:after="0"/>
              <w:rPr>
                <w:sz w:val="20"/>
                <w:szCs w:val="20"/>
                <w:color w:val="auto"/>
              </w:rPr>
            </w:pPr>
            <w:r>
              <w:rPr>
                <w:rFonts w:ascii="Arial" w:cs="Arial" w:eastAsia="Arial" w:hAnsi="Arial"/>
                <w:sz w:val="14"/>
                <w:szCs w:val="14"/>
                <w:b w:val="1"/>
                <w:bCs w:val="1"/>
                <w:color w:val="auto"/>
              </w:rPr>
              <w:t>Level</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Award</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Level</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Awards</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Award</w:t>
            </w:r>
          </w:p>
        </w:tc>
        <w:tc>
          <w:tcPr>
            <w:tcW w:w="1160" w:type="dxa"/>
            <w:vAlign w:val="bottom"/>
          </w:tcPr>
          <w:p>
            <w:pPr>
              <w:jc w:val="right"/>
              <w:ind w:right="328"/>
              <w:spacing w:after="0"/>
              <w:rPr>
                <w:sz w:val="20"/>
                <w:szCs w:val="20"/>
                <w:color w:val="auto"/>
              </w:rPr>
            </w:pPr>
            <w:r>
              <w:rPr>
                <w:rFonts w:ascii="Arial" w:cs="Arial" w:eastAsia="Arial" w:hAnsi="Arial"/>
                <w:sz w:val="14"/>
                <w:szCs w:val="14"/>
                <w:b w:val="1"/>
                <w:bCs w:val="1"/>
                <w:color w:val="auto"/>
              </w:rPr>
              <w:t>Level</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shd w:val="clear" w:color="auto" w:fill="0090DA"/>
          </w:tcPr>
          <w:p>
            <w:pPr>
              <w:spacing w:after="0" w:line="20" w:lineRule="exact"/>
              <w:rPr>
                <w:sz w:val="1"/>
                <w:szCs w:val="1"/>
                <w:color w:val="auto"/>
              </w:rPr>
            </w:pPr>
          </w:p>
        </w:tc>
        <w:tc>
          <w:tcPr>
            <w:tcW w:w="680" w:type="dxa"/>
            <w:vAlign w:val="bottom"/>
            <w:shd w:val="clear" w:color="auto" w:fill="0090DA"/>
          </w:tcPr>
          <w:p>
            <w:pPr>
              <w:spacing w:after="0" w:line="20" w:lineRule="exact"/>
              <w:rPr>
                <w:sz w:val="1"/>
                <w:szCs w:val="1"/>
                <w:color w:val="auto"/>
              </w:rPr>
            </w:pPr>
          </w:p>
        </w:tc>
        <w:tc>
          <w:tcPr>
            <w:tcW w:w="180" w:type="dxa"/>
            <w:vAlign w:val="bottom"/>
            <w:shd w:val="clear" w:color="auto" w:fill="0090DA"/>
          </w:tcPr>
          <w:p>
            <w:pPr>
              <w:spacing w:after="0" w:line="20" w:lineRule="exact"/>
              <w:rPr>
                <w:sz w:val="1"/>
                <w:szCs w:val="1"/>
                <w:color w:val="auto"/>
              </w:rPr>
            </w:pPr>
          </w:p>
        </w:tc>
        <w:tc>
          <w:tcPr>
            <w:tcW w:w="900" w:type="dxa"/>
            <w:vAlign w:val="bottom"/>
            <w:shd w:val="clear" w:color="auto" w:fill="0090DA"/>
          </w:tcPr>
          <w:p>
            <w:pPr>
              <w:spacing w:after="0" w:line="20" w:lineRule="exact"/>
              <w:rPr>
                <w:sz w:val="1"/>
                <w:szCs w:val="1"/>
                <w:color w:val="auto"/>
              </w:rPr>
            </w:pPr>
          </w:p>
        </w:tc>
        <w:tc>
          <w:tcPr>
            <w:tcW w:w="1040" w:type="dxa"/>
            <w:vAlign w:val="bottom"/>
            <w:shd w:val="clear" w:color="auto" w:fill="0090DA"/>
          </w:tcPr>
          <w:p>
            <w:pPr>
              <w:spacing w:after="0" w:line="20" w:lineRule="exact"/>
              <w:rPr>
                <w:sz w:val="1"/>
                <w:szCs w:val="1"/>
                <w:color w:val="auto"/>
              </w:rPr>
            </w:pPr>
          </w:p>
        </w:tc>
        <w:tc>
          <w:tcPr>
            <w:tcW w:w="900" w:type="dxa"/>
            <w:vAlign w:val="bottom"/>
            <w:shd w:val="clear" w:color="auto" w:fill="0090DA"/>
          </w:tcPr>
          <w:p>
            <w:pPr>
              <w:spacing w:after="0" w:line="20" w:lineRule="exact"/>
              <w:rPr>
                <w:sz w:val="1"/>
                <w:szCs w:val="1"/>
                <w:color w:val="auto"/>
              </w:rPr>
            </w:pPr>
          </w:p>
        </w:tc>
        <w:tc>
          <w:tcPr>
            <w:tcW w:w="840" w:type="dxa"/>
            <w:vAlign w:val="bottom"/>
            <w:shd w:val="clear" w:color="auto" w:fill="0090DA"/>
          </w:tcPr>
          <w:p>
            <w:pPr>
              <w:spacing w:after="0" w:line="20" w:lineRule="exact"/>
              <w:rPr>
                <w:sz w:val="1"/>
                <w:szCs w:val="1"/>
                <w:color w:val="auto"/>
              </w:rPr>
            </w:pPr>
          </w:p>
        </w:tc>
        <w:tc>
          <w:tcPr>
            <w:tcW w:w="1160" w:type="dxa"/>
            <w:vAlign w:val="bottom"/>
            <w:shd w:val="clear" w:color="auto" w:fill="0090DA"/>
          </w:tcPr>
          <w:p>
            <w:pPr>
              <w:spacing w:after="0" w:line="20" w:lineRule="exact"/>
              <w:rPr>
                <w:sz w:val="1"/>
                <w:szCs w:val="1"/>
                <w:color w:val="auto"/>
              </w:rPr>
            </w:pPr>
          </w:p>
        </w:tc>
        <w:tc>
          <w:tcPr>
            <w:tcW w:w="920" w:type="dxa"/>
            <w:vAlign w:val="bottom"/>
            <w:shd w:val="clear" w:color="auto" w:fill="0090DA"/>
          </w:tcPr>
          <w:p>
            <w:pPr>
              <w:spacing w:after="0" w:line="20" w:lineRule="exact"/>
              <w:rPr>
                <w:sz w:val="1"/>
                <w:szCs w:val="1"/>
                <w:color w:val="auto"/>
              </w:rPr>
            </w:pPr>
          </w:p>
        </w:tc>
        <w:tc>
          <w:tcPr>
            <w:tcW w:w="780" w:type="dxa"/>
            <w:vAlign w:val="bottom"/>
            <w:shd w:val="clear" w:color="auto" w:fill="0090DA"/>
          </w:tcPr>
          <w:p>
            <w:pPr>
              <w:spacing w:after="0" w:line="20" w:lineRule="exact"/>
              <w:rPr>
                <w:sz w:val="1"/>
                <w:szCs w:val="1"/>
                <w:color w:val="auto"/>
              </w:rPr>
            </w:pPr>
          </w:p>
        </w:tc>
        <w:tc>
          <w:tcPr>
            <w:tcW w:w="1160" w:type="dxa"/>
            <w:vAlign w:val="bottom"/>
            <w:shd w:val="clear" w:color="auto" w:fill="0090DA"/>
          </w:tcPr>
          <w:p>
            <w:pPr>
              <w:spacing w:after="0" w:line="20" w:lineRule="exact"/>
              <w:rPr>
                <w:sz w:val="1"/>
                <w:szCs w:val="1"/>
                <w:color w:val="auto"/>
              </w:rPr>
            </w:pPr>
          </w:p>
        </w:tc>
        <w:tc>
          <w:tcPr>
            <w:tcW w:w="860" w:type="dxa"/>
            <w:vAlign w:val="bottom"/>
            <w:shd w:val="clear" w:color="auto" w:fill="0090D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4"/>
                <w:szCs w:val="14"/>
                <w:color w:val="auto"/>
              </w:rPr>
              <w:t>Sanjay Mehrotra</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
              <w:spacing w:after="0"/>
              <w:rPr>
                <w:sz w:val="20"/>
                <w:szCs w:val="20"/>
                <w:color w:val="auto"/>
              </w:rPr>
            </w:pPr>
            <w:r>
              <w:rPr>
                <w:rFonts w:ascii="Arial" w:cs="Arial" w:eastAsia="Arial" w:hAnsi="Arial"/>
                <w:sz w:val="14"/>
                <w:szCs w:val="14"/>
                <w:color w:val="auto"/>
              </w:rPr>
              <w:t>9,249,995$</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16,927,511$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26,177,506$</w:t>
            </w:r>
          </w:p>
        </w:tc>
        <w:tc>
          <w:tcPr>
            <w:tcW w:w="840" w:type="dxa"/>
            <w:vAlign w:val="bottom"/>
          </w:tcPr>
          <w:p>
            <w:pPr>
              <w:ind w:left="140"/>
              <w:spacing w:after="0"/>
              <w:rPr>
                <w:sz w:val="20"/>
                <w:szCs w:val="20"/>
                <w:color w:val="auto"/>
              </w:rPr>
            </w:pPr>
            <w:r>
              <w:rPr>
                <w:rFonts w:ascii="Arial" w:cs="Arial" w:eastAsia="Arial" w:hAnsi="Arial"/>
                <w:sz w:val="14"/>
                <w:szCs w:val="14"/>
                <w:color w:val="auto"/>
                <w:w w:val="96"/>
              </w:rPr>
              <w:t>7,499,991$</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13,561,648$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w w:val="97"/>
              </w:rPr>
              <w:t>21,061,639$</w:t>
            </w:r>
          </w:p>
        </w:tc>
        <w:tc>
          <w:tcPr>
            <w:tcW w:w="780" w:type="dxa"/>
            <w:vAlign w:val="bottom"/>
          </w:tcPr>
          <w:p>
            <w:pPr>
              <w:jc w:val="right"/>
              <w:spacing w:after="0"/>
              <w:rPr>
                <w:sz w:val="20"/>
                <w:szCs w:val="20"/>
                <w:color w:val="auto"/>
              </w:rPr>
            </w:pPr>
            <w:r>
              <w:rPr>
                <w:rFonts w:ascii="Arial" w:cs="Arial" w:eastAsia="Arial" w:hAnsi="Arial"/>
                <w:sz w:val="14"/>
                <w:szCs w:val="14"/>
                <w:color w:val="auto"/>
                <w:w w:val="99"/>
              </w:rPr>
              <w:t>6,000,001$</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10,499,942$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16,499,943</w:t>
            </w:r>
          </w:p>
        </w:tc>
        <w:tc>
          <w:tcPr>
            <w:tcW w:w="0" w:type="dxa"/>
            <w:vAlign w:val="bottom"/>
          </w:tcPr>
          <w:p>
            <w:pPr>
              <w:spacing w:after="0"/>
              <w:rPr>
                <w:sz w:val="1"/>
                <w:szCs w:val="1"/>
                <w:color w:val="auto"/>
              </w:rPr>
            </w:pPr>
          </w:p>
        </w:tc>
      </w:tr>
      <w:tr>
        <w:trPr>
          <w:trHeight w:val="189"/>
        </w:trPr>
        <w:tc>
          <w:tcPr>
            <w:tcW w:w="1740" w:type="dxa"/>
            <w:vAlign w:val="bottom"/>
            <w:gridSpan w:val="2"/>
          </w:tcPr>
          <w:p>
            <w:pPr>
              <w:spacing w:after="0"/>
              <w:rPr>
                <w:sz w:val="20"/>
                <w:szCs w:val="20"/>
                <w:color w:val="auto"/>
              </w:rPr>
            </w:pPr>
            <w:r>
              <w:rPr>
                <w:rFonts w:ascii="Arial" w:cs="Arial" w:eastAsia="Arial" w:hAnsi="Arial"/>
                <w:sz w:val="14"/>
                <w:szCs w:val="14"/>
                <w:color w:val="auto"/>
              </w:rPr>
              <w:t>David A. Zinsner</w:t>
            </w:r>
          </w:p>
        </w:tc>
        <w:tc>
          <w:tcPr>
            <w:tcW w:w="680" w:type="dxa"/>
            <w:vAlign w:val="bottom"/>
          </w:tcPr>
          <w:p>
            <w:pPr>
              <w:spacing w:after="0"/>
              <w:rPr>
                <w:sz w:val="16"/>
                <w:szCs w:val="16"/>
                <w:color w:val="auto"/>
              </w:rPr>
            </w:pP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2,499,976</w:t>
            </w:r>
          </w:p>
        </w:tc>
        <w:tc>
          <w:tcPr>
            <w:tcW w:w="1040" w:type="dxa"/>
            <w:vAlign w:val="bottom"/>
          </w:tcPr>
          <w:p>
            <w:pPr>
              <w:jc w:val="right"/>
              <w:spacing w:after="0"/>
              <w:rPr>
                <w:sz w:val="20"/>
                <w:szCs w:val="20"/>
                <w:color w:val="auto"/>
              </w:rPr>
            </w:pPr>
            <w:r>
              <w:rPr>
                <w:rFonts w:ascii="Arial" w:cs="Arial" w:eastAsia="Arial" w:hAnsi="Arial"/>
                <w:sz w:val="14"/>
                <w:szCs w:val="14"/>
                <w:color w:val="auto"/>
              </w:rPr>
              <w:t>4,574,983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7,074,959</w:t>
            </w:r>
          </w:p>
        </w:tc>
        <w:tc>
          <w:tcPr>
            <w:tcW w:w="840" w:type="dxa"/>
            <w:vAlign w:val="bottom"/>
          </w:tcPr>
          <w:p>
            <w:pPr>
              <w:ind w:left="180"/>
              <w:spacing w:after="0"/>
              <w:rPr>
                <w:sz w:val="20"/>
                <w:szCs w:val="20"/>
                <w:color w:val="auto"/>
              </w:rPr>
            </w:pPr>
            <w:r>
              <w:rPr>
                <w:rFonts w:ascii="Arial" w:cs="Arial" w:eastAsia="Arial" w:hAnsi="Arial"/>
                <w:sz w:val="14"/>
                <w:szCs w:val="14"/>
                <w:color w:val="auto"/>
              </w:rPr>
              <w:t>2,000,010</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3,616,464</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5,616,474</w:t>
            </w:r>
          </w:p>
        </w:tc>
        <w:tc>
          <w:tcPr>
            <w:tcW w:w="780" w:type="dxa"/>
            <w:vAlign w:val="bottom"/>
          </w:tcPr>
          <w:p>
            <w:pPr>
              <w:jc w:val="right"/>
              <w:spacing w:after="0"/>
              <w:rPr>
                <w:sz w:val="20"/>
                <w:szCs w:val="20"/>
                <w:color w:val="auto"/>
              </w:rPr>
            </w:pPr>
            <w:r>
              <w:rPr>
                <w:rFonts w:ascii="Arial" w:cs="Arial" w:eastAsia="Arial" w:hAnsi="Arial"/>
                <w:sz w:val="14"/>
                <w:szCs w:val="14"/>
                <w:color w:val="auto"/>
              </w:rPr>
              <w:t>1,499,979</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2,625,056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4,125,035</w:t>
            </w:r>
          </w:p>
        </w:tc>
        <w:tc>
          <w:tcPr>
            <w:tcW w:w="0" w:type="dxa"/>
            <w:vAlign w:val="bottom"/>
          </w:tcPr>
          <w:p>
            <w:pPr>
              <w:spacing w:after="0"/>
              <w:rPr>
                <w:sz w:val="1"/>
                <w:szCs w:val="1"/>
                <w:color w:val="auto"/>
              </w:rPr>
            </w:pPr>
          </w:p>
        </w:tc>
      </w:tr>
      <w:tr>
        <w:trPr>
          <w:trHeight w:val="189"/>
        </w:trPr>
        <w:tc>
          <w:tcPr>
            <w:tcW w:w="1740" w:type="dxa"/>
            <w:vAlign w:val="bottom"/>
            <w:gridSpan w:val="2"/>
          </w:tcPr>
          <w:p>
            <w:pPr>
              <w:spacing w:after="0"/>
              <w:rPr>
                <w:sz w:val="20"/>
                <w:szCs w:val="20"/>
                <w:color w:val="auto"/>
              </w:rPr>
            </w:pPr>
            <w:r>
              <w:rPr>
                <w:rFonts w:ascii="Arial" w:cs="Arial" w:eastAsia="Arial" w:hAnsi="Arial"/>
                <w:sz w:val="14"/>
                <w:szCs w:val="14"/>
                <w:color w:val="auto"/>
              </w:rPr>
              <w:t>Manish Bhatia</w:t>
            </w:r>
          </w:p>
        </w:tc>
        <w:tc>
          <w:tcPr>
            <w:tcW w:w="680" w:type="dxa"/>
            <w:vAlign w:val="bottom"/>
          </w:tcPr>
          <w:p>
            <w:pPr>
              <w:spacing w:after="0"/>
              <w:rPr>
                <w:sz w:val="16"/>
                <w:szCs w:val="16"/>
                <w:color w:val="auto"/>
              </w:rPr>
            </w:pP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3,000,002</w:t>
            </w:r>
          </w:p>
        </w:tc>
        <w:tc>
          <w:tcPr>
            <w:tcW w:w="1040" w:type="dxa"/>
            <w:vAlign w:val="bottom"/>
          </w:tcPr>
          <w:p>
            <w:pPr>
              <w:jc w:val="right"/>
              <w:spacing w:after="0"/>
              <w:rPr>
                <w:sz w:val="20"/>
                <w:szCs w:val="20"/>
                <w:color w:val="auto"/>
              </w:rPr>
            </w:pPr>
            <w:r>
              <w:rPr>
                <w:rFonts w:ascii="Arial" w:cs="Arial" w:eastAsia="Arial" w:hAnsi="Arial"/>
                <w:sz w:val="14"/>
                <w:szCs w:val="14"/>
                <w:color w:val="auto"/>
              </w:rPr>
              <w:t>5,489,918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8,489,920</w:t>
            </w:r>
          </w:p>
        </w:tc>
        <w:tc>
          <w:tcPr>
            <w:tcW w:w="840" w:type="dxa"/>
            <w:vAlign w:val="bottom"/>
          </w:tcPr>
          <w:p>
            <w:pPr>
              <w:ind w:left="180"/>
              <w:spacing w:after="0"/>
              <w:rPr>
                <w:sz w:val="20"/>
                <w:szCs w:val="20"/>
                <w:color w:val="auto"/>
              </w:rPr>
            </w:pPr>
            <w:r>
              <w:rPr>
                <w:rFonts w:ascii="Arial" w:cs="Arial" w:eastAsia="Arial" w:hAnsi="Arial"/>
                <w:sz w:val="14"/>
                <w:szCs w:val="14"/>
                <w:color w:val="auto"/>
              </w:rPr>
              <w:t>2,500,013</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4,520,545</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7,020,558</w:t>
            </w:r>
          </w:p>
        </w:tc>
        <w:tc>
          <w:tcPr>
            <w:tcW w:w="780" w:type="dxa"/>
            <w:vAlign w:val="bottom"/>
          </w:tcPr>
          <w:p>
            <w:pPr>
              <w:jc w:val="right"/>
              <w:spacing w:after="0"/>
              <w:rPr>
                <w:sz w:val="20"/>
                <w:szCs w:val="20"/>
                <w:color w:val="auto"/>
              </w:rPr>
            </w:pPr>
            <w:r>
              <w:rPr>
                <w:rFonts w:ascii="Arial" w:cs="Arial" w:eastAsia="Arial" w:hAnsi="Arial"/>
                <w:sz w:val="14"/>
                <w:szCs w:val="14"/>
                <w:color w:val="auto"/>
              </w:rPr>
              <w:t>1,900,008</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3,324,990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5,224,998</w:t>
            </w:r>
          </w:p>
        </w:tc>
        <w:tc>
          <w:tcPr>
            <w:tcW w:w="0" w:type="dxa"/>
            <w:vAlign w:val="bottom"/>
          </w:tcPr>
          <w:p>
            <w:pPr>
              <w:spacing w:after="0"/>
              <w:rPr>
                <w:sz w:val="1"/>
                <w:szCs w:val="1"/>
                <w:color w:val="auto"/>
              </w:rPr>
            </w:pPr>
          </w:p>
        </w:tc>
      </w:tr>
      <w:tr>
        <w:trPr>
          <w:trHeight w:val="189"/>
        </w:trPr>
        <w:tc>
          <w:tcPr>
            <w:tcW w:w="1740" w:type="dxa"/>
            <w:vAlign w:val="bottom"/>
            <w:gridSpan w:val="2"/>
          </w:tcPr>
          <w:p>
            <w:pPr>
              <w:spacing w:after="0"/>
              <w:rPr>
                <w:sz w:val="20"/>
                <w:szCs w:val="20"/>
                <w:color w:val="auto"/>
              </w:rPr>
            </w:pPr>
            <w:r>
              <w:rPr>
                <w:rFonts w:ascii="Arial" w:cs="Arial" w:eastAsia="Arial" w:hAnsi="Arial"/>
                <w:sz w:val="14"/>
                <w:szCs w:val="14"/>
                <w:color w:val="auto"/>
              </w:rPr>
              <w:t>Scott J. DeBoer</w:t>
            </w:r>
          </w:p>
        </w:tc>
        <w:tc>
          <w:tcPr>
            <w:tcW w:w="680" w:type="dxa"/>
            <w:vAlign w:val="bottom"/>
          </w:tcPr>
          <w:p>
            <w:pPr>
              <w:spacing w:after="0"/>
              <w:rPr>
                <w:sz w:val="16"/>
                <w:szCs w:val="16"/>
                <w:color w:val="auto"/>
              </w:rPr>
            </w:pP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2,499,976</w:t>
            </w:r>
          </w:p>
        </w:tc>
        <w:tc>
          <w:tcPr>
            <w:tcW w:w="1040" w:type="dxa"/>
            <w:vAlign w:val="bottom"/>
          </w:tcPr>
          <w:p>
            <w:pPr>
              <w:jc w:val="right"/>
              <w:spacing w:after="0"/>
              <w:rPr>
                <w:sz w:val="20"/>
                <w:szCs w:val="20"/>
                <w:color w:val="auto"/>
              </w:rPr>
            </w:pPr>
            <w:r>
              <w:rPr>
                <w:rFonts w:ascii="Arial" w:cs="Arial" w:eastAsia="Arial" w:hAnsi="Arial"/>
                <w:sz w:val="14"/>
                <w:szCs w:val="14"/>
                <w:color w:val="auto"/>
              </w:rPr>
              <w:t>4,574,983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7,074,959</w:t>
            </w:r>
          </w:p>
        </w:tc>
        <w:tc>
          <w:tcPr>
            <w:tcW w:w="840" w:type="dxa"/>
            <w:vAlign w:val="bottom"/>
          </w:tcPr>
          <w:p>
            <w:pPr>
              <w:ind w:left="180"/>
              <w:spacing w:after="0"/>
              <w:rPr>
                <w:sz w:val="20"/>
                <w:szCs w:val="20"/>
                <w:color w:val="auto"/>
              </w:rPr>
            </w:pPr>
            <w:r>
              <w:rPr>
                <w:rFonts w:ascii="Arial" w:cs="Arial" w:eastAsia="Arial" w:hAnsi="Arial"/>
                <w:sz w:val="14"/>
                <w:szCs w:val="14"/>
                <w:color w:val="auto"/>
              </w:rPr>
              <w:t>1,874,986</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3,390,485</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5,265,471</w:t>
            </w:r>
          </w:p>
        </w:tc>
        <w:tc>
          <w:tcPr>
            <w:tcW w:w="780" w:type="dxa"/>
            <w:vAlign w:val="bottom"/>
          </w:tcPr>
          <w:p>
            <w:pPr>
              <w:jc w:val="right"/>
              <w:spacing w:after="0"/>
              <w:rPr>
                <w:sz w:val="20"/>
                <w:szCs w:val="20"/>
                <w:color w:val="auto"/>
              </w:rPr>
            </w:pPr>
            <w:r>
              <w:rPr>
                <w:rFonts w:ascii="Arial" w:cs="Arial" w:eastAsia="Arial" w:hAnsi="Arial"/>
                <w:sz w:val="14"/>
                <w:szCs w:val="14"/>
                <w:color w:val="auto"/>
              </w:rPr>
              <w:t>1,499,979</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2,625,056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4,125,035</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20"/>
                <w:szCs w:val="20"/>
                <w:color w:val="auto"/>
              </w:rPr>
            </w:pPr>
            <w:r>
              <w:rPr>
                <w:rFonts w:ascii="Arial" w:cs="Arial" w:eastAsia="Arial" w:hAnsi="Arial"/>
                <w:sz w:val="14"/>
                <w:szCs w:val="14"/>
                <w:color w:val="auto"/>
                <w:w w:val="83"/>
              </w:rPr>
              <w:t>Sumit</w:t>
            </w:r>
          </w:p>
        </w:tc>
        <w:tc>
          <w:tcPr>
            <w:tcW w:w="1420" w:type="dxa"/>
            <w:vAlign w:val="bottom"/>
            <w:shd w:val="clear" w:color="auto" w:fill="CBCBCB"/>
          </w:tcPr>
          <w:p>
            <w:pPr>
              <w:ind w:left="100"/>
              <w:spacing w:after="0"/>
              <w:rPr>
                <w:sz w:val="20"/>
                <w:szCs w:val="20"/>
                <w:color w:val="auto"/>
              </w:rPr>
            </w:pPr>
            <w:r>
              <w:rPr>
                <w:rFonts w:ascii="Arial" w:cs="Arial" w:eastAsia="Arial" w:hAnsi="Arial"/>
                <w:sz w:val="14"/>
                <w:szCs w:val="14"/>
                <w:color w:val="auto"/>
              </w:rPr>
              <w:t>Sadana</w:t>
            </w:r>
          </w:p>
        </w:tc>
        <w:tc>
          <w:tcPr>
            <w:tcW w:w="680" w:type="dxa"/>
            <w:vAlign w:val="bottom"/>
            <w:shd w:val="clear" w:color="auto" w:fill="CBCBCB"/>
          </w:tcPr>
          <w:p>
            <w:pPr>
              <w:spacing w:after="0"/>
              <w:rPr>
                <w:sz w:val="16"/>
                <w:szCs w:val="16"/>
                <w:color w:val="auto"/>
              </w:rPr>
            </w:pPr>
          </w:p>
        </w:tc>
        <w:tc>
          <w:tcPr>
            <w:tcW w:w="1080" w:type="dxa"/>
            <w:vAlign w:val="bottom"/>
            <w:gridSpan w:val="2"/>
            <w:shd w:val="clear" w:color="auto" w:fill="CBCBCB"/>
          </w:tcPr>
          <w:p>
            <w:pPr>
              <w:ind w:left="400"/>
              <w:spacing w:after="0"/>
              <w:rPr>
                <w:sz w:val="20"/>
                <w:szCs w:val="20"/>
                <w:color w:val="auto"/>
              </w:rPr>
            </w:pPr>
            <w:r>
              <w:rPr>
                <w:rFonts w:ascii="Arial" w:cs="Arial" w:eastAsia="Arial" w:hAnsi="Arial"/>
                <w:sz w:val="14"/>
                <w:szCs w:val="14"/>
                <w:color w:val="auto"/>
              </w:rPr>
              <w:t>3,249,990</w:t>
            </w:r>
          </w:p>
        </w:tc>
        <w:tc>
          <w:tcPr>
            <w:tcW w:w="10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5,947,520</w:t>
            </w:r>
          </w:p>
        </w:tc>
        <w:tc>
          <w:tcPr>
            <w:tcW w:w="900" w:type="dxa"/>
            <w:vAlign w:val="bottom"/>
            <w:shd w:val="clear" w:color="auto" w:fill="CBCBCB"/>
          </w:tcPr>
          <w:p>
            <w:pPr>
              <w:jc w:val="right"/>
              <w:ind w:right="48"/>
              <w:spacing w:after="0"/>
              <w:rPr>
                <w:sz w:val="20"/>
                <w:szCs w:val="20"/>
                <w:color w:val="auto"/>
              </w:rPr>
            </w:pPr>
            <w:r>
              <w:rPr>
                <w:rFonts w:ascii="Arial" w:cs="Arial" w:eastAsia="Arial" w:hAnsi="Arial"/>
                <w:sz w:val="14"/>
                <w:szCs w:val="14"/>
                <w:color w:val="auto"/>
              </w:rPr>
              <w:t>9,197,510</w:t>
            </w:r>
          </w:p>
        </w:tc>
        <w:tc>
          <w:tcPr>
            <w:tcW w:w="840" w:type="dxa"/>
            <w:vAlign w:val="bottom"/>
            <w:shd w:val="clear" w:color="auto" w:fill="CBCBCB"/>
          </w:tcPr>
          <w:p>
            <w:pPr>
              <w:ind w:left="180"/>
              <w:spacing w:after="0"/>
              <w:rPr>
                <w:sz w:val="20"/>
                <w:szCs w:val="20"/>
                <w:color w:val="auto"/>
              </w:rPr>
            </w:pPr>
            <w:r>
              <w:rPr>
                <w:rFonts w:ascii="Arial" w:cs="Arial" w:eastAsia="Arial" w:hAnsi="Arial"/>
                <w:sz w:val="14"/>
                <w:szCs w:val="14"/>
                <w:color w:val="auto"/>
              </w:rPr>
              <w:t>2,750,014</w:t>
            </w:r>
          </w:p>
        </w:tc>
        <w:tc>
          <w:tcPr>
            <w:tcW w:w="1160" w:type="dxa"/>
            <w:vAlign w:val="bottom"/>
            <w:shd w:val="clear" w:color="auto" w:fill="CBCBCB"/>
          </w:tcPr>
          <w:p>
            <w:pPr>
              <w:jc w:val="right"/>
              <w:ind w:right="8"/>
              <w:spacing w:after="0"/>
              <w:rPr>
                <w:sz w:val="20"/>
                <w:szCs w:val="20"/>
                <w:color w:val="auto"/>
              </w:rPr>
            </w:pPr>
            <w:r>
              <w:rPr>
                <w:rFonts w:ascii="Arial" w:cs="Arial" w:eastAsia="Arial" w:hAnsi="Arial"/>
                <w:sz w:val="14"/>
                <w:szCs w:val="14"/>
                <w:color w:val="auto"/>
              </w:rPr>
              <w:t>4,972,609</w:t>
            </w:r>
          </w:p>
        </w:tc>
        <w:tc>
          <w:tcPr>
            <w:tcW w:w="920" w:type="dxa"/>
            <w:vAlign w:val="bottom"/>
            <w:shd w:val="clear" w:color="auto" w:fill="CBCBCB"/>
          </w:tcPr>
          <w:p>
            <w:pPr>
              <w:jc w:val="right"/>
              <w:ind w:right="8"/>
              <w:spacing w:after="0"/>
              <w:rPr>
                <w:sz w:val="20"/>
                <w:szCs w:val="20"/>
                <w:color w:val="auto"/>
              </w:rPr>
            </w:pPr>
            <w:r>
              <w:rPr>
                <w:rFonts w:ascii="Arial" w:cs="Arial" w:eastAsia="Arial" w:hAnsi="Arial"/>
                <w:sz w:val="14"/>
                <w:szCs w:val="14"/>
                <w:color w:val="auto"/>
              </w:rPr>
              <w:t>7,722,623</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2,199,986</w:t>
            </w:r>
          </w:p>
        </w:tc>
        <w:tc>
          <w:tcPr>
            <w:tcW w:w="11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3,849,962</w:t>
            </w:r>
          </w:p>
        </w:tc>
        <w:tc>
          <w:tcPr>
            <w:tcW w:w="860" w:type="dxa"/>
            <w:vAlign w:val="bottom"/>
            <w:shd w:val="clear" w:color="auto" w:fill="CBCBCB"/>
          </w:tcPr>
          <w:p>
            <w:pPr>
              <w:jc w:val="right"/>
              <w:ind w:right="8"/>
              <w:spacing w:after="0"/>
              <w:rPr>
                <w:sz w:val="20"/>
                <w:szCs w:val="20"/>
                <w:color w:val="auto"/>
              </w:rPr>
            </w:pPr>
            <w:r>
              <w:rPr>
                <w:rFonts w:ascii="Arial" w:cs="Arial" w:eastAsia="Arial" w:hAnsi="Arial"/>
                <w:sz w:val="14"/>
                <w:szCs w:val="14"/>
                <w:color w:val="auto"/>
              </w:rPr>
              <w:t>6,049,948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-599440</wp:posOffset>
            </wp:positionV>
            <wp:extent cx="688340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83400" cy="1200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-359410</wp:posOffset>
            </wp:positionV>
            <wp:extent cx="688340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8340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919" w:right="339" w:bottom="1440" w:gutter="0" w:footer="0" w:header="0"/>
        </w:sectPr>
      </w:pPr>
    </w:p>
    <w:bookmarkStart w:id="57" w:name="page58"/>
    <w:bookmarkEnd w:id="57"/>
    <w:p>
      <w:pPr>
        <w:ind w:left="340" w:hanging="332"/>
        <w:spacing w:after="0" w:line="261" w:lineRule="auto"/>
        <w:tabs>
          <w:tab w:leader="none" w:pos="3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shown for each of the Named Executive Officers were paid pursuant to the EIP and relate to the achievement of certain performance milestones.</w:t>
      </w:r>
    </w:p>
    <w:p>
      <w:pPr>
        <w:spacing w:after="0" w:line="224" w:lineRule="exact"/>
        <w:rPr>
          <w:rFonts w:ascii="Arial" w:cs="Arial" w:eastAsia="Arial" w:hAnsi="Arial"/>
          <w:sz w:val="18"/>
          <w:szCs w:val="18"/>
          <w:color w:val="auto"/>
        </w:rPr>
      </w:pPr>
    </w:p>
    <w:p>
      <w:pPr>
        <w:ind w:left="340" w:right="140" w:hanging="332"/>
        <w:spacing w:after="0" w:line="251" w:lineRule="auto"/>
        <w:tabs>
          <w:tab w:leader="none" w:pos="3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2021, $14,500 was contributed for each of Messrs. Mehrotra, Zinsner, Bhatia, DeBoer, and Sadana. Includes matching contributions paid by us pursuant to our Health Savings Account in fiscal 2021 for Mr. DeBoer in the amount of $1,200. The amounts for Mr. Bhatia include payments related to his overseas assignment in Singapore, including any tax equalization payments. Employees who participate in our expatriate programs are responsible for substantially the same income tax liability as they would have been had they worked exclusively in the United States. Each expatriate employee is responsible for a hypothetical U.S. income tax liability based on an estimate of their anticipated U.S. income tax liability on their stay-at-home income, and we are responsible for income tax liabilities associated with the assignment or host country taxes, as applicable, and any additional taxes attributed to the international assignment. To the extent that tax years differ from the fiscal year in which the compensation was earned that gave rise to the expatriates’ income tax liability, or in the case that we have not reached the end of the tax year, the amount of tax equalization has been estimated. We estimate that Mr. Bhatia received or will receive no net benefit from tax equalization in 2021, 2020, and 2019 because his hypothetical U.S. tax exceeded his actual and/or estimated global (U.S. and international) taxes in each year.</w:t>
      </w:r>
    </w:p>
    <w:p>
      <w:pPr>
        <w:spacing w:after="0" w:line="23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All Other Compensation for fiscal 2021 also includes the following for the Named Executive Officers mentioned below:</w:t>
      </w:r>
    </w:p>
    <w:p>
      <w:pPr>
        <w:spacing w:after="0" w:line="252" w:lineRule="exact"/>
        <w:rPr>
          <w:rFonts w:ascii="Arial" w:cs="Arial" w:eastAsia="Arial" w:hAnsi="Arial"/>
          <w:sz w:val="18"/>
          <w:szCs w:val="18"/>
          <w:color w:val="auto"/>
        </w:rPr>
      </w:pPr>
    </w:p>
    <w:p>
      <w:pPr>
        <w:ind w:left="660" w:right="80" w:hanging="328"/>
        <w:spacing w:after="0" w:line="252" w:lineRule="auto"/>
        <w:tabs>
          <w:tab w:leader="none" w:pos="6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Amount for Mr. Mehrotra includes $566,186 for personal security arrangements. While we do not consider personal security measures to be a personal benefit, but instead appropriate expenses for the benefit of the Company that arise out of our executive’s employment responsibilities and that are necessary to his job performance and to ensure the safety of Mr. Mehrotra and his family, amounts represent payments for personal security arrangements. In determining to authorize these non-standard arrangements and expenses, the Board evaluated the need to respond to specific incidents and threats, and has reviewed recommendations from a leading security firm. In addition, the Board has an annual process for oversight of the nature and cost of security measures and will discontinue, adjust, or enhance security as appropriate.</w:t>
      </w:r>
    </w:p>
    <w:p>
      <w:pPr>
        <w:spacing w:after="0" w:line="233" w:lineRule="exact"/>
        <w:rPr>
          <w:rFonts w:ascii="Arial" w:cs="Arial" w:eastAsia="Arial" w:hAnsi="Arial"/>
          <w:sz w:val="18"/>
          <w:szCs w:val="18"/>
          <w:color w:val="auto"/>
        </w:rPr>
      </w:pPr>
    </w:p>
    <w:p>
      <w:pPr>
        <w:ind w:left="660" w:right="280"/>
        <w:spacing w:after="0" w:line="256" w:lineRule="auto"/>
        <w:rPr>
          <w:rFonts w:ascii="Arial" w:cs="Arial" w:eastAsia="Arial" w:hAnsi="Arial"/>
          <w:sz w:val="18"/>
          <w:szCs w:val="18"/>
          <w:color w:val="auto"/>
        </w:rPr>
      </w:pPr>
      <w:r>
        <w:rPr>
          <w:rFonts w:ascii="Arial" w:cs="Arial" w:eastAsia="Arial" w:hAnsi="Arial"/>
          <w:sz w:val="18"/>
          <w:szCs w:val="18"/>
          <w:color w:val="auto"/>
        </w:rPr>
        <w:t>Additionally, amount for Mr. Mehrotra includes $64,228 for the use of Company aircraft for personal travel, $16,397 for commuting expense, $1,059 for a reimbursement of federal, state, and other income taxes from imputed income related to his commuting expenses, and $3,744 in membership dues and other miscellaneous amounts.</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Amount for Mr. Bhatia includes $108,985 for cash-payment allowances to Mr. Bhatia associated with his expatriate assignment,</w:t>
      </w:r>
    </w:p>
    <w:p>
      <w:pPr>
        <w:spacing w:after="0" w:line="9" w:lineRule="exact"/>
        <w:rPr>
          <w:rFonts w:ascii="Arial" w:cs="Arial" w:eastAsia="Arial" w:hAnsi="Arial"/>
          <w:sz w:val="18"/>
          <w:szCs w:val="18"/>
          <w:color w:val="auto"/>
        </w:rPr>
      </w:pPr>
    </w:p>
    <w:p>
      <w:pPr>
        <w:ind w:left="660" w:right="180"/>
        <w:spacing w:after="0" w:line="261" w:lineRule="auto"/>
        <w:rPr>
          <w:rFonts w:ascii="Arial" w:cs="Arial" w:eastAsia="Arial" w:hAnsi="Arial"/>
          <w:sz w:val="18"/>
          <w:szCs w:val="18"/>
          <w:color w:val="auto"/>
        </w:rPr>
      </w:pPr>
      <w:r>
        <w:rPr>
          <w:rFonts w:ascii="Arial" w:cs="Arial" w:eastAsia="Arial" w:hAnsi="Arial"/>
          <w:sz w:val="18"/>
          <w:szCs w:val="18"/>
          <w:color w:val="auto"/>
        </w:rPr>
        <w:t>$288,936 in housing expenses, $147,911 in automobile expenses, and $61,464 in miscellaneous expense. Additionally, amount for Mr. Bhatia includes $398 in membership dues and other miscellaneous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51</w:t>
      </w:r>
    </w:p>
    <w:p>
      <w:pPr>
        <w:sectPr>
          <w:pgSz w:w="11900" w:h="16838" w:orient="portrait"/>
          <w:cols w:equalWidth="0" w:num="1">
            <w:col w:w="11240"/>
          </w:cols>
          <w:pgMar w:left="320" w:top="1435" w:right="339" w:bottom="1440" w:gutter="0" w:footer="0" w:header="0"/>
        </w:sectPr>
      </w:pPr>
    </w:p>
    <w:bookmarkStart w:id="58" w:name="page59"/>
    <w:bookmarkEnd w:id="58"/>
    <w:p>
      <w:pPr>
        <w:spacing w:after="0"/>
        <w:rPr>
          <w:sz w:val="20"/>
          <w:szCs w:val="20"/>
          <w:color w:val="auto"/>
        </w:rPr>
      </w:pPr>
      <w:r>
        <w:rPr>
          <w:rFonts w:ascii="Arial" w:cs="Arial" w:eastAsia="Arial" w:hAnsi="Arial"/>
          <w:sz w:val="40"/>
          <w:szCs w:val="40"/>
          <w:b w:val="1"/>
          <w:bCs w:val="1"/>
          <w:color w:val="auto"/>
        </w:rPr>
        <w:t>GRANTS OF PLAN-BASED AWARDS IN FISCAL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All Other Stock</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Estimated Future Payouts under</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5"/>
                <w:szCs w:val="5"/>
                <w:color w:val="auto"/>
              </w:rPr>
            </w:pPr>
          </w:p>
        </w:tc>
        <w:tc>
          <w:tcPr>
            <w:tcW w:w="112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94"/>
        </w:trPr>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0" w:type="dxa"/>
            <w:vAlign w:val="bottom"/>
            <w:gridSpan w:val="3"/>
            <w:vMerge w:val="restart"/>
          </w:tcPr>
          <w:p>
            <w:pPr>
              <w:jc w:val="right"/>
              <w:ind w:right="539"/>
              <w:spacing w:after="0" w:line="162" w:lineRule="exact"/>
              <w:rPr>
                <w:sz w:val="20"/>
                <w:szCs w:val="20"/>
                <w:color w:val="auto"/>
              </w:rPr>
            </w:pPr>
            <w:r>
              <w:rPr>
                <w:rFonts w:ascii="Arial" w:cs="Arial" w:eastAsia="Arial" w:hAnsi="Arial"/>
                <w:sz w:val="16"/>
                <w:szCs w:val="16"/>
                <w:b w:val="1"/>
                <w:bCs w:val="1"/>
                <w:color w:val="auto"/>
              </w:rPr>
              <w:t>Non-Equity Incentive</w:t>
            </w:r>
          </w:p>
        </w:tc>
        <w:tc>
          <w:tcPr>
            <w:tcW w:w="2760" w:type="dxa"/>
            <w:vAlign w:val="bottom"/>
            <w:gridSpan w:val="3"/>
            <w:vMerge w:val="restart"/>
          </w:tcPr>
          <w:p>
            <w:pPr>
              <w:jc w:val="center"/>
              <w:spacing w:after="0" w:line="162" w:lineRule="exact"/>
              <w:rPr>
                <w:sz w:val="20"/>
                <w:szCs w:val="20"/>
                <w:color w:val="auto"/>
              </w:rPr>
            </w:pPr>
            <w:r>
              <w:rPr>
                <w:rFonts w:ascii="Arial" w:cs="Arial" w:eastAsia="Arial" w:hAnsi="Arial"/>
                <w:sz w:val="16"/>
                <w:szCs w:val="16"/>
                <w:b w:val="1"/>
                <w:bCs w:val="1"/>
                <w:color w:val="auto"/>
              </w:rPr>
              <w:t>Estimated Future Payouts under</w:t>
            </w:r>
          </w:p>
        </w:tc>
        <w:tc>
          <w:tcPr>
            <w:tcW w:w="1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2760" w:type="dxa"/>
            <w:vAlign w:val="bottom"/>
            <w:gridSpan w:val="3"/>
            <w:vMerge w:val="continue"/>
          </w:tcPr>
          <w:p>
            <w:pPr>
              <w:spacing w:after="0"/>
              <w:rPr>
                <w:sz w:val="5"/>
                <w:szCs w:val="5"/>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Shares of</w:t>
            </w:r>
          </w:p>
        </w:tc>
        <w:tc>
          <w:tcPr>
            <w:tcW w:w="180" w:type="dxa"/>
            <w:vAlign w:val="bottom"/>
          </w:tcPr>
          <w:p>
            <w:pPr>
              <w:spacing w:after="0"/>
              <w:rPr>
                <w:sz w:val="5"/>
                <w:szCs w:val="5"/>
                <w:color w:val="auto"/>
              </w:rPr>
            </w:pPr>
          </w:p>
        </w:tc>
        <w:tc>
          <w:tcPr>
            <w:tcW w:w="112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Plan Awards(1)</w:t>
            </w:r>
          </w:p>
        </w:tc>
        <w:tc>
          <w:tcPr>
            <w:tcW w:w="27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Equity Incentive Plan Awards(2)</w:t>
            </w:r>
          </w:p>
        </w:tc>
        <w:tc>
          <w:tcPr>
            <w:tcW w:w="1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0" w:type="dxa"/>
            <w:vAlign w:val="bottom"/>
            <w:tcBorders>
              <w:bottom w:val="single" w:sz="8" w:color="0090DA"/>
            </w:tcBorders>
            <w:gridSpan w:val="3"/>
            <w:vMerge w:val="continue"/>
          </w:tcPr>
          <w:p>
            <w:pPr>
              <w:spacing w:after="0"/>
              <w:rPr>
                <w:sz w:val="10"/>
                <w:szCs w:val="10"/>
                <w:color w:val="auto"/>
              </w:rPr>
            </w:pPr>
          </w:p>
        </w:tc>
        <w:tc>
          <w:tcPr>
            <w:tcW w:w="2760" w:type="dxa"/>
            <w:vAlign w:val="bottom"/>
            <w:tcBorders>
              <w:bottom w:val="single" w:sz="8" w:color="0090DA"/>
            </w:tcBorders>
            <w:gridSpan w:val="3"/>
            <w:vMerge w:val="continue"/>
          </w:tcPr>
          <w:p>
            <w:pPr>
              <w:spacing w:after="0"/>
              <w:rPr>
                <w:sz w:val="10"/>
                <w:szCs w:val="10"/>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Stock or</w:t>
            </w:r>
          </w:p>
        </w:tc>
        <w:tc>
          <w:tcPr>
            <w:tcW w:w="18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of Stock (or</w:t>
            </w:r>
          </w:p>
        </w:tc>
        <w:tc>
          <w:tcPr>
            <w:tcW w:w="0" w:type="dxa"/>
            <w:vAlign w:val="bottom"/>
          </w:tcPr>
          <w:p>
            <w:pPr>
              <w:spacing w:after="0"/>
              <w:rPr>
                <w:sz w:val="1"/>
                <w:szCs w:val="1"/>
                <w:color w:val="auto"/>
              </w:rPr>
            </w:pPr>
          </w:p>
        </w:tc>
      </w:tr>
      <w:tr>
        <w:trPr>
          <w:trHeight w:val="21"/>
        </w:trPr>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Grant Date</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Threshold</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Target</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Threshold</w:t>
            </w:r>
          </w:p>
        </w:tc>
        <w:tc>
          <w:tcPr>
            <w:tcW w:w="9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8"/>
              </w:rPr>
              <w:t>Target</w:t>
            </w: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140" w:type="dxa"/>
            <w:vAlign w:val="bottom"/>
            <w:tcBorders>
              <w:bottom w:val="single" w:sz="8" w:color="0090DA"/>
            </w:tcBorders>
            <w:vMerge w:val="continue"/>
          </w:tcPr>
          <w:p>
            <w:pPr>
              <w:spacing w:after="0"/>
              <w:rPr>
                <w:sz w:val="18"/>
                <w:szCs w:val="18"/>
                <w:color w:val="auto"/>
              </w:rPr>
            </w:pPr>
          </w:p>
        </w:tc>
        <w:tc>
          <w:tcPr>
            <w:tcW w:w="980" w:type="dxa"/>
            <w:vAlign w:val="bottom"/>
            <w:tcBorders>
              <w:bottom w:val="single" w:sz="8" w:color="0090DA"/>
            </w:tcBorders>
            <w:vMerge w:val="continue"/>
          </w:tcPr>
          <w:p>
            <w:pPr>
              <w:spacing w:after="0"/>
              <w:rPr>
                <w:sz w:val="18"/>
                <w:szCs w:val="18"/>
                <w:color w:val="auto"/>
              </w:rPr>
            </w:pPr>
          </w:p>
        </w:tc>
        <w:tc>
          <w:tcPr>
            <w:tcW w:w="920" w:type="dxa"/>
            <w:vAlign w:val="bottom"/>
            <w:tcBorders>
              <w:bottom w:val="single" w:sz="8" w:color="0090DA"/>
            </w:tcBorders>
            <w:vMerge w:val="continue"/>
          </w:tcPr>
          <w:p>
            <w:pPr>
              <w:spacing w:after="0"/>
              <w:rPr>
                <w:sz w:val="18"/>
                <w:szCs w:val="18"/>
                <w:color w:val="auto"/>
              </w:rPr>
            </w:pPr>
          </w:p>
        </w:tc>
        <w:tc>
          <w:tcPr>
            <w:tcW w:w="920" w:type="dxa"/>
            <w:vAlign w:val="bottom"/>
            <w:tcBorders>
              <w:bottom w:val="single" w:sz="8" w:color="0090DA"/>
            </w:tcBorders>
            <w:vMerge w:val="continue"/>
          </w:tcPr>
          <w:p>
            <w:pPr>
              <w:spacing w:after="0"/>
              <w:rPr>
                <w:sz w:val="18"/>
                <w:szCs w:val="18"/>
                <w:color w:val="auto"/>
              </w:rPr>
            </w:pPr>
          </w:p>
        </w:tc>
        <w:tc>
          <w:tcPr>
            <w:tcW w:w="960" w:type="dxa"/>
            <w:vAlign w:val="bottom"/>
            <w:tcBorders>
              <w:bottom w:val="single" w:sz="8" w:color="0090DA"/>
            </w:tcBorders>
            <w:vMerge w:val="continue"/>
          </w:tcPr>
          <w:p>
            <w:pPr>
              <w:spacing w:after="0"/>
              <w:rPr>
                <w:sz w:val="18"/>
                <w:szCs w:val="18"/>
                <w:color w:val="auto"/>
              </w:rPr>
            </w:pPr>
          </w:p>
        </w:tc>
        <w:tc>
          <w:tcPr>
            <w:tcW w:w="1000" w:type="dxa"/>
            <w:vAlign w:val="bottom"/>
            <w:tcBorders>
              <w:bottom w:val="single" w:sz="8" w:color="0090DA"/>
            </w:tcBorders>
            <w:vMerge w:val="continue"/>
          </w:tcPr>
          <w:p>
            <w:pPr>
              <w:spacing w:after="0"/>
              <w:rPr>
                <w:sz w:val="18"/>
                <w:szCs w:val="18"/>
                <w:color w:val="auto"/>
              </w:rPr>
            </w:pPr>
          </w:p>
        </w:tc>
        <w:tc>
          <w:tcPr>
            <w:tcW w:w="940" w:type="dxa"/>
            <w:vAlign w:val="bottom"/>
            <w:tcBorders>
              <w:bottom w:val="single" w:sz="8" w:color="0090DA"/>
            </w:tcBorders>
            <w:vMerge w:val="continue"/>
          </w:tcPr>
          <w:p>
            <w:pPr>
              <w:spacing w:after="0"/>
              <w:rPr>
                <w:sz w:val="18"/>
                <w:szCs w:val="18"/>
                <w:color w:val="auto"/>
              </w:rPr>
            </w:pPr>
          </w:p>
        </w:tc>
        <w:tc>
          <w:tcPr>
            <w:tcW w:w="820" w:type="dxa"/>
            <w:vAlign w:val="bottom"/>
            <w:tcBorders>
              <w:bottom w:val="single" w:sz="8" w:color="0090DA"/>
            </w:tcBorders>
            <w:vMerge w:val="continue"/>
          </w:tcPr>
          <w:p>
            <w:pPr>
              <w:spacing w:after="0"/>
              <w:rPr>
                <w:sz w:val="18"/>
                <w:szCs w:val="18"/>
                <w:color w:val="auto"/>
              </w:rPr>
            </w:pPr>
          </w:p>
        </w:tc>
        <w:tc>
          <w:tcPr>
            <w:tcW w:w="12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Units(3)</w:t>
            </w:r>
          </w:p>
        </w:tc>
        <w:tc>
          <w:tcPr>
            <w:tcW w:w="18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center"/>
              <w:ind w:right="59"/>
              <w:spacing w:after="0"/>
              <w:rPr>
                <w:sz w:val="20"/>
                <w:szCs w:val="20"/>
                <w:color w:val="auto"/>
              </w:rPr>
            </w:pPr>
            <w:r>
              <w:rPr>
                <w:rFonts w:ascii="Arial" w:cs="Arial" w:eastAsia="Arial" w:hAnsi="Arial"/>
                <w:sz w:val="16"/>
                <w:szCs w:val="16"/>
                <w:b w:val="1"/>
                <w:bCs w:val="1"/>
                <w:color w:val="auto"/>
              </w:rPr>
              <w:t>Units)(4)</w:t>
            </w: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Sanjay Mehrotra</w:t>
            </w:r>
          </w:p>
        </w:tc>
        <w:tc>
          <w:tcPr>
            <w:tcW w:w="190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NA $ 1,350,000</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$ 2,700,000</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$ 5,400,000</w:t>
            </w: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jc w:val="right"/>
              <w:ind w:right="79"/>
              <w:spacing w:after="0"/>
              <w:rPr>
                <w:sz w:val="20"/>
                <w:szCs w:val="20"/>
                <w:color w:val="auto"/>
              </w:rPr>
            </w:pPr>
            <w:r>
              <w:rPr>
                <w:rFonts w:ascii="Arial" w:cs="Arial" w:eastAsia="Arial" w:hAnsi="Arial"/>
                <w:sz w:val="16"/>
                <w:szCs w:val="16"/>
                <w:color w:val="auto"/>
              </w:rPr>
              <w:t>37,620</w:t>
            </w:r>
          </w:p>
        </w:tc>
        <w:tc>
          <w:tcPr>
            <w:tcW w:w="940" w:type="dxa"/>
            <w:vAlign w:val="bottom"/>
            <w:shd w:val="clear" w:color="auto" w:fill="D1D2D4"/>
          </w:tcPr>
          <w:p>
            <w:pPr>
              <w:jc w:val="right"/>
              <w:ind w:right="99"/>
              <w:spacing w:after="0"/>
              <w:rPr>
                <w:sz w:val="20"/>
                <w:szCs w:val="20"/>
                <w:color w:val="auto"/>
              </w:rPr>
            </w:pPr>
            <w:r>
              <w:rPr>
                <w:rFonts w:ascii="Arial" w:cs="Arial" w:eastAsia="Arial" w:hAnsi="Arial"/>
                <w:sz w:val="16"/>
                <w:szCs w:val="16"/>
                <w:color w:val="auto"/>
              </w:rPr>
              <w:t>164,285</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328,570</w:t>
            </w: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9,250,000</w:t>
            </w:r>
          </w:p>
        </w:tc>
        <w:tc>
          <w:tcPr>
            <w:tcW w:w="0" w:type="dxa"/>
            <w:vAlign w:val="bottom"/>
          </w:tcPr>
          <w:p>
            <w:pPr>
              <w:spacing w:after="0"/>
              <w:rPr>
                <w:sz w:val="1"/>
                <w:szCs w:val="1"/>
                <w:color w:val="auto"/>
              </w:rPr>
            </w:pPr>
          </w:p>
        </w:tc>
      </w:tr>
      <w:tr>
        <w:trPr>
          <w:trHeight w:val="222"/>
        </w:trPr>
        <w:tc>
          <w:tcPr>
            <w:tcW w:w="2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178,090</w:t>
            </w:r>
          </w:p>
        </w:tc>
        <w:tc>
          <w:tcPr>
            <w:tcW w:w="18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9,249,995</w:t>
            </w:r>
          </w:p>
        </w:tc>
        <w:tc>
          <w:tcPr>
            <w:tcW w:w="0" w:type="dxa"/>
            <w:vAlign w:val="bottom"/>
          </w:tcPr>
          <w:p>
            <w:pPr>
              <w:spacing w:after="0"/>
              <w:rPr>
                <w:sz w:val="1"/>
                <w:szCs w:val="1"/>
                <w:color w:val="auto"/>
              </w:rPr>
            </w:pPr>
          </w:p>
        </w:tc>
      </w:tr>
      <w:tr>
        <w:trPr>
          <w:trHeight w:val="210"/>
        </w:trPr>
        <w:tc>
          <w:tcPr>
            <w:tcW w:w="2140" w:type="dxa"/>
            <w:vAlign w:val="bottom"/>
          </w:tcPr>
          <w:p>
            <w:pPr>
              <w:ind w:left="20"/>
              <w:spacing w:after="0"/>
              <w:rPr>
                <w:sz w:val="20"/>
                <w:szCs w:val="20"/>
                <w:color w:val="auto"/>
              </w:rPr>
            </w:pPr>
            <w:r>
              <w:rPr>
                <w:rFonts w:ascii="Arial" w:cs="Arial" w:eastAsia="Arial" w:hAnsi="Arial"/>
                <w:sz w:val="16"/>
                <w:szCs w:val="16"/>
                <w:color w:val="auto"/>
              </w:rPr>
              <w:t>David A. Zinsner</w:t>
            </w:r>
          </w:p>
        </w:tc>
        <w:tc>
          <w:tcPr>
            <w:tcW w:w="980" w:type="dxa"/>
            <w:vAlign w:val="bottom"/>
          </w:tcPr>
          <w:p>
            <w:pPr>
              <w:jc w:val="right"/>
              <w:spacing w:after="0"/>
              <w:rPr>
                <w:sz w:val="20"/>
                <w:szCs w:val="20"/>
                <w:color w:val="auto"/>
              </w:rPr>
            </w:pPr>
            <w:r>
              <w:rPr>
                <w:rFonts w:ascii="Arial" w:cs="Arial" w:eastAsia="Arial" w:hAnsi="Arial"/>
                <w:sz w:val="16"/>
                <w:szCs w:val="16"/>
                <w:color w:val="auto"/>
              </w:rPr>
              <w:t>NA</w:t>
            </w:r>
          </w:p>
        </w:tc>
        <w:tc>
          <w:tcPr>
            <w:tcW w:w="920" w:type="dxa"/>
            <w:vAlign w:val="bottom"/>
          </w:tcPr>
          <w:p>
            <w:pPr>
              <w:jc w:val="right"/>
              <w:spacing w:after="0"/>
              <w:rPr>
                <w:sz w:val="20"/>
                <w:szCs w:val="20"/>
                <w:color w:val="auto"/>
              </w:rPr>
            </w:pPr>
            <w:r>
              <w:rPr>
                <w:rFonts w:ascii="Arial" w:cs="Arial" w:eastAsia="Arial" w:hAnsi="Arial"/>
                <w:sz w:val="16"/>
                <w:szCs w:val="16"/>
                <w:color w:val="auto"/>
              </w:rPr>
              <w:t>331,000</w:t>
            </w:r>
          </w:p>
        </w:tc>
        <w:tc>
          <w:tcPr>
            <w:tcW w:w="920" w:type="dxa"/>
            <w:vAlign w:val="bottom"/>
          </w:tcPr>
          <w:p>
            <w:pPr>
              <w:jc w:val="right"/>
              <w:spacing w:after="0"/>
              <w:rPr>
                <w:sz w:val="20"/>
                <w:szCs w:val="20"/>
                <w:color w:val="auto"/>
              </w:rPr>
            </w:pPr>
            <w:r>
              <w:rPr>
                <w:rFonts w:ascii="Arial" w:cs="Arial" w:eastAsia="Arial" w:hAnsi="Arial"/>
                <w:sz w:val="16"/>
                <w:szCs w:val="16"/>
                <w:color w:val="auto"/>
              </w:rPr>
              <w:t>662,000</w:t>
            </w:r>
          </w:p>
        </w:tc>
        <w:tc>
          <w:tcPr>
            <w:tcW w:w="960" w:type="dxa"/>
            <w:vAlign w:val="bottom"/>
          </w:tcPr>
          <w:p>
            <w:pPr>
              <w:jc w:val="right"/>
              <w:spacing w:after="0"/>
              <w:rPr>
                <w:sz w:val="20"/>
                <w:szCs w:val="20"/>
                <w:color w:val="auto"/>
              </w:rPr>
            </w:pPr>
            <w:r>
              <w:rPr>
                <w:rFonts w:ascii="Arial" w:cs="Arial" w:eastAsia="Arial" w:hAnsi="Arial"/>
                <w:sz w:val="16"/>
                <w:szCs w:val="16"/>
                <w:color w:val="auto"/>
              </w:rPr>
              <w:t>1,324,000</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10,168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44,401</w:t>
            </w:r>
          </w:p>
        </w:tc>
        <w:tc>
          <w:tcPr>
            <w:tcW w:w="820" w:type="dxa"/>
            <w:vAlign w:val="bottom"/>
          </w:tcPr>
          <w:p>
            <w:pPr>
              <w:jc w:val="right"/>
              <w:spacing w:after="0"/>
              <w:rPr>
                <w:sz w:val="20"/>
                <w:szCs w:val="20"/>
                <w:color w:val="auto"/>
              </w:rPr>
            </w:pPr>
            <w:r>
              <w:rPr>
                <w:rFonts w:ascii="Arial" w:cs="Arial" w:eastAsia="Arial" w:hAnsi="Arial"/>
                <w:sz w:val="16"/>
                <w:szCs w:val="16"/>
                <w:color w:val="auto"/>
              </w:rPr>
              <w:t>88,802</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2,499,980</w:t>
            </w:r>
          </w:p>
        </w:tc>
        <w:tc>
          <w:tcPr>
            <w:tcW w:w="0" w:type="dxa"/>
            <w:vAlign w:val="bottom"/>
          </w:tcPr>
          <w:p>
            <w:pPr>
              <w:spacing w:after="0"/>
              <w:rPr>
                <w:sz w:val="1"/>
                <w:szCs w:val="1"/>
                <w:color w:val="auto"/>
              </w:rPr>
            </w:pPr>
          </w:p>
        </w:tc>
      </w:tr>
      <w:tr>
        <w:trPr>
          <w:trHeight w:val="219"/>
        </w:trPr>
        <w:tc>
          <w:tcPr>
            <w:tcW w:w="2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48,132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2,499,976</w:t>
            </w:r>
          </w:p>
        </w:tc>
        <w:tc>
          <w:tcPr>
            <w:tcW w:w="0" w:type="dxa"/>
            <w:vAlign w:val="bottom"/>
          </w:tcPr>
          <w:p>
            <w:pPr>
              <w:spacing w:after="0"/>
              <w:rPr>
                <w:sz w:val="1"/>
                <w:szCs w:val="1"/>
                <w:color w:val="auto"/>
              </w:rPr>
            </w:pPr>
          </w:p>
        </w:tc>
      </w:tr>
      <w:tr>
        <w:trPr>
          <w:trHeight w:val="213"/>
        </w:trPr>
        <w:tc>
          <w:tcPr>
            <w:tcW w:w="2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Manish Bhatia</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NA</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347,500</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695,000</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1,390,000</w:t>
            </w: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jc w:val="right"/>
              <w:ind w:right="79"/>
              <w:spacing w:after="0"/>
              <w:rPr>
                <w:sz w:val="20"/>
                <w:szCs w:val="20"/>
                <w:color w:val="auto"/>
              </w:rPr>
            </w:pPr>
            <w:r>
              <w:rPr>
                <w:rFonts w:ascii="Arial" w:cs="Arial" w:eastAsia="Arial" w:hAnsi="Arial"/>
                <w:sz w:val="16"/>
                <w:szCs w:val="16"/>
                <w:color w:val="auto"/>
              </w:rPr>
              <w:t>12,201</w:t>
            </w:r>
          </w:p>
        </w:tc>
        <w:tc>
          <w:tcPr>
            <w:tcW w:w="940" w:type="dxa"/>
            <w:vAlign w:val="bottom"/>
            <w:shd w:val="clear" w:color="auto" w:fill="D1D2D4"/>
          </w:tcPr>
          <w:p>
            <w:pPr>
              <w:jc w:val="right"/>
              <w:ind w:right="99"/>
              <w:spacing w:after="0"/>
              <w:rPr>
                <w:sz w:val="20"/>
                <w:szCs w:val="20"/>
                <w:color w:val="auto"/>
              </w:rPr>
            </w:pPr>
            <w:r>
              <w:rPr>
                <w:rFonts w:ascii="Arial" w:cs="Arial" w:eastAsia="Arial" w:hAnsi="Arial"/>
                <w:sz w:val="16"/>
                <w:szCs w:val="16"/>
                <w:color w:val="auto"/>
              </w:rPr>
              <w:t>53,281</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106,562</w:t>
            </w: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2,999,966</w:t>
            </w:r>
          </w:p>
        </w:tc>
        <w:tc>
          <w:tcPr>
            <w:tcW w:w="0" w:type="dxa"/>
            <w:vAlign w:val="bottom"/>
          </w:tcPr>
          <w:p>
            <w:pPr>
              <w:spacing w:after="0"/>
              <w:rPr>
                <w:sz w:val="1"/>
                <w:szCs w:val="1"/>
                <w:color w:val="auto"/>
              </w:rPr>
            </w:pPr>
          </w:p>
        </w:tc>
      </w:tr>
      <w:tr>
        <w:trPr>
          <w:trHeight w:val="222"/>
        </w:trPr>
        <w:tc>
          <w:tcPr>
            <w:tcW w:w="2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57,759</w:t>
            </w:r>
          </w:p>
        </w:tc>
        <w:tc>
          <w:tcPr>
            <w:tcW w:w="18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3,000,002</w:t>
            </w:r>
          </w:p>
        </w:tc>
        <w:tc>
          <w:tcPr>
            <w:tcW w:w="0" w:type="dxa"/>
            <w:vAlign w:val="bottom"/>
          </w:tcPr>
          <w:p>
            <w:pPr>
              <w:spacing w:after="0"/>
              <w:rPr>
                <w:sz w:val="1"/>
                <w:szCs w:val="1"/>
                <w:color w:val="auto"/>
              </w:rPr>
            </w:pPr>
          </w:p>
        </w:tc>
      </w:tr>
      <w:tr>
        <w:trPr>
          <w:trHeight w:val="210"/>
        </w:trPr>
        <w:tc>
          <w:tcPr>
            <w:tcW w:w="2140" w:type="dxa"/>
            <w:vAlign w:val="bottom"/>
          </w:tcPr>
          <w:p>
            <w:pPr>
              <w:ind w:left="20"/>
              <w:spacing w:after="0"/>
              <w:rPr>
                <w:sz w:val="20"/>
                <w:szCs w:val="20"/>
                <w:color w:val="auto"/>
              </w:rPr>
            </w:pPr>
            <w:r>
              <w:rPr>
                <w:rFonts w:ascii="Arial" w:cs="Arial" w:eastAsia="Arial" w:hAnsi="Arial"/>
                <w:sz w:val="16"/>
                <w:szCs w:val="16"/>
                <w:color w:val="auto"/>
              </w:rPr>
              <w:t>Scott J. DeBoer</w:t>
            </w:r>
          </w:p>
        </w:tc>
        <w:tc>
          <w:tcPr>
            <w:tcW w:w="980" w:type="dxa"/>
            <w:vAlign w:val="bottom"/>
          </w:tcPr>
          <w:p>
            <w:pPr>
              <w:jc w:val="right"/>
              <w:spacing w:after="0"/>
              <w:rPr>
                <w:sz w:val="20"/>
                <w:szCs w:val="20"/>
                <w:color w:val="auto"/>
              </w:rPr>
            </w:pPr>
            <w:r>
              <w:rPr>
                <w:rFonts w:ascii="Arial" w:cs="Arial" w:eastAsia="Arial" w:hAnsi="Arial"/>
                <w:sz w:val="16"/>
                <w:szCs w:val="16"/>
                <w:color w:val="auto"/>
              </w:rPr>
              <w:t>NA</w:t>
            </w:r>
          </w:p>
        </w:tc>
        <w:tc>
          <w:tcPr>
            <w:tcW w:w="920" w:type="dxa"/>
            <w:vAlign w:val="bottom"/>
          </w:tcPr>
          <w:p>
            <w:pPr>
              <w:jc w:val="right"/>
              <w:spacing w:after="0"/>
              <w:rPr>
                <w:sz w:val="20"/>
                <w:szCs w:val="20"/>
                <w:color w:val="auto"/>
              </w:rPr>
            </w:pPr>
            <w:r>
              <w:rPr>
                <w:rFonts w:ascii="Arial" w:cs="Arial" w:eastAsia="Arial" w:hAnsi="Arial"/>
                <w:sz w:val="16"/>
                <w:szCs w:val="16"/>
                <w:color w:val="auto"/>
              </w:rPr>
              <w:t>297,500</w:t>
            </w:r>
          </w:p>
        </w:tc>
        <w:tc>
          <w:tcPr>
            <w:tcW w:w="920" w:type="dxa"/>
            <w:vAlign w:val="bottom"/>
          </w:tcPr>
          <w:p>
            <w:pPr>
              <w:jc w:val="right"/>
              <w:spacing w:after="0"/>
              <w:rPr>
                <w:sz w:val="20"/>
                <w:szCs w:val="20"/>
                <w:color w:val="auto"/>
              </w:rPr>
            </w:pPr>
            <w:r>
              <w:rPr>
                <w:rFonts w:ascii="Arial" w:cs="Arial" w:eastAsia="Arial" w:hAnsi="Arial"/>
                <w:sz w:val="16"/>
                <w:szCs w:val="16"/>
                <w:color w:val="auto"/>
              </w:rPr>
              <w:t>595,000</w:t>
            </w:r>
          </w:p>
        </w:tc>
        <w:tc>
          <w:tcPr>
            <w:tcW w:w="960" w:type="dxa"/>
            <w:vAlign w:val="bottom"/>
          </w:tcPr>
          <w:p>
            <w:pPr>
              <w:jc w:val="right"/>
              <w:spacing w:after="0"/>
              <w:rPr>
                <w:sz w:val="20"/>
                <w:szCs w:val="20"/>
                <w:color w:val="auto"/>
              </w:rPr>
            </w:pPr>
            <w:r>
              <w:rPr>
                <w:rFonts w:ascii="Arial" w:cs="Arial" w:eastAsia="Arial" w:hAnsi="Arial"/>
                <w:sz w:val="16"/>
                <w:szCs w:val="16"/>
                <w:color w:val="auto"/>
              </w:rPr>
              <w:t>1,190,000</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10,168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44,401</w:t>
            </w:r>
          </w:p>
        </w:tc>
        <w:tc>
          <w:tcPr>
            <w:tcW w:w="820" w:type="dxa"/>
            <w:vAlign w:val="bottom"/>
          </w:tcPr>
          <w:p>
            <w:pPr>
              <w:jc w:val="right"/>
              <w:spacing w:after="0"/>
              <w:rPr>
                <w:sz w:val="20"/>
                <w:szCs w:val="20"/>
                <w:color w:val="auto"/>
              </w:rPr>
            </w:pPr>
            <w:r>
              <w:rPr>
                <w:rFonts w:ascii="Arial" w:cs="Arial" w:eastAsia="Arial" w:hAnsi="Arial"/>
                <w:sz w:val="16"/>
                <w:szCs w:val="16"/>
                <w:color w:val="auto"/>
              </w:rPr>
              <w:t>88,802</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2,499,980</w:t>
            </w:r>
          </w:p>
        </w:tc>
        <w:tc>
          <w:tcPr>
            <w:tcW w:w="0" w:type="dxa"/>
            <w:vAlign w:val="bottom"/>
          </w:tcPr>
          <w:p>
            <w:pPr>
              <w:spacing w:after="0"/>
              <w:rPr>
                <w:sz w:val="1"/>
                <w:szCs w:val="1"/>
                <w:color w:val="auto"/>
              </w:rPr>
            </w:pPr>
          </w:p>
        </w:tc>
      </w:tr>
      <w:tr>
        <w:trPr>
          <w:trHeight w:val="219"/>
        </w:trPr>
        <w:tc>
          <w:tcPr>
            <w:tcW w:w="2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48,132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2,499,976</w:t>
            </w:r>
          </w:p>
        </w:tc>
        <w:tc>
          <w:tcPr>
            <w:tcW w:w="0" w:type="dxa"/>
            <w:vAlign w:val="bottom"/>
          </w:tcPr>
          <w:p>
            <w:pPr>
              <w:spacing w:after="0"/>
              <w:rPr>
                <w:sz w:val="1"/>
                <w:szCs w:val="1"/>
                <w:color w:val="auto"/>
              </w:rPr>
            </w:pPr>
          </w:p>
        </w:tc>
      </w:tr>
      <w:tr>
        <w:trPr>
          <w:trHeight w:val="213"/>
        </w:trPr>
        <w:tc>
          <w:tcPr>
            <w:tcW w:w="2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Sumit Sadana</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NA</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409,750</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819,500</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1,639,000</w:t>
            </w: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jc w:val="right"/>
              <w:ind w:right="79"/>
              <w:spacing w:after="0"/>
              <w:rPr>
                <w:sz w:val="20"/>
                <w:szCs w:val="20"/>
                <w:color w:val="auto"/>
              </w:rPr>
            </w:pPr>
            <w:r>
              <w:rPr>
                <w:rFonts w:ascii="Arial" w:cs="Arial" w:eastAsia="Arial" w:hAnsi="Arial"/>
                <w:sz w:val="16"/>
                <w:szCs w:val="16"/>
                <w:color w:val="auto"/>
              </w:rPr>
              <w:t>13,218</w:t>
            </w:r>
          </w:p>
        </w:tc>
        <w:tc>
          <w:tcPr>
            <w:tcW w:w="940" w:type="dxa"/>
            <w:vAlign w:val="bottom"/>
            <w:shd w:val="clear" w:color="auto" w:fill="D1D2D4"/>
          </w:tcPr>
          <w:p>
            <w:pPr>
              <w:jc w:val="right"/>
              <w:ind w:right="99"/>
              <w:spacing w:after="0"/>
              <w:rPr>
                <w:sz w:val="20"/>
                <w:szCs w:val="20"/>
                <w:color w:val="auto"/>
              </w:rPr>
            </w:pPr>
            <w:r>
              <w:rPr>
                <w:rFonts w:ascii="Arial" w:cs="Arial" w:eastAsia="Arial" w:hAnsi="Arial"/>
                <w:sz w:val="16"/>
                <w:szCs w:val="16"/>
                <w:color w:val="auto"/>
              </w:rPr>
              <w:t>57,722</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115,444</w:t>
            </w: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3,250,016</w:t>
            </w:r>
          </w:p>
        </w:tc>
        <w:tc>
          <w:tcPr>
            <w:tcW w:w="0" w:type="dxa"/>
            <w:vAlign w:val="bottom"/>
          </w:tcPr>
          <w:p>
            <w:pPr>
              <w:spacing w:after="0"/>
              <w:rPr>
                <w:sz w:val="1"/>
                <w:szCs w:val="1"/>
                <w:color w:val="auto"/>
              </w:rPr>
            </w:pPr>
          </w:p>
        </w:tc>
      </w:tr>
      <w:tr>
        <w:trPr>
          <w:trHeight w:val="222"/>
        </w:trPr>
        <w:tc>
          <w:tcPr>
            <w:tcW w:w="2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10/16/20</w:t>
            </w:r>
          </w:p>
        </w:tc>
        <w:tc>
          <w:tcPr>
            <w:tcW w:w="92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62,572</w:t>
            </w:r>
          </w:p>
        </w:tc>
        <w:tc>
          <w:tcPr>
            <w:tcW w:w="18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3,249,990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320" w:hanging="332"/>
        <w:spacing w:after="0" w:line="256" w:lineRule="auto"/>
        <w:tabs>
          <w:tab w:leader="none" w:pos="3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estimated payouts for fiscal 2021 under the EIP. Payment of bonuses under the EIP is dependent upon meeting specified performance goals. A description of the performance milestones associated with such bonuses is included in the “Compensation Discussion and Analysis.”</w:t>
      </w:r>
    </w:p>
    <w:p>
      <w:pPr>
        <w:spacing w:after="0" w:line="161" w:lineRule="exact"/>
        <w:rPr>
          <w:rFonts w:ascii="Arial" w:cs="Arial" w:eastAsia="Arial" w:hAnsi="Arial"/>
          <w:sz w:val="18"/>
          <w:szCs w:val="18"/>
          <w:color w:val="auto"/>
        </w:rPr>
      </w:pPr>
    </w:p>
    <w:p>
      <w:pPr>
        <w:ind w:left="340" w:right="80" w:hanging="332"/>
        <w:spacing w:after="0" w:line="253" w:lineRule="auto"/>
        <w:tabs>
          <w:tab w:leader="none" w:pos="3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restricted stock units awarded in fiscal 2021 under the 2007 Plan with performance-based and market-based restrictions. The threshold amounts shown relate solely to the 2021 TSR PRSU Awards. For the 2021 High-Value Solutions PRSU Awards, achievement at the relevant threshold level results in no payout. For all PRSU awards, achievement between the threshold level and the maximum level is paid out based on interpolation between performance levels. Information related to the performance-based and market-based restrictions associated with these shares is contained in “Compensation Discussion and Analysis.”</w:t>
      </w:r>
    </w:p>
    <w:p>
      <w:pPr>
        <w:spacing w:after="0" w:line="164" w:lineRule="exact"/>
        <w:rPr>
          <w:rFonts w:ascii="Arial" w:cs="Arial" w:eastAsia="Arial" w:hAnsi="Arial"/>
          <w:sz w:val="18"/>
          <w:szCs w:val="18"/>
          <w:color w:val="auto"/>
        </w:rPr>
      </w:pPr>
    </w:p>
    <w:p>
      <w:pPr>
        <w:ind w:left="340" w:right="300" w:hanging="332"/>
        <w:spacing w:after="0" w:line="261" w:lineRule="auto"/>
        <w:tabs>
          <w:tab w:leader="none" w:pos="3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restricted stock awarded in fiscal 2021 under the 2007 Plan with time-based restrictions. Time-based restrictions on these awards lapse in three equal installments over a three-year period from the date of the award.</w:t>
      </w:r>
    </w:p>
    <w:p>
      <w:pPr>
        <w:spacing w:after="0" w:line="170" w:lineRule="exact"/>
        <w:rPr>
          <w:rFonts w:ascii="Arial" w:cs="Arial" w:eastAsia="Arial" w:hAnsi="Arial"/>
          <w:sz w:val="18"/>
          <w:szCs w:val="18"/>
          <w:color w:val="auto"/>
        </w:rPr>
      </w:pPr>
    </w:p>
    <w:p>
      <w:pPr>
        <w:ind w:left="340" w:right="340" w:hanging="332"/>
        <w:spacing w:after="0" w:line="254" w:lineRule="auto"/>
        <w:tabs>
          <w:tab w:leader="none" w:pos="3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and was computed by multiplying (i) the target number of restricted shares or units awarded to each Named Executive Officer by (ii) either (a) the closing price of our Common Stock on the last market-trading day prior to the date of grant; or (b) the fair value per share as calculated by the use of a Monte-Carlo simulation, which represents the most likely value if the award had a market condition performance goal.</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Plan Information</w:t>
      </w:r>
    </w:p>
    <w:p>
      <w:pPr>
        <w:spacing w:after="0" w:line="2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purpose of the 2007 Plan is to promote our success by linking the personal interests of our employees and officers to those of our shareholders, and by providing participants with an incentive for outstanding performance. Permissible awards under the 2007 Plan include: options, restricted stock, restricted stock units, stock appreciation rights, deferred stock units, and dividend equivalent rights. We have issued options, restricted stock, restricted stock units, and dividend equivalent rights under the 2007 Plan. Options granted under the 2007 Plan have an exercise price equal to the fair market value (as defined by the 2007 Plan) on the date of grant and, since March 2014, 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919" w:right="339" w:bottom="1440" w:gutter="0" w:footer="0" w:header="0"/>
        </w:sectPr>
      </w:pPr>
    </w:p>
    <w:bookmarkStart w:id="59" w:name="page60"/>
    <w:bookmarkEnd w:id="59"/>
    <w:p>
      <w:pPr>
        <w:ind w:right="660"/>
        <w:spacing w:after="0" w:line="261" w:lineRule="auto"/>
        <w:rPr>
          <w:sz w:val="20"/>
          <w:szCs w:val="20"/>
          <w:color w:val="auto"/>
        </w:rPr>
      </w:pPr>
      <w:r>
        <w:rPr>
          <w:rFonts w:ascii="Arial" w:cs="Arial" w:eastAsia="Arial" w:hAnsi="Arial"/>
          <w:sz w:val="18"/>
          <w:szCs w:val="18"/>
          <w:color w:val="auto"/>
        </w:rPr>
        <w:t>term of eight years. For purposes of share counting, each restricted stock unit or share of restricted stock issued under the 2007 Plan reduces the number of shares available for issuance by two.</w:t>
      </w:r>
    </w:p>
    <w:p>
      <w:pPr>
        <w:spacing w:after="0" w:line="22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in October 2021, the Compensation Committee reviewed the goals established under the EIP for fiscal 2021 and certified achievement of results.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Lapsing of Restrictions Associated with Restricted Stock and Restricted Stock Unit Awards</w:t>
      </w:r>
    </w:p>
    <w:p>
      <w:pPr>
        <w:spacing w:after="0" w:line="265"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restrictions associated with the restricted stock and restricted stock units granted to the Named Executive Officers include both time-based restrictions and performance-based restrictions. Time-based restrictions lapse in three equal installments over a three-year period. The restrictions associated with performance-based awards are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and Vesting of Performance-based Awards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7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executive officers received awards related to two performance goals: a high value solutions metric and a company valuation metric. Please see “Fiscal 2021 Executive Compensation – Fiscal 2021 Long-Term Equity Incentives” section of the “Compensation Discussion and Analysis.” The number of shares that will be received at the end of the three years varies between 0% and 200% of the targeted share amount and is dependent upon the level of achievement. All threshold, target, and maximum amounts require significant execution and effort with no assurance of achievement guaranteed. In the absence of at least the threshold targets being achieved, the restrictions will not lapse and the shares will be forfeited.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Awards</w:t>
      </w:r>
    </w:p>
    <w:p>
      <w:pPr>
        <w:spacing w:after="0" w:line="27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Bonuses were paid to the Named Executive Officers in fiscal 2021 as a result of achievement of certain goals. Please see the “Fiscal 2021 Executive Compensation – Fiscal 2021 Short-Term Incentive Awards” section of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53</w:t>
      </w:r>
    </w:p>
    <w:p>
      <w:pPr>
        <w:sectPr>
          <w:pgSz w:w="11900" w:h="16838" w:orient="portrait"/>
          <w:cols w:equalWidth="0" w:num="1">
            <w:col w:w="11240"/>
          </w:cols>
          <w:pgMar w:left="320" w:top="949" w:right="339" w:bottom="1440" w:gutter="0" w:footer="0" w:header="0"/>
        </w:sectPr>
      </w:pPr>
    </w:p>
    <w:bookmarkStart w:id="60" w:name="page61"/>
    <w:bookmarkEnd w:id="60"/>
    <w:p>
      <w:pPr>
        <w:ind w:right="4920"/>
        <w:spacing w:after="0" w:line="294" w:lineRule="auto"/>
        <w:rPr>
          <w:sz w:val="20"/>
          <w:szCs w:val="20"/>
          <w:color w:val="auto"/>
        </w:rPr>
      </w:pPr>
      <w:r>
        <w:rPr>
          <w:rFonts w:ascii="Arial" w:cs="Arial" w:eastAsia="Arial" w:hAnsi="Arial"/>
          <w:sz w:val="39"/>
          <w:szCs w:val="39"/>
          <w:b w:val="1"/>
          <w:bCs w:val="1"/>
          <w:color w:val="auto"/>
        </w:rPr>
        <w:t>OUTSTANDING EQUITY AWARDS AT 2021 FISCAL YEAR-END</w:t>
      </w:r>
    </w:p>
    <w:p>
      <w:pPr>
        <w:spacing w:after="0" w:line="11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following table provides information with respect to outstanding stock options, restricted stock, and restricted stock units held as of September 2, 2021, by our Named Executive Officers.</w:t>
      </w:r>
    </w:p>
    <w:p>
      <w:pPr>
        <w:spacing w:after="0" w:line="10" w:lineRule="exact"/>
        <w:rPr>
          <w:sz w:val="20"/>
          <w:szCs w:val="20"/>
          <w:color w:val="auto"/>
        </w:rPr>
      </w:pPr>
    </w:p>
    <w:p>
      <w:pPr>
        <w:ind w:left="3020"/>
        <w:spacing w:after="0"/>
        <w:tabs>
          <w:tab w:leader="none" w:pos="7980"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17780</wp:posOffset>
            </wp:positionV>
            <wp:extent cx="62064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Securities Underlying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2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Unexercised Options</w:t>
            </w:r>
          </w:p>
        </w:tc>
        <w:tc>
          <w:tcPr>
            <w:tcW w:w="7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1040" w:type="dxa"/>
            <w:vAlign w:val="bottom"/>
            <w:tcBorders>
              <w:bottom w:val="single" w:sz="8" w:color="0090DA"/>
            </w:tcBorders>
          </w:tcPr>
          <w:p>
            <w:pPr>
              <w:spacing w:after="0"/>
              <w:rPr>
                <w:sz w:val="3"/>
                <w:szCs w:val="3"/>
                <w:color w:val="auto"/>
              </w:rPr>
            </w:pPr>
          </w:p>
        </w:tc>
        <w:tc>
          <w:tcPr>
            <w:tcW w:w="1460" w:type="dxa"/>
            <w:vAlign w:val="bottom"/>
            <w:tcBorders>
              <w:bottom w:val="single" w:sz="8" w:color="0090DA"/>
            </w:tcBorders>
          </w:tcPr>
          <w:p>
            <w:pPr>
              <w:spacing w:after="0"/>
              <w:rPr>
                <w:sz w:val="3"/>
                <w:szCs w:val="3"/>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Exercise</w:t>
            </w:r>
          </w:p>
        </w:tc>
        <w:tc>
          <w:tcPr>
            <w:tcW w:w="86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Exercisable</w:t>
            </w:r>
          </w:p>
        </w:tc>
        <w:tc>
          <w:tcPr>
            <w:tcW w:w="14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Unexercisable</w:t>
            </w:r>
          </w:p>
        </w:tc>
        <w:tc>
          <w:tcPr>
            <w:tcW w:w="7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4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Name</w:t>
            </w:r>
          </w:p>
        </w:tc>
        <w:tc>
          <w:tcPr>
            <w:tcW w:w="10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Price</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6"/>
        </w:trPr>
        <w:tc>
          <w:tcPr>
            <w:tcW w:w="1460" w:type="dxa"/>
            <w:vAlign w:val="bottom"/>
            <w:tcBorders>
              <w:bottom w:val="single" w:sz="8" w:color="0090DA"/>
            </w:tcBorders>
            <w:vMerge w:val="continue"/>
          </w:tcPr>
          <w:p>
            <w:pPr>
              <w:spacing w:after="0"/>
              <w:rPr>
                <w:sz w:val="15"/>
                <w:szCs w:val="15"/>
                <w:color w:val="auto"/>
              </w:rPr>
            </w:pPr>
          </w:p>
        </w:tc>
        <w:tc>
          <w:tcPr>
            <w:tcW w:w="1040" w:type="dxa"/>
            <w:vAlign w:val="bottom"/>
            <w:tcBorders>
              <w:bottom w:val="single" w:sz="8" w:color="0090DA"/>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0090DA"/>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62"/>
        </w:trPr>
        <w:tc>
          <w:tcPr>
            <w:tcW w:w="22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or Units of Stock That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Awards: Number of</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Awards: Market or</w:t>
            </w:r>
          </w:p>
        </w:tc>
        <w:tc>
          <w:tcPr>
            <w:tcW w:w="0" w:type="dxa"/>
            <w:vAlign w:val="bottom"/>
          </w:tcPr>
          <w:p>
            <w:pPr>
              <w:spacing w:after="0"/>
              <w:rPr>
                <w:sz w:val="1"/>
                <w:szCs w:val="1"/>
                <w:color w:val="auto"/>
              </w:rPr>
            </w:pPr>
          </w:p>
        </w:tc>
      </w:tr>
      <w:tr>
        <w:trPr>
          <w:trHeight w:val="135"/>
        </w:trPr>
        <w:tc>
          <w:tcPr>
            <w:tcW w:w="2200" w:type="dxa"/>
            <w:vAlign w:val="bottom"/>
            <w:gridSpan w:val="2"/>
          </w:tcPr>
          <w:p>
            <w:pPr>
              <w:ind w:left="520"/>
              <w:spacing w:after="0" w:line="135" w:lineRule="exact"/>
              <w:rPr>
                <w:sz w:val="20"/>
                <w:szCs w:val="20"/>
                <w:color w:val="auto"/>
              </w:rPr>
            </w:pPr>
            <w:r>
              <w:rPr>
                <w:rFonts w:ascii="Arial" w:cs="Arial" w:eastAsia="Arial" w:hAnsi="Arial"/>
                <w:sz w:val="14"/>
                <w:szCs w:val="14"/>
                <w:b w:val="1"/>
                <w:bCs w:val="1"/>
                <w:color w:val="auto"/>
              </w:rPr>
              <w:t>Have Not Vested</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Unearned Shares,</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40"/>
        </w:trPr>
        <w:tc>
          <w:tcPr>
            <w:tcW w:w="1120" w:type="dxa"/>
            <w:vAlign w:val="bottom"/>
            <w:tcBorders>
              <w:bottom w:val="single" w:sz="8" w:color="0090DA"/>
            </w:tcBorders>
          </w:tcPr>
          <w:p>
            <w:pPr>
              <w:spacing w:after="0"/>
              <w:rPr>
                <w:sz w:val="3"/>
                <w:szCs w:val="3"/>
                <w:color w:val="auto"/>
              </w:rPr>
            </w:pPr>
          </w:p>
        </w:tc>
        <w:tc>
          <w:tcPr>
            <w:tcW w:w="1080" w:type="dxa"/>
            <w:vAlign w:val="bottom"/>
            <w:tcBorders>
              <w:bottom w:val="single" w:sz="8" w:color="0090DA"/>
            </w:tcBorders>
          </w:tcPr>
          <w:p>
            <w:pPr>
              <w:spacing w:after="0"/>
              <w:rPr>
                <w:sz w:val="3"/>
                <w:szCs w:val="3"/>
                <w:color w:val="auto"/>
              </w:rPr>
            </w:pPr>
          </w:p>
        </w:tc>
        <w:tc>
          <w:tcPr>
            <w:tcW w:w="15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Units or Other Rights</w:t>
            </w:r>
          </w:p>
        </w:tc>
        <w:tc>
          <w:tcPr>
            <w:tcW w:w="176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Unearned Shares, Units</w:t>
            </w:r>
          </w:p>
        </w:tc>
        <w:tc>
          <w:tcPr>
            <w:tcW w:w="0" w:type="dxa"/>
            <w:vAlign w:val="bottom"/>
          </w:tcPr>
          <w:p>
            <w:pPr>
              <w:spacing w:after="0"/>
              <w:rPr>
                <w:sz w:val="1"/>
                <w:szCs w:val="1"/>
                <w:color w:val="auto"/>
              </w:rPr>
            </w:pPr>
          </w:p>
        </w:tc>
      </w:tr>
      <w:tr>
        <w:trPr>
          <w:trHeight w:val="48"/>
        </w:trPr>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Number</w:t>
            </w:r>
          </w:p>
        </w:tc>
        <w:tc>
          <w:tcPr>
            <w:tcW w:w="10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Market</w:t>
            </w:r>
          </w:p>
        </w:tc>
        <w:tc>
          <w:tcPr>
            <w:tcW w:w="158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Have Not</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or Other Rights That</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0090DA"/>
            </w:tcBorders>
          </w:tcPr>
          <w:p>
            <w:pPr>
              <w:ind w:left="5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90DA"/>
            </w:tcBorders>
          </w:tcPr>
          <w:p>
            <w:pPr>
              <w:jc w:val="center"/>
              <w:ind w:left="8"/>
              <w:spacing w:after="0"/>
              <w:rPr>
                <w:sz w:val="20"/>
                <w:szCs w:val="20"/>
                <w:color w:val="auto"/>
              </w:rPr>
            </w:pPr>
            <w:r>
              <w:rPr>
                <w:rFonts w:ascii="Arial" w:cs="Arial" w:eastAsia="Arial" w:hAnsi="Arial"/>
                <w:sz w:val="14"/>
                <w:szCs w:val="14"/>
                <w:b w:val="1"/>
                <w:bCs w:val="1"/>
                <w:color w:val="auto"/>
              </w:rPr>
              <w:t>Value($)(1)</w:t>
            </w:r>
          </w:p>
        </w:tc>
        <w:tc>
          <w:tcPr>
            <w:tcW w:w="158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17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Have Not Vested($)(1)</w:t>
            </w:r>
          </w:p>
        </w:tc>
        <w:tc>
          <w:tcPr>
            <w:tcW w:w="0" w:type="dxa"/>
            <w:vAlign w:val="bottom"/>
          </w:tcPr>
          <w:p>
            <w:pPr>
              <w:spacing w:after="0"/>
              <w:rPr>
                <w:sz w:val="1"/>
                <w:szCs w:val="1"/>
                <w:color w:val="auto"/>
              </w:rPr>
            </w:pPr>
          </w:p>
        </w:tc>
      </w:tr>
    </w:tbl>
    <w:p>
      <w:pPr>
        <w:spacing w:after="0" w:line="41" w:lineRule="exact"/>
        <w:rPr>
          <w:sz w:val="20"/>
          <w:szCs w:val="20"/>
          <w:color w:val="auto"/>
        </w:rPr>
      </w:pPr>
    </w:p>
    <w:p>
      <w:pPr>
        <w:sectPr>
          <w:pgSz w:w="11900" w:h="16838" w:orient="portrait"/>
          <w:cols w:equalWidth="0" w:num="2">
            <w:col w:w="5600" w:space="100"/>
            <w:col w:w="5540"/>
          </w:cols>
          <w:pgMar w:left="320" w:top="919"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460" w:type="dxa"/>
            <w:vAlign w:val="bottom"/>
            <w:shd w:val="clear" w:color="auto" w:fill="CBCBCB"/>
          </w:tcPr>
          <w:p>
            <w:pPr>
              <w:ind w:left="20"/>
              <w:spacing w:after="0"/>
              <w:rPr>
                <w:sz w:val="20"/>
                <w:szCs w:val="20"/>
                <w:color w:val="auto"/>
              </w:rPr>
            </w:pPr>
            <w:r>
              <w:rPr>
                <w:rFonts w:ascii="Arial" w:cs="Arial" w:eastAsia="Arial" w:hAnsi="Arial"/>
                <w:sz w:val="14"/>
                <w:szCs w:val="14"/>
                <w:color w:val="auto"/>
              </w:rPr>
              <w:t>Sanjay Mehrotra</w:t>
            </w: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571,976</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BCBCB"/>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28.20</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5/8/2025</w:t>
            </w: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47,237</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3,495,066</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18,989</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w:t>
            </w:r>
          </w:p>
        </w:tc>
        <w:tc>
          <w:tcPr>
            <w:tcW w:w="540" w:type="dxa"/>
            <w:vAlign w:val="bottom"/>
            <w:shd w:val="clear" w:color="auto" w:fill="CBCBCB"/>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1,404,996</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105,231</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35,077</w:t>
            </w:r>
          </w:p>
        </w:tc>
        <w:tc>
          <w:tcPr>
            <w:tcW w:w="1040" w:type="dxa"/>
            <w:vAlign w:val="bottom"/>
            <w:shd w:val="clear" w:color="auto" w:fill="CBCBCB"/>
          </w:tcPr>
          <w:p>
            <w:pPr>
              <w:jc w:val="right"/>
              <w:ind w:right="188"/>
              <w:spacing w:after="0"/>
              <w:rPr>
                <w:sz w:val="20"/>
                <w:szCs w:val="20"/>
                <w:color w:val="auto"/>
              </w:rPr>
            </w:pPr>
            <w:r>
              <w:rPr>
                <w:rFonts w:ascii="Arial" w:cs="Arial" w:eastAsia="Arial" w:hAnsi="Arial"/>
                <w:sz w:val="14"/>
                <w:szCs w:val="14"/>
                <w:color w:val="auto"/>
              </w:rPr>
              <w:t>(4)</w:t>
            </w:r>
          </w:p>
        </w:tc>
        <w:tc>
          <w:tcPr>
            <w:tcW w:w="5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10/24/2025</w:t>
            </w: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107,619</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7,962,730</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66,213</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4,899,100</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178,090</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13,176,879</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26,586</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1,967,098</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270,229</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19,994,244</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7,157</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529,546</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89,045</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6,588,440</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75,240</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5,567,008</w:t>
            </w:r>
          </w:p>
        </w:tc>
      </w:tr>
      <w:tr>
        <w:trPr>
          <w:trHeight w:val="190"/>
        </w:trPr>
        <w:tc>
          <w:tcPr>
            <w:tcW w:w="1460" w:type="dxa"/>
            <w:vAlign w:val="bottom"/>
          </w:tcPr>
          <w:p>
            <w:pPr>
              <w:ind w:left="20"/>
              <w:spacing w:after="0"/>
              <w:rPr>
                <w:sz w:val="20"/>
                <w:szCs w:val="20"/>
                <w:color w:val="auto"/>
              </w:rPr>
            </w:pPr>
            <w:r>
              <w:rPr>
                <w:rFonts w:ascii="Arial" w:cs="Arial" w:eastAsia="Arial" w:hAnsi="Arial"/>
                <w:sz w:val="14"/>
                <w:szCs w:val="14"/>
                <w:color w:val="auto"/>
              </w:rPr>
              <w:t>David A. Zinsner</w:t>
            </w:r>
          </w:p>
        </w:tc>
        <w:tc>
          <w:tcPr>
            <w:tcW w:w="920" w:type="dxa"/>
            <w:vAlign w:val="bottom"/>
          </w:tcPr>
          <w:p>
            <w:pPr>
              <w:jc w:val="right"/>
              <w:spacing w:after="0"/>
              <w:rPr>
                <w:sz w:val="20"/>
                <w:szCs w:val="20"/>
                <w:color w:val="auto"/>
              </w:rPr>
            </w:pPr>
            <w:r>
              <w:rPr>
                <w:rFonts w:ascii="Arial" w:cs="Arial" w:eastAsia="Arial" w:hAnsi="Arial"/>
                <w:sz w:val="14"/>
                <w:szCs w:val="14"/>
                <w:color w:val="auto"/>
              </w:rPr>
              <w:t>8,050</w:t>
            </w:r>
          </w:p>
        </w:tc>
        <w:tc>
          <w:tcPr>
            <w:tcW w:w="780" w:type="dxa"/>
            <w:vAlign w:val="bottom"/>
          </w:tcPr>
          <w:p>
            <w:pPr>
              <w:jc w:val="right"/>
              <w:spacing w:after="0"/>
              <w:rPr>
                <w:sz w:val="20"/>
                <w:szCs w:val="20"/>
                <w:color w:val="auto"/>
              </w:rPr>
            </w:pPr>
            <w:r>
              <w:rPr>
                <w:rFonts w:ascii="Arial" w:cs="Arial" w:eastAsia="Arial" w:hAnsi="Arial"/>
                <w:sz w:val="14"/>
                <w:szCs w:val="14"/>
                <w:color w:val="auto"/>
              </w:rPr>
              <w:t>27,168</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(13)</w:t>
            </w:r>
          </w:p>
        </w:tc>
        <w:tc>
          <w:tcPr>
            <w:tcW w:w="560" w:type="dxa"/>
            <w:vAlign w:val="bottom"/>
          </w:tcPr>
          <w:p>
            <w:pPr>
              <w:jc w:val="right"/>
              <w:spacing w:after="0"/>
              <w:rPr>
                <w:sz w:val="20"/>
                <w:szCs w:val="20"/>
                <w:color w:val="auto"/>
              </w:rPr>
            </w:pPr>
            <w:r>
              <w:rPr>
                <w:rFonts w:ascii="Arial" w:cs="Arial" w:eastAsia="Arial" w:hAnsi="Arial"/>
                <w:sz w:val="14"/>
                <w:szCs w:val="14"/>
                <w:color w:val="auto"/>
              </w:rPr>
              <w:t>44.21</w:t>
            </w:r>
          </w:p>
        </w:tc>
        <w:tc>
          <w:tcPr>
            <w:tcW w:w="840" w:type="dxa"/>
            <w:vAlign w:val="bottom"/>
          </w:tcPr>
          <w:p>
            <w:pPr>
              <w:jc w:val="right"/>
              <w:spacing w:after="0"/>
              <w:rPr>
                <w:sz w:val="20"/>
                <w:szCs w:val="20"/>
                <w:color w:val="auto"/>
              </w:rPr>
            </w:pPr>
            <w:r>
              <w:rPr>
                <w:rFonts w:ascii="Arial" w:cs="Arial" w:eastAsia="Arial" w:hAnsi="Arial"/>
                <w:sz w:val="14"/>
                <w:szCs w:val="14"/>
                <w:color w:val="auto"/>
              </w:rPr>
              <w:t>2/19/2026</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12,017</w:t>
            </w: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889,138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4,747</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351,231</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11,809</w:t>
            </w: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873,748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16,554</w:t>
            </w:r>
          </w:p>
        </w:tc>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1,224,830</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28,699</w:t>
            </w: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2,123,439</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6,647</w:t>
            </w: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491,812</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48,132</w:t>
            </w: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3,561,287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72,176</w:t>
            </w: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5,340,302</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1,912</w:t>
            </w: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141,469</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24,066</w:t>
            </w: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1,780,643</w:t>
            </w:r>
          </w:p>
        </w:tc>
      </w:tr>
      <w:tr>
        <w:trPr>
          <w:trHeight w:val="188"/>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20,335</w:t>
            </w: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1,504,587</w:t>
            </w:r>
          </w:p>
        </w:tc>
      </w:tr>
      <w:tr>
        <w:trPr>
          <w:trHeight w:val="189"/>
        </w:trPr>
        <w:tc>
          <w:tcPr>
            <w:tcW w:w="1460" w:type="dxa"/>
            <w:vAlign w:val="bottom"/>
            <w:shd w:val="clear" w:color="auto" w:fill="CBCBCB"/>
          </w:tcPr>
          <w:p>
            <w:pPr>
              <w:ind w:left="20"/>
              <w:spacing w:after="0"/>
              <w:rPr>
                <w:sz w:val="20"/>
                <w:szCs w:val="20"/>
                <w:color w:val="auto"/>
              </w:rPr>
            </w:pPr>
            <w:r>
              <w:rPr>
                <w:rFonts w:ascii="Arial" w:cs="Arial" w:eastAsia="Arial" w:hAnsi="Arial"/>
                <w:sz w:val="14"/>
                <w:szCs w:val="14"/>
                <w:color w:val="auto"/>
              </w:rPr>
              <w:t>Manish Bhatia</w:t>
            </w: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39,987</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13,330</w:t>
            </w:r>
          </w:p>
        </w:tc>
        <w:tc>
          <w:tcPr>
            <w:tcW w:w="1040" w:type="dxa"/>
            <w:vAlign w:val="bottom"/>
            <w:shd w:val="clear" w:color="auto" w:fill="CBCBCB"/>
          </w:tcPr>
          <w:p>
            <w:pPr>
              <w:jc w:val="right"/>
              <w:ind w:right="188"/>
              <w:spacing w:after="0"/>
              <w:rPr>
                <w:sz w:val="20"/>
                <w:szCs w:val="20"/>
                <w:color w:val="auto"/>
              </w:rPr>
            </w:pPr>
            <w:r>
              <w:rPr>
                <w:rFonts w:ascii="Arial" w:cs="Arial" w:eastAsia="Arial" w:hAnsi="Arial"/>
                <w:sz w:val="14"/>
                <w:szCs w:val="14"/>
                <w:color w:val="auto"/>
              </w:rPr>
              <w:t>(4)</w:t>
            </w:r>
          </w:p>
        </w:tc>
        <w:tc>
          <w:tcPr>
            <w:tcW w:w="5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10/24/2025</w:t>
            </w: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15,471</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1,144,699</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6,013</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444,902</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14,958</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1,106,742</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20,967</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1,551,348</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35,873</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2,654,243</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8,419</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622,922</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57,759</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4,273,588</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90,655</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6,707,563</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2,400</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177,576</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28,879</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2,136,757</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24,402</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1,805,504</w:t>
            </w:r>
          </w:p>
        </w:tc>
      </w:tr>
      <w:tr>
        <w:trPr>
          <w:trHeight w:val="191"/>
        </w:trPr>
        <w:tc>
          <w:tcPr>
            <w:tcW w:w="1460" w:type="dxa"/>
            <w:vAlign w:val="bottom"/>
          </w:tcPr>
          <w:p>
            <w:pPr>
              <w:ind w:left="20"/>
              <w:spacing w:after="0"/>
              <w:rPr>
                <w:sz w:val="20"/>
                <w:szCs w:val="20"/>
                <w:color w:val="auto"/>
              </w:rPr>
            </w:pPr>
            <w:r>
              <w:rPr>
                <w:rFonts w:ascii="Arial" w:cs="Arial" w:eastAsia="Arial" w:hAnsi="Arial"/>
                <w:sz w:val="14"/>
                <w:szCs w:val="14"/>
                <w:color w:val="auto"/>
              </w:rPr>
              <w:t>Scott J. DeBoer</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8,770</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560" w:type="dxa"/>
            <w:vAlign w:val="bottom"/>
          </w:tcPr>
          <w:p>
            <w:pPr>
              <w:jc w:val="right"/>
              <w:spacing w:after="0"/>
              <w:rPr>
                <w:sz w:val="20"/>
                <w:szCs w:val="20"/>
                <w:color w:val="auto"/>
              </w:rPr>
            </w:pPr>
            <w:r>
              <w:rPr>
                <w:rFonts w:ascii="Arial" w:cs="Arial" w:eastAsia="Arial" w:hAnsi="Arial"/>
                <w:sz w:val="14"/>
                <w:szCs w:val="14"/>
                <w:color w:val="auto"/>
              </w:rPr>
              <w:t>41.56</w:t>
            </w:r>
          </w:p>
        </w:tc>
        <w:tc>
          <w:tcPr>
            <w:tcW w:w="840" w:type="dxa"/>
            <w:vAlign w:val="bottom"/>
          </w:tcPr>
          <w:p>
            <w:pPr>
              <w:jc w:val="right"/>
              <w:spacing w:after="0"/>
              <w:rPr>
                <w:sz w:val="20"/>
                <w:szCs w:val="20"/>
                <w:color w:val="auto"/>
              </w:rPr>
            </w:pPr>
            <w:r>
              <w:rPr>
                <w:rFonts w:ascii="Arial" w:cs="Arial" w:eastAsia="Arial" w:hAnsi="Arial"/>
                <w:sz w:val="14"/>
                <w:szCs w:val="14"/>
                <w:color w:val="auto"/>
              </w:rPr>
              <w:t>10/24/2025</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11,809</w:t>
            </w: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873,748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4,747</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351,231</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26,905</w:t>
            </w: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1,990,701</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16,554</w:t>
            </w:r>
          </w:p>
        </w:tc>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1,224,830</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48,132</w:t>
            </w: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3,561,287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6,647</w:t>
            </w: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491,812</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67,667</w:t>
            </w: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5,006,681</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1,792</w:t>
            </w: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132,590</w:t>
            </w:r>
          </w:p>
        </w:tc>
      </w:tr>
      <w:tr>
        <w:trPr>
          <w:trHeight w:val="189"/>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24,066</w:t>
            </w: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1,780,643</w:t>
            </w:r>
          </w:p>
        </w:tc>
      </w:tr>
      <w:tr>
        <w:trPr>
          <w:trHeight w:val="188"/>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20,335</w:t>
            </w: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1,504,587</w:t>
            </w:r>
          </w:p>
        </w:tc>
      </w:tr>
      <w:tr>
        <w:trPr>
          <w:trHeight w:val="189"/>
        </w:trPr>
        <w:tc>
          <w:tcPr>
            <w:tcW w:w="1460" w:type="dxa"/>
            <w:vAlign w:val="bottom"/>
            <w:shd w:val="clear" w:color="auto" w:fill="CBCBCB"/>
          </w:tcPr>
          <w:p>
            <w:pPr>
              <w:ind w:left="20"/>
              <w:spacing w:after="0"/>
              <w:rPr>
                <w:sz w:val="20"/>
                <w:szCs w:val="20"/>
                <w:color w:val="auto"/>
              </w:rPr>
            </w:pPr>
            <w:r>
              <w:rPr>
                <w:rFonts w:ascii="Arial" w:cs="Arial" w:eastAsia="Arial" w:hAnsi="Arial"/>
                <w:sz w:val="14"/>
                <w:szCs w:val="14"/>
                <w:color w:val="auto"/>
              </w:rPr>
              <w:t>Sumit Sadana</w:t>
            </w: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14,031</w:t>
            </w:r>
          </w:p>
        </w:tc>
        <w:tc>
          <w:tcPr>
            <w:tcW w:w="1040" w:type="dxa"/>
            <w:vAlign w:val="bottom"/>
            <w:shd w:val="clear" w:color="auto" w:fill="CBCBCB"/>
          </w:tcPr>
          <w:p>
            <w:pPr>
              <w:jc w:val="right"/>
              <w:ind w:right="188"/>
              <w:spacing w:after="0"/>
              <w:rPr>
                <w:sz w:val="20"/>
                <w:szCs w:val="20"/>
                <w:color w:val="auto"/>
              </w:rPr>
            </w:pPr>
            <w:r>
              <w:rPr>
                <w:rFonts w:ascii="Arial" w:cs="Arial" w:eastAsia="Arial" w:hAnsi="Arial"/>
                <w:sz w:val="14"/>
                <w:szCs w:val="14"/>
                <w:color w:val="auto"/>
              </w:rPr>
              <w:t>(4)</w:t>
            </w:r>
          </w:p>
        </w:tc>
        <w:tc>
          <w:tcPr>
            <w:tcW w:w="5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10/24/2025</w:t>
            </w: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17,320</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1,281,507</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6,962</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515,118</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39,461</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2,919,719</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24,278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1,796,329</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62,572</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jc w:val="right"/>
              <w:ind w:right="208"/>
              <w:spacing w:after="0"/>
              <w:rPr>
                <w:sz w:val="20"/>
                <w:szCs w:val="20"/>
                <w:color w:val="auto"/>
              </w:rPr>
            </w:pPr>
            <w:r>
              <w:rPr>
                <w:rFonts w:ascii="Arial" w:cs="Arial" w:eastAsia="Arial" w:hAnsi="Arial"/>
                <w:sz w:val="14"/>
                <w:szCs w:val="14"/>
                <w:color w:val="auto"/>
              </w:rPr>
              <w:t>4,629,702</w:t>
            </w: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9,748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721,255</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98,970</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7,322,790</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2,622</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194,002</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31,286</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2,314,851</w:t>
            </w:r>
          </w:p>
        </w:tc>
      </w:tr>
      <w:tr>
        <w:trPr>
          <w:trHeight w:val="189"/>
        </w:trPr>
        <w:tc>
          <w:tcPr>
            <w:tcW w:w="146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56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6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40" w:type="dxa"/>
            <w:vAlign w:val="bottom"/>
            <w:shd w:val="clear" w:color="auto" w:fill="CBCBCB"/>
          </w:tcPr>
          <w:p>
            <w:pPr>
              <w:spacing w:after="0"/>
              <w:rPr>
                <w:sz w:val="16"/>
                <w:szCs w:val="16"/>
                <w:color w:val="auto"/>
              </w:rPr>
            </w:pPr>
          </w:p>
        </w:tc>
        <w:tc>
          <w:tcPr>
            <w:tcW w:w="1040" w:type="dxa"/>
            <w:vAlign w:val="bottom"/>
            <w:shd w:val="clear" w:color="auto" w:fill="CBCBCB"/>
          </w:tcPr>
          <w:p>
            <w:pPr>
              <w:spacing w:after="0"/>
              <w:rPr>
                <w:sz w:val="16"/>
                <w:szCs w:val="16"/>
                <w:color w:val="auto"/>
              </w:rPr>
            </w:pPr>
          </w:p>
        </w:tc>
        <w:tc>
          <w:tcPr>
            <w:tcW w:w="94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26,436</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w:t>
            </w:r>
          </w:p>
        </w:tc>
        <w:tc>
          <w:tcPr>
            <w:tcW w:w="540" w:type="dxa"/>
            <w:vAlign w:val="bottom"/>
            <w:shd w:val="clear" w:color="auto" w:fill="CBCBCB"/>
          </w:tcPr>
          <w:p>
            <w:pPr>
              <w:spacing w:after="0"/>
              <w:rPr>
                <w:sz w:val="16"/>
                <w:szCs w:val="16"/>
                <w:color w:val="auto"/>
              </w:rPr>
            </w:pPr>
          </w:p>
        </w:tc>
        <w:tc>
          <w:tcPr>
            <w:tcW w:w="12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1,956,000</w:t>
            </w:r>
          </w:p>
        </w:tc>
      </w:tr>
      <w:tr>
        <w:trPr>
          <w:trHeight w:val="257"/>
        </w:trPr>
        <w:tc>
          <w:tcPr>
            <w:tcW w:w="1460" w:type="dxa"/>
            <w:vAlign w:val="bottom"/>
            <w:shd w:val="clear" w:color="auto" w:fill="CBCBCB"/>
          </w:tcPr>
          <w:p>
            <w:pPr>
              <w:spacing w:after="0"/>
              <w:rPr>
                <w:sz w:val="22"/>
                <w:szCs w:val="22"/>
                <w:color w:val="auto"/>
              </w:rPr>
            </w:pPr>
          </w:p>
        </w:tc>
        <w:tc>
          <w:tcPr>
            <w:tcW w:w="920" w:type="dxa"/>
            <w:vAlign w:val="bottom"/>
            <w:shd w:val="clear" w:color="auto" w:fill="CBCBCB"/>
          </w:tcPr>
          <w:p>
            <w:pPr>
              <w:spacing w:after="0"/>
              <w:rPr>
                <w:sz w:val="22"/>
                <w:szCs w:val="22"/>
                <w:color w:val="auto"/>
              </w:rPr>
            </w:pPr>
          </w:p>
        </w:tc>
        <w:tc>
          <w:tcPr>
            <w:tcW w:w="780" w:type="dxa"/>
            <w:vAlign w:val="bottom"/>
            <w:shd w:val="clear" w:color="auto" w:fill="CBCBCB"/>
          </w:tcPr>
          <w:p>
            <w:pPr>
              <w:spacing w:after="0"/>
              <w:rPr>
                <w:sz w:val="22"/>
                <w:szCs w:val="22"/>
                <w:color w:val="auto"/>
              </w:rPr>
            </w:pPr>
          </w:p>
        </w:tc>
        <w:tc>
          <w:tcPr>
            <w:tcW w:w="1040" w:type="dxa"/>
            <w:vAlign w:val="bottom"/>
            <w:shd w:val="clear" w:color="auto" w:fill="CBCBCB"/>
          </w:tcPr>
          <w:p>
            <w:pPr>
              <w:spacing w:after="0"/>
              <w:rPr>
                <w:sz w:val="22"/>
                <w:szCs w:val="22"/>
                <w:color w:val="auto"/>
              </w:rPr>
            </w:pPr>
          </w:p>
        </w:tc>
        <w:tc>
          <w:tcPr>
            <w:tcW w:w="560" w:type="dxa"/>
            <w:vAlign w:val="bottom"/>
            <w:shd w:val="clear" w:color="auto" w:fill="CBCBCB"/>
          </w:tcPr>
          <w:p>
            <w:pPr>
              <w:spacing w:after="0"/>
              <w:rPr>
                <w:sz w:val="22"/>
                <w:szCs w:val="22"/>
                <w:color w:val="auto"/>
              </w:rPr>
            </w:pPr>
          </w:p>
        </w:tc>
        <w:tc>
          <w:tcPr>
            <w:tcW w:w="840" w:type="dxa"/>
            <w:vAlign w:val="bottom"/>
            <w:shd w:val="clear" w:color="auto" w:fill="CBCBCB"/>
          </w:tcPr>
          <w:p>
            <w:pPr>
              <w:spacing w:after="0"/>
              <w:rPr>
                <w:sz w:val="22"/>
                <w:szCs w:val="22"/>
                <w:color w:val="auto"/>
              </w:rPr>
            </w:pPr>
          </w:p>
        </w:tc>
        <w:tc>
          <w:tcPr>
            <w:tcW w:w="960" w:type="dxa"/>
            <w:vAlign w:val="bottom"/>
            <w:shd w:val="clear" w:color="auto" w:fill="CBCBCB"/>
          </w:tcPr>
          <w:p>
            <w:pPr>
              <w:spacing w:after="0"/>
              <w:rPr>
                <w:sz w:val="22"/>
                <w:szCs w:val="22"/>
                <w:color w:val="auto"/>
              </w:rPr>
            </w:pPr>
          </w:p>
        </w:tc>
        <w:tc>
          <w:tcPr>
            <w:tcW w:w="360" w:type="dxa"/>
            <w:vAlign w:val="bottom"/>
            <w:shd w:val="clear" w:color="auto" w:fill="CBCBCB"/>
          </w:tcPr>
          <w:p>
            <w:pPr>
              <w:spacing w:after="0"/>
              <w:rPr>
                <w:sz w:val="22"/>
                <w:szCs w:val="22"/>
                <w:color w:val="auto"/>
              </w:rPr>
            </w:pPr>
          </w:p>
        </w:tc>
        <w:tc>
          <w:tcPr>
            <w:tcW w:w="140" w:type="dxa"/>
            <w:vAlign w:val="bottom"/>
            <w:shd w:val="clear" w:color="auto" w:fill="CBCBCB"/>
          </w:tcPr>
          <w:p>
            <w:pPr>
              <w:spacing w:after="0"/>
              <w:rPr>
                <w:sz w:val="22"/>
                <w:szCs w:val="22"/>
                <w:color w:val="auto"/>
              </w:rPr>
            </w:pPr>
          </w:p>
        </w:tc>
        <w:tc>
          <w:tcPr>
            <w:tcW w:w="1040" w:type="dxa"/>
            <w:vAlign w:val="bottom"/>
            <w:shd w:val="clear" w:color="auto" w:fill="CBCBCB"/>
          </w:tcPr>
          <w:p>
            <w:pPr>
              <w:spacing w:after="0"/>
              <w:rPr>
                <w:sz w:val="22"/>
                <w:szCs w:val="22"/>
                <w:color w:val="auto"/>
              </w:rPr>
            </w:pPr>
          </w:p>
        </w:tc>
        <w:tc>
          <w:tcPr>
            <w:tcW w:w="940" w:type="dxa"/>
            <w:vAlign w:val="bottom"/>
            <w:shd w:val="clear" w:color="auto" w:fill="CBCBCB"/>
          </w:tcPr>
          <w:p>
            <w:pPr>
              <w:spacing w:after="0"/>
              <w:rPr>
                <w:sz w:val="22"/>
                <w:szCs w:val="22"/>
                <w:color w:val="auto"/>
              </w:rPr>
            </w:pPr>
          </w:p>
        </w:tc>
        <w:tc>
          <w:tcPr>
            <w:tcW w:w="440" w:type="dxa"/>
            <w:vAlign w:val="bottom"/>
            <w:shd w:val="clear" w:color="auto" w:fill="CBCBCB"/>
          </w:tcPr>
          <w:p>
            <w:pPr>
              <w:spacing w:after="0"/>
              <w:rPr>
                <w:sz w:val="22"/>
                <w:szCs w:val="22"/>
                <w:color w:val="auto"/>
              </w:rPr>
            </w:pPr>
          </w:p>
        </w:tc>
        <w:tc>
          <w:tcPr>
            <w:tcW w:w="540" w:type="dxa"/>
            <w:vAlign w:val="bottom"/>
            <w:shd w:val="clear" w:color="auto" w:fill="CBCBCB"/>
          </w:tcPr>
          <w:p>
            <w:pPr>
              <w:spacing w:after="0"/>
              <w:rPr>
                <w:sz w:val="22"/>
                <w:szCs w:val="22"/>
                <w:color w:val="auto"/>
              </w:rPr>
            </w:pPr>
          </w:p>
        </w:tc>
        <w:tc>
          <w:tcPr>
            <w:tcW w:w="1220" w:type="dxa"/>
            <w:vAlign w:val="bottom"/>
            <w:shd w:val="clear" w:color="auto" w:fill="CBCBCB"/>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919" w:right="339" w:bottom="1440" w:gutter="0" w:footer="0" w:header="0"/>
          <w:type w:val="continuous"/>
        </w:sectPr>
      </w:pPr>
    </w:p>
    <w:bookmarkStart w:id="61" w:name="page62"/>
    <w:bookmarkEnd w:id="61"/>
    <w:p>
      <w:pPr>
        <w:ind w:left="400" w:right="220" w:hanging="392"/>
        <w:spacing w:after="0" w:line="261" w:lineRule="auto"/>
        <w:tabs>
          <w:tab w:leader="none" w:pos="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or restricted stock units by $73.99, the closing price of our Common Stock on September 2, 2021.</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shares lapsed on October 16, 2021.</w:t>
      </w:r>
    </w:p>
    <w:p>
      <w:pPr>
        <w:spacing w:after="0" w:line="198" w:lineRule="exact"/>
        <w:rPr>
          <w:rFonts w:ascii="Arial" w:cs="Arial" w:eastAsia="Arial" w:hAnsi="Arial"/>
          <w:sz w:val="18"/>
          <w:szCs w:val="18"/>
          <w:color w:val="auto"/>
        </w:rPr>
      </w:pPr>
    </w:p>
    <w:p>
      <w:pPr>
        <w:ind w:left="400" w:right="240" w:hanging="392"/>
        <w:spacing w:after="0" w:line="261" w:lineRule="auto"/>
        <w:tabs>
          <w:tab w:leader="none" w:pos="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banked number of restricted stock units. Performance-based restrictions on stock units lapsed in October 2021 based on the achievement of a free cash flow goal through fiscal 2021.</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Options vested on October 24, 2021.</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shares lapsed or will lapse, as applicable, in equal installments on October 16, 2021 and October 16, 2022.</w:t>
      </w:r>
    </w:p>
    <w:p>
      <w:pPr>
        <w:spacing w:after="0" w:line="198" w:lineRule="exact"/>
        <w:rPr>
          <w:rFonts w:ascii="Arial" w:cs="Arial" w:eastAsia="Arial" w:hAnsi="Arial"/>
          <w:sz w:val="18"/>
          <w:szCs w:val="18"/>
          <w:color w:val="auto"/>
        </w:rPr>
      </w:pPr>
    </w:p>
    <w:p>
      <w:pPr>
        <w:ind w:left="400" w:right="240" w:hanging="392"/>
        <w:spacing w:after="0" w:line="261" w:lineRule="auto"/>
        <w:tabs>
          <w:tab w:leader="none" w:pos="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banked number of restricted stock units. Performance-based restrictions on stock units lapsed in October 2021 based on the achievement of a high value solutions sales goal through fiscal 2020.</w:t>
      </w:r>
    </w:p>
    <w:p>
      <w:pPr>
        <w:spacing w:after="0" w:line="157" w:lineRule="exact"/>
        <w:rPr>
          <w:rFonts w:ascii="Arial" w:cs="Arial" w:eastAsia="Arial" w:hAnsi="Arial"/>
          <w:sz w:val="18"/>
          <w:szCs w:val="18"/>
          <w:color w:val="auto"/>
        </w:rPr>
      </w:pPr>
    </w:p>
    <w:p>
      <w:pPr>
        <w:ind w:left="400" w:right="40" w:hanging="392"/>
        <w:spacing w:after="0" w:line="261" w:lineRule="auto"/>
        <w:tabs>
          <w:tab w:leader="none" w:pos="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shares lapsed or will lapse, as applicable, in equal installments on October 16, 2021, October 16, 2022, and October 16, 2023.</w:t>
      </w:r>
    </w:p>
    <w:p>
      <w:pPr>
        <w:spacing w:after="0" w:line="157" w:lineRule="exact"/>
        <w:rPr>
          <w:rFonts w:ascii="Arial" w:cs="Arial" w:eastAsia="Arial" w:hAnsi="Arial"/>
          <w:sz w:val="18"/>
          <w:szCs w:val="18"/>
          <w:color w:val="auto"/>
        </w:rPr>
      </w:pPr>
    </w:p>
    <w:p>
      <w:pPr>
        <w:ind w:left="400" w:right="240" w:hanging="392"/>
        <w:spacing w:after="0" w:line="261" w:lineRule="auto"/>
        <w:tabs>
          <w:tab w:leader="none" w:pos="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banked number of restricted stock units. Performance-based restrictions on stock units lapsed in October 2021 based on the achievement of a company valuation goal through fiscal 2019.</w:t>
      </w:r>
    </w:p>
    <w:p>
      <w:pPr>
        <w:spacing w:after="0" w:line="170" w:lineRule="exact"/>
        <w:rPr>
          <w:rFonts w:ascii="Arial" w:cs="Arial" w:eastAsia="Arial" w:hAnsi="Arial"/>
          <w:sz w:val="18"/>
          <w:szCs w:val="18"/>
          <w:color w:val="auto"/>
        </w:rPr>
      </w:pPr>
    </w:p>
    <w:p>
      <w:pPr>
        <w:ind w:left="400" w:right="540" w:hanging="392"/>
        <w:spacing w:after="0" w:line="291" w:lineRule="auto"/>
        <w:tabs>
          <w:tab w:leader="none" w:pos="393"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Represents the banked number of restricted stock units. Performance-based restrictions on stock units lapsed or will lapse, as applicable, in October 2021 and October 2022 based on the achievement of a high value solutions sales goal through fiscal 2020.</w:t>
      </w:r>
    </w:p>
    <w:p>
      <w:pPr>
        <w:spacing w:after="0" w:line="133" w:lineRule="exact"/>
        <w:rPr>
          <w:rFonts w:ascii="Arial" w:cs="Arial" w:eastAsia="Arial" w:hAnsi="Arial"/>
          <w:sz w:val="17"/>
          <w:szCs w:val="17"/>
          <w:color w:val="auto"/>
        </w:rPr>
      </w:pPr>
    </w:p>
    <w:p>
      <w:pPr>
        <w:ind w:left="400" w:right="820" w:hanging="392"/>
        <w:spacing w:after="0" w:line="261" w:lineRule="auto"/>
        <w:tabs>
          <w:tab w:leader="none" w:pos="3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banked number of restricted stock units. Performance-based restrictions on stock units lapsed or will lapse, as applicable, in October 2021 and October 2022 based on the achievement of an rTSR goal through fiscal 2021.</w:t>
      </w:r>
    </w:p>
    <w:p>
      <w:pPr>
        <w:spacing w:after="0" w:line="157" w:lineRule="exact"/>
        <w:rPr>
          <w:rFonts w:ascii="Arial" w:cs="Arial" w:eastAsia="Arial" w:hAnsi="Arial"/>
          <w:sz w:val="18"/>
          <w:szCs w:val="18"/>
          <w:color w:val="auto"/>
        </w:rPr>
      </w:pPr>
    </w:p>
    <w:p>
      <w:pPr>
        <w:ind w:left="400" w:right="660" w:hanging="392"/>
        <w:spacing w:after="0" w:line="261" w:lineRule="auto"/>
        <w:tabs>
          <w:tab w:leader="none" w:pos="3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in October 2022 and October 2023 based on the achievement of a high value solutions sales goal through fiscal 2022 and 2023.</w:t>
      </w:r>
    </w:p>
    <w:p>
      <w:pPr>
        <w:spacing w:after="0" w:line="170" w:lineRule="exact"/>
        <w:rPr>
          <w:rFonts w:ascii="Arial" w:cs="Arial" w:eastAsia="Arial" w:hAnsi="Arial"/>
          <w:sz w:val="18"/>
          <w:szCs w:val="18"/>
          <w:color w:val="auto"/>
        </w:rPr>
      </w:pPr>
    </w:p>
    <w:p>
      <w:pPr>
        <w:ind w:left="400" w:right="660" w:hanging="392"/>
        <w:spacing w:after="0" w:line="261" w:lineRule="auto"/>
        <w:tabs>
          <w:tab w:leader="none" w:pos="3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in October 2022 and October 2023 based on the achievement of a rTSR goal through fiscal 2022 and 2023.</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Options vest on February 19, 2022.</w:t>
      </w:r>
    </w:p>
    <w:p>
      <w:pPr>
        <w:spacing w:after="0" w:line="184" w:lineRule="exact"/>
        <w:rPr>
          <w:rFonts w:ascii="Arial" w:cs="Arial" w:eastAsia="Arial" w:hAnsi="Arial"/>
          <w:sz w:val="18"/>
          <w:szCs w:val="18"/>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shares lapse on February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55</w:t>
      </w:r>
    </w:p>
    <w:p>
      <w:pPr>
        <w:sectPr>
          <w:pgSz w:w="11900" w:h="16838" w:orient="portrait"/>
          <w:cols w:equalWidth="0" w:num="1">
            <w:col w:w="11240"/>
          </w:cols>
          <w:pgMar w:left="320" w:top="949" w:right="339" w:bottom="1440" w:gutter="0" w:footer="0" w:header="0"/>
        </w:sectPr>
      </w:pPr>
    </w:p>
    <w:bookmarkStart w:id="62" w:name="page63"/>
    <w:bookmarkEnd w:id="62"/>
    <w:p>
      <w:pPr>
        <w:spacing w:after="0"/>
        <w:rPr>
          <w:sz w:val="20"/>
          <w:szCs w:val="20"/>
          <w:color w:val="auto"/>
        </w:rPr>
      </w:pPr>
      <w:r>
        <w:rPr>
          <w:rFonts w:ascii="Arial" w:cs="Arial" w:eastAsia="Arial" w:hAnsi="Arial"/>
          <w:sz w:val="40"/>
          <w:szCs w:val="40"/>
          <w:b w:val="1"/>
          <w:bCs w:val="1"/>
          <w:color w:val="auto"/>
        </w:rPr>
        <w:t>OPTION EXERCISES AND STOCK VESTED IN FISCAL 2021</w:t>
      </w:r>
    </w:p>
    <w:p>
      <w:pPr>
        <w:spacing w:after="0" w:line="28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2021 and the value realized.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2660" w:type="dxa"/>
            <w:vAlign w:val="bottom"/>
            <w:tcBorders>
              <w:bottom w:val="single" w:sz="8" w:color="0090DA"/>
            </w:tcBorders>
            <w:gridSpan w:val="3"/>
          </w:tcPr>
          <w:p>
            <w:pPr>
              <w:jc w:val="right"/>
              <w:ind w:right="733"/>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760" w:type="dxa"/>
            <w:vAlign w:val="bottom"/>
            <w:tcBorders>
              <w:bottom w:val="single" w:sz="8" w:color="0090DA"/>
            </w:tcBorders>
            <w:gridSpan w:val="3"/>
          </w:tcPr>
          <w:p>
            <w:pPr>
              <w:jc w:val="center"/>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 Shares</w:t>
            </w: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Value Realized on</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 Shares</w:t>
            </w:r>
          </w:p>
        </w:tc>
        <w:tc>
          <w:tcPr>
            <w:tcW w:w="146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35"/>
        </w:trPr>
        <w:tc>
          <w:tcPr>
            <w:tcW w:w="5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Acquired on</w:t>
            </w:r>
          </w:p>
        </w:tc>
        <w:tc>
          <w:tcPr>
            <w:tcW w:w="1460" w:type="dxa"/>
            <w:vAlign w:val="bottom"/>
            <w:gridSpan w:val="3"/>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Acquired on</w:t>
            </w: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720" w:type="dxa"/>
            <w:vAlign w:val="bottom"/>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Exercise(1)</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Vesting(2)</w:t>
            </w:r>
          </w:p>
        </w:tc>
        <w:tc>
          <w:tcPr>
            <w:tcW w:w="260" w:type="dxa"/>
            <w:vAlign w:val="bottom"/>
          </w:tcPr>
          <w:p>
            <w:pPr>
              <w:spacing w:after="0"/>
              <w:rPr>
                <w:sz w:val="15"/>
                <w:szCs w:val="15"/>
                <w:color w:val="auto"/>
              </w:rPr>
            </w:pP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Vesting(3)</w:t>
            </w:r>
          </w:p>
        </w:tc>
        <w:tc>
          <w:tcPr>
            <w:tcW w:w="0" w:type="dxa"/>
            <w:vAlign w:val="bottom"/>
          </w:tcPr>
          <w:p>
            <w:pPr>
              <w:spacing w:after="0"/>
              <w:rPr>
                <w:sz w:val="1"/>
                <w:szCs w:val="1"/>
                <w:color w:val="auto"/>
              </w:rPr>
            </w:pPr>
          </w:p>
        </w:tc>
      </w:tr>
      <w:tr>
        <w:trPr>
          <w:trHeight w:val="34"/>
        </w:trPr>
        <w:tc>
          <w:tcPr>
            <w:tcW w:w="572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CBCB"/>
          </w:tcPr>
          <w:p>
            <w:pPr>
              <w:spacing w:after="0"/>
              <w:rPr>
                <w:sz w:val="19"/>
                <w:szCs w:val="19"/>
                <w:color w:val="auto"/>
              </w:rPr>
            </w:pPr>
          </w:p>
        </w:tc>
        <w:tc>
          <w:tcPr>
            <w:tcW w:w="1240" w:type="dxa"/>
            <w:vAlign w:val="bottom"/>
            <w:gridSpan w:val="2"/>
            <w:shd w:val="clear" w:color="auto" w:fill="CBCBCB"/>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448,662</w:t>
            </w:r>
          </w:p>
        </w:tc>
        <w:tc>
          <w:tcPr>
            <w:tcW w:w="260" w:type="dxa"/>
            <w:vAlign w:val="bottom"/>
            <w:shd w:val="clear" w:color="auto" w:fill="CBCBCB"/>
          </w:tcPr>
          <w:p>
            <w:pPr>
              <w:jc w:val="right"/>
              <w:ind w:right="3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29,223,664</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1300" w:type="dxa"/>
            <w:vAlign w:val="bottom"/>
          </w:tcPr>
          <w:p>
            <w:pPr>
              <w:jc w:val="right"/>
              <w:spacing w:after="0"/>
              <w:rPr>
                <w:sz w:val="20"/>
                <w:szCs w:val="20"/>
                <w:color w:val="auto"/>
              </w:rPr>
            </w:pPr>
            <w:r>
              <w:rPr>
                <w:rFonts w:ascii="Arial" w:cs="Arial" w:eastAsia="Arial" w:hAnsi="Arial"/>
                <w:sz w:val="18"/>
                <w:szCs w:val="18"/>
                <w:color w:val="auto"/>
              </w:rPr>
              <w:t>73,451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2,685,147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103,167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6,785,728</w:t>
            </w:r>
          </w:p>
        </w:tc>
        <w:tc>
          <w:tcPr>
            <w:tcW w:w="0" w:type="dxa"/>
            <w:vAlign w:val="bottom"/>
          </w:tcPr>
          <w:p>
            <w:pPr>
              <w:spacing w:after="0"/>
              <w:rPr>
                <w:sz w:val="1"/>
                <w:szCs w:val="1"/>
                <w:color w:val="auto"/>
              </w:rPr>
            </w:pPr>
          </w:p>
        </w:tc>
      </w:tr>
      <w:tr>
        <w:trPr>
          <w:trHeight w:val="229"/>
        </w:trPr>
        <w:tc>
          <w:tcPr>
            <w:tcW w:w="572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CBCB"/>
          </w:tcPr>
          <w:p>
            <w:pPr>
              <w:spacing w:after="0"/>
              <w:rPr>
                <w:sz w:val="19"/>
                <w:szCs w:val="19"/>
                <w:color w:val="auto"/>
              </w:rPr>
            </w:pPr>
          </w:p>
        </w:tc>
        <w:tc>
          <w:tcPr>
            <w:tcW w:w="1240" w:type="dxa"/>
            <w:vAlign w:val="bottom"/>
            <w:gridSpan w:val="2"/>
            <w:shd w:val="clear" w:color="auto" w:fill="CBCBCB"/>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144,007</w:t>
            </w:r>
          </w:p>
        </w:tc>
        <w:tc>
          <w:tcPr>
            <w:tcW w:w="260" w:type="dxa"/>
            <w:vAlign w:val="bottom"/>
            <w:shd w:val="clear" w:color="auto" w:fill="CBCBCB"/>
          </w:tcPr>
          <w:p>
            <w:pPr>
              <w:spacing w:after="0"/>
              <w:rPr>
                <w:sz w:val="19"/>
                <w:szCs w:val="19"/>
                <w:color w:val="auto"/>
              </w:rPr>
            </w:pP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8,737,054</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300" w:type="dxa"/>
            <w:vAlign w:val="bottom"/>
          </w:tcPr>
          <w:p>
            <w:pPr>
              <w:jc w:val="right"/>
              <w:spacing w:after="0"/>
              <w:rPr>
                <w:sz w:val="20"/>
                <w:szCs w:val="20"/>
                <w:color w:val="auto"/>
              </w:rPr>
            </w:pPr>
            <w:r>
              <w:rPr>
                <w:rFonts w:ascii="Arial" w:cs="Arial" w:eastAsia="Arial" w:hAnsi="Arial"/>
                <w:sz w:val="18"/>
                <w:szCs w:val="18"/>
                <w:color w:val="auto"/>
              </w:rPr>
              <w:t>75,267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3,528,328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109,885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6,664,569</w:t>
            </w:r>
          </w:p>
        </w:tc>
        <w:tc>
          <w:tcPr>
            <w:tcW w:w="0" w:type="dxa"/>
            <w:vAlign w:val="bottom"/>
          </w:tcPr>
          <w:p>
            <w:pPr>
              <w:spacing w:after="0"/>
              <w:rPr>
                <w:sz w:val="1"/>
                <w:szCs w:val="1"/>
                <w:color w:val="auto"/>
              </w:rPr>
            </w:pPr>
          </w:p>
        </w:tc>
      </w:tr>
      <w:tr>
        <w:trPr>
          <w:trHeight w:val="229"/>
        </w:trPr>
        <w:tc>
          <w:tcPr>
            <w:tcW w:w="572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100,177</w:t>
            </w:r>
          </w:p>
        </w:tc>
        <w:tc>
          <w:tcPr>
            <w:tcW w:w="220" w:type="dxa"/>
            <w:vAlign w:val="bottom"/>
            <w:shd w:val="clear" w:color="auto" w:fill="CBCBCB"/>
          </w:tcPr>
          <w:p>
            <w:pPr>
              <w:spacing w:after="0"/>
              <w:rPr>
                <w:sz w:val="19"/>
                <w:szCs w:val="19"/>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4,454,410</w:t>
            </w:r>
          </w:p>
        </w:tc>
        <w:tc>
          <w:tcPr>
            <w:tcW w:w="100" w:type="dxa"/>
            <w:vAlign w:val="bottom"/>
            <w:shd w:val="clear" w:color="auto" w:fill="CBCBCB"/>
          </w:tcPr>
          <w:p>
            <w:pPr>
              <w:spacing w:after="0"/>
              <w:rPr>
                <w:sz w:val="19"/>
                <w:szCs w:val="19"/>
                <w:color w:val="auto"/>
              </w:rPr>
            </w:pP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149,543</w:t>
            </w:r>
          </w:p>
        </w:tc>
        <w:tc>
          <w:tcPr>
            <w:tcW w:w="260" w:type="dxa"/>
            <w:vAlign w:val="bottom"/>
            <w:shd w:val="clear" w:color="auto" w:fill="CBCBCB"/>
          </w:tcPr>
          <w:p>
            <w:pPr>
              <w:spacing w:after="0"/>
              <w:rPr>
                <w:sz w:val="19"/>
                <w:szCs w:val="19"/>
                <w:color w:val="auto"/>
              </w:rPr>
            </w:pP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9,337,633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460" w:hanging="332"/>
        <w:spacing w:after="0" w:line="261" w:lineRule="auto"/>
        <w:tabs>
          <w:tab w:leader="none" w:pos="3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Calculated as the aggregate value of the number of options exercised multiplied by the difference between the fair market value per share at the time of the exercise and the exercise price of the option.</w:t>
      </w:r>
    </w:p>
    <w:p>
      <w:pPr>
        <w:spacing w:after="0" w:line="157" w:lineRule="exact"/>
        <w:rPr>
          <w:rFonts w:ascii="Arial" w:cs="Arial" w:eastAsia="Arial" w:hAnsi="Arial"/>
          <w:sz w:val="18"/>
          <w:szCs w:val="18"/>
          <w:color w:val="auto"/>
        </w:rPr>
      </w:pPr>
    </w:p>
    <w:p>
      <w:pPr>
        <w:ind w:left="340" w:right="60" w:hanging="332"/>
        <w:spacing w:after="0" w:line="253" w:lineRule="auto"/>
        <w:tabs>
          <w:tab w:leader="none" w:pos="3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performance-based restricted units vested in October 2021 based on performance completed by the end of fiscal 2021 and performance-based restricted units for which time-based restrictions lapsed in fiscal 2021 but for which the performance condition had been met in prior years. Excludes performance-based restricted units vested in October 2020 based on performance completed by the end of fiscal 2020 and performance-based restricted units with time-based restrictions that had met the performance-based condition but for which the time-based restriction had not lapsed by the end of fiscal 2021.</w:t>
      </w:r>
    </w:p>
    <w:p>
      <w:pPr>
        <w:spacing w:after="0" w:line="164"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2021 NONQUALIFIED DEFERRED COMPENSATION</w:t>
      </w:r>
    </w:p>
    <w:p>
      <w:pPr>
        <w:spacing w:after="0" w:line="28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Mr. Mehrotra is the only Named Executive Officer who has participated in the Micron Technology, Inc. Deferred Compensation Plan (the “Deferred Compensation Plan”) through the end of fiscal 2021.</w:t>
      </w: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jc w:val="center"/>
              <w:ind w:right="99"/>
              <w:spacing w:after="0" w:line="171" w:lineRule="exact"/>
              <w:rPr>
                <w:sz w:val="20"/>
                <w:szCs w:val="20"/>
                <w:color w:val="auto"/>
              </w:rPr>
            </w:pPr>
            <w:r>
              <w:rPr>
                <w:rFonts w:ascii="Arial" w:cs="Arial" w:eastAsia="Arial" w:hAnsi="Arial"/>
                <w:sz w:val="16"/>
                <w:szCs w:val="16"/>
                <w:b w:val="1"/>
                <w:bCs w:val="1"/>
                <w:color w:val="auto"/>
              </w:rPr>
              <w:t>Executive</w:t>
            </w:r>
          </w:p>
        </w:tc>
        <w:tc>
          <w:tcPr>
            <w:tcW w:w="220" w:type="dxa"/>
            <w:vAlign w:val="bottom"/>
          </w:tcPr>
          <w:p>
            <w:pPr>
              <w:spacing w:after="0"/>
              <w:rPr>
                <w:sz w:val="14"/>
                <w:szCs w:val="14"/>
                <w:color w:val="auto"/>
              </w:rPr>
            </w:pPr>
          </w:p>
        </w:tc>
        <w:tc>
          <w:tcPr>
            <w:tcW w:w="1300" w:type="dxa"/>
            <w:vAlign w:val="bottom"/>
          </w:tcPr>
          <w:p>
            <w:pPr>
              <w:jc w:val="center"/>
              <w:ind w:right="219"/>
              <w:spacing w:after="0" w:line="171" w:lineRule="exact"/>
              <w:rPr>
                <w:sz w:val="20"/>
                <w:szCs w:val="20"/>
                <w:color w:val="auto"/>
              </w:rPr>
            </w:pPr>
            <w:r>
              <w:rPr>
                <w:rFonts w:ascii="Arial" w:cs="Arial" w:eastAsia="Arial" w:hAnsi="Arial"/>
                <w:sz w:val="16"/>
                <w:szCs w:val="16"/>
                <w:b w:val="1"/>
                <w:bCs w:val="1"/>
                <w:color w:val="auto"/>
              </w:rPr>
              <w:t>Registrant</w:t>
            </w:r>
          </w:p>
        </w:tc>
        <w:tc>
          <w:tcPr>
            <w:tcW w:w="12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Aggregate</w:t>
            </w:r>
          </w:p>
        </w:tc>
        <w:tc>
          <w:tcPr>
            <w:tcW w:w="380" w:type="dxa"/>
            <w:vAlign w:val="bottom"/>
          </w:tcPr>
          <w:p>
            <w:pPr>
              <w:spacing w:after="0"/>
              <w:rPr>
                <w:sz w:val="14"/>
                <w:szCs w:val="14"/>
                <w:color w:val="auto"/>
              </w:rPr>
            </w:pPr>
          </w:p>
        </w:tc>
        <w:tc>
          <w:tcPr>
            <w:tcW w:w="16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Aggregate</w:t>
            </w:r>
          </w:p>
        </w:tc>
        <w:tc>
          <w:tcPr>
            <w:tcW w:w="100" w:type="dxa"/>
            <w:vAlign w:val="bottom"/>
          </w:tcPr>
          <w:p>
            <w:pPr>
              <w:spacing w:after="0"/>
              <w:rPr>
                <w:sz w:val="14"/>
                <w:szCs w:val="14"/>
                <w:color w:val="auto"/>
              </w:rPr>
            </w:pPr>
          </w:p>
        </w:tc>
        <w:tc>
          <w:tcPr>
            <w:tcW w:w="1300" w:type="dxa"/>
            <w:vAlign w:val="bottom"/>
          </w:tcPr>
          <w:p>
            <w:pPr>
              <w:jc w:val="center"/>
              <w:ind w:right="19"/>
              <w:spacing w:after="0" w:line="171" w:lineRule="exact"/>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520" w:type="dxa"/>
            <w:vAlign w:val="bottom"/>
            <w:gridSpan w:val="2"/>
          </w:tcPr>
          <w:p>
            <w:pPr>
              <w:jc w:val="center"/>
              <w:ind w:left="1119"/>
              <w:spacing w:after="0" w:line="162" w:lineRule="exact"/>
              <w:rPr>
                <w:sz w:val="20"/>
                <w:szCs w:val="20"/>
                <w:color w:val="auto"/>
              </w:rPr>
            </w:pPr>
            <w:r>
              <w:rPr>
                <w:rFonts w:ascii="Arial" w:cs="Arial" w:eastAsia="Arial" w:hAnsi="Arial"/>
                <w:sz w:val="16"/>
                <w:szCs w:val="16"/>
                <w:b w:val="1"/>
                <w:bCs w:val="1"/>
                <w:color w:val="auto"/>
              </w:rPr>
              <w:t>Contributions in</w:t>
            </w: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Contributions in</w:t>
            </w:r>
          </w:p>
        </w:tc>
        <w:tc>
          <w:tcPr>
            <w:tcW w:w="12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Balance at Last</w:t>
            </w:r>
          </w:p>
        </w:tc>
        <w:tc>
          <w:tcPr>
            <w:tcW w:w="0" w:type="dxa"/>
            <w:vAlign w:val="bottom"/>
          </w:tcPr>
          <w:p>
            <w:pPr>
              <w:spacing w:after="0"/>
              <w:rPr>
                <w:sz w:val="1"/>
                <w:szCs w:val="1"/>
                <w:color w:val="auto"/>
              </w:rPr>
            </w:pPr>
          </w:p>
        </w:tc>
      </w:tr>
      <w:tr>
        <w:trPr>
          <w:trHeight w:val="162"/>
        </w:trPr>
        <w:tc>
          <w:tcPr>
            <w:tcW w:w="2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520" w:type="dxa"/>
            <w:vAlign w:val="bottom"/>
            <w:gridSpan w:val="2"/>
          </w:tcPr>
          <w:p>
            <w:pPr>
              <w:jc w:val="center"/>
              <w:ind w:left="1119"/>
              <w:spacing w:after="0" w:line="162" w:lineRule="exact"/>
              <w:rPr>
                <w:sz w:val="20"/>
                <w:szCs w:val="20"/>
                <w:color w:val="auto"/>
              </w:rPr>
            </w:pPr>
            <w:r>
              <w:rPr>
                <w:rFonts w:ascii="Arial" w:cs="Arial" w:eastAsia="Arial" w:hAnsi="Arial"/>
                <w:sz w:val="16"/>
                <w:szCs w:val="16"/>
                <w:b w:val="1"/>
                <w:bCs w:val="1"/>
                <w:color w:val="auto"/>
              </w:rPr>
              <w:t>Last Fiscal Year</w:t>
            </w:r>
          </w:p>
        </w:tc>
        <w:tc>
          <w:tcPr>
            <w:tcW w:w="480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Last Fiscal Year  Earnings in Last Withdrawals/Distributions</w:t>
            </w:r>
          </w:p>
        </w:tc>
        <w:tc>
          <w:tcPr>
            <w:tcW w:w="14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9"/>
              </w:rPr>
              <w:t>Fiscal Year-End</w:t>
            </w:r>
          </w:p>
        </w:tc>
        <w:tc>
          <w:tcPr>
            <w:tcW w:w="0" w:type="dxa"/>
            <w:vAlign w:val="bottom"/>
          </w:tcPr>
          <w:p>
            <w:pPr>
              <w:spacing w:after="0"/>
              <w:rPr>
                <w:sz w:val="1"/>
                <w:szCs w:val="1"/>
                <w:color w:val="auto"/>
              </w:rPr>
            </w:pPr>
          </w:p>
        </w:tc>
      </w:tr>
      <w:tr>
        <w:trPr>
          <w:trHeight w:val="215"/>
        </w:trPr>
        <w:tc>
          <w:tcPr>
            <w:tcW w:w="2520" w:type="dxa"/>
            <w:vAlign w:val="bottom"/>
            <w:tcBorders>
              <w:bottom w:val="single" w:sz="8" w:color="0090DA"/>
            </w:tcBorders>
            <w:vMerge w:val="continue"/>
          </w:tcPr>
          <w:p>
            <w:pPr>
              <w:spacing w:after="0"/>
              <w:rPr>
                <w:sz w:val="18"/>
                <w:szCs w:val="18"/>
                <w:color w:val="auto"/>
              </w:rPr>
            </w:pPr>
          </w:p>
        </w:tc>
        <w:tc>
          <w:tcPr>
            <w:tcW w:w="1380" w:type="dxa"/>
            <w:vAlign w:val="bottom"/>
            <w:tcBorders>
              <w:bottom w:val="single" w:sz="8" w:color="0090DA"/>
            </w:tcBorders>
          </w:tcPr>
          <w:p>
            <w:pPr>
              <w:spacing w:after="0"/>
              <w:rPr>
                <w:sz w:val="18"/>
                <w:szCs w:val="18"/>
                <w:color w:val="auto"/>
              </w:rPr>
            </w:pPr>
          </w:p>
        </w:tc>
        <w:tc>
          <w:tcPr>
            <w:tcW w:w="1140" w:type="dxa"/>
            <w:vAlign w:val="bottom"/>
            <w:tcBorders>
              <w:bottom w:val="single" w:sz="8" w:color="0090DA"/>
            </w:tcBorders>
          </w:tcPr>
          <w:p>
            <w:pPr>
              <w:jc w:val="center"/>
              <w:ind w:right="99"/>
              <w:spacing w:after="0"/>
              <w:rPr>
                <w:sz w:val="20"/>
                <w:szCs w:val="20"/>
                <w:color w:val="auto"/>
              </w:rPr>
            </w:pPr>
            <w:r>
              <w:rPr>
                <w:rFonts w:ascii="Arial" w:cs="Arial" w:eastAsia="Arial" w:hAnsi="Arial"/>
                <w:sz w:val="16"/>
                <w:szCs w:val="16"/>
                <w:b w:val="1"/>
                <w:bCs w:val="1"/>
                <w:color w:val="auto"/>
              </w:rPr>
              <w:t>($)(1)</w:t>
            </w:r>
          </w:p>
        </w:tc>
        <w:tc>
          <w:tcPr>
            <w:tcW w:w="220" w:type="dxa"/>
            <w:vAlign w:val="bottom"/>
            <w:tcBorders>
              <w:bottom w:val="single" w:sz="8" w:color="0090DA"/>
            </w:tcBorders>
          </w:tcPr>
          <w:p>
            <w:pPr>
              <w:spacing w:after="0"/>
              <w:rPr>
                <w:sz w:val="18"/>
                <w:szCs w:val="18"/>
                <w:color w:val="auto"/>
              </w:rPr>
            </w:pPr>
          </w:p>
        </w:tc>
        <w:tc>
          <w:tcPr>
            <w:tcW w:w="1300" w:type="dxa"/>
            <w:vAlign w:val="bottom"/>
            <w:tcBorders>
              <w:bottom w:val="single" w:sz="8" w:color="0090DA"/>
            </w:tcBorders>
          </w:tcPr>
          <w:p>
            <w:pPr>
              <w:jc w:val="center"/>
              <w:ind w:right="21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w w:val="99"/>
              </w:rPr>
              <w:t>Fiscal Year ($)</w:t>
            </w:r>
          </w:p>
        </w:tc>
        <w:tc>
          <w:tcPr>
            <w:tcW w:w="380" w:type="dxa"/>
            <w:vAlign w:val="bottom"/>
            <w:tcBorders>
              <w:bottom w:val="single" w:sz="8" w:color="0090DA"/>
            </w:tcBorders>
          </w:tcPr>
          <w:p>
            <w:pPr>
              <w:spacing w:after="0"/>
              <w:rPr>
                <w:sz w:val="18"/>
                <w:szCs w:val="18"/>
                <w:color w:val="auto"/>
              </w:rPr>
            </w:pPr>
          </w:p>
        </w:tc>
        <w:tc>
          <w:tcPr>
            <w:tcW w:w="1680" w:type="dxa"/>
            <w:vAlign w:val="bottom"/>
            <w:tcBorders>
              <w:bottom w:val="single" w:sz="8" w:color="0090DA"/>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0090DA"/>
            </w:tcBorders>
          </w:tcPr>
          <w:p>
            <w:pPr>
              <w:spacing w:after="0"/>
              <w:rPr>
                <w:sz w:val="18"/>
                <w:szCs w:val="18"/>
                <w:color w:val="auto"/>
              </w:rPr>
            </w:pPr>
          </w:p>
        </w:tc>
        <w:tc>
          <w:tcPr>
            <w:tcW w:w="130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6,234,092</w:t>
            </w:r>
          </w:p>
        </w:tc>
        <w:tc>
          <w:tcPr>
            <w:tcW w:w="0" w:type="dxa"/>
            <w:vAlign w:val="bottom"/>
          </w:tcPr>
          <w:p>
            <w:pPr>
              <w:spacing w:after="0"/>
              <w:rPr>
                <w:sz w:val="1"/>
                <w:szCs w:val="1"/>
                <w:color w:val="auto"/>
              </w:rPr>
            </w:pPr>
          </w:p>
        </w:tc>
      </w:tr>
      <w:tr>
        <w:trPr>
          <w:trHeight w:val="233"/>
        </w:trPr>
        <w:tc>
          <w:tcPr>
            <w:tcW w:w="252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1380" w:type="dxa"/>
            <w:vAlign w:val="bottom"/>
            <w:shd w:val="clear" w:color="auto" w:fill="CBCBCB"/>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2,444,539</w:t>
            </w:r>
          </w:p>
        </w:tc>
        <w:tc>
          <w:tcPr>
            <w:tcW w:w="2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BCBCB"/>
          </w:tcPr>
          <w:p>
            <w:pPr>
              <w:ind w:left="960"/>
              <w:spacing w:after="0"/>
              <w:rPr>
                <w:sz w:val="20"/>
                <w:szCs w:val="20"/>
                <w:color w:val="auto"/>
              </w:rPr>
            </w:pPr>
            <w:r>
              <w:rPr>
                <w:rFonts w:ascii="Arial" w:cs="Arial" w:eastAsia="Arial" w:hAnsi="Arial"/>
                <w:sz w:val="16"/>
                <w:szCs w:val="16"/>
                <w:color w:val="auto"/>
              </w:rPr>
              <w:t>— $</w:t>
            </w:r>
          </w:p>
        </w:tc>
        <w:tc>
          <w:tcPr>
            <w:tcW w:w="12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1,559,326</w:t>
            </w:r>
          </w:p>
        </w:tc>
        <w:tc>
          <w:tcPr>
            <w:tcW w:w="380" w:type="dxa"/>
            <w:vAlign w:val="bottom"/>
            <w:shd w:val="clear" w:color="auto" w:fill="CBCBCB"/>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(877,781)</w:t>
            </w:r>
          </w:p>
        </w:tc>
        <w:tc>
          <w:tcPr>
            <w:tcW w:w="100" w:type="dxa"/>
            <w:vAlign w:val="bottom"/>
            <w:shd w:val="clear" w:color="auto" w:fill="CBCBC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6,234,092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400" w:hanging="332"/>
        <w:spacing w:after="0" w:line="261"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$649,039 included in the Summary Compensation table in the “Salary” column and $1,795,500 included in the “Non-Equity Incentive Plan Compensation” column for fiscal 2021.</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Balance as of the beginning of fiscal 2021 was $3,108,008.</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Summary of Material Terms of Deferred Compensation Plan</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Deferred Compensation Plan is a nonqualified deferred compensation plan under which designated eligible participants may elect to defer compensation. Eligible participants include a select group of management and other employees of the Company that meet certain 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 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919" w:right="339" w:bottom="1440" w:gutter="0" w:footer="0" w:header="0"/>
          <w:type w:val="continuous"/>
        </w:sectPr>
      </w:pPr>
    </w:p>
    <w:bookmarkStart w:id="63" w:name="page64"/>
    <w:bookmarkEnd w:id="63"/>
    <w:p>
      <w:pPr>
        <w:ind w:right="40"/>
        <w:spacing w:after="0" w:line="252" w:lineRule="auto"/>
        <w:rPr>
          <w:sz w:val="20"/>
          <w:szCs w:val="20"/>
          <w:color w:val="auto"/>
        </w:rPr>
      </w:pPr>
      <w:r>
        <w:rPr>
          <w:rFonts w:ascii="Arial" w:cs="Arial" w:eastAsia="Arial" w:hAnsi="Arial"/>
          <w:sz w:val="18"/>
          <w:szCs w:val="18"/>
          <w:color w:val="auto"/>
        </w:rPr>
        <w:t>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 Compensation Plan and selected by the participants. Compensation deferred under the Deferred Compensation Plan represents an unsecured obligation of the Company. Amounts deferred under the Deferred Compensation Plan are held in a separate rabbi trust established to pay Plan benefits.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CHIEF EXECUTIVE OFFICER PAY RATIO</w:t>
      </w:r>
    </w:p>
    <w:p>
      <w:pPr>
        <w:spacing w:after="0" w:line="28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accordance with Item 402(u) of Regulation S-K, we are providing the ratio of the annual total compensation of our Chief Executive Officer to the annual total compensation of our median employee.</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excluding our Chief Executive Officer, for fiscal 2021 was $64,827.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for fiscal 2021 was $25,316,709.</w:t>
      </w:r>
    </w:p>
    <w:p>
      <w:pPr>
        <w:spacing w:after="0" w:line="9"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Chief Executive Officer to that of our median employee for fiscal 2021 was estimated to be 391 to 1.</w:t>
      </w:r>
    </w:p>
    <w:p>
      <w:pPr>
        <w:spacing w:after="0" w:line="19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median employee generally is the employee whose annual total compensation is at the midpoint of our employees, ranked in order of their compensation amounts. As permitted by the SEC rules, we used base salary, bonuses, and grant date fair value of equity awards granted to employees in fiscal 2021, as reported in our payroll data, to identify our median employee. When calculating our median compensation for fiscal 2021, we utilized our global employee population and exchange rates as of September 2, 2021. As of September 2, 2021, our employee population was approximately 43,000. This includes all regular, part-time, and temporary employees. No exclusions were made for countries, employee types, or acquisitions.</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Median Compensation Employee for fiscal 2021 was an Equipment Engineer in Taiwan. We determined actual total compensation in accordance with Item 402(c)(2)(x) of Regulation S-K and in the same manner as our Chief Executive Officer in the Summary Compensation Table using the daily average New Taiwan dollar exchange rates for compensation paid to the Median Compensation Employee during fiscal 2021. We compared this value to the annual total compensation of our Chief Executive Officer for purposes of the ratio set forth above. We did not make any cost of living adjustments.</w:t>
      </w:r>
    </w:p>
    <w:p>
      <w:pPr>
        <w:spacing w:after="0" w:line="23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Based on the above, the ratio shown above of the annual total</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compensation of our Chief Executive Officer to the annual total compensation of the Median Compensation Employee for fiscal 2021 is a reasonable estimate calculated in a manner consistent with Item 402(u) of Regulation S-K.</w:t>
      </w:r>
    </w:p>
    <w:p>
      <w:pPr>
        <w:spacing w:after="0" w:line="200" w:lineRule="exact"/>
        <w:rPr>
          <w:sz w:val="20"/>
          <w:szCs w:val="20"/>
          <w:color w:val="auto"/>
        </w:rPr>
      </w:pPr>
    </w:p>
    <w:p>
      <w:pPr>
        <w:spacing w:after="0" w:line="238" w:lineRule="exact"/>
        <w:rPr>
          <w:sz w:val="20"/>
          <w:szCs w:val="20"/>
          <w:color w:val="auto"/>
        </w:rPr>
      </w:pPr>
    </w:p>
    <w:p>
      <w:pPr>
        <w:ind w:right="140"/>
        <w:spacing w:after="0" w:line="281" w:lineRule="auto"/>
        <w:rPr>
          <w:sz w:val="20"/>
          <w:szCs w:val="20"/>
          <w:color w:val="auto"/>
        </w:rPr>
      </w:pPr>
      <w:r>
        <w:rPr>
          <w:rFonts w:ascii="Arial" w:cs="Arial" w:eastAsia="Arial" w:hAnsi="Arial"/>
          <w:sz w:val="40"/>
          <w:szCs w:val="40"/>
          <w:b w:val="1"/>
          <w:bCs w:val="1"/>
          <w:color w:val="auto"/>
        </w:rPr>
        <w:t>POTENTIAL PAYMENTS UPON TERMINATION OR CHANGE IN CONTROL</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tables quantify the estimated payments and benefits for each of the Named Executive Officers pursuant to the Executive Agreement and NEO Severance Agreements and in the event of a change in control as described in the “Severance and Change in Control Arrangements” section of the “Compensation Discussion and</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57</w:t>
      </w:r>
    </w:p>
    <w:p>
      <w:pPr>
        <w:sectPr>
          <w:pgSz w:w="11900" w:h="16838" w:orient="portrait"/>
          <w:cols w:equalWidth="0" w:num="1">
            <w:col w:w="11240"/>
          </w:cols>
          <w:pgMar w:left="320" w:top="949" w:right="339" w:bottom="1440" w:gutter="0" w:footer="0" w:header="0"/>
        </w:sectPr>
      </w:pPr>
    </w:p>
    <w:bookmarkStart w:id="64" w:name="page65"/>
    <w:bookmarkEnd w:id="64"/>
    <w:p>
      <w:pPr>
        <w:ind w:right="120"/>
        <w:spacing w:after="0" w:line="261" w:lineRule="auto"/>
        <w:rPr>
          <w:sz w:val="20"/>
          <w:szCs w:val="20"/>
          <w:color w:val="auto"/>
        </w:rPr>
      </w:pPr>
      <w:r>
        <w:rPr>
          <w:rFonts w:ascii="Arial" w:cs="Arial" w:eastAsia="Arial" w:hAnsi="Arial"/>
          <w:sz w:val="18"/>
          <w:szCs w:val="18"/>
          <w:color w:val="auto"/>
        </w:rPr>
        <w:t>Analysis.” The amounts listed for the Named Executive Officers are estimated amounts that were calculated as if a change in control occurred on September 2, 2021, or the Named Executive Officers separated from service on September 2, 2021, the last day of fiscal 2021.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Potential Payment upon Termination without Change in Control</w:t>
      </w:r>
    </w:p>
    <w:p>
      <w:pPr>
        <w:spacing w:after="0" w:line="265"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All the Named Executive Officers have severance agreements. Payments and benefits upon termination for Messrs. Mehrotra, Zinsner, Bhatia, and Sadana are payable only if their employment with the Company terminates as a result of death or disability, the Company terminates their employment without cause, or they resign for good reason.</w:t>
      </w:r>
    </w:p>
    <w:p>
      <w:pPr>
        <w:spacing w:after="0" w:line="229"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“Salary” portion of severance payments is paid on our regular bi-weekly payroll schedule during the officer’s one-year Transition Period subject to the possibility of a six-month delay that may be required by Section 409A of the Code (“Section 409A”).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also would receive a bonus of two times his target annual bonus under the EIP for the year of termination paid on the anniversary of his termination.</w:t>
      </w:r>
    </w:p>
    <w:p>
      <w:pPr>
        <w:spacing w:after="0" w:line="2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with the exception of Mr. Mehrotra, who would receive two times the monthly amount.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If Section 409A imposes a six-month delay, the payment would be made to the Named Executive Officer on the first day of the seventh month following the officer’s separation from service.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Value of</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Value of</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Value of</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9"/>
              </w:rPr>
              <w:t>Extended</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Extended</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Unearned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20" w:type="dxa"/>
            <w:vAlign w:val="bottom"/>
            <w:gridSpan w:val="4"/>
          </w:tcPr>
          <w:p>
            <w:pPr>
              <w:ind w:left="60"/>
              <w:spacing w:after="0" w:line="162" w:lineRule="exact"/>
              <w:rPr>
                <w:sz w:val="20"/>
                <w:szCs w:val="20"/>
                <w:color w:val="auto"/>
              </w:rPr>
            </w:pPr>
            <w:r>
              <w:rPr>
                <w:rFonts w:ascii="Arial" w:cs="Arial" w:eastAsia="Arial" w:hAnsi="Arial"/>
                <w:sz w:val="16"/>
                <w:szCs w:val="16"/>
                <w:b w:val="1"/>
                <w:bCs w:val="1"/>
                <w:color w:val="auto"/>
              </w:rPr>
              <w:t>Cash in Lieu of Option Vesting</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Restricted</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Performance -</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Salary(1)</w:t>
            </w: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Bonus(2)</w:t>
            </w:r>
          </w:p>
        </w:tc>
        <w:tc>
          <w:tcPr>
            <w:tcW w:w="160" w:type="dxa"/>
            <w:vAlign w:val="bottom"/>
          </w:tcPr>
          <w:p>
            <w:pPr>
              <w:spacing w:after="0"/>
              <w:rPr>
                <w:sz w:val="14"/>
                <w:szCs w:val="14"/>
                <w:color w:val="auto"/>
              </w:rPr>
            </w:pPr>
          </w:p>
        </w:tc>
        <w:tc>
          <w:tcPr>
            <w:tcW w:w="1060" w:type="dxa"/>
            <w:vAlign w:val="bottom"/>
          </w:tcPr>
          <w:p>
            <w:pPr>
              <w:jc w:val="right"/>
              <w:ind w:right="179"/>
              <w:spacing w:after="0" w:line="162" w:lineRule="exact"/>
              <w:rPr>
                <w:sz w:val="20"/>
                <w:szCs w:val="20"/>
                <w:color w:val="auto"/>
              </w:rPr>
            </w:pPr>
            <w:r>
              <w:rPr>
                <w:rFonts w:ascii="Arial" w:cs="Arial" w:eastAsia="Arial" w:hAnsi="Arial"/>
                <w:sz w:val="16"/>
                <w:szCs w:val="16"/>
                <w:b w:val="1"/>
                <w:bCs w:val="1"/>
                <w:color w:val="auto"/>
              </w:rPr>
              <w:t>Benefits</w:t>
            </w:r>
          </w:p>
        </w:tc>
        <w:tc>
          <w:tcPr>
            <w:tcW w:w="12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and Exercise</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Based Stock</w:t>
            </w:r>
          </w:p>
        </w:tc>
        <w:tc>
          <w:tcPr>
            <w:tcW w:w="280" w:type="dxa"/>
            <w:vAlign w:val="bottom"/>
          </w:tcPr>
          <w:p>
            <w:pPr>
              <w:spacing w:after="0"/>
              <w:rPr>
                <w:sz w:val="14"/>
                <w:szCs w:val="14"/>
                <w:color w:val="auto"/>
              </w:rPr>
            </w:pPr>
          </w:p>
        </w:tc>
        <w:tc>
          <w:tcPr>
            <w:tcW w:w="10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280" w:type="dxa"/>
            <w:vAlign w:val="bottom"/>
            <w:tcBorders>
              <w:bottom w:val="single" w:sz="8" w:color="0090DA"/>
            </w:tcBorders>
            <w:vMerge w:val="continue"/>
          </w:tcPr>
          <w:p>
            <w:pPr>
              <w:spacing w:after="0"/>
              <w:rPr>
                <w:sz w:val="18"/>
                <w:szCs w:val="18"/>
                <w:color w:val="auto"/>
              </w:rPr>
            </w:pPr>
          </w:p>
        </w:tc>
        <w:tc>
          <w:tcPr>
            <w:tcW w:w="1920" w:type="dxa"/>
            <w:vAlign w:val="bottom"/>
            <w:tcBorders>
              <w:bottom w:val="single" w:sz="8" w:color="0090DA"/>
            </w:tcBorders>
            <w:vMerge w:val="continue"/>
          </w:tcPr>
          <w:p>
            <w:pPr>
              <w:spacing w:after="0"/>
              <w:rPr>
                <w:sz w:val="18"/>
                <w:szCs w:val="18"/>
                <w:color w:val="auto"/>
              </w:rPr>
            </w:pPr>
          </w:p>
        </w:tc>
        <w:tc>
          <w:tcPr>
            <w:tcW w:w="1020" w:type="dxa"/>
            <w:vAlign w:val="bottom"/>
            <w:tcBorders>
              <w:bottom w:val="single" w:sz="8" w:color="0090DA"/>
            </w:tcBorders>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jc w:val="right"/>
              <w:ind w:right="59"/>
              <w:spacing w:after="0"/>
              <w:rPr>
                <w:sz w:val="20"/>
                <w:szCs w:val="20"/>
                <w:color w:val="auto"/>
              </w:rPr>
            </w:pPr>
            <w:r>
              <w:rPr>
                <w:rFonts w:ascii="Arial" w:cs="Arial" w:eastAsia="Arial" w:hAnsi="Arial"/>
                <w:sz w:val="16"/>
                <w:szCs w:val="16"/>
                <w:b w:val="1"/>
                <w:bCs w:val="1"/>
                <w:color w:val="auto"/>
              </w:rPr>
              <w:t>Payment(3)</w:t>
            </w:r>
          </w:p>
        </w:tc>
        <w:tc>
          <w:tcPr>
            <w:tcW w:w="180" w:type="dxa"/>
            <w:vAlign w:val="bottom"/>
            <w:tcBorders>
              <w:bottom w:val="single" w:sz="8" w:color="0090DA"/>
            </w:tcBorders>
          </w:tcPr>
          <w:p>
            <w:pPr>
              <w:spacing w:after="0"/>
              <w:rPr>
                <w:sz w:val="18"/>
                <w:szCs w:val="18"/>
                <w:color w:val="auto"/>
              </w:rPr>
            </w:pPr>
          </w:p>
        </w:tc>
        <w:tc>
          <w:tcPr>
            <w:tcW w:w="1020" w:type="dxa"/>
            <w:vAlign w:val="bottom"/>
            <w:tcBorders>
              <w:bottom w:val="single" w:sz="8" w:color="0090DA"/>
            </w:tcBorders>
          </w:tcPr>
          <w:p>
            <w:pPr>
              <w:jc w:val="center"/>
              <w:ind w:right="79"/>
              <w:spacing w:after="0"/>
              <w:rPr>
                <w:sz w:val="20"/>
                <w:szCs w:val="20"/>
                <w:color w:val="auto"/>
              </w:rPr>
            </w:pPr>
            <w:r>
              <w:rPr>
                <w:rFonts w:ascii="Arial" w:cs="Arial" w:eastAsia="Arial" w:hAnsi="Arial"/>
                <w:sz w:val="16"/>
                <w:szCs w:val="16"/>
                <w:b w:val="1"/>
                <w:bCs w:val="1"/>
                <w:color w:val="auto"/>
                <w:w w:val="98"/>
              </w:rPr>
              <w:t>Term (4)</w:t>
            </w:r>
          </w:p>
        </w:tc>
        <w:tc>
          <w:tcPr>
            <w:tcW w:w="104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w w:val="98"/>
              </w:rPr>
              <w:t>Vesting(5)</w:t>
            </w:r>
          </w:p>
        </w:tc>
        <w:tc>
          <w:tcPr>
            <w:tcW w:w="12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Awards(6)</w:t>
            </w:r>
          </w:p>
        </w:tc>
        <w:tc>
          <w:tcPr>
            <w:tcW w:w="280" w:type="dxa"/>
            <w:vAlign w:val="bottom"/>
            <w:tcBorders>
              <w:bottom w:val="single" w:sz="8" w:color="0090DA"/>
            </w:tcBorders>
          </w:tcPr>
          <w:p>
            <w:pPr>
              <w:spacing w:after="0"/>
              <w:rPr>
                <w:sz w:val="18"/>
                <w:szCs w:val="18"/>
                <w:color w:val="auto"/>
              </w:rPr>
            </w:pPr>
          </w:p>
        </w:tc>
        <w:tc>
          <w:tcPr>
            <w:tcW w:w="1020" w:type="dxa"/>
            <w:vAlign w:val="bottom"/>
            <w:tcBorders>
              <w:bottom w:val="single" w:sz="8" w:color="0090D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2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19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  2,700,000</w:t>
            </w: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$ 10,000,000</w:t>
            </w:r>
          </w:p>
        </w:tc>
        <w:tc>
          <w:tcPr>
            <w:tcW w:w="160" w:type="dxa"/>
            <w:vAlign w:val="bottom"/>
            <w:shd w:val="clear" w:color="auto" w:fill="CBCBCB"/>
          </w:tcPr>
          <w:p>
            <w:pPr>
              <w:ind w:lef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390,263</w:t>
            </w:r>
          </w:p>
        </w:tc>
        <w:tc>
          <w:tcPr>
            <w:tcW w:w="1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1,256,904</w:t>
            </w: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$ 11,868,662</w:t>
            </w:r>
          </w:p>
        </w:tc>
        <w:tc>
          <w:tcPr>
            <w:tcW w:w="12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   18,533,015</w:t>
            </w:r>
          </w:p>
        </w:tc>
        <w:tc>
          <w:tcPr>
            <w:tcW w:w="280" w:type="dxa"/>
            <w:vAlign w:val="bottom"/>
            <w:shd w:val="clear" w:color="auto" w:fill="CBCBCB"/>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44,748,844</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1920" w:type="dxa"/>
            <w:vAlign w:val="bottom"/>
          </w:tcPr>
          <w:p>
            <w:pPr>
              <w:jc w:val="right"/>
              <w:spacing w:after="0"/>
              <w:rPr>
                <w:sz w:val="20"/>
                <w:szCs w:val="20"/>
                <w:color w:val="auto"/>
              </w:rPr>
            </w:pPr>
            <w:r>
              <w:rPr>
                <w:rFonts w:ascii="Arial" w:cs="Arial" w:eastAsia="Arial" w:hAnsi="Arial"/>
                <w:sz w:val="16"/>
                <w:szCs w:val="16"/>
                <w:color w:val="auto"/>
              </w:rPr>
              <w:t>662,000</w:t>
            </w:r>
          </w:p>
        </w:tc>
        <w:tc>
          <w:tcPr>
            <w:tcW w:w="1020" w:type="dxa"/>
            <w:vAlign w:val="bottom"/>
          </w:tcPr>
          <w:p>
            <w:pPr>
              <w:jc w:val="right"/>
              <w:spacing w:after="0"/>
              <w:rPr>
                <w:sz w:val="20"/>
                <w:szCs w:val="20"/>
                <w:color w:val="auto"/>
              </w:rPr>
            </w:pPr>
            <w:r>
              <w:rPr>
                <w:rFonts w:ascii="Arial" w:cs="Arial" w:eastAsia="Arial" w:hAnsi="Arial"/>
                <w:sz w:val="16"/>
                <w:szCs w:val="16"/>
                <w:color w:val="auto"/>
              </w:rPr>
              <w:t>1,177,036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91,747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865,358</w:t>
            </w:r>
          </w:p>
        </w:tc>
        <w:tc>
          <w:tcPr>
            <w:tcW w:w="1040" w:type="dxa"/>
            <w:vAlign w:val="bottom"/>
          </w:tcPr>
          <w:p>
            <w:pPr>
              <w:jc w:val="right"/>
              <w:spacing w:after="0"/>
              <w:rPr>
                <w:sz w:val="20"/>
                <w:szCs w:val="20"/>
                <w:color w:val="auto"/>
              </w:rPr>
            </w:pPr>
            <w:r>
              <w:rPr>
                <w:rFonts w:ascii="Arial" w:cs="Arial" w:eastAsia="Arial" w:hAnsi="Arial"/>
                <w:sz w:val="16"/>
                <w:szCs w:val="16"/>
                <w:color w:val="auto"/>
              </w:rPr>
              <w:t>4,011,664</w:t>
            </w:r>
          </w:p>
        </w:tc>
        <w:tc>
          <w:tcPr>
            <w:tcW w:w="1260" w:type="dxa"/>
            <w:vAlign w:val="bottom"/>
          </w:tcPr>
          <w:p>
            <w:pPr>
              <w:jc w:val="right"/>
              <w:spacing w:after="0"/>
              <w:rPr>
                <w:sz w:val="20"/>
                <w:szCs w:val="20"/>
                <w:color w:val="auto"/>
              </w:rPr>
            </w:pPr>
            <w:r>
              <w:rPr>
                <w:rFonts w:ascii="Arial" w:cs="Arial" w:eastAsia="Arial" w:hAnsi="Arial"/>
                <w:sz w:val="16"/>
                <w:szCs w:val="16"/>
                <w:color w:val="auto"/>
              </w:rPr>
              <w:t>4,808,758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11,616,563</w:t>
            </w:r>
          </w:p>
        </w:tc>
        <w:tc>
          <w:tcPr>
            <w:tcW w:w="0" w:type="dxa"/>
            <w:vAlign w:val="bottom"/>
          </w:tcPr>
          <w:p>
            <w:pPr>
              <w:spacing w:after="0"/>
              <w:rPr>
                <w:sz w:val="1"/>
                <w:szCs w:val="1"/>
                <w:color w:val="auto"/>
              </w:rPr>
            </w:pPr>
          </w:p>
        </w:tc>
      </w:tr>
      <w:tr>
        <w:trPr>
          <w:trHeight w:val="230"/>
        </w:trPr>
        <w:tc>
          <w:tcPr>
            <w:tcW w:w="2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19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695,000</w:t>
            </w: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1,235,710</w:t>
            </w:r>
          </w:p>
        </w:tc>
        <w:tc>
          <w:tcPr>
            <w:tcW w:w="160" w:type="dxa"/>
            <w:vAlign w:val="bottom"/>
            <w:shd w:val="clear" w:color="auto" w:fill="CBCBCB"/>
          </w:tcPr>
          <w:p>
            <w:pPr>
              <w:spacing w:after="0"/>
              <w:rPr>
                <w:sz w:val="19"/>
                <w:szCs w:val="19"/>
                <w:color w:val="auto"/>
              </w:rPr>
            </w:pPr>
          </w:p>
        </w:tc>
        <w:tc>
          <w:tcPr>
            <w:tcW w:w="10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59,695</w:t>
            </w:r>
          </w:p>
        </w:tc>
        <w:tc>
          <w:tcPr>
            <w:tcW w:w="180" w:type="dxa"/>
            <w:vAlign w:val="bottom"/>
            <w:shd w:val="clear" w:color="auto" w:fill="CBCBCB"/>
          </w:tcPr>
          <w:p>
            <w:pPr>
              <w:spacing w:after="0"/>
              <w:rPr>
                <w:sz w:val="19"/>
                <w:szCs w:val="19"/>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475,025</w:t>
            </w: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5,003,056</w:t>
            </w:r>
          </w:p>
        </w:tc>
        <w:tc>
          <w:tcPr>
            <w:tcW w:w="12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6,061,705</w:t>
            </w:r>
          </w:p>
        </w:tc>
        <w:tc>
          <w:tcPr>
            <w:tcW w:w="280" w:type="dxa"/>
            <w:vAlign w:val="bottom"/>
            <w:shd w:val="clear" w:color="auto" w:fill="CBCBCB"/>
          </w:tcPr>
          <w:p>
            <w:pPr>
              <w:spacing w:after="0"/>
              <w:rPr>
                <w:sz w:val="19"/>
                <w:szCs w:val="19"/>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13,530,191</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920" w:type="dxa"/>
            <w:vAlign w:val="bottom"/>
          </w:tcPr>
          <w:p>
            <w:pPr>
              <w:jc w:val="right"/>
              <w:spacing w:after="0"/>
              <w:rPr>
                <w:sz w:val="20"/>
                <w:szCs w:val="20"/>
                <w:color w:val="auto"/>
              </w:rPr>
            </w:pPr>
            <w:r>
              <w:rPr>
                <w:rFonts w:ascii="Arial" w:cs="Arial" w:eastAsia="Arial" w:hAnsi="Arial"/>
                <w:sz w:val="16"/>
                <w:szCs w:val="16"/>
                <w:color w:val="auto"/>
              </w:rPr>
              <w:t>595,000</w:t>
            </w:r>
          </w:p>
        </w:tc>
        <w:tc>
          <w:tcPr>
            <w:tcW w:w="1020" w:type="dxa"/>
            <w:vAlign w:val="bottom"/>
          </w:tcPr>
          <w:p>
            <w:pPr>
              <w:jc w:val="right"/>
              <w:spacing w:after="0"/>
              <w:rPr>
                <w:sz w:val="20"/>
                <w:szCs w:val="20"/>
                <w:color w:val="auto"/>
              </w:rPr>
            </w:pPr>
            <w:r>
              <w:rPr>
                <w:rFonts w:ascii="Arial" w:cs="Arial" w:eastAsia="Arial" w:hAnsi="Arial"/>
                <w:sz w:val="16"/>
                <w:szCs w:val="16"/>
                <w:color w:val="auto"/>
              </w:rPr>
              <w:t>1,057,910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97,891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291,662</w:t>
            </w:r>
          </w:p>
        </w:tc>
        <w:tc>
          <w:tcPr>
            <w:tcW w:w="1040" w:type="dxa"/>
            <w:vAlign w:val="bottom"/>
          </w:tcPr>
          <w:p>
            <w:pPr>
              <w:jc w:val="right"/>
              <w:spacing w:after="0"/>
              <w:rPr>
                <w:sz w:val="20"/>
                <w:szCs w:val="20"/>
                <w:color w:val="auto"/>
              </w:rPr>
            </w:pPr>
            <w:r>
              <w:rPr>
                <w:rFonts w:ascii="Arial" w:cs="Arial" w:eastAsia="Arial" w:hAnsi="Arial"/>
                <w:sz w:val="16"/>
                <w:szCs w:val="16"/>
                <w:color w:val="auto"/>
              </w:rPr>
              <w:t>3,056,157</w:t>
            </w:r>
          </w:p>
        </w:tc>
        <w:tc>
          <w:tcPr>
            <w:tcW w:w="1260" w:type="dxa"/>
            <w:vAlign w:val="bottom"/>
          </w:tcPr>
          <w:p>
            <w:pPr>
              <w:jc w:val="right"/>
              <w:spacing w:after="0"/>
              <w:rPr>
                <w:sz w:val="20"/>
                <w:szCs w:val="20"/>
                <w:color w:val="auto"/>
              </w:rPr>
            </w:pPr>
            <w:r>
              <w:rPr>
                <w:rFonts w:ascii="Arial" w:cs="Arial" w:eastAsia="Arial" w:hAnsi="Arial"/>
                <w:sz w:val="16"/>
                <w:szCs w:val="16"/>
                <w:color w:val="auto"/>
              </w:rPr>
              <w:t>4,637,471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9,736,091</w:t>
            </w:r>
          </w:p>
        </w:tc>
        <w:tc>
          <w:tcPr>
            <w:tcW w:w="0" w:type="dxa"/>
            <w:vAlign w:val="bottom"/>
          </w:tcPr>
          <w:p>
            <w:pPr>
              <w:spacing w:after="0"/>
              <w:rPr>
                <w:sz w:val="1"/>
                <w:szCs w:val="1"/>
                <w:color w:val="auto"/>
              </w:rPr>
            </w:pPr>
          </w:p>
        </w:tc>
      </w:tr>
      <w:tr>
        <w:trPr>
          <w:trHeight w:val="230"/>
        </w:trPr>
        <w:tc>
          <w:tcPr>
            <w:tcW w:w="2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19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745,000</w:t>
            </w: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1,457,071</w:t>
            </w:r>
          </w:p>
        </w:tc>
        <w:tc>
          <w:tcPr>
            <w:tcW w:w="160" w:type="dxa"/>
            <w:vAlign w:val="bottom"/>
            <w:shd w:val="clear" w:color="auto" w:fill="CBCBCB"/>
          </w:tcPr>
          <w:p>
            <w:pPr>
              <w:spacing w:after="0"/>
              <w:rPr>
                <w:sz w:val="19"/>
                <w:szCs w:val="19"/>
                <w:color w:val="auto"/>
              </w:rPr>
            </w:pPr>
          </w:p>
        </w:tc>
        <w:tc>
          <w:tcPr>
            <w:tcW w:w="10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89,052</w:t>
            </w:r>
          </w:p>
        </w:tc>
        <w:tc>
          <w:tcPr>
            <w:tcW w:w="180" w:type="dxa"/>
            <w:vAlign w:val="bottom"/>
            <w:shd w:val="clear" w:color="auto" w:fill="CBCBCB"/>
          </w:tcPr>
          <w:p>
            <w:pPr>
              <w:spacing w:after="0"/>
              <w:rPr>
                <w:sz w:val="19"/>
                <w:szCs w:val="19"/>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466,618</w:t>
            </w:r>
          </w:p>
        </w:tc>
        <w:tc>
          <w:tcPr>
            <w:tcW w:w="10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4,284,539</w:t>
            </w:r>
          </w:p>
        </w:tc>
        <w:tc>
          <w:tcPr>
            <w:tcW w:w="12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6,791,098</w:t>
            </w:r>
          </w:p>
        </w:tc>
        <w:tc>
          <w:tcPr>
            <w:tcW w:w="280" w:type="dxa"/>
            <w:vAlign w:val="bottom"/>
            <w:shd w:val="clear" w:color="auto" w:fill="CBCBCB"/>
          </w:tcPr>
          <w:p>
            <w:pPr>
              <w:spacing w:after="0"/>
              <w:rPr>
                <w:sz w:val="19"/>
                <w:szCs w:val="19"/>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13,833,378</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280" w:hanging="332"/>
        <w:spacing w:after="0" w:line="261" w:lineRule="auto"/>
        <w:tabs>
          <w:tab w:leader="none" w:pos="3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one year of the Named Executive Officer’s salary as of September 2, 2021, except for Mr. Mehrotra, which represents two years of salary as of September 2, 2021.</w:t>
      </w:r>
    </w:p>
    <w:p>
      <w:pPr>
        <w:spacing w:after="0" w:line="15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2021, except for Mr. Mehrotra, which also includes two times his target annual bonus, subject to the maximum award limit imposed by the EIP.</w:t>
      </w:r>
    </w:p>
    <w:p>
      <w:pPr>
        <w:spacing w:after="0" w:line="157" w:lineRule="exact"/>
        <w:rPr>
          <w:rFonts w:ascii="Arial" w:cs="Arial" w:eastAsia="Arial" w:hAnsi="Arial"/>
          <w:sz w:val="18"/>
          <w:szCs w:val="18"/>
          <w:color w:val="auto"/>
        </w:rPr>
      </w:pPr>
    </w:p>
    <w:p>
      <w:pPr>
        <w:ind w:left="340" w:right="380" w:hanging="332"/>
        <w:spacing w:after="0" w:line="256" w:lineRule="auto"/>
        <w:tabs>
          <w:tab w:leader="none" w:pos="3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during the Transition Period benefits similar to those received while an employee, except for Mr. Mehrotra, which represents twice the amount. The amount listed includes a gross-up calculation for the tax impact of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949" w:right="339" w:bottom="1440" w:gutter="0" w:footer="0" w:header="0"/>
        </w:sectPr>
      </w:pPr>
    </w:p>
    <w:bookmarkStart w:id="65" w:name="page66"/>
    <w:bookmarkEnd w:id="65"/>
    <w:p>
      <w:pPr>
        <w:ind w:left="340" w:right="40" w:hanging="332"/>
        <w:spacing w:after="0" w:line="253" w:lineRule="auto"/>
        <w:tabs>
          <w:tab w:leader="none" w:pos="3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total value of stock options that are exercisable as of September 2, 2021 and that are expected to vest during the Named Executive Officer’s Transition Period. The fair value of each option award is estimated as of September 2, 2021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as of September 2, 2021.</w:t>
      </w:r>
    </w:p>
    <w:p>
      <w:pPr>
        <w:spacing w:after="0" w:line="164" w:lineRule="exact"/>
        <w:rPr>
          <w:rFonts w:ascii="Arial" w:cs="Arial" w:eastAsia="Arial" w:hAnsi="Arial"/>
          <w:sz w:val="18"/>
          <w:szCs w:val="18"/>
          <w:color w:val="auto"/>
        </w:rPr>
      </w:pPr>
    </w:p>
    <w:p>
      <w:pPr>
        <w:ind w:left="340" w:right="20" w:hanging="332"/>
        <w:spacing w:after="0" w:line="256" w:lineRule="auto"/>
        <w:tabs>
          <w:tab w:leader="none" w:pos="3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$73.99, our closing stock price on September 2, 2021.</w:t>
      </w:r>
    </w:p>
    <w:p>
      <w:pPr>
        <w:spacing w:after="0" w:line="174" w:lineRule="exact"/>
        <w:rPr>
          <w:rFonts w:ascii="Arial" w:cs="Arial" w:eastAsia="Arial" w:hAnsi="Arial"/>
          <w:sz w:val="18"/>
          <w:szCs w:val="18"/>
          <w:color w:val="auto"/>
        </w:rPr>
      </w:pPr>
    </w:p>
    <w:p>
      <w:pPr>
        <w:ind w:left="340" w:right="80" w:hanging="332"/>
        <w:spacing w:after="0" w:line="256" w:lineRule="auto"/>
        <w:tabs>
          <w:tab w:leader="none" w:pos="3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value resulting from the vesting of performance based restricted awards during the Named Executive Officer’s Transition Period. The amount shown is calculated as the number of additional shares that would vest during the Transition Period multiplied by $73.99, our closing stock price on September 2, 2021.</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Potential Payment under Termination with Change in Control</w:t>
      </w:r>
    </w:p>
    <w:p>
      <w:pPr>
        <w:spacing w:after="0" w:line="26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change in control is generally defined as a change in the majority of the members of the Board of Directors within a specified time period or the acquisition of 35% or more of our outstanding Common Stock.</w:t>
      </w: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equity plans, grant agreements, and EIP have change in control provisions, including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For equity awards, the impact of a change in control differs for outstanding time-based and performance-based awards. Outstanding time-based awards would automatically become fully vested or the applicable restrictions would lapse upon occurrence of the double-trigger event. For our Named Executive Officers, upon the occurrence of a double-trigger event, outstanding performance-based awards are treated as if all required performance goals were satisfied at the target level, and the awards vested, on the date of the double-trigger event, except that if applicable performance goals have been exceeded, or the applicable performance period has been completed, at the time of a double-trigger event, performance-based awards will be treated as if relevant performance goals were satisfied at the actual level instead of the target level, subject to any applicable caps.</w:t>
      </w:r>
    </w:p>
    <w:p>
      <w:pPr>
        <w:spacing w:after="0" w:line="23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have separate change in control agreements for our Named Executive Officers. The Severance Agreements for Messrs. Mehrotra, Zinsner, Bhatia, and Sadana provide for transitional benefits for change in control separation. Change in control separation means a qualifying separation from service that occurs on or within 12 months following a change in control. In the event of a change in control separation, the payments for “Salary,” “Bonus,” and “Cash in Lieu of Benefit” are paid in a lump sum within 60 days from the date of separation, subject to the possibility of a six-month delay that may be required by Section 409A. All outstanding time-based and performance-based awards would become fully vested.</w:t>
      </w:r>
    </w:p>
    <w:p>
      <w:pPr>
        <w:spacing w:after="0" w:line="23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compensation that executive officers could receive if a change in control occurs is intended to enable them to objectively evaluate whether a potential change in control is in the best interest of us and our shareholders.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59</w:t>
      </w:r>
    </w:p>
    <w:p>
      <w:pPr>
        <w:sectPr>
          <w:pgSz w:w="11900" w:h="16838" w:orient="portrait"/>
          <w:cols w:equalWidth="0" w:num="1">
            <w:col w:w="11240"/>
          </w:cols>
          <w:pgMar w:left="320" w:top="949" w:right="339" w:bottom="1440" w:gutter="0" w:footer="0" w:header="0"/>
        </w:sectPr>
      </w:pPr>
    </w:p>
    <w:bookmarkStart w:id="66" w:name="page67"/>
    <w:bookmarkEnd w:id="66"/>
    <w:p>
      <w:pPr>
        <w:ind w:right="240"/>
        <w:spacing w:after="0" w:line="261" w:lineRule="auto"/>
        <w:rPr>
          <w:sz w:val="20"/>
          <w:szCs w:val="20"/>
          <w:color w:val="auto"/>
        </w:rPr>
      </w:pPr>
      <w:r>
        <w:rPr>
          <w:rFonts w:ascii="Arial" w:cs="Arial" w:eastAsia="Arial" w:hAnsi="Arial"/>
          <w:sz w:val="18"/>
          <w:szCs w:val="18"/>
          <w:color w:val="auto"/>
        </w:rPr>
        <w:t>The following table sets forth the estimated benefits payable to the Named Executive Officers pursuant to change in control agreements or provisions, assuming a change in control separation occurred on September 2, 2021.</w:t>
      </w: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Cash in Lieu of</w:t>
            </w:r>
          </w:p>
        </w:tc>
        <w:tc>
          <w:tcPr>
            <w:tcW w:w="180" w:type="dxa"/>
            <w:vAlign w:val="bottom"/>
          </w:tcPr>
          <w:p>
            <w:pPr>
              <w:spacing w:after="0"/>
              <w:rPr>
                <w:sz w:val="16"/>
                <w:szCs w:val="16"/>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Value of</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Value of Stock</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260" w:type="dxa"/>
            <w:vAlign w:val="bottom"/>
            <w:gridSpan w:val="2"/>
            <w:vMerge w:val="restart"/>
          </w:tcPr>
          <w:p>
            <w:pPr>
              <w:ind w:left="1000"/>
              <w:spacing w:after="0"/>
              <w:rPr>
                <w:sz w:val="20"/>
                <w:szCs w:val="20"/>
                <w:color w:val="auto"/>
              </w:rPr>
            </w:pPr>
            <w:r>
              <w:rPr>
                <w:rFonts w:ascii="Arial" w:cs="Arial" w:eastAsia="Arial" w:hAnsi="Arial"/>
                <w:sz w:val="18"/>
                <w:szCs w:val="18"/>
                <w:b w:val="1"/>
                <w:bCs w:val="1"/>
                <w:color w:val="auto"/>
              </w:rPr>
              <w:t>Salary(1)</w:t>
            </w:r>
          </w:p>
        </w:tc>
        <w:tc>
          <w:tcPr>
            <w:tcW w:w="240" w:type="dxa"/>
            <w:vAlign w:val="bottom"/>
          </w:tcPr>
          <w:p>
            <w:pPr>
              <w:spacing w:after="0"/>
              <w:rPr>
                <w:sz w:val="15"/>
                <w:szCs w:val="15"/>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Bonus(2)</w:t>
            </w:r>
          </w:p>
        </w:tc>
        <w:tc>
          <w:tcPr>
            <w:tcW w:w="18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Benefits</w:t>
            </w: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0090DA"/>
            </w:tcBorders>
            <w:vMerge w:val="continue"/>
          </w:tcPr>
          <w:p>
            <w:pPr>
              <w:spacing w:after="0"/>
              <w:rPr>
                <w:sz w:val="19"/>
                <w:szCs w:val="19"/>
                <w:color w:val="auto"/>
              </w:rPr>
            </w:pPr>
          </w:p>
        </w:tc>
        <w:tc>
          <w:tcPr>
            <w:tcW w:w="2260" w:type="dxa"/>
            <w:vAlign w:val="bottom"/>
            <w:tcBorders>
              <w:bottom w:val="single" w:sz="8" w:color="0090DA"/>
            </w:tcBorders>
            <w:gridSpan w:val="2"/>
            <w:vMerge w:val="continue"/>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vMerge w:val="continue"/>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Payment(3)</w:t>
            </w:r>
          </w:p>
        </w:tc>
        <w:tc>
          <w:tcPr>
            <w:tcW w:w="18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Options(4)</w:t>
            </w:r>
          </w:p>
        </w:tc>
        <w:tc>
          <w:tcPr>
            <w:tcW w:w="130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Awards(5)</w:t>
            </w:r>
          </w:p>
        </w:tc>
        <w:tc>
          <w:tcPr>
            <w:tcW w:w="24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1260" w:type="dxa"/>
            <w:vAlign w:val="bottom"/>
            <w:shd w:val="clear" w:color="auto" w:fill="CBCBCB"/>
          </w:tcPr>
          <w:p>
            <w:pPr>
              <w:ind w:left="10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2,700,000</w:t>
            </w:r>
          </w:p>
        </w:tc>
        <w:tc>
          <w:tcPr>
            <w:tcW w:w="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390,263</w:t>
            </w:r>
          </w:p>
        </w:tc>
        <w:tc>
          <w:tcPr>
            <w:tcW w:w="180" w:type="dxa"/>
            <w:vAlign w:val="bottom"/>
            <w:shd w:val="clear" w:color="auto" w:fill="CBCBC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1,137,547</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  65,585,106</w:t>
            </w:r>
          </w:p>
        </w:tc>
        <w:tc>
          <w:tcPr>
            <w:tcW w:w="240" w:type="dxa"/>
            <w:vAlign w:val="bottom"/>
            <w:shd w:val="clear" w:color="auto" w:fill="CBCBC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79,812,916</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1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1,177,036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137,621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809,063</w:t>
            </w:r>
          </w:p>
        </w:tc>
        <w:tc>
          <w:tcPr>
            <w:tcW w:w="1300" w:type="dxa"/>
            <w:vAlign w:val="bottom"/>
          </w:tcPr>
          <w:p>
            <w:pPr>
              <w:jc w:val="right"/>
              <w:spacing w:after="0"/>
              <w:rPr>
                <w:sz w:val="20"/>
                <w:szCs w:val="20"/>
                <w:color w:val="auto"/>
              </w:rPr>
            </w:pPr>
            <w:r>
              <w:rPr>
                <w:rFonts w:ascii="Arial" w:cs="Arial" w:eastAsia="Arial" w:hAnsi="Arial"/>
                <w:sz w:val="18"/>
                <w:szCs w:val="18"/>
                <w:color w:val="auto"/>
              </w:rPr>
              <w:t>18,282,485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21,399,205</w:t>
            </w:r>
          </w:p>
        </w:tc>
        <w:tc>
          <w:tcPr>
            <w:tcW w:w="0" w:type="dxa"/>
            <w:vAlign w:val="bottom"/>
          </w:tcPr>
          <w:p>
            <w:pPr>
              <w:spacing w:after="0"/>
              <w:rPr>
                <w:sz w:val="1"/>
                <w:szCs w:val="1"/>
                <w:color w:val="auto"/>
              </w:rPr>
            </w:pPr>
          </w:p>
        </w:tc>
      </w:tr>
      <w:tr>
        <w:trPr>
          <w:trHeight w:val="229"/>
        </w:trPr>
        <w:tc>
          <w:tcPr>
            <w:tcW w:w="234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126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1,042,500</w:t>
            </w:r>
          </w:p>
        </w:tc>
        <w:tc>
          <w:tcPr>
            <w:tcW w:w="240" w:type="dxa"/>
            <w:vAlign w:val="bottom"/>
            <w:shd w:val="clear" w:color="auto" w:fill="CBCBCB"/>
          </w:tcPr>
          <w:p>
            <w:pPr>
              <w:spacing w:after="0"/>
              <w:rPr>
                <w:sz w:val="19"/>
                <w:szCs w:val="19"/>
                <w:color w:val="auto"/>
              </w:rPr>
            </w:pP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1,235,710</w:t>
            </w:r>
          </w:p>
        </w:tc>
        <w:tc>
          <w:tcPr>
            <w:tcW w:w="180" w:type="dxa"/>
            <w:vAlign w:val="bottom"/>
            <w:shd w:val="clear" w:color="auto" w:fill="CBCBCB"/>
          </w:tcPr>
          <w:p>
            <w:pPr>
              <w:spacing w:after="0"/>
              <w:rPr>
                <w:sz w:val="19"/>
                <w:szCs w:val="19"/>
                <w:color w:val="auto"/>
              </w:rPr>
            </w:pP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89,543</w:t>
            </w:r>
          </w:p>
        </w:tc>
        <w:tc>
          <w:tcPr>
            <w:tcW w:w="180" w:type="dxa"/>
            <w:vAlign w:val="bottom"/>
            <w:shd w:val="clear" w:color="auto" w:fill="CBCBCB"/>
          </w:tcPr>
          <w:p>
            <w:pPr>
              <w:spacing w:after="0"/>
              <w:rPr>
                <w:sz w:val="19"/>
                <w:szCs w:val="19"/>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432,292</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22,625,846</w:t>
            </w:r>
          </w:p>
        </w:tc>
        <w:tc>
          <w:tcPr>
            <w:tcW w:w="240" w:type="dxa"/>
            <w:vAlign w:val="bottom"/>
            <w:shd w:val="clear" w:color="auto" w:fill="CBCBCB"/>
          </w:tcPr>
          <w:p>
            <w:pPr>
              <w:spacing w:after="0"/>
              <w:rPr>
                <w:sz w:val="19"/>
                <w:szCs w:val="19"/>
                <w:color w:val="auto"/>
              </w:rPr>
            </w:pPr>
          </w:p>
        </w:tc>
        <w:tc>
          <w:tcPr>
            <w:tcW w:w="10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25,425,891</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1,057,910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97,891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284,411</w:t>
            </w:r>
          </w:p>
        </w:tc>
        <w:tc>
          <w:tcPr>
            <w:tcW w:w="1300" w:type="dxa"/>
            <w:vAlign w:val="bottom"/>
          </w:tcPr>
          <w:p>
            <w:pPr>
              <w:jc w:val="right"/>
              <w:spacing w:after="0"/>
              <w:rPr>
                <w:sz w:val="20"/>
                <w:szCs w:val="20"/>
                <w:color w:val="auto"/>
              </w:rPr>
            </w:pPr>
            <w:r>
              <w:rPr>
                <w:rFonts w:ascii="Arial" w:cs="Arial" w:eastAsia="Arial" w:hAnsi="Arial"/>
                <w:sz w:val="18"/>
                <w:szCs w:val="18"/>
                <w:color w:val="auto"/>
              </w:rPr>
              <w:t>12,939,914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14,975,126</w:t>
            </w:r>
          </w:p>
        </w:tc>
        <w:tc>
          <w:tcPr>
            <w:tcW w:w="0" w:type="dxa"/>
            <w:vAlign w:val="bottom"/>
          </w:tcPr>
          <w:p>
            <w:pPr>
              <w:spacing w:after="0"/>
              <w:rPr>
                <w:sz w:val="1"/>
                <w:szCs w:val="1"/>
                <w:color w:val="auto"/>
              </w:rPr>
            </w:pPr>
          </w:p>
        </w:tc>
      </w:tr>
      <w:tr>
        <w:trPr>
          <w:trHeight w:val="229"/>
        </w:trPr>
        <w:tc>
          <w:tcPr>
            <w:tcW w:w="23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126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1,117,500</w:t>
            </w:r>
          </w:p>
        </w:tc>
        <w:tc>
          <w:tcPr>
            <w:tcW w:w="240" w:type="dxa"/>
            <w:vAlign w:val="bottom"/>
            <w:shd w:val="clear" w:color="auto" w:fill="CBCBCB"/>
          </w:tcPr>
          <w:p>
            <w:pPr>
              <w:spacing w:after="0"/>
              <w:rPr>
                <w:sz w:val="19"/>
                <w:szCs w:val="19"/>
                <w:color w:val="auto"/>
              </w:rPr>
            </w:pP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1,457,071</w:t>
            </w:r>
          </w:p>
        </w:tc>
        <w:tc>
          <w:tcPr>
            <w:tcW w:w="180" w:type="dxa"/>
            <w:vAlign w:val="bottom"/>
            <w:shd w:val="clear" w:color="auto" w:fill="CBCBCB"/>
          </w:tcPr>
          <w:p>
            <w:pPr>
              <w:spacing w:after="0"/>
              <w:rPr>
                <w:sz w:val="19"/>
                <w:szCs w:val="19"/>
                <w:color w:val="auto"/>
              </w:rPr>
            </w:pP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133,579</w:t>
            </w:r>
          </w:p>
        </w:tc>
        <w:tc>
          <w:tcPr>
            <w:tcW w:w="180" w:type="dxa"/>
            <w:vAlign w:val="bottom"/>
            <w:shd w:val="clear" w:color="auto" w:fill="CBCBCB"/>
          </w:tcPr>
          <w:p>
            <w:pPr>
              <w:spacing w:after="0"/>
              <w:rPr>
                <w:sz w:val="19"/>
                <w:szCs w:val="19"/>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455,025</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23,651,273</w:t>
            </w:r>
          </w:p>
        </w:tc>
        <w:tc>
          <w:tcPr>
            <w:tcW w:w="240" w:type="dxa"/>
            <w:vAlign w:val="bottom"/>
            <w:shd w:val="clear" w:color="auto" w:fill="CBCBCB"/>
          </w:tcPr>
          <w:p>
            <w:pPr>
              <w:spacing w:after="0"/>
              <w:rPr>
                <w:sz w:val="19"/>
                <w:szCs w:val="19"/>
                <w:color w:val="auto"/>
              </w:rPr>
            </w:pPr>
          </w:p>
        </w:tc>
        <w:tc>
          <w:tcPr>
            <w:tcW w:w="10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26,814,448</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240" w:hanging="332"/>
        <w:spacing w:after="0" w:line="256" w:lineRule="auto"/>
        <w:tabs>
          <w:tab w:leader="none" w:pos="3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one and a half years of the Named Executive Officer’s salary as of September 2, 2021, except for Mr. Mehrotra, which represents two years of his salary as of September 2, 2021, and for Mr. DeBoer, which represents one year of his salary. Mr. DeBoer’s severance agreement does not provide for additional benefits upon separation due to a change in control.</w:t>
      </w:r>
    </w:p>
    <w:p>
      <w:pPr>
        <w:spacing w:after="0" w:line="161"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2021, except for Mr. Mehrotra, which also includes two times his target annual bonus, subject to the maximum award limit imposed by the EIP.</w:t>
      </w:r>
    </w:p>
    <w:p>
      <w:pPr>
        <w:spacing w:after="0" w:line="157" w:lineRule="exact"/>
        <w:rPr>
          <w:rFonts w:ascii="Arial" w:cs="Arial" w:eastAsia="Arial" w:hAnsi="Arial"/>
          <w:sz w:val="18"/>
          <w:szCs w:val="18"/>
          <w:color w:val="auto"/>
        </w:rPr>
      </w:pPr>
    </w:p>
    <w:p>
      <w:pPr>
        <w:ind w:left="340" w:right="100" w:hanging="332"/>
        <w:spacing w:after="0" w:line="254" w:lineRule="auto"/>
        <w:tabs>
          <w:tab w:leader="none" w:pos="3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18 months of benefits similar to those received while an employee, except for Mr. Mehrotra, which represents 24 months of such benefits, and Mr. DeBoer, which represents 12 months of such benefits. Mr. DeBoer’s severance agreement does not provide for additional benefits upon separation due to a change in control. The amount listed includes a gross-up calculation for the tax impact of the payment.</w:t>
      </w:r>
    </w:p>
    <w:p>
      <w:pPr>
        <w:spacing w:after="0" w:line="176" w:lineRule="exact"/>
        <w:rPr>
          <w:rFonts w:ascii="Arial" w:cs="Arial" w:eastAsia="Arial" w:hAnsi="Arial"/>
          <w:sz w:val="18"/>
          <w:szCs w:val="18"/>
          <w:color w:val="auto"/>
        </w:rPr>
      </w:pPr>
    </w:p>
    <w:p>
      <w:pPr>
        <w:ind w:left="340" w:right="20" w:hanging="332"/>
        <w:spacing w:after="0" w:line="256" w:lineRule="auto"/>
        <w:tabs>
          <w:tab w:leader="none" w:pos="3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outstanding unvested options are time-based equity awards and would have fully vested on September 2, 2021. Amount shown is calculated as the excess of $73.99, the closing price of our stock on September 2, 2021, over the exercise price of the options that would have been subject to accelerated vesting due to a change in control.</w:t>
      </w:r>
    </w:p>
    <w:p>
      <w:pPr>
        <w:spacing w:after="0" w:line="161" w:lineRule="exact"/>
        <w:rPr>
          <w:rFonts w:ascii="Arial" w:cs="Arial" w:eastAsia="Arial" w:hAnsi="Arial"/>
          <w:sz w:val="18"/>
          <w:szCs w:val="18"/>
          <w:color w:val="auto"/>
        </w:rPr>
      </w:pPr>
    </w:p>
    <w:p>
      <w:pPr>
        <w:ind w:left="340" w:right="20" w:hanging="332"/>
        <w:spacing w:after="0" w:line="252" w:lineRule="auto"/>
        <w:tabs>
          <w:tab w:leader="none" w:pos="3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outstanding time-based and performance-based restricted stock awards would have fully vested at target or actual achievement level on September 2, 2021, except for Mr. DeBoer, whose separation agreement does not include a change in control provision. Mr. DeBoer’s fiscal 2020 and 2021 performance-based restricted stock awards each have a performance period of three years, and two-thirds of his fiscal 2020 and one-third of his fiscal 2021 performance-based awards would have vested on September 2, 2021. The amount shown is calculated as the number of shares upon which restrictions would lapse, multiplied by $73.99, the closing price of our Common Stock on September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949" w:right="339" w:bottom="1440" w:gutter="0" w:footer="0" w:header="0"/>
        </w:sectPr>
      </w:pPr>
    </w:p>
    <w:bookmarkStart w:id="67" w:name="page68"/>
    <w:bookmarkEnd w:id="67"/>
    <w:p>
      <w:pPr>
        <w:spacing w:after="0"/>
        <w:rPr>
          <w:sz w:val="20"/>
          <w:szCs w:val="20"/>
          <w:color w:val="auto"/>
        </w:rPr>
      </w:pPr>
      <w:r>
        <w:rPr>
          <w:rFonts w:ascii="Arial" w:cs="Arial" w:eastAsia="Arial" w:hAnsi="Arial"/>
          <w:sz w:val="40"/>
          <w:szCs w:val="40"/>
          <w:b w:val="1"/>
          <w:bCs w:val="1"/>
          <w:color w:val="auto"/>
        </w:rPr>
        <w:t>EQUITY COMPENSATION PLAN INFORMATION</w:t>
      </w:r>
    </w:p>
    <w:p>
      <w:pPr>
        <w:spacing w:after="0" w:line="28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provides information as of September 2, 2021 regarding shares of Common Stock that may be issued pursuant to our equity compensation plans:</w:t>
      </w:r>
    </w:p>
    <w:tbl>
      <w:tblPr>
        <w:tblLayout w:type="fixed"/>
        <w:tblInd w:w="0" w:type="dxa"/>
        <w:tblCellMar>
          <w:top w:w="0" w:type="dxa"/>
          <w:left w:w="0" w:type="dxa"/>
          <w:bottom w:w="0" w:type="dxa"/>
          <w:right w:w="0" w:type="dxa"/>
        </w:tblCellMar>
      </w:tblPr>
      <w:tr>
        <w:trPr>
          <w:trHeight w:val="172"/>
        </w:trPr>
        <w:tc>
          <w:tcPr>
            <w:tcW w:w="56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 Number of</w:t>
            </w:r>
          </w:p>
        </w:tc>
        <w:tc>
          <w:tcPr>
            <w:tcW w:w="160" w:type="dxa"/>
            <w:vAlign w:val="bottom"/>
          </w:tcPr>
          <w:p>
            <w:pPr>
              <w:spacing w:after="0"/>
              <w:rPr>
                <w:sz w:val="14"/>
                <w:szCs w:val="14"/>
                <w:color w:val="auto"/>
              </w:rPr>
            </w:pPr>
          </w:p>
        </w:tc>
        <w:tc>
          <w:tcPr>
            <w:tcW w:w="1260" w:type="dxa"/>
            <w:vAlign w:val="bottom"/>
          </w:tcPr>
          <w:p>
            <w:pPr>
              <w:jc w:val="center"/>
              <w:ind w:right="79"/>
              <w:spacing w:after="0" w:line="171" w:lineRule="exact"/>
              <w:rPr>
                <w:sz w:val="20"/>
                <w:szCs w:val="20"/>
                <w:color w:val="auto"/>
              </w:rPr>
            </w:pPr>
            <w:r>
              <w:rPr>
                <w:rFonts w:ascii="Arial" w:cs="Arial" w:eastAsia="Arial" w:hAnsi="Arial"/>
                <w:sz w:val="16"/>
                <w:szCs w:val="16"/>
                <w:b w:val="1"/>
                <w:bCs w:val="1"/>
                <w:color w:val="auto"/>
              </w:rPr>
              <w:t>(b) Weighted</w:t>
            </w:r>
          </w:p>
        </w:tc>
        <w:tc>
          <w:tcPr>
            <w:tcW w:w="2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(c) Number of Securities</w:t>
            </w: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4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Average Exercise</w:t>
            </w:r>
          </w:p>
        </w:tc>
        <w:tc>
          <w:tcPr>
            <w:tcW w:w="2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Securities to be</w:t>
            </w:r>
          </w:p>
        </w:tc>
        <w:tc>
          <w:tcPr>
            <w:tcW w:w="160" w:type="dxa"/>
            <w:vAlign w:val="bottom"/>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 of</w:t>
            </w: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Issued Upon Exercise</w:t>
            </w:r>
          </w:p>
        </w:tc>
        <w:tc>
          <w:tcPr>
            <w:tcW w:w="160" w:type="dxa"/>
            <w:vAlign w:val="bottom"/>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Outstanding</w:t>
            </w: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Outstanding</w:t>
            </w:r>
          </w:p>
        </w:tc>
        <w:tc>
          <w:tcPr>
            <w:tcW w:w="160" w:type="dxa"/>
            <w:vAlign w:val="bottom"/>
          </w:tcPr>
          <w:p>
            <w:pPr>
              <w:spacing w:after="0"/>
              <w:rPr>
                <w:sz w:val="14"/>
                <w:szCs w:val="14"/>
                <w:color w:val="auto"/>
              </w:rPr>
            </w:pPr>
          </w:p>
        </w:tc>
        <w:tc>
          <w:tcPr>
            <w:tcW w:w="12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Options,</w:t>
            </w:r>
          </w:p>
        </w:tc>
        <w:tc>
          <w:tcPr>
            <w:tcW w:w="2000" w:type="dxa"/>
            <w:vAlign w:val="bottom"/>
            <w:gridSpan w:val="2"/>
          </w:tcPr>
          <w:p>
            <w:pPr>
              <w:jc w:val="center"/>
              <w:ind w:left="319"/>
              <w:spacing w:after="0" w:line="162" w:lineRule="exact"/>
              <w:rPr>
                <w:sz w:val="20"/>
                <w:szCs w:val="20"/>
                <w:color w:val="auto"/>
              </w:rPr>
            </w:pPr>
            <w:r>
              <w:rPr>
                <w:rFonts w:ascii="Arial" w:cs="Arial" w:eastAsia="Arial" w:hAnsi="Arial"/>
                <w:sz w:val="16"/>
                <w:szCs w:val="16"/>
                <w:b w:val="1"/>
                <w:bCs w:val="1"/>
                <w:color w:val="auto"/>
              </w:rPr>
              <w:t>Compensation Plans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Options, Warrants and</w:t>
            </w:r>
          </w:p>
        </w:tc>
        <w:tc>
          <w:tcPr>
            <w:tcW w:w="160" w:type="dxa"/>
            <w:vAlign w:val="bottom"/>
          </w:tcPr>
          <w:p>
            <w:pPr>
              <w:spacing w:after="0"/>
              <w:rPr>
                <w:sz w:val="14"/>
                <w:szCs w:val="14"/>
                <w:color w:val="auto"/>
              </w:rPr>
            </w:pPr>
          </w:p>
        </w:tc>
        <w:tc>
          <w:tcPr>
            <w:tcW w:w="12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Warrants and</w:t>
            </w: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15"/>
        </w:trPr>
        <w:tc>
          <w:tcPr>
            <w:tcW w:w="5660" w:type="dxa"/>
            <w:vAlign w:val="bottom"/>
            <w:tcBorders>
              <w:bottom w:val="single" w:sz="8" w:color="0090DA"/>
            </w:tcBorders>
          </w:tcPr>
          <w:p>
            <w:pPr>
              <w:spacing w:after="0"/>
              <w:rPr>
                <w:sz w:val="18"/>
                <w:szCs w:val="18"/>
                <w:color w:val="auto"/>
              </w:rPr>
            </w:pPr>
          </w:p>
        </w:tc>
        <w:tc>
          <w:tcPr>
            <w:tcW w:w="17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160" w:type="dxa"/>
            <w:vAlign w:val="bottom"/>
            <w:tcBorders>
              <w:bottom w:val="single" w:sz="8" w:color="0090DA"/>
            </w:tcBorders>
          </w:tcPr>
          <w:p>
            <w:pPr>
              <w:spacing w:after="0"/>
              <w:rPr>
                <w:sz w:val="18"/>
                <w:szCs w:val="18"/>
                <w:color w:val="auto"/>
              </w:rPr>
            </w:pPr>
          </w:p>
        </w:tc>
        <w:tc>
          <w:tcPr>
            <w:tcW w:w="1260" w:type="dxa"/>
            <w:vAlign w:val="bottom"/>
            <w:tcBorders>
              <w:bottom w:val="single" w:sz="8" w:color="0090DA"/>
            </w:tcBorders>
          </w:tcPr>
          <w:p>
            <w:pPr>
              <w:jc w:val="center"/>
              <w:ind w:right="79"/>
              <w:spacing w:after="0"/>
              <w:rPr>
                <w:sz w:val="20"/>
                <w:szCs w:val="20"/>
                <w:color w:val="auto"/>
              </w:rPr>
            </w:pPr>
            <w:r>
              <w:rPr>
                <w:rFonts w:ascii="Arial" w:cs="Arial" w:eastAsia="Arial" w:hAnsi="Arial"/>
                <w:sz w:val="16"/>
                <w:szCs w:val="16"/>
                <w:b w:val="1"/>
                <w:bCs w:val="1"/>
                <w:color w:val="auto"/>
              </w:rPr>
              <w:t>Rights(1)</w:t>
            </w:r>
          </w:p>
        </w:tc>
        <w:tc>
          <w:tcPr>
            <w:tcW w:w="2380" w:type="dxa"/>
            <w:vAlign w:val="bottom"/>
            <w:tcBorders>
              <w:bottom w:val="single" w:sz="8" w:color="0090DA"/>
            </w:tcBorders>
            <w:gridSpan w:val="3"/>
          </w:tcPr>
          <w:p>
            <w:pPr>
              <w:jc w:val="center"/>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35"/>
        </w:trPr>
        <w:tc>
          <w:tcPr>
            <w:tcW w:w="56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BCBCB"/>
          </w:tcPr>
          <w:p>
            <w:pPr>
              <w:ind w:left="20"/>
              <w:spacing w:after="0"/>
              <w:rPr>
                <w:sz w:val="20"/>
                <w:szCs w:val="20"/>
                <w:color w:val="auto"/>
              </w:rPr>
            </w:pPr>
            <w:r>
              <w:rPr>
                <w:rFonts w:ascii="Arial" w:cs="Arial" w:eastAsia="Arial" w:hAnsi="Arial"/>
                <w:sz w:val="16"/>
                <w:szCs w:val="16"/>
                <w:color w:val="auto"/>
              </w:rPr>
              <w:t>Equity Compensation Plans Approved by Shareholders(2)</w:t>
            </w:r>
          </w:p>
        </w:tc>
        <w:tc>
          <w:tcPr>
            <w:tcW w:w="17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23,292,704</w:t>
            </w:r>
          </w:p>
        </w:tc>
        <w:tc>
          <w:tcPr>
            <w:tcW w:w="1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28.98</w:t>
            </w:r>
          </w:p>
        </w:tc>
        <w:tc>
          <w:tcPr>
            <w:tcW w:w="19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100,552,614</w:t>
            </w:r>
          </w:p>
        </w:tc>
        <w:tc>
          <w:tcPr>
            <w:tcW w:w="20" w:type="dxa"/>
            <w:vAlign w:val="bottom"/>
            <w:shd w:val="clear" w:color="auto" w:fill="CBCBCB"/>
          </w:tcPr>
          <w:p>
            <w:pPr>
              <w:spacing w:after="0"/>
              <w:rPr>
                <w:sz w:val="18"/>
                <w:szCs w:val="18"/>
                <w:color w:val="auto"/>
              </w:rPr>
            </w:pPr>
          </w:p>
        </w:tc>
        <w:tc>
          <w:tcPr>
            <w:tcW w:w="380" w:type="dxa"/>
            <w:vAlign w:val="bottom"/>
            <w:shd w:val="clear" w:color="auto" w:fill="CBCBCB"/>
          </w:tcPr>
          <w:p>
            <w:pPr>
              <w:jc w:val="right"/>
              <w:ind w:right="99"/>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BCBCB"/>
            </w:tcBorders>
          </w:tcPr>
          <w:p>
            <w:pPr>
              <w:ind w:left="20"/>
              <w:spacing w:after="0"/>
              <w:rPr>
                <w:sz w:val="20"/>
                <w:szCs w:val="20"/>
                <w:color w:val="auto"/>
              </w:rPr>
            </w:pPr>
            <w:r>
              <w:rPr>
                <w:rFonts w:ascii="Arial" w:cs="Arial" w:eastAsia="Arial" w:hAnsi="Arial"/>
                <w:sz w:val="16"/>
                <w:szCs w:val="16"/>
                <w:color w:val="auto"/>
              </w:rPr>
              <w:t>Equity Compensation Plans Not Approved by Shareholders(4)</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1,238,362</w:t>
            </w:r>
          </w:p>
        </w:tc>
        <w:tc>
          <w:tcPr>
            <w:tcW w:w="160" w:type="dxa"/>
            <w:vAlign w:val="bottom"/>
            <w:tcBorders>
              <w:bottom w:val="single" w:sz="8" w:color="CBCBCB"/>
            </w:tcBorders>
          </w:tcPr>
          <w:p>
            <w:pPr>
              <w:spacing w:after="0"/>
              <w:rPr>
                <w:sz w:val="18"/>
                <w:szCs w:val="18"/>
                <w:color w:val="auto"/>
              </w:rPr>
            </w:pPr>
          </w:p>
        </w:tc>
        <w:tc>
          <w:tcPr>
            <w:tcW w:w="1260" w:type="dxa"/>
            <w:vAlign w:val="bottom"/>
            <w:tcBorders>
              <w:bottom w:val="single" w:sz="8" w:color="CBCBCB"/>
            </w:tcBorders>
          </w:tcPr>
          <w:p>
            <w:pPr>
              <w:jc w:val="right"/>
              <w:spacing w:after="0"/>
              <w:rPr>
                <w:sz w:val="20"/>
                <w:szCs w:val="20"/>
                <w:color w:val="auto"/>
              </w:rPr>
            </w:pPr>
            <w:r>
              <w:rPr>
                <w:rFonts w:ascii="Arial" w:cs="Arial" w:eastAsia="Arial" w:hAnsi="Arial"/>
                <w:sz w:val="16"/>
                <w:szCs w:val="16"/>
                <w:color w:val="auto"/>
              </w:rPr>
              <w:t>27.05</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3,247,862</w:t>
            </w:r>
          </w:p>
        </w:tc>
        <w:tc>
          <w:tcPr>
            <w:tcW w:w="20" w:type="dxa"/>
            <w:vAlign w:val="bottom"/>
            <w:tcBorders>
              <w:bottom w:val="single" w:sz="8" w:color="CBCBCB"/>
            </w:tcBorders>
          </w:tcPr>
          <w:p>
            <w:pPr>
              <w:spacing w:after="0"/>
              <w:rPr>
                <w:sz w:val="18"/>
                <w:szCs w:val="18"/>
                <w:color w:val="auto"/>
              </w:rPr>
            </w:pPr>
          </w:p>
        </w:tc>
        <w:tc>
          <w:tcPr>
            <w:tcW w:w="380" w:type="dxa"/>
            <w:vAlign w:val="bottom"/>
            <w:tcBorders>
              <w:bottom w:val="single" w:sz="8" w:color="CBCBCB"/>
            </w:tcBorders>
          </w:tcPr>
          <w:p>
            <w:pPr>
              <w:jc w:val="right"/>
              <w:ind w:right="9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BCBCB"/>
            </w:tcBorders>
            <w:shd w:val="clear" w:color="auto" w:fill="CBCBCB"/>
          </w:tcPr>
          <w:p>
            <w:pPr>
              <w:ind w:left="20"/>
              <w:spacing w:after="0"/>
              <w:rPr>
                <w:sz w:val="20"/>
                <w:szCs w:val="20"/>
                <w:color w:val="auto"/>
              </w:rPr>
            </w:pPr>
            <w:r>
              <w:rPr>
                <w:rFonts w:ascii="Arial" w:cs="Arial" w:eastAsia="Arial" w:hAnsi="Arial"/>
                <w:sz w:val="16"/>
                <w:szCs w:val="16"/>
                <w:color w:val="auto"/>
              </w:rPr>
              <w:t>Totals(6)</w:t>
            </w:r>
          </w:p>
        </w:tc>
        <w:tc>
          <w:tcPr>
            <w:tcW w:w="178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24,531,066</w:t>
            </w:r>
          </w:p>
        </w:tc>
        <w:tc>
          <w:tcPr>
            <w:tcW w:w="160" w:type="dxa"/>
            <w:vAlign w:val="bottom"/>
            <w:tcBorders>
              <w:bottom w:val="single" w:sz="8" w:color="CBCBCB"/>
            </w:tcBorders>
            <w:shd w:val="clear" w:color="auto" w:fill="CBCBCB"/>
          </w:tcPr>
          <w:p>
            <w:pPr>
              <w:spacing w:after="0"/>
              <w:rPr>
                <w:sz w:val="20"/>
                <w:szCs w:val="20"/>
                <w:color w:val="auto"/>
              </w:rPr>
            </w:pPr>
          </w:p>
        </w:tc>
        <w:tc>
          <w:tcPr>
            <w:tcW w:w="1260" w:type="dxa"/>
            <w:vAlign w:val="bottom"/>
            <w:tcBorders>
              <w:bottom w:val="single" w:sz="8" w:color="CBCBCB"/>
            </w:tcBorders>
            <w:shd w:val="clear" w:color="auto" w:fill="CBCBCB"/>
          </w:tcPr>
          <w:p>
            <w:pPr>
              <w:jc w:val="right"/>
              <w:spacing w:after="0"/>
              <w:rPr>
                <w:sz w:val="20"/>
                <w:szCs w:val="20"/>
                <w:color w:val="auto"/>
              </w:rPr>
            </w:pPr>
            <w:r>
              <w:rPr>
                <w:rFonts w:ascii="Arial" w:cs="Arial" w:eastAsia="Arial" w:hAnsi="Arial"/>
                <w:sz w:val="16"/>
                <w:szCs w:val="16"/>
                <w:color w:val="auto"/>
              </w:rPr>
              <w:t>28.32</w:t>
            </w:r>
          </w:p>
        </w:tc>
        <w:tc>
          <w:tcPr>
            <w:tcW w:w="198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103,800,476</w:t>
            </w:r>
          </w:p>
        </w:tc>
        <w:tc>
          <w:tcPr>
            <w:tcW w:w="20" w:type="dxa"/>
            <w:vAlign w:val="bottom"/>
            <w:tcBorders>
              <w:bottom w:val="single" w:sz="8" w:color="CBCBCB"/>
            </w:tcBorders>
            <w:shd w:val="clear" w:color="auto" w:fill="CBCBCB"/>
          </w:tcPr>
          <w:p>
            <w:pPr>
              <w:spacing w:after="0"/>
              <w:rPr>
                <w:sz w:val="20"/>
                <w:szCs w:val="20"/>
                <w:color w:val="auto"/>
              </w:rPr>
            </w:pPr>
          </w:p>
        </w:tc>
        <w:tc>
          <w:tcPr>
            <w:tcW w:w="380" w:type="dxa"/>
            <w:vAlign w:val="bottom"/>
            <w:tcBorders>
              <w:bottom w:val="single" w:sz="8" w:color="CBCBCB"/>
            </w:tcBorders>
            <w:shd w:val="clear" w:color="auto" w:fill="CBCBC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BCBCB"/>
            </w:tcBorders>
          </w:tcPr>
          <w:p>
            <w:pPr>
              <w:spacing w:after="0" w:line="20" w:lineRule="exact"/>
              <w:rPr>
                <w:sz w:val="1"/>
                <w:szCs w:val="1"/>
                <w:color w:val="auto"/>
              </w:rPr>
            </w:pPr>
          </w:p>
        </w:tc>
        <w:tc>
          <w:tcPr>
            <w:tcW w:w="1780" w:type="dxa"/>
            <w:vAlign w:val="bottom"/>
            <w:tcBorders>
              <w:top w:val="single" w:sz="8" w:color="CBCBCB"/>
              <w:bottom w:val="single" w:sz="8" w:color="auto"/>
            </w:tcBorders>
          </w:tcPr>
          <w:p>
            <w:pPr>
              <w:spacing w:after="0" w:line="20" w:lineRule="exact"/>
              <w:rPr>
                <w:sz w:val="1"/>
                <w:szCs w:val="1"/>
                <w:color w:val="auto"/>
              </w:rPr>
            </w:pPr>
          </w:p>
        </w:tc>
        <w:tc>
          <w:tcPr>
            <w:tcW w:w="160" w:type="dxa"/>
            <w:vAlign w:val="bottom"/>
            <w:tcBorders>
              <w:top w:val="single" w:sz="8" w:color="CBCBCB"/>
            </w:tcBorders>
          </w:tcPr>
          <w:p>
            <w:pPr>
              <w:spacing w:after="0" w:line="20" w:lineRule="exact"/>
              <w:rPr>
                <w:sz w:val="1"/>
                <w:szCs w:val="1"/>
                <w:color w:val="auto"/>
              </w:rPr>
            </w:pPr>
          </w:p>
        </w:tc>
        <w:tc>
          <w:tcPr>
            <w:tcW w:w="1260" w:type="dxa"/>
            <w:vAlign w:val="bottom"/>
            <w:tcBorders>
              <w:top w:val="single" w:sz="8" w:color="CBCBCB"/>
            </w:tcBorders>
          </w:tcPr>
          <w:p>
            <w:pPr>
              <w:spacing w:after="0" w:line="20" w:lineRule="exact"/>
              <w:rPr>
                <w:sz w:val="1"/>
                <w:szCs w:val="1"/>
                <w:color w:val="auto"/>
              </w:rPr>
            </w:pPr>
          </w:p>
        </w:tc>
        <w:tc>
          <w:tcPr>
            <w:tcW w:w="1980" w:type="dxa"/>
            <w:vAlign w:val="bottom"/>
            <w:tcBorders>
              <w:top w:val="single" w:sz="8" w:color="CBCBCB"/>
              <w:bottom w:val="single" w:sz="8" w:color="auto"/>
            </w:tcBorders>
          </w:tcPr>
          <w:p>
            <w:pPr>
              <w:spacing w:after="0" w:line="20" w:lineRule="exact"/>
              <w:rPr>
                <w:sz w:val="1"/>
                <w:szCs w:val="1"/>
                <w:color w:val="auto"/>
              </w:rPr>
            </w:pPr>
          </w:p>
        </w:tc>
        <w:tc>
          <w:tcPr>
            <w:tcW w:w="2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CBCBC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right="640" w:hanging="332"/>
        <w:spacing w:after="0" w:line="261" w:lineRule="auto"/>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Excludes restricted stock that converts to shares of Common Stock for no consideration and excludes ESPP shares for which the exercise price will not be fixed until the purchase date.</w:t>
      </w:r>
    </w:p>
    <w:p>
      <w:pPr>
        <w:spacing w:after="0" w:line="116" w:lineRule="exact"/>
        <w:rPr>
          <w:rFonts w:ascii="Arial" w:cs="Arial" w:eastAsia="Arial" w:hAnsi="Arial"/>
          <w:sz w:val="18"/>
          <w:szCs w:val="18"/>
          <w:color w:val="auto"/>
        </w:rPr>
      </w:pPr>
    </w:p>
    <w:p>
      <w:pPr>
        <w:ind w:left="340" w:right="120" w:hanging="332"/>
        <w:spacing w:after="0" w:line="252" w:lineRule="auto"/>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2004 Equity Incentive Plan (the “2004 Plan”), 2007 Plan, and Employee Stock Purchase Plan (the “ESPP”). The 2004 Plan and the 2007 Plan provide for a maximum term for options and Stock Appreciation Rights (“SARs”) of eight years. The 2004 Plan and 2007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40" w:lineRule="exact"/>
        <w:rPr>
          <w:rFonts w:ascii="Arial" w:cs="Arial" w:eastAsia="Arial" w:hAnsi="Arial"/>
          <w:sz w:val="18"/>
          <w:szCs w:val="18"/>
          <w:color w:val="auto"/>
        </w:rPr>
      </w:pPr>
    </w:p>
    <w:p>
      <w:pPr>
        <w:ind w:left="340" w:right="60" w:hanging="332"/>
        <w:spacing w:after="0" w:line="261" w:lineRule="auto"/>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issuing full-value awards, the number of available shares is 61,591,928. The 2004 Plan and 2007 Plan permit granting options and full-value awards.</w:t>
      </w:r>
    </w:p>
    <w:p>
      <w:pPr>
        <w:spacing w:after="0" w:line="130" w:lineRule="exact"/>
        <w:rPr>
          <w:rFonts w:ascii="Arial" w:cs="Arial" w:eastAsia="Arial" w:hAnsi="Arial"/>
          <w:sz w:val="18"/>
          <w:szCs w:val="18"/>
          <w:color w:val="auto"/>
        </w:rPr>
      </w:pPr>
    </w:p>
    <w:p>
      <w:pPr>
        <w:ind w:left="340" w:right="280" w:hanging="332"/>
        <w:spacing w:after="0" w:line="278" w:lineRule="auto"/>
        <w:tabs>
          <w:tab w:leader="none" w:pos="33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Nonstatutory Stock Option Plan (the “NSOP”). Options granted under the NSOP have terms ranging from six to ten years. The exercise price and the vesting schedule of the options granted under this plan are determined by the administrators of the plan or our Board of Directors. Executive officers and directors do not participate in the NSOP.</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full-value awards.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55"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84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(a)</w:t>
            </w:r>
          </w:p>
        </w:tc>
        <w:tc>
          <w:tcPr>
            <w:tcW w:w="4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Number of Securities To Be</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Issued Upon Exercise of</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Available for Issuance</w:t>
            </w:r>
          </w:p>
        </w:tc>
        <w:tc>
          <w:tcPr>
            <w:tcW w:w="0" w:type="dxa"/>
            <w:vAlign w:val="bottom"/>
          </w:tcPr>
          <w:p>
            <w:pPr>
              <w:spacing w:after="0"/>
              <w:rPr>
                <w:sz w:val="1"/>
                <w:szCs w:val="1"/>
                <w:color w:val="auto"/>
              </w:rPr>
            </w:pPr>
          </w:p>
        </w:tc>
      </w:tr>
      <w:tr>
        <w:trPr>
          <w:trHeight w:val="162"/>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Equity Plan</w:t>
            </w: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Outstanding Options,</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0090DA"/>
            </w:tcBorders>
            <w:vMerge w:val="continue"/>
          </w:tcPr>
          <w:p>
            <w:pPr>
              <w:spacing w:after="0"/>
              <w:rPr>
                <w:sz w:val="18"/>
                <w:szCs w:val="18"/>
                <w:color w:val="auto"/>
              </w:rPr>
            </w:pPr>
          </w:p>
        </w:tc>
        <w:tc>
          <w:tcPr>
            <w:tcW w:w="22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3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35"/>
        </w:trPr>
        <w:tc>
          <w:tcPr>
            <w:tcW w:w="33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BCBCB"/>
          </w:tcPr>
          <w:p>
            <w:pPr>
              <w:ind w:left="20"/>
              <w:spacing w:after="0"/>
              <w:rPr>
                <w:sz w:val="20"/>
                <w:szCs w:val="20"/>
                <w:color w:val="auto"/>
              </w:rPr>
            </w:pPr>
            <w:r>
              <w:rPr>
                <w:rFonts w:ascii="Arial" w:cs="Arial" w:eastAsia="Arial" w:hAnsi="Arial"/>
                <w:sz w:val="16"/>
                <w:szCs w:val="16"/>
                <w:color w:val="auto"/>
              </w:rPr>
              <w:t>Plans Approved by Shareholders</w:t>
            </w:r>
          </w:p>
        </w:tc>
        <w:tc>
          <w:tcPr>
            <w:tcW w:w="1840" w:type="dxa"/>
            <w:vAlign w:val="bottom"/>
            <w:shd w:val="clear" w:color="auto" w:fill="CBCBCB"/>
          </w:tcPr>
          <w:p>
            <w:pPr>
              <w:spacing w:after="0"/>
              <w:rPr>
                <w:sz w:val="18"/>
                <w:szCs w:val="18"/>
                <w:color w:val="auto"/>
              </w:rPr>
            </w:pPr>
          </w:p>
        </w:tc>
        <w:tc>
          <w:tcPr>
            <w:tcW w:w="400" w:type="dxa"/>
            <w:vAlign w:val="bottom"/>
            <w:shd w:val="clear" w:color="auto" w:fill="CBCBCB"/>
          </w:tcPr>
          <w:p>
            <w:pPr>
              <w:spacing w:after="0"/>
              <w:rPr>
                <w:sz w:val="18"/>
                <w:szCs w:val="18"/>
                <w:color w:val="auto"/>
              </w:rPr>
            </w:pPr>
          </w:p>
        </w:tc>
        <w:tc>
          <w:tcPr>
            <w:tcW w:w="2320" w:type="dxa"/>
            <w:vAlign w:val="bottom"/>
            <w:shd w:val="clear" w:color="auto" w:fill="CBCBC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Arial" w:cs="Arial" w:eastAsia="Arial" w:hAnsi="Arial"/>
                <w:sz w:val="16"/>
                <w:szCs w:val="16"/>
                <w:color w:val="auto"/>
              </w:rPr>
              <w:t>2004 Plan</w:t>
            </w:r>
          </w:p>
        </w:tc>
        <w:tc>
          <w:tcPr>
            <w:tcW w:w="1840" w:type="dxa"/>
            <w:vAlign w:val="bottom"/>
          </w:tcPr>
          <w:p>
            <w:pPr>
              <w:jc w:val="right"/>
              <w:spacing w:after="0"/>
              <w:rPr>
                <w:sz w:val="20"/>
                <w:szCs w:val="20"/>
                <w:color w:val="auto"/>
              </w:rPr>
            </w:pPr>
            <w:r>
              <w:rPr>
                <w:rFonts w:ascii="Arial" w:cs="Arial" w:eastAsia="Arial" w:hAnsi="Arial"/>
                <w:sz w:val="16"/>
                <w:szCs w:val="16"/>
                <w:color w:val="auto"/>
              </w:rPr>
              <w:t>6,912,728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w w:val="91"/>
              </w:rPr>
              <w:t>(1)</w:t>
            </w:r>
          </w:p>
        </w:tc>
        <w:tc>
          <w:tcPr>
            <w:tcW w:w="2320" w:type="dxa"/>
            <w:vAlign w:val="bottom"/>
          </w:tcPr>
          <w:p>
            <w:pPr>
              <w:jc w:val="right"/>
              <w:spacing w:after="0"/>
              <w:rPr>
                <w:sz w:val="20"/>
                <w:szCs w:val="20"/>
                <w:color w:val="auto"/>
              </w:rPr>
            </w:pPr>
            <w:r>
              <w:rPr>
                <w:rFonts w:ascii="Arial" w:cs="Arial" w:eastAsia="Arial" w:hAnsi="Arial"/>
                <w:sz w:val="16"/>
                <w:szCs w:val="16"/>
                <w:color w:val="auto"/>
              </w:rPr>
              <w:t>1,709,730</w:t>
            </w:r>
          </w:p>
        </w:tc>
        <w:tc>
          <w:tcPr>
            <w:tcW w:w="0" w:type="dxa"/>
            <w:vAlign w:val="bottom"/>
          </w:tcPr>
          <w:p>
            <w:pPr>
              <w:spacing w:after="0"/>
              <w:rPr>
                <w:sz w:val="1"/>
                <w:szCs w:val="1"/>
                <w:color w:val="auto"/>
              </w:rPr>
            </w:pPr>
          </w:p>
        </w:tc>
      </w:tr>
      <w:tr>
        <w:trPr>
          <w:trHeight w:val="219"/>
        </w:trPr>
        <w:tc>
          <w:tcPr>
            <w:tcW w:w="3340" w:type="dxa"/>
            <w:vAlign w:val="bottom"/>
            <w:shd w:val="clear" w:color="auto" w:fill="CBCBCB"/>
          </w:tcPr>
          <w:p>
            <w:pPr>
              <w:ind w:left="140"/>
              <w:spacing w:after="0"/>
              <w:rPr>
                <w:sz w:val="20"/>
                <w:szCs w:val="20"/>
                <w:color w:val="auto"/>
              </w:rPr>
            </w:pPr>
            <w:r>
              <w:rPr>
                <w:rFonts w:ascii="Arial" w:cs="Arial" w:eastAsia="Arial" w:hAnsi="Arial"/>
                <w:sz w:val="16"/>
                <w:szCs w:val="16"/>
                <w:color w:val="auto"/>
              </w:rPr>
              <w:t>2007 Plan</w:t>
            </w:r>
          </w:p>
        </w:tc>
        <w:tc>
          <w:tcPr>
            <w:tcW w:w="18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14,583,231</w:t>
            </w:r>
          </w:p>
        </w:tc>
        <w:tc>
          <w:tcPr>
            <w:tcW w:w="400" w:type="dxa"/>
            <w:vAlign w:val="bottom"/>
            <w:shd w:val="clear" w:color="auto" w:fill="CBCBCB"/>
          </w:tcPr>
          <w:p>
            <w:pPr>
              <w:jc w:val="right"/>
              <w:ind w:right="119"/>
              <w:spacing w:after="0"/>
              <w:rPr>
                <w:sz w:val="20"/>
                <w:szCs w:val="20"/>
                <w:color w:val="auto"/>
              </w:rPr>
            </w:pPr>
            <w:r>
              <w:rPr>
                <w:rFonts w:ascii="Arial" w:cs="Arial" w:eastAsia="Arial" w:hAnsi="Arial"/>
                <w:sz w:val="16"/>
                <w:szCs w:val="16"/>
                <w:color w:val="auto"/>
                <w:w w:val="91"/>
              </w:rPr>
              <w:t>(2)</w:t>
            </w:r>
          </w:p>
        </w:tc>
        <w:tc>
          <w:tcPr>
            <w:tcW w:w="2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76,211,642</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BCBCB"/>
            </w:tcBorders>
          </w:tcPr>
          <w:p>
            <w:pPr>
              <w:ind w:left="140"/>
              <w:spacing w:after="0"/>
              <w:rPr>
                <w:sz w:val="20"/>
                <w:szCs w:val="20"/>
                <w:color w:val="auto"/>
              </w:rPr>
            </w:pPr>
            <w:r>
              <w:rPr>
                <w:rFonts w:ascii="Arial" w:cs="Arial" w:eastAsia="Arial" w:hAnsi="Arial"/>
                <w:sz w:val="16"/>
                <w:szCs w:val="16"/>
                <w:color w:val="auto"/>
              </w:rPr>
              <w:t>ESPP</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1,796,745</w:t>
            </w:r>
          </w:p>
        </w:tc>
        <w:tc>
          <w:tcPr>
            <w:tcW w:w="400" w:type="dxa"/>
            <w:vAlign w:val="bottom"/>
            <w:tcBorders>
              <w:bottom w:val="single" w:sz="8" w:color="CBCBCB"/>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22,631,242</w:t>
            </w:r>
          </w:p>
        </w:tc>
        <w:tc>
          <w:tcPr>
            <w:tcW w:w="0" w:type="dxa"/>
            <w:vAlign w:val="bottom"/>
          </w:tcPr>
          <w:p>
            <w:pPr>
              <w:spacing w:after="0"/>
              <w:rPr>
                <w:sz w:val="1"/>
                <w:szCs w:val="1"/>
                <w:color w:val="auto"/>
              </w:rPr>
            </w:pPr>
          </w:p>
        </w:tc>
      </w:tr>
      <w:tr>
        <w:trPr>
          <w:trHeight w:val="209"/>
        </w:trPr>
        <w:tc>
          <w:tcPr>
            <w:tcW w:w="3340" w:type="dxa"/>
            <w:vAlign w:val="bottom"/>
            <w:shd w:val="clear" w:color="auto" w:fill="CBCBCB"/>
          </w:tcPr>
          <w:p>
            <w:pPr>
              <w:ind w:left="300"/>
              <w:spacing w:after="0"/>
              <w:rPr>
                <w:sz w:val="20"/>
                <w:szCs w:val="20"/>
                <w:color w:val="auto"/>
              </w:rPr>
            </w:pPr>
            <w:r>
              <w:rPr>
                <w:rFonts w:ascii="Arial" w:cs="Arial" w:eastAsia="Arial" w:hAnsi="Arial"/>
                <w:sz w:val="16"/>
                <w:szCs w:val="16"/>
                <w:color w:val="auto"/>
              </w:rPr>
              <w:t>Approved Plan Total</w:t>
            </w:r>
          </w:p>
        </w:tc>
        <w:tc>
          <w:tcPr>
            <w:tcW w:w="184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23,292,704</w:t>
            </w:r>
          </w:p>
        </w:tc>
        <w:tc>
          <w:tcPr>
            <w:tcW w:w="400" w:type="dxa"/>
            <w:vAlign w:val="bottom"/>
            <w:shd w:val="clear" w:color="auto" w:fill="CBCBCB"/>
          </w:tcPr>
          <w:p>
            <w:pPr>
              <w:spacing w:after="0"/>
              <w:rPr>
                <w:sz w:val="18"/>
                <w:szCs w:val="18"/>
                <w:color w:val="auto"/>
              </w:rPr>
            </w:pPr>
          </w:p>
        </w:tc>
        <w:tc>
          <w:tcPr>
            <w:tcW w:w="2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100,552,614</w:t>
            </w:r>
          </w:p>
        </w:tc>
        <w:tc>
          <w:tcPr>
            <w:tcW w:w="0" w:type="dxa"/>
            <w:vAlign w:val="bottom"/>
          </w:tcPr>
          <w:p>
            <w:pPr>
              <w:spacing w:after="0"/>
              <w:rPr>
                <w:sz w:val="1"/>
                <w:szCs w:val="1"/>
                <w:color w:val="auto"/>
              </w:rPr>
            </w:pPr>
          </w:p>
        </w:tc>
      </w:tr>
      <w:tr>
        <w:trPr>
          <w:trHeight w:val="199"/>
        </w:trPr>
        <w:tc>
          <w:tcPr>
            <w:tcW w:w="3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BCBCB"/>
          </w:tcPr>
          <w:p>
            <w:pPr>
              <w:ind w:left="20"/>
              <w:spacing w:after="0"/>
              <w:rPr>
                <w:sz w:val="20"/>
                <w:szCs w:val="20"/>
                <w:color w:val="auto"/>
              </w:rPr>
            </w:pPr>
            <w:r>
              <w:rPr>
                <w:rFonts w:ascii="Arial" w:cs="Arial" w:eastAsia="Arial" w:hAnsi="Arial"/>
                <w:sz w:val="16"/>
                <w:szCs w:val="16"/>
                <w:color w:val="auto"/>
              </w:rPr>
              <w:t>Plans Not Approved by Shareholders</w:t>
            </w:r>
          </w:p>
        </w:tc>
        <w:tc>
          <w:tcPr>
            <w:tcW w:w="1840" w:type="dxa"/>
            <w:vAlign w:val="bottom"/>
            <w:shd w:val="clear" w:color="auto" w:fill="CBCBCB"/>
          </w:tcPr>
          <w:p>
            <w:pPr>
              <w:spacing w:after="0"/>
              <w:rPr>
                <w:sz w:val="18"/>
                <w:szCs w:val="18"/>
                <w:color w:val="auto"/>
              </w:rPr>
            </w:pPr>
          </w:p>
        </w:tc>
        <w:tc>
          <w:tcPr>
            <w:tcW w:w="400" w:type="dxa"/>
            <w:vAlign w:val="bottom"/>
            <w:shd w:val="clear" w:color="auto" w:fill="CBCBCB"/>
          </w:tcPr>
          <w:p>
            <w:pPr>
              <w:spacing w:after="0"/>
              <w:rPr>
                <w:sz w:val="18"/>
                <w:szCs w:val="18"/>
                <w:color w:val="auto"/>
              </w:rPr>
            </w:pPr>
          </w:p>
        </w:tc>
        <w:tc>
          <w:tcPr>
            <w:tcW w:w="2320" w:type="dxa"/>
            <w:vAlign w:val="bottom"/>
            <w:shd w:val="clear" w:color="auto" w:fill="CBCBC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Borders>
              <w:bottom w:val="single" w:sz="8" w:color="CBCBCB"/>
            </w:tcBorders>
          </w:tcPr>
          <w:p>
            <w:pPr>
              <w:ind w:left="140"/>
              <w:spacing w:after="0"/>
              <w:rPr>
                <w:sz w:val="20"/>
                <w:szCs w:val="20"/>
                <w:color w:val="auto"/>
              </w:rPr>
            </w:pPr>
            <w:r>
              <w:rPr>
                <w:rFonts w:ascii="Arial" w:cs="Arial" w:eastAsia="Arial" w:hAnsi="Arial"/>
                <w:sz w:val="16"/>
                <w:szCs w:val="16"/>
                <w:color w:val="auto"/>
              </w:rPr>
              <w:t>NSOP</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1,238,362</w:t>
            </w:r>
          </w:p>
        </w:tc>
        <w:tc>
          <w:tcPr>
            <w:tcW w:w="400" w:type="dxa"/>
            <w:vAlign w:val="bottom"/>
            <w:tcBorders>
              <w:bottom w:val="single" w:sz="8" w:color="CBCBCB"/>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3,247,862</w:t>
            </w:r>
          </w:p>
        </w:tc>
        <w:tc>
          <w:tcPr>
            <w:tcW w:w="0" w:type="dxa"/>
            <w:vAlign w:val="bottom"/>
          </w:tcPr>
          <w:p>
            <w:pPr>
              <w:spacing w:after="0"/>
              <w:rPr>
                <w:sz w:val="1"/>
                <w:szCs w:val="1"/>
                <w:color w:val="auto"/>
              </w:rPr>
            </w:pPr>
          </w:p>
        </w:tc>
      </w:tr>
      <w:tr>
        <w:trPr>
          <w:trHeight w:val="209"/>
        </w:trPr>
        <w:tc>
          <w:tcPr>
            <w:tcW w:w="3340" w:type="dxa"/>
            <w:vAlign w:val="bottom"/>
            <w:shd w:val="clear" w:color="auto" w:fill="CBCBCB"/>
          </w:tcPr>
          <w:p>
            <w:pPr>
              <w:ind w:left="300"/>
              <w:spacing w:after="0"/>
              <w:rPr>
                <w:sz w:val="20"/>
                <w:szCs w:val="20"/>
                <w:color w:val="auto"/>
              </w:rPr>
            </w:pPr>
            <w:r>
              <w:rPr>
                <w:rFonts w:ascii="Arial" w:cs="Arial" w:eastAsia="Arial" w:hAnsi="Arial"/>
                <w:sz w:val="16"/>
                <w:szCs w:val="16"/>
                <w:color w:val="auto"/>
              </w:rPr>
              <w:t>Not Approved Plan Total</w:t>
            </w:r>
          </w:p>
        </w:tc>
        <w:tc>
          <w:tcPr>
            <w:tcW w:w="184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1,238,362</w:t>
            </w:r>
          </w:p>
        </w:tc>
        <w:tc>
          <w:tcPr>
            <w:tcW w:w="400" w:type="dxa"/>
            <w:vAlign w:val="bottom"/>
            <w:shd w:val="clear" w:color="auto" w:fill="CBCBCB"/>
          </w:tcPr>
          <w:p>
            <w:pPr>
              <w:spacing w:after="0"/>
              <w:rPr>
                <w:sz w:val="18"/>
                <w:szCs w:val="18"/>
                <w:color w:val="auto"/>
              </w:rPr>
            </w:pPr>
          </w:p>
        </w:tc>
        <w:tc>
          <w:tcPr>
            <w:tcW w:w="2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3,247,862</w:t>
            </w:r>
          </w:p>
        </w:tc>
        <w:tc>
          <w:tcPr>
            <w:tcW w:w="0" w:type="dxa"/>
            <w:vAlign w:val="bottom"/>
          </w:tcPr>
          <w:p>
            <w:pPr>
              <w:spacing w:after="0"/>
              <w:rPr>
                <w:sz w:val="1"/>
                <w:szCs w:val="1"/>
                <w:color w:val="auto"/>
              </w:rPr>
            </w:pPr>
          </w:p>
        </w:tc>
      </w:tr>
      <w:tr>
        <w:trPr>
          <w:trHeight w:val="213"/>
        </w:trPr>
        <w:tc>
          <w:tcPr>
            <w:tcW w:w="3340" w:type="dxa"/>
            <w:vAlign w:val="bottom"/>
          </w:tcPr>
          <w:p>
            <w:pPr>
              <w:ind w:left="460"/>
              <w:spacing w:after="0"/>
              <w:rPr>
                <w:sz w:val="20"/>
                <w:szCs w:val="20"/>
                <w:color w:val="auto"/>
              </w:rPr>
            </w:pPr>
            <w:r>
              <w:rPr>
                <w:rFonts w:ascii="Arial" w:cs="Arial" w:eastAsia="Arial" w:hAnsi="Arial"/>
                <w:sz w:val="16"/>
                <w:szCs w:val="16"/>
                <w:color w:val="auto"/>
              </w:rPr>
              <w:t>Grand 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24,531,066</w:t>
            </w:r>
          </w:p>
        </w:tc>
        <w:tc>
          <w:tcPr>
            <w:tcW w:w="400" w:type="dxa"/>
            <w:vAlign w:val="bottom"/>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103,800,476</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20" w:hanging="316"/>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5,700,897 restricted stock units and excludes 425,496 shares of restricted stock.</w:t>
      </w:r>
    </w:p>
    <w:p>
      <w:pPr>
        <w:spacing w:after="0" w:line="157" w:lineRule="exact"/>
        <w:rPr>
          <w:rFonts w:ascii="Arial" w:cs="Arial" w:eastAsia="Arial" w:hAnsi="Arial"/>
          <w:sz w:val="18"/>
          <w:szCs w:val="18"/>
          <w:color w:val="auto"/>
        </w:rPr>
      </w:pPr>
    </w:p>
    <w:p>
      <w:pPr>
        <w:ind w:left="1620" w:hanging="316"/>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13,437,796 restricted stock units and excludes 516,575 shares of restricted stock.</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61</w:t>
      </w:r>
    </w:p>
    <w:p>
      <w:pPr>
        <w:sectPr>
          <w:pgSz w:w="11900" w:h="16838" w:orient="portrait"/>
          <w:cols w:equalWidth="0" w:num="1">
            <w:col w:w="11240"/>
          </w:cols>
          <w:pgMar w:left="320" w:top="919" w:right="339" w:bottom="1440" w:gutter="0" w:footer="0" w:header="0"/>
        </w:sectPr>
      </w:pPr>
    </w:p>
    <w:bookmarkStart w:id="68" w:name="page69"/>
    <w:bookmarkEnd w:id="68"/>
    <w:p>
      <w:pPr>
        <w:spacing w:after="0"/>
        <w:rPr>
          <w:sz w:val="20"/>
          <w:szCs w:val="20"/>
          <w:color w:val="auto"/>
        </w:rPr>
      </w:pPr>
      <w:r>
        <w:rPr>
          <w:rFonts w:ascii="Arial" w:cs="Arial" w:eastAsia="Arial" w:hAnsi="Arial"/>
          <w:sz w:val="40"/>
          <w:szCs w:val="40"/>
          <w:b w:val="1"/>
          <w:bCs w:val="1"/>
          <w:color w:val="0090DA"/>
        </w:rPr>
        <w:t>AUDIT COMMITTEE MATTERS</w:t>
      </w:r>
    </w:p>
    <w:p>
      <w:pPr>
        <w:spacing w:after="0" w:line="66" w:lineRule="exact"/>
        <w:rPr>
          <w:sz w:val="20"/>
          <w:szCs w:val="20"/>
          <w:color w:val="auto"/>
        </w:rPr>
      </w:pPr>
    </w:p>
    <w:p>
      <w:pPr>
        <w:ind w:left="20" w:right="3000"/>
        <w:spacing w:after="0" w:line="282" w:lineRule="auto"/>
        <w:rPr>
          <w:sz w:val="20"/>
          <w:szCs w:val="20"/>
          <w:color w:val="auto"/>
        </w:rPr>
      </w:pPr>
      <w:r>
        <w:rPr>
          <w:rFonts w:ascii="Arial" w:cs="Arial" w:eastAsia="Arial" w:hAnsi="Arial"/>
          <w:sz w:val="32"/>
          <w:szCs w:val="32"/>
          <w:b w:val="1"/>
          <w:bCs w:val="1"/>
          <w:color w:val="FFFFFF"/>
        </w:rPr>
        <w:t>PROPOSAL 3 – RATIFICATION OF APPOINTMENT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548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31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Audit Committee of the Board of Directors has retained PricewaterhouseCoopers LLP (“PwC”) as our Independent Registered Public Accounting Firm to audit our consolidated financial statements for the fiscal year ending September 1, 2022.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will have the opportunity to make a statement if they so desire,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4911725"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recommends voting “</w:t>
      </w:r>
      <w:r>
        <w:rPr>
          <w:rFonts w:ascii="Arial" w:cs="Arial" w:eastAsia="Arial" w:hAnsi="Arial"/>
          <w:sz w:val="22"/>
          <w:szCs w:val="22"/>
          <w:b w:val="1"/>
          <w:bCs w:val="1"/>
          <w:color w:val="0090DA"/>
        </w:rPr>
        <w:t>FOR</w:t>
      </w:r>
      <w:r>
        <w:rPr>
          <w:rFonts w:ascii="Arial" w:cs="Arial" w:eastAsia="Arial" w:hAnsi="Arial"/>
          <w:sz w:val="22"/>
          <w:szCs w:val="22"/>
          <w:b w:val="1"/>
          <w:bCs w:val="1"/>
          <w:color w:val="auto"/>
        </w:rPr>
        <w:t>” the ratification of the appointment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PricewaterhouseCoopers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40" w:type="dxa"/>
            <w:vAlign w:val="bottom"/>
          </w:tcPr>
          <w:p>
            <w:pPr>
              <w:spacing w:after="0"/>
              <w:rPr>
                <w:sz w:val="20"/>
                <w:szCs w:val="20"/>
                <w:color w:val="auto"/>
              </w:rPr>
            </w:pPr>
            <w:r>
              <w:rPr>
                <w:rFonts w:ascii="Arial" w:cs="Arial" w:eastAsia="Arial" w:hAnsi="Arial"/>
                <w:sz w:val="18"/>
                <w:szCs w:val="18"/>
                <w:color w:val="auto"/>
              </w:rPr>
              <w:t>Fees charged for services performed by PwC for fiscal 2021 and 2020 were as follows: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7"/>
        </w:trPr>
        <w:tc>
          <w:tcPr>
            <w:tcW w:w="8540" w:type="dxa"/>
            <w:vAlign w:val="bottom"/>
          </w:tcPr>
          <w:p>
            <w:pPr>
              <w:spacing w:after="0"/>
              <w:rPr>
                <w:sz w:val="22"/>
                <w:szCs w:val="22"/>
                <w:color w:val="auto"/>
              </w:rPr>
            </w:pPr>
          </w:p>
        </w:tc>
        <w:tc>
          <w:tcPr>
            <w:tcW w:w="9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0090DA"/>
            </w:tcBorders>
          </w:tcPr>
          <w:p>
            <w:pPr>
              <w:spacing w:after="0"/>
              <w:rPr>
                <w:sz w:val="22"/>
                <w:szCs w:val="22"/>
                <w:color w:val="auto"/>
              </w:rPr>
            </w:pPr>
          </w:p>
        </w:tc>
        <w:tc>
          <w:tcPr>
            <w:tcW w:w="9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0090DA"/>
            </w:tcBorders>
          </w:tcPr>
          <w:p>
            <w:pPr>
              <w:spacing w:after="0"/>
              <w:rPr>
                <w:sz w:val="22"/>
                <w:szCs w:val="22"/>
                <w:color w:val="auto"/>
              </w:rPr>
            </w:pPr>
          </w:p>
        </w:tc>
      </w:tr>
      <w:tr>
        <w:trPr>
          <w:trHeight w:val="223"/>
        </w:trPr>
        <w:tc>
          <w:tcPr>
            <w:tcW w:w="8540" w:type="dxa"/>
            <w:vAlign w:val="bottom"/>
            <w:tcBorders>
              <w:bottom w:val="single" w:sz="8" w:color="0090DA"/>
            </w:tcBorders>
          </w:tcPr>
          <w:p>
            <w:pPr>
              <w:spacing w:after="0"/>
              <w:rPr>
                <w:sz w:val="19"/>
                <w:szCs w:val="19"/>
                <w:color w:val="auto"/>
              </w:rPr>
            </w:pPr>
          </w:p>
        </w:tc>
        <w:tc>
          <w:tcPr>
            <w:tcW w:w="2260" w:type="dxa"/>
            <w:vAlign w:val="bottom"/>
            <w:tcBorders>
              <w:bottom w:val="single" w:sz="8" w:color="0090DA"/>
            </w:tcBorders>
            <w:gridSpan w:val="3"/>
          </w:tcPr>
          <w:p>
            <w:pPr>
              <w:jc w:val="right"/>
              <w:spacing w:after="0"/>
              <w:rPr>
                <w:sz w:val="20"/>
                <w:szCs w:val="20"/>
                <w:color w:val="auto"/>
              </w:rPr>
            </w:pPr>
            <w:r>
              <w:rPr>
                <w:rFonts w:ascii="Arial" w:cs="Arial" w:eastAsia="Arial" w:hAnsi="Arial"/>
                <w:sz w:val="18"/>
                <w:szCs w:val="18"/>
                <w:b w:val="1"/>
                <w:bCs w:val="1"/>
                <w:color w:val="auto"/>
              </w:rPr>
              <w:t>(amounts in millions)</w:t>
            </w:r>
          </w:p>
        </w:tc>
        <w:tc>
          <w:tcPr>
            <w:tcW w:w="440" w:type="dxa"/>
            <w:vAlign w:val="bottom"/>
            <w:tcBorders>
              <w:bottom w:val="single" w:sz="8" w:color="0090DA"/>
            </w:tcBorders>
          </w:tcPr>
          <w:p>
            <w:pPr>
              <w:spacing w:after="0"/>
              <w:rPr>
                <w:sz w:val="19"/>
                <w:szCs w:val="19"/>
                <w:color w:val="auto"/>
              </w:rPr>
            </w:pPr>
          </w:p>
        </w:tc>
      </w:tr>
      <w:tr>
        <w:trPr>
          <w:trHeight w:val="34"/>
        </w:trPr>
        <w:tc>
          <w:tcPr>
            <w:tcW w:w="8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0"/>
        </w:trPr>
        <w:tc>
          <w:tcPr>
            <w:tcW w:w="8540" w:type="dxa"/>
            <w:vAlign w:val="bottom"/>
            <w:shd w:val="clear" w:color="auto" w:fill="CBCBCB"/>
          </w:tcPr>
          <w:p>
            <w:pPr>
              <w:ind w:left="20"/>
              <w:spacing w:after="0"/>
              <w:rPr>
                <w:sz w:val="20"/>
                <w:szCs w:val="20"/>
                <w:color w:val="auto"/>
              </w:rPr>
            </w:pPr>
            <w:r>
              <w:rPr>
                <w:rFonts w:ascii="Arial" w:cs="Arial" w:eastAsia="Arial" w:hAnsi="Arial"/>
                <w:sz w:val="18"/>
                <w:szCs w:val="18"/>
                <w:color w:val="auto"/>
              </w:rPr>
              <w:t>Audit fees(1)</w:t>
            </w:r>
          </w:p>
        </w:tc>
        <w:tc>
          <w:tcPr>
            <w:tcW w:w="940" w:type="dxa"/>
            <w:vAlign w:val="bottom"/>
            <w:shd w:val="clear" w:color="auto" w:fill="CBCBCB"/>
          </w:tcPr>
          <w:p>
            <w:pPr>
              <w:jc w:val="right"/>
              <w:ind w:right="7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7.8</w:t>
            </w:r>
          </w:p>
        </w:tc>
        <w:tc>
          <w:tcPr>
            <w:tcW w:w="940" w:type="dxa"/>
            <w:vAlign w:val="bottom"/>
            <w:shd w:val="clear" w:color="auto" w:fill="CBCBCB"/>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5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Tax fees(3)</w:t>
            </w:r>
          </w:p>
        </w:tc>
        <w:tc>
          <w:tcPr>
            <w:tcW w:w="940" w:type="dxa"/>
            <w:vAlign w:val="bottom"/>
            <w:shd w:val="clear" w:color="auto" w:fill="CBCBCB"/>
          </w:tcPr>
          <w:p>
            <w:pPr>
              <w:spacing w:after="0"/>
              <w:rPr>
                <w:sz w:val="19"/>
                <w:szCs w:val="19"/>
                <w:color w:val="auto"/>
              </w:rPr>
            </w:pPr>
          </w:p>
        </w:tc>
        <w:tc>
          <w:tcPr>
            <w:tcW w:w="3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2.0</w:t>
            </w:r>
          </w:p>
        </w:tc>
        <w:tc>
          <w:tcPr>
            <w:tcW w:w="940" w:type="dxa"/>
            <w:vAlign w:val="bottom"/>
            <w:shd w:val="clear" w:color="auto" w:fill="CBCBCB"/>
          </w:tcPr>
          <w:p>
            <w:pPr>
              <w:spacing w:after="0"/>
              <w:rPr>
                <w:sz w:val="19"/>
                <w:szCs w:val="19"/>
                <w:color w:val="auto"/>
              </w:rPr>
            </w:pPr>
          </w:p>
        </w:tc>
        <w:tc>
          <w:tcPr>
            <w:tcW w:w="4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540" w:type="dxa"/>
            <w:vAlign w:val="bottom"/>
            <w:tcBorders>
              <w:bottom w:val="single" w:sz="8" w:color="CBCBCB"/>
            </w:tcBorders>
          </w:tcPr>
          <w:p>
            <w:pPr>
              <w:ind w:left="20"/>
              <w:spacing w:after="0"/>
              <w:rPr>
                <w:sz w:val="20"/>
                <w:szCs w:val="20"/>
                <w:color w:val="auto"/>
              </w:rPr>
            </w:pPr>
            <w:r>
              <w:rPr>
                <w:rFonts w:ascii="Arial" w:cs="Arial" w:eastAsia="Arial" w:hAnsi="Arial"/>
                <w:sz w:val="18"/>
                <w:szCs w:val="18"/>
                <w:color w:val="auto"/>
              </w:rPr>
              <w:t>All other fees(4)</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40" w:type="dxa"/>
            <w:vAlign w:val="bottom"/>
            <w:tcBorders>
              <w:bottom w:val="single" w:sz="8" w:color="CBCBCB"/>
            </w:tcBorders>
            <w:shd w:val="clear" w:color="auto" w:fill="CBCBCB"/>
          </w:tcPr>
          <w:p>
            <w:pPr>
              <w:spacing w:after="0"/>
              <w:rPr>
                <w:sz w:val="21"/>
                <w:szCs w:val="21"/>
                <w:color w:val="auto"/>
              </w:rPr>
            </w:pPr>
          </w:p>
        </w:tc>
        <w:tc>
          <w:tcPr>
            <w:tcW w:w="940" w:type="dxa"/>
            <w:vAlign w:val="bottom"/>
            <w:tcBorders>
              <w:bottom w:val="single" w:sz="8" w:color="auto"/>
            </w:tcBorders>
            <w:shd w:val="clear" w:color="auto" w:fill="CBCBCB"/>
          </w:tcPr>
          <w:p>
            <w:pPr>
              <w:jc w:val="right"/>
              <w:ind w:right="7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8"/>
                <w:szCs w:val="18"/>
                <w:color w:val="auto"/>
              </w:rPr>
              <w:t>9.9</w:t>
            </w:r>
          </w:p>
        </w:tc>
        <w:tc>
          <w:tcPr>
            <w:tcW w:w="940" w:type="dxa"/>
            <w:vAlign w:val="bottom"/>
            <w:tcBorders>
              <w:bottom w:val="single" w:sz="8" w:color="auto"/>
            </w:tcBorders>
            <w:shd w:val="clear" w:color="auto" w:fill="CBCBCB"/>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8"/>
                <w:szCs w:val="18"/>
                <w:color w:val="auto"/>
                <w:w w:val="96"/>
              </w:rPr>
              <w:t>10.2</w:t>
            </w:r>
          </w:p>
        </w:tc>
      </w:tr>
      <w:tr>
        <w:trPr>
          <w:trHeight w:val="20"/>
        </w:trPr>
        <w:tc>
          <w:tcPr>
            <w:tcW w:w="8540" w:type="dxa"/>
            <w:vAlign w:val="bottom"/>
            <w:tcBorders>
              <w:top w:val="single" w:sz="8" w:color="CBCBCB"/>
            </w:tcBorders>
          </w:tcPr>
          <w:p>
            <w:pPr>
              <w:spacing w:after="0" w:line="20" w:lineRule="exact"/>
              <w:rPr>
                <w:sz w:val="1"/>
                <w:szCs w:val="1"/>
                <w:color w:val="auto"/>
              </w:rPr>
            </w:pPr>
          </w:p>
        </w:tc>
        <w:tc>
          <w:tcPr>
            <w:tcW w:w="940" w:type="dxa"/>
            <w:vAlign w:val="bottom"/>
            <w:tcBorders>
              <w:top w:val="single" w:sz="8" w:color="CBCBCB"/>
              <w:bottom w:val="single" w:sz="8" w:color="auto"/>
            </w:tcBorders>
          </w:tcPr>
          <w:p>
            <w:pPr>
              <w:spacing w:after="0" w:line="20" w:lineRule="exact"/>
              <w:rPr>
                <w:sz w:val="1"/>
                <w:szCs w:val="1"/>
                <w:color w:val="auto"/>
              </w:rPr>
            </w:pPr>
          </w:p>
        </w:tc>
        <w:tc>
          <w:tcPr>
            <w:tcW w:w="380" w:type="dxa"/>
            <w:vAlign w:val="bottom"/>
            <w:tcBorders>
              <w:top w:val="single" w:sz="8" w:color="CBCBCB"/>
              <w:bottom w:val="single" w:sz="8" w:color="auto"/>
            </w:tcBorders>
          </w:tcPr>
          <w:p>
            <w:pPr>
              <w:spacing w:after="0" w:line="20" w:lineRule="exact"/>
              <w:rPr>
                <w:sz w:val="1"/>
                <w:szCs w:val="1"/>
                <w:color w:val="auto"/>
              </w:rPr>
            </w:pPr>
          </w:p>
        </w:tc>
        <w:tc>
          <w:tcPr>
            <w:tcW w:w="940" w:type="dxa"/>
            <w:vAlign w:val="bottom"/>
            <w:tcBorders>
              <w:top w:val="single" w:sz="8" w:color="CBCBCB"/>
              <w:bottom w:val="single" w:sz="8" w:color="auto"/>
            </w:tcBorders>
          </w:tcPr>
          <w:p>
            <w:pPr>
              <w:spacing w:after="0" w:line="20" w:lineRule="exact"/>
              <w:rPr>
                <w:sz w:val="1"/>
                <w:szCs w:val="1"/>
                <w:color w:val="auto"/>
              </w:rPr>
            </w:pPr>
          </w:p>
        </w:tc>
        <w:tc>
          <w:tcPr>
            <w:tcW w:w="440" w:type="dxa"/>
            <w:vAlign w:val="bottom"/>
            <w:tcBorders>
              <w:top w:val="single" w:sz="8" w:color="CBCBCB"/>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right="40" w:hanging="332"/>
        <w:spacing w:after="0" w:line="256"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147"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government grant certifications.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tax planning, tax consulting, and tax compliance.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fees for services not included in the categories above, including services related to other regulatory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4911725"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In fiscal 2021 and 2020, all audit, non-audit, tax services, and all other fees for services provided by PwC were approved by the Audit Committee in advance of services being provided.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919"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620395</wp:posOffset>
            </wp:positionV>
            <wp:extent cx="4911725"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11725" cy="197485"/>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report has been prepared by members of the Audit Committee of the Board of Directors.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purpose of the Audit Committee is to assist the Board of Directors in overseeing and monitoring (i) the integrity of our financial statements, (ii) the adequacy of our internal controls and procedures, (iii) the performance of our internal audit function, (iv) the qualifications, performance, and independence of our Independent Registered Public Accounting Firm, and (v) our compliance with legal and regulatory requirements.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Audit Committee has reviewed and discussed our audited financial statements with our management, which has primary responsibility for such financial statements. PwC, our Independent Registered Public Accounting Firm for fiscal 2021,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the applicable requirements of the Public Company Accounting Oversight Board. PwC has provided to the Audit Committee the written disclosures and the letter required by the applicable requirements of the Public Company Accounting Oversight Board. The Audit Committee and PwC also discussed PwC’s independence, including the non-audit services PwC provided to us as described above, and concluded that PwC was independent for fiscal 2021.</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include our audited consolidated financial statements in our Annual Report on Form 10-K for fiscal 2021, appointed PwC as our Independent Registered Public Accounting Firm for the fiscal year ending September 1, 2022, and approved and authorized PwC to carry out and perform certain specified non-audit services for us in fiscal 2022.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While the Audit Committee has performed the above functions, management, and not the Audit Committee, has the primary responsibility for</w:t>
      </w:r>
    </w:p>
    <w:p>
      <w:pPr>
        <w:spacing w:after="0" w:line="9" w:lineRule="exact"/>
        <w:rPr>
          <w:sz w:val="20"/>
          <w:szCs w:val="20"/>
          <w:color w:val="auto"/>
        </w:rPr>
      </w:pPr>
    </w:p>
    <w:p>
      <w:pPr>
        <w:ind w:right="100" w:firstLine="8"/>
        <w:spacing w:after="0" w:line="254" w:lineRule="auto"/>
        <w:tabs>
          <w:tab w:leader="none" w:pos="2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ind w:left="4880"/>
        <w:spacing w:after="0" w:line="236" w:lineRule="auto"/>
        <w:rPr>
          <w:sz w:val="20"/>
          <w:szCs w:val="20"/>
          <w:color w:val="auto"/>
        </w:rPr>
      </w:pPr>
      <w:r>
        <w:rPr>
          <w:rFonts w:ascii="Arial" w:cs="Arial" w:eastAsia="Arial" w:hAnsi="Arial"/>
          <w:sz w:val="18"/>
          <w:szCs w:val="18"/>
          <w:color w:val="auto"/>
        </w:rPr>
        <w:t>The Audit Committee</w:t>
      </w:r>
    </w:p>
    <w:p>
      <w:pPr>
        <w:ind w:left="4880"/>
        <w:spacing w:after="0" w:line="203" w:lineRule="auto"/>
        <w:rPr>
          <w:sz w:val="20"/>
          <w:szCs w:val="20"/>
          <w:color w:val="auto"/>
        </w:rPr>
      </w:pPr>
      <w:r>
        <w:rPr>
          <w:rFonts w:ascii="Arial" w:cs="Arial" w:eastAsia="Arial" w:hAnsi="Arial"/>
          <w:sz w:val="18"/>
          <w:szCs w:val="18"/>
          <w:color w:val="auto"/>
        </w:rPr>
        <w:t>Lynn A. Dugle</w:t>
      </w:r>
    </w:p>
    <w:p>
      <w:pPr>
        <w:ind w:left="4880"/>
        <w:spacing w:after="0" w:line="204" w:lineRule="auto"/>
        <w:rPr>
          <w:sz w:val="20"/>
          <w:szCs w:val="20"/>
          <w:color w:val="auto"/>
        </w:rPr>
      </w:pPr>
      <w:r>
        <w:rPr>
          <w:rFonts w:ascii="Arial" w:cs="Arial" w:eastAsia="Arial" w:hAnsi="Arial"/>
          <w:sz w:val="18"/>
          <w:szCs w:val="18"/>
          <w:color w:val="auto"/>
        </w:rPr>
        <w:t>Steven J. Gomo</w:t>
      </w:r>
    </w:p>
    <w:p>
      <w:pPr>
        <w:ind w:left="4880"/>
        <w:spacing w:after="0"/>
        <w:rPr>
          <w:sz w:val="20"/>
          <w:szCs w:val="20"/>
          <w:color w:val="auto"/>
        </w:rPr>
      </w:pPr>
      <w:r>
        <w:rPr>
          <w:rFonts w:ascii="Arial" w:cs="Arial" w:eastAsia="Arial" w:hAnsi="Arial"/>
          <w:sz w:val="18"/>
          <w:szCs w:val="18"/>
          <w:color w:val="auto"/>
        </w:rPr>
        <w:t>Mary Pat McCarthy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63</w:t>
      </w:r>
    </w:p>
    <w:p>
      <w:pPr>
        <w:sectPr>
          <w:pgSz w:w="11900" w:h="16838" w:orient="portrait"/>
          <w:cols w:equalWidth="0" w:num="1">
            <w:col w:w="11240"/>
          </w:cols>
          <w:pgMar w:left="320" w:top="985" w:right="339" w:bottom="1440" w:gutter="0" w:footer="0" w:header="0"/>
        </w:sectPr>
      </w:pPr>
    </w:p>
    <w:bookmarkStart w:id="70" w:name="page71"/>
    <w:bookmarkEnd w:id="70"/>
    <w:p>
      <w:pPr>
        <w:spacing w:after="0"/>
        <w:rPr>
          <w:sz w:val="20"/>
          <w:szCs w:val="20"/>
          <w:color w:val="auto"/>
        </w:rPr>
      </w:pPr>
      <w:r>
        <w:rPr>
          <w:rFonts w:ascii="Arial" w:cs="Arial" w:eastAsia="Arial" w:hAnsi="Arial"/>
          <w:sz w:val="40"/>
          <w:szCs w:val="40"/>
          <w:b w:val="1"/>
          <w:bCs w:val="1"/>
          <w:color w:val="auto"/>
        </w:rPr>
        <w:t>PRINCIPAL SHAREHOLDERS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Security Ownership of Certain Beneficial Owners and Management</w:t>
      </w:r>
    </w:p>
    <w:p>
      <w:pPr>
        <w:spacing w:after="0" w:line="265"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The following table sets forth security beneficial ownership information of our Common Stock as of the Record Date,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1760" w:type="dxa"/>
            <w:vAlign w:val="bottom"/>
          </w:tcPr>
          <w:p>
            <w:pPr>
              <w:jc w:val="center"/>
              <w:ind w:left="130"/>
              <w:spacing w:after="0" w:line="188" w:lineRule="exact"/>
              <w:rPr>
                <w:sz w:val="20"/>
                <w:szCs w:val="20"/>
                <w:color w:val="auto"/>
              </w:rPr>
            </w:pPr>
            <w:r>
              <w:rPr>
                <w:rFonts w:ascii="Arial" w:cs="Arial" w:eastAsia="Arial" w:hAnsi="Arial"/>
                <w:sz w:val="18"/>
                <w:szCs w:val="18"/>
                <w:b w:val="1"/>
                <w:bCs w:val="1"/>
                <w:color w:val="auto"/>
                <w:w w:val="99"/>
              </w:rPr>
              <w:t>Number of</w:t>
            </w:r>
          </w:p>
        </w:tc>
        <w:tc>
          <w:tcPr>
            <w:tcW w:w="13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Right to</w:t>
            </w:r>
          </w:p>
        </w:tc>
        <w:tc>
          <w:tcPr>
            <w:tcW w:w="1440" w:type="dxa"/>
            <w:vAlign w:val="bottom"/>
          </w:tcPr>
          <w:p>
            <w:pPr>
              <w:jc w:val="center"/>
              <w:ind w:right="90"/>
              <w:spacing w:after="0" w:line="188" w:lineRule="exact"/>
              <w:rPr>
                <w:sz w:val="20"/>
                <w:szCs w:val="20"/>
                <w:color w:val="auto"/>
              </w:rPr>
            </w:pPr>
            <w:r>
              <w:rPr>
                <w:rFonts w:ascii="Arial" w:cs="Arial" w:eastAsia="Arial" w:hAnsi="Arial"/>
                <w:sz w:val="18"/>
                <w:szCs w:val="18"/>
                <w:b w:val="1"/>
                <w:bCs w:val="1"/>
                <w:color w:val="auto"/>
                <w:w w:val="97"/>
              </w:rPr>
              <w:t>Total</w:t>
            </w:r>
          </w:p>
        </w:tc>
        <w:tc>
          <w:tcPr>
            <w:tcW w:w="14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75"/>
        </w:trPr>
        <w:tc>
          <w:tcPr>
            <w:tcW w:w="5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76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9"/>
              </w:rPr>
              <w:t>Shares</w:t>
            </w:r>
          </w:p>
        </w:tc>
        <w:tc>
          <w:tcPr>
            <w:tcW w:w="1380" w:type="dxa"/>
            <w:vAlign w:val="bottom"/>
            <w:vMerge w:val="continue"/>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rPr>
              <w:t>Beneficial</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0090DA"/>
            </w:tcBorders>
            <w:vMerge w:val="continue"/>
          </w:tcPr>
          <w:p>
            <w:pPr>
              <w:spacing w:after="0"/>
              <w:rPr>
                <w:sz w:val="19"/>
                <w:szCs w:val="19"/>
                <w:color w:val="auto"/>
              </w:rPr>
            </w:pPr>
          </w:p>
        </w:tc>
        <w:tc>
          <w:tcPr>
            <w:tcW w:w="1760" w:type="dxa"/>
            <w:vAlign w:val="bottom"/>
            <w:tcBorders>
              <w:bottom w:val="single" w:sz="8" w:color="0090DA"/>
            </w:tcBorders>
          </w:tcPr>
          <w:p>
            <w:pPr>
              <w:jc w:val="center"/>
              <w:ind w:left="130"/>
              <w:spacing w:after="0"/>
              <w:rPr>
                <w:sz w:val="20"/>
                <w:szCs w:val="20"/>
                <w:color w:val="auto"/>
              </w:rPr>
            </w:pPr>
            <w:r>
              <w:rPr>
                <w:rFonts w:ascii="Arial" w:cs="Arial" w:eastAsia="Arial" w:hAnsi="Arial"/>
                <w:sz w:val="18"/>
                <w:szCs w:val="18"/>
                <w:b w:val="1"/>
                <w:bCs w:val="1"/>
                <w:color w:val="auto"/>
                <w:w w:val="99"/>
              </w:rPr>
              <w:t>Owned(1)</w:t>
            </w:r>
          </w:p>
        </w:tc>
        <w:tc>
          <w:tcPr>
            <w:tcW w:w="138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Acquire(2)</w:t>
            </w:r>
          </w:p>
        </w:tc>
        <w:tc>
          <w:tcPr>
            <w:tcW w:w="144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rPr>
              <w:t>Ownership</w:t>
            </w:r>
          </w:p>
        </w:tc>
        <w:tc>
          <w:tcPr>
            <w:tcW w:w="142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Class(3)</w:t>
            </w:r>
          </w:p>
        </w:tc>
        <w:tc>
          <w:tcPr>
            <w:tcW w:w="0" w:type="dxa"/>
            <w:vAlign w:val="bottom"/>
          </w:tcPr>
          <w:p>
            <w:pPr>
              <w:spacing w:after="0"/>
              <w:rPr>
                <w:sz w:val="1"/>
                <w:szCs w:val="1"/>
                <w:color w:val="auto"/>
              </w:rPr>
            </w:pPr>
          </w:p>
        </w:tc>
      </w:tr>
      <w:tr>
        <w:trPr>
          <w:trHeight w:val="34"/>
        </w:trPr>
        <w:tc>
          <w:tcPr>
            <w:tcW w:w="5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The Vanguard Group, Inc.(4)</w:t>
            </w:r>
          </w:p>
        </w:tc>
        <w:tc>
          <w:tcPr>
            <w:tcW w:w="176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87,622,245</w:t>
            </w:r>
          </w:p>
        </w:tc>
        <w:tc>
          <w:tcPr>
            <w:tcW w:w="1380" w:type="dxa"/>
            <w:vAlign w:val="bottom"/>
            <w:shd w:val="clear" w:color="auto" w:fill="CBCBCB"/>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87,622,245</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BlackRock, Inc.(5)</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84,264,547</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84,264,547</w:t>
            </w:r>
          </w:p>
        </w:tc>
        <w:tc>
          <w:tcPr>
            <w:tcW w:w="142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5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Richard M. Beyer</w:t>
            </w:r>
          </w:p>
        </w:tc>
        <w:tc>
          <w:tcPr>
            <w:tcW w:w="176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94,921</w:t>
            </w:r>
          </w:p>
        </w:tc>
        <w:tc>
          <w:tcPr>
            <w:tcW w:w="1380" w:type="dxa"/>
            <w:vAlign w:val="bottom"/>
            <w:shd w:val="clear" w:color="auto" w:fill="CBCBCB"/>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94,921</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Manish Bhatia</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310,206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53,317</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363,523</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Scott J. DeBoer</w:t>
            </w:r>
          </w:p>
        </w:tc>
        <w:tc>
          <w:tcPr>
            <w:tcW w:w="176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201,587</w:t>
            </w:r>
          </w:p>
        </w:tc>
        <w:tc>
          <w:tcPr>
            <w:tcW w:w="1380" w:type="dxa"/>
            <w:vAlign w:val="bottom"/>
            <w:shd w:val="clear" w:color="auto" w:fill="CBCBCB"/>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201,587</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9,327</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9,327</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Steven J. Gomo</w:t>
            </w:r>
          </w:p>
        </w:tc>
        <w:tc>
          <w:tcPr>
            <w:tcW w:w="176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19,100</w:t>
            </w:r>
          </w:p>
        </w:tc>
        <w:tc>
          <w:tcPr>
            <w:tcW w:w="1380" w:type="dxa"/>
            <w:vAlign w:val="bottom"/>
            <w:shd w:val="clear" w:color="auto" w:fill="CBCBCB"/>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19,100</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Linnie Haynesworth</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5,308</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5,308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Mary Pat McCarthy</w:t>
            </w:r>
          </w:p>
        </w:tc>
        <w:tc>
          <w:tcPr>
            <w:tcW w:w="176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19,100</w:t>
            </w:r>
          </w:p>
        </w:tc>
        <w:tc>
          <w:tcPr>
            <w:tcW w:w="1380" w:type="dxa"/>
            <w:vAlign w:val="bottom"/>
            <w:shd w:val="clear" w:color="auto" w:fill="CBCBCB"/>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19,100</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Sanjay Mehrotra(6)</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911,590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712,284</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1,623,874</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 (7)</w:t>
            </w:r>
          </w:p>
        </w:tc>
        <w:tc>
          <w:tcPr>
            <w:tcW w:w="176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200,899</w:t>
            </w:r>
          </w:p>
        </w:tc>
        <w:tc>
          <w:tcPr>
            <w:tcW w:w="1380" w:type="dxa"/>
            <w:vAlign w:val="bottom"/>
            <w:shd w:val="clear" w:color="auto" w:fill="CBCBCB"/>
          </w:tcPr>
          <w:p>
            <w:pPr>
              <w:jc w:val="right"/>
              <w:ind w:right="50"/>
              <w:spacing w:after="0"/>
              <w:rPr>
                <w:sz w:val="20"/>
                <w:szCs w:val="20"/>
                <w:color w:val="auto"/>
              </w:rPr>
            </w:pPr>
            <w:r>
              <w:rPr>
                <w:rFonts w:ascii="Arial" w:cs="Arial" w:eastAsia="Arial" w:hAnsi="Arial"/>
                <w:sz w:val="18"/>
                <w:szCs w:val="18"/>
                <w:color w:val="auto"/>
              </w:rPr>
              <w:t>14,031</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214,930</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65,103</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65,103</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MaryAnn Wright</w:t>
            </w:r>
          </w:p>
        </w:tc>
        <w:tc>
          <w:tcPr>
            <w:tcW w:w="176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15,009</w:t>
            </w:r>
          </w:p>
        </w:tc>
        <w:tc>
          <w:tcPr>
            <w:tcW w:w="1380" w:type="dxa"/>
            <w:vAlign w:val="bottom"/>
            <w:shd w:val="clear" w:color="auto" w:fill="CBCBCB"/>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15,009</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David A. Zinsner(8)</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223,164</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223,164</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All directors and executive officers as a group (16 persons)</w:t>
            </w:r>
          </w:p>
        </w:tc>
        <w:tc>
          <w:tcPr>
            <w:tcW w:w="176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2,617,073</w:t>
            </w:r>
          </w:p>
        </w:tc>
        <w:tc>
          <w:tcPr>
            <w:tcW w:w="1380" w:type="dxa"/>
            <w:vAlign w:val="bottom"/>
            <w:shd w:val="clear" w:color="auto" w:fill="CBCBCB"/>
          </w:tcPr>
          <w:p>
            <w:pPr>
              <w:jc w:val="right"/>
              <w:ind w:right="50"/>
              <w:spacing w:after="0"/>
              <w:rPr>
                <w:sz w:val="20"/>
                <w:szCs w:val="20"/>
                <w:color w:val="auto"/>
              </w:rPr>
            </w:pPr>
            <w:r>
              <w:rPr>
                <w:rFonts w:ascii="Arial" w:cs="Arial" w:eastAsia="Arial" w:hAnsi="Arial"/>
                <w:sz w:val="18"/>
                <w:szCs w:val="18"/>
                <w:color w:val="auto"/>
              </w:rPr>
              <w:t>923,802</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3,540,875</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80" w:hanging="27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171" w:lineRule="exact"/>
        <w:rPr>
          <w:sz w:val="20"/>
          <w:szCs w:val="20"/>
          <w:color w:val="auto"/>
        </w:rPr>
      </w:pPr>
    </w:p>
    <w:p>
      <w:pPr>
        <w:ind w:left="340" w:right="660" w:hanging="332"/>
        <w:spacing w:after="0" w:line="261" w:lineRule="auto"/>
        <w:tabs>
          <w:tab w:leader="none" w:pos="3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unvested shares of restricted stock and excludes shares that may be acquired through the exercise of outstanding stock options.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157" w:lineRule="exact"/>
        <w:rPr>
          <w:rFonts w:ascii="Arial" w:cs="Arial" w:eastAsia="Arial" w:hAnsi="Arial"/>
          <w:sz w:val="18"/>
          <w:szCs w:val="18"/>
          <w:color w:val="auto"/>
        </w:rPr>
      </w:pPr>
    </w:p>
    <w:p>
      <w:pPr>
        <w:ind w:left="340" w:right="240" w:hanging="332"/>
        <w:spacing w:after="0" w:line="261" w:lineRule="auto"/>
        <w:tabs>
          <w:tab w:leader="none" w:pos="3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30" w:lineRule="exact"/>
        <w:rPr>
          <w:rFonts w:ascii="Arial" w:cs="Arial" w:eastAsia="Arial" w:hAnsi="Arial"/>
          <w:sz w:val="18"/>
          <w:szCs w:val="18"/>
          <w:color w:val="auto"/>
        </w:rPr>
      </w:pPr>
    </w:p>
    <w:p>
      <w:pPr>
        <w:jc w:val="both"/>
        <w:ind w:left="340" w:right="340" w:hanging="332"/>
        <w:spacing w:after="0" w:line="256" w:lineRule="auto"/>
        <w:tabs>
          <w:tab w:leader="none" w:pos="3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December 31, 2020, The Vanguard Group, Inc. (“Vanguard”) had sole dispositive power as to 82,778,144 shares, shared voting power as to 1,796,238 shares, and shared dispositive power as to 4,844,101 shares. This information was taken from Schedule 13G filed on February 10, 2021. Vanguard’s business address is 100 Vanguard Blvd., Malvern, PA 19355.</w:t>
      </w:r>
    </w:p>
    <w:p>
      <w:pPr>
        <w:spacing w:after="0" w:line="120" w:lineRule="exact"/>
        <w:rPr>
          <w:rFonts w:ascii="Arial" w:cs="Arial" w:eastAsia="Arial" w:hAnsi="Arial"/>
          <w:sz w:val="18"/>
          <w:szCs w:val="18"/>
          <w:color w:val="auto"/>
        </w:rPr>
      </w:pPr>
    </w:p>
    <w:p>
      <w:pPr>
        <w:ind w:left="340" w:right="200" w:hanging="332"/>
        <w:spacing w:after="0" w:line="256" w:lineRule="auto"/>
        <w:tabs>
          <w:tab w:leader="none" w:pos="3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December 31, 2020, BlackRock, Inc. had sole voting power as to 73,893,123 shares and sole dispositive power as to 84,264,547 shares. This information was taken from Schedule 13G filed on February 5, 2021. BlackRock’s business address is 55 East 52nd Street, New York, NY 10055.</w:t>
      </w:r>
    </w:p>
    <w:p>
      <w:pPr>
        <w:spacing w:after="0" w:line="134" w:lineRule="exact"/>
        <w:rPr>
          <w:rFonts w:ascii="Arial" w:cs="Arial" w:eastAsia="Arial" w:hAnsi="Arial"/>
          <w:sz w:val="18"/>
          <w:szCs w:val="18"/>
          <w:color w:val="auto"/>
        </w:rPr>
      </w:pPr>
    </w:p>
    <w:p>
      <w:pPr>
        <w:ind w:left="340" w:right="320" w:hanging="332"/>
        <w:spacing w:after="0" w:line="256" w:lineRule="auto"/>
        <w:tabs>
          <w:tab w:leader="none" w:pos="3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61,854 shares held by the Sangeeta Mehrotra 2020 Grantor Retained Annuity Trust II, 28,500 shares held by the Sangeeta Mehrotra 2021 Grantor Retained Annuity Trust II, and 170,000 shares held by the Sangeeta Mehrotra 2021 Grantor Retained Annuity Trust V.</w:t>
      </w:r>
    </w:p>
    <w:p>
      <w:pPr>
        <w:spacing w:after="0" w:line="134"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33,000 shares held by the S. Sadana and S. Sadana Trustee Sadana Living Trust held with spouse.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96,206 shares held by the DZHS Community Property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40"/>
          </w:cols>
          <w:pgMar w:left="320" w:top="919"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NOTICE OF ELECTRONIC AVAILABILITY OF PROXY MATERIALS</w:t>
      </w:r>
    </w:p>
    <w:p>
      <w:pPr>
        <w:spacing w:after="0" w:line="24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13, 2022. The Proxy Statement and Annual Report on Form 10-K are available at www.proxyvote.com.</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INCORPORATION BY REFERENCE OF CERTAIN FINANCIAL INFORMATION</w:t>
      </w:r>
    </w:p>
    <w:p>
      <w:pPr>
        <w:spacing w:after="0" w:line="26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We incorporate by reference in this Proxy Statement the “Equity Plans” note to our Consolidated Financial Statements included in our Annual Report on Form 10-K for fiscal 2021. The Annual Report on Form 10-K for fiscal 2021 accompanies this Proxy Statement. </w:t>
      </w:r>
      <w:r>
        <w:rPr>
          <w:rFonts w:ascii="Arial" w:cs="Arial" w:eastAsia="Arial" w:hAnsi="Arial"/>
          <w:sz w:val="18"/>
          <w:szCs w:val="18"/>
          <w:b w:val="1"/>
          <w:bCs w:val="1"/>
          <w:color w:val="auto"/>
        </w:rPr>
        <w:t>Copies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Annual Report on Form 10-K for fiscal 2021 may be obtained without charge by sending a written request to: Micron</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Technology, Inc., Attn.: Corporate Secretary, 8000 South Federal Way, Boise, Idaho 83716-9632. </w:t>
      </w:r>
      <w:r>
        <w:rPr>
          <w:rFonts w:ascii="Arial" w:cs="Arial" w:eastAsia="Arial" w:hAnsi="Arial"/>
          <w:sz w:val="18"/>
          <w:szCs w:val="18"/>
          <w:color w:val="auto"/>
        </w:rPr>
        <w:t>Our Annual Report on Form 10-K also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available in the “Investor Relations” section of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OF PROXY STATEMENTS AND ANNUAL REPORTS</w:t>
      </w:r>
    </w:p>
    <w:p>
      <w:pPr>
        <w:spacing w:after="0" w:line="26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2021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3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If you share an address with other registered shareholders and your household receives one copy of the Notice of Internet availability or of this Proxy Statement and 2021 Annual Report on Form 10-K and you decide you want a separate copy of this Proxy Statement and 2021 Annual Report on Form 10-K through the date of the Annual Meeting, we will promptly deliver your separate copy if you contact us at Micron Technology, Inc., Attn.: Corporate Secretary, 8000 South Federal Way, Boise, Idaho 83716-9632 or corporatesecretary@micron.com or</w:t>
      </w:r>
    </w:p>
    <w:p>
      <w:pPr>
        <w:spacing w:after="0" w:line="2" w:lineRule="exact"/>
        <w:rPr>
          <w:sz w:val="20"/>
          <w:szCs w:val="20"/>
          <w:color w:val="auto"/>
        </w:rPr>
      </w:pPr>
    </w:p>
    <w:p>
      <w:pPr>
        <w:ind w:left="480" w:hanging="472"/>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368-4000. Additionally, for registered shareholders to resume the mailing of individual copies of future annual reports, proxy</w:t>
      </w:r>
    </w:p>
    <w:p>
      <w:pPr>
        <w:spacing w:after="0" w:line="9" w:lineRule="exact"/>
        <w:rPr>
          <w:rFonts w:ascii="Arial" w:cs="Arial" w:eastAsia="Arial" w:hAnsi="Arial"/>
          <w:sz w:val="18"/>
          <w:szCs w:val="18"/>
          <w:color w:val="auto"/>
        </w:rPr>
      </w:pPr>
    </w:p>
    <w:p>
      <w:pPr>
        <w:ind w:right="480"/>
        <w:spacing w:after="0" w:line="265" w:lineRule="auto"/>
        <w:rPr>
          <w:rFonts w:ascii="Arial" w:cs="Arial" w:eastAsia="Arial" w:hAnsi="Arial"/>
          <w:sz w:val="18"/>
          <w:szCs w:val="18"/>
          <w:color w:val="auto"/>
        </w:rPr>
      </w:pPr>
      <w:r>
        <w:rPr>
          <w:rFonts w:ascii="Arial" w:cs="Arial" w:eastAsia="Arial" w:hAnsi="Arial"/>
          <w:sz w:val="17"/>
          <w:szCs w:val="17"/>
          <w:color w:val="auto"/>
        </w:rPr>
        <w:t>statements, proxy statements combined with a prospectus, and information statements to a particular shareholder, you may contact EQ Shareowner Services, Attn.: Householding, P.O. Box 64854, St. Paul, Minnesota 55164-0874 and your request will be effective within</w:t>
      </w:r>
    </w:p>
    <w:p>
      <w:pPr>
        <w:ind w:right="260"/>
        <w:spacing w:after="0" w:line="254" w:lineRule="auto"/>
        <w:rPr>
          <w:rFonts w:ascii="Arial" w:cs="Arial" w:eastAsia="Arial" w:hAnsi="Arial"/>
          <w:sz w:val="18"/>
          <w:szCs w:val="18"/>
          <w:color w:val="auto"/>
        </w:rPr>
      </w:pPr>
      <w:r>
        <w:rPr>
          <w:rFonts w:ascii="Arial" w:cs="Arial" w:eastAsia="Arial" w:hAnsi="Arial"/>
          <w:sz w:val="18"/>
          <w:szCs w:val="18"/>
          <w:color w:val="auto"/>
        </w:rPr>
        <w:t>30 days after receipt. After the Annual Meeting, you may request householding of these documents, including notices, by providing EQ Shareowner Services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2021 Annual Report on Form 10-K by contacting your bank, broker,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65</w:t>
      </w:r>
    </w:p>
    <w:p>
      <w:pPr>
        <w:sectPr>
          <w:pgSz w:w="11900" w:h="16838" w:orient="portrait"/>
          <w:cols w:equalWidth="0" w:num="1">
            <w:col w:w="11240"/>
          </w:cols>
          <w:pgMar w:left="320" w:top="1349"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65"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This Proxy Statement contains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w:t>
      </w:r>
    </w:p>
    <w:p>
      <w:pPr>
        <w:spacing w:after="0" w:line="251" w:lineRule="auto"/>
        <w:rPr>
          <w:sz w:val="20"/>
          <w:szCs w:val="20"/>
          <w:color w:val="auto"/>
        </w:rPr>
      </w:pPr>
      <w:r>
        <w:rPr>
          <w:rFonts w:ascii="Arial" w:cs="Arial" w:eastAsia="Arial" w:hAnsi="Arial"/>
          <w:sz w:val="18"/>
          <w:szCs w:val="18"/>
          <w:color w:val="auto"/>
        </w:rPr>
        <w:t>However, the absence of these words or similar expressions does not mean that a statement is not forward-looking. Specific forward-looking statements include, but are not limited to, statements such as those made regarding our expected capital expenditures; growth of the amount of our quarterly dividend; our expected results for fiscal 2022; our DEI commitments; our Sustainability commitments, goals, and expected improvements; the outlook for the memory and storage market; expected timing of, and cost reductions from, new technology nodes; and estimated payments to our Named Executive Officers upon termination or change in control. Actual events or results could differ materially from those contained in the forward-looking statements. Please refer to the documents we file from time to time with the SEC, specifically our most recent Annual Report on Form 10-K and any subsequent Quarterly Reports on Form 10-Q. These documents contain and identify important factors that could cause our actual results to differ materially from those contained in the forward-looking statements (see the “Risk Factors” section in our Form 10-K and any subsequent Form 10-Q). The forward-looking statements are based on information available to us as of the date hereof and are based on management’s current views and assumptions and should not be relied upon as representing our views as of any subsequent date. Although we believe that the expectations reflected in the forward-looking statements are reasonable, we cannot guarantee future results, levels of activity, performance or achievements. We do not undertake any obligation to release publicly any revisions to these forward-looking statements to reflect events or circumstances after the date hereof or to reflect the occurrence of unanticipated events, unless applicable law requires us to do so.</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DEADLINE FOR RECEIPT OF SHAREHOLDER PROPOSALS FOR FISCAL 2022 ANNUAL MEETING</w:t>
      </w:r>
    </w:p>
    <w:p>
      <w:pPr>
        <w:spacing w:after="0" w:line="2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Proposals by our shareholders which are intended to be presented at our Fiscal 2022 Annual Meeting of Shareholders, including proposals submitted pursuant to Exchange Act Rule 14a-8 as well as for director nominees, must be received by us at our principal executive offices located at 8000 South Federal Way, Boise, Idaho 83716-9632, Attn.: Corporate Secretary, no later than August 4, 2022, and must also be in compliance with our Restated Certificate of Incorporation, our Amended and Restated Bylaws, and applicable laws and regulations in order to be included in the proxy statement and proxy card relating to that meeting. Proposals which are received after August 4, 2022, will be untimely and will not be considered at the meeting.</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2, 2021</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2021 Proxy Statement</w:t>
      </w:r>
    </w:p>
    <w:p>
      <w:pPr>
        <w:sectPr>
          <w:pgSz w:w="11900" w:h="16838" w:orient="portrait"/>
          <w:cols w:equalWidth="0" w:num="1">
            <w:col w:w="11220"/>
          </w:cols>
          <w:pgMar w:left="320" w:top="931" w:right="359" w:bottom="1440"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12155" cy="7517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17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12155" cy="7517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17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lvl w:ilvl="1">
      <w:lvlJc w:val="left"/>
      <w:lvlText w:val="(%2)"/>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amp;"/>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lvl w:ilvl="1">
      <w:lvlJc w:val="left"/>
      <w:lvlText w:val="▪"/>
      <w:numFmt w:val="bullet"/>
      <w:start w:val="1"/>
    </w:lvl>
  </w:abstractNum>
  <w:abstractNum w:abstractNumId="40">
    <w:nsid w:val="4F4EF005"/>
    <w:multiLevelType w:val="hybridMultilevel"/>
    <w:lvl w:ilvl="0">
      <w:lvlJc w:val="left"/>
      <w:lvlText w:val="ü"/>
      <w:numFmt w:val="bullet"/>
      <w:start w:val="1"/>
    </w:lvl>
  </w:abstractNum>
  <w:abstractNum w:abstractNumId="41">
    <w:nsid w:val="23F9C13C"/>
    <w:multiLevelType w:val="hybridMultilevel"/>
    <w:lvl w:ilvl="0">
      <w:lvlJc w:val="left"/>
      <w:lvlText w:val="û"/>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lvl w:ilvl="1">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3"/>
    </w:lvl>
    <w:lvl w:ilvl="1">
      <w:lvlJc w:val="left"/>
      <w:lvlText w:val="•"/>
      <w:numFmt w:val="bullet"/>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4"/>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lowerRoman"/>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2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2021-12-02T15:41:54Z</dcterms:created>
  <dcterms:modified xsi:type="dcterms:W3CDTF">2021-12-02T15:41:54Z</dcterms:modified>
</cp:coreProperties>
</file>