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91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91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MEHROTRA SANJAY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60" w:space="4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62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01/23/2025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78"/>
              </w:rPr>
              <w:t>J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156,293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182,401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01/23/2025</w:t>
            </w:r>
          </w:p>
        </w:tc>
        <w:tc>
          <w:tcPr>
            <w:tcW w:w="4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78"/>
              </w:rPr>
              <w:t>J</w:t>
            </w: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156,293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56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1,086,702</w:t>
            </w:r>
          </w:p>
        </w:tc>
        <w:tc>
          <w:tcPr>
            <w:tcW w:w="9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01/23/2025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182,401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01/27/2025</w:t>
            </w:r>
          </w:p>
        </w:tc>
        <w:tc>
          <w:tcPr>
            <w:tcW w:w="4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78"/>
              </w:rPr>
              <w:t>J</w:t>
            </w: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500,000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6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6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586,702</w:t>
            </w:r>
          </w:p>
        </w:tc>
        <w:tc>
          <w:tcPr>
            <w:tcW w:w="9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01/27/2025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78"/>
              </w:rPr>
              <w:t>J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500,000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gridSpan w:val="12"/>
          </w:tcPr>
          <w:p>
            <w:pPr>
              <w:jc w:val="center"/>
              <w:ind w:right="6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center"/>
              <w:ind w:left="4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transferred from the Reporting Person's indirect ownership to direct ownership upon expiration of a grantor retained annuity trust.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Grantor retained annuity trusts are for the benefit of the Reporting Person and his family.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transferred to trusts for the benefit of various family members of the Reporting Person upon expiration of a grantor retained annuity trust. The Reporting Person has no beneficial ownership of the shares held by such trusts.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transferred from a revocable trust to a grantor retained annuity trust. All trusts are for the the benefit of the Reporting Person and his family.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01/27/2025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42654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2025-01-27T19:28:37Z</dcterms:created>
  <dcterms:modified xsi:type="dcterms:W3CDTF">2025-01-27T19:28:37Z</dcterms:modified>
</cp:coreProperties>
</file>